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UNITED STATES</w:t>
      </w:r>
    </w:p>
    <w:p>
      <w:pPr>
        <w:jc w:val="center"/>
        <w:ind w:right="-3"/>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
        <w:spacing w:after="0"/>
        <w:rPr>
          <w:sz w:val="20"/>
          <w:szCs w:val="20"/>
          <w:color w:val="auto"/>
        </w:rPr>
      </w:pPr>
      <w:r>
        <w:rPr>
          <w:rFonts w:ascii="Arial" w:cs="Arial" w:eastAsia="Arial" w:hAnsi="Arial"/>
          <w:sz w:val="20"/>
          <w:szCs w:val="20"/>
          <w:b w:val="1"/>
          <w:bCs w:val="1"/>
          <w:color w:val="auto"/>
        </w:rPr>
        <w:t>WASHINGTON DC 20549</w:t>
      </w:r>
    </w:p>
    <w:p>
      <w:pPr>
        <w:spacing w:after="0" w:line="134"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FORM 10-Q</w:t>
      </w:r>
    </w:p>
    <w:p>
      <w:pPr>
        <w:ind w:left="4"/>
        <w:spacing w:after="0" w:line="203" w:lineRule="auto"/>
        <w:rPr>
          <w:sz w:val="20"/>
          <w:szCs w:val="20"/>
          <w:color w:val="auto"/>
        </w:rPr>
      </w:pPr>
      <w:r>
        <w:rPr>
          <w:rFonts w:ascii="Arial" w:cs="Arial" w:eastAsia="Arial" w:hAnsi="Arial"/>
          <w:sz w:val="20"/>
          <w:szCs w:val="20"/>
          <w:color w:val="auto"/>
        </w:rPr>
        <w:t>(Mark One)</w:t>
      </w:r>
    </w:p>
    <w:p>
      <w:pPr>
        <w:spacing w:after="0" w:line="1"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color w:val="auto"/>
        </w:rPr>
        <w:t>QUARTERLY REPORT PURSUANT TO SECTION 13 or 15 (d) OF THE SECURITIES EXCHANGE ACT OF 1934.</w:t>
      </w:r>
    </w:p>
    <w:p>
      <w:pPr>
        <w:spacing w:after="0" w:line="18" w:lineRule="exact"/>
        <w:rPr>
          <w:rFonts w:ascii="MS PGothic" w:cs="MS PGothic" w:eastAsia="MS PGothic" w:hAnsi="MS PGothic"/>
          <w:sz w:val="19"/>
          <w:szCs w:val="19"/>
          <w:color w:val="auto"/>
          <w:highlight w:val="black"/>
        </w:rPr>
      </w:pPr>
    </w:p>
    <w:p>
      <w:pPr>
        <w:ind w:left="300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quarterly period ended September 30, 2017</w:t>
      </w:r>
    </w:p>
    <w:p>
      <w:pPr>
        <w:spacing w:after="0" w:line="105"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color w:val="auto"/>
        </w:rPr>
        <w:t>TRANSITION REPORT PURSUANT TO SECTION 13 OR 15(d) OF THE SECURITIES EXCHANGE ACT OF 1934.</w:t>
      </w:r>
    </w:p>
    <w:p>
      <w:pPr>
        <w:spacing w:after="0" w:line="27" w:lineRule="exact"/>
        <w:rPr>
          <w:rFonts w:ascii="MS PGothic" w:cs="MS PGothic" w:eastAsia="MS PGothic" w:hAnsi="MS PGothic"/>
          <w:sz w:val="19"/>
          <w:szCs w:val="19"/>
          <w:color w:val="auto"/>
          <w:highlight w:val="black"/>
        </w:rPr>
      </w:pPr>
    </w:p>
    <w:p>
      <w:pPr>
        <w:ind w:left="226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transition period from_______________ to _______________</w:t>
      </w:r>
    </w:p>
    <w:p>
      <w:pPr>
        <w:spacing w:after="0" w:line="92" w:lineRule="exact"/>
        <w:rPr>
          <w:sz w:val="24"/>
          <w:szCs w:val="24"/>
          <w:color w:val="auto"/>
        </w:rPr>
      </w:pPr>
    </w:p>
    <w:p>
      <w:pPr>
        <w:ind w:left="3704"/>
        <w:spacing w:after="0"/>
        <w:rPr>
          <w:sz w:val="20"/>
          <w:szCs w:val="20"/>
          <w:color w:val="auto"/>
        </w:rPr>
      </w:pPr>
      <w:r>
        <w:rPr>
          <w:rFonts w:ascii="Arial" w:cs="Arial" w:eastAsia="Arial" w:hAnsi="Arial"/>
          <w:sz w:val="20"/>
          <w:szCs w:val="20"/>
          <w:color w:val="auto"/>
        </w:rPr>
        <w:t>Commission File Number 1-6659</w:t>
      </w:r>
    </w:p>
    <w:p>
      <w:pPr>
        <w:spacing w:after="0" w:line="183" w:lineRule="exact"/>
        <w:rPr>
          <w:sz w:val="24"/>
          <w:szCs w:val="24"/>
          <w:color w:val="auto"/>
        </w:rPr>
      </w:pPr>
    </w:p>
    <w:p>
      <w:pPr>
        <w:ind w:left="3984"/>
        <w:spacing w:after="0"/>
        <w:rPr>
          <w:sz w:val="20"/>
          <w:szCs w:val="20"/>
          <w:color w:val="auto"/>
        </w:rPr>
      </w:pPr>
      <w:r>
        <w:rPr>
          <w:rFonts w:ascii="Arial" w:cs="Arial" w:eastAsia="Arial" w:hAnsi="Arial"/>
          <w:sz w:val="20"/>
          <w:szCs w:val="20"/>
          <w:b w:val="1"/>
          <w:bCs w:val="1"/>
          <w:u w:val="single" w:color="auto"/>
          <w:color w:val="auto"/>
        </w:rPr>
        <w:t>AQUA AMERICA, INC.</w:t>
      </w:r>
    </w:p>
    <w:p>
      <w:pPr>
        <w:spacing w:after="0" w:line="22" w:lineRule="exact"/>
        <w:rPr>
          <w:sz w:val="24"/>
          <w:szCs w:val="24"/>
          <w:color w:val="auto"/>
        </w:rPr>
      </w:pPr>
    </w:p>
    <w:p>
      <w:pPr>
        <w:jc w:val="center"/>
        <w:ind w:right="36"/>
        <w:spacing w:after="0"/>
        <w:rPr>
          <w:sz w:val="20"/>
          <w:szCs w:val="20"/>
          <w:color w:val="auto"/>
        </w:rPr>
      </w:pPr>
      <w:r>
        <w:rPr>
          <w:rFonts w:ascii="Arial" w:cs="Arial" w:eastAsia="Arial" w:hAnsi="Arial"/>
          <w:sz w:val="20"/>
          <w:szCs w:val="20"/>
          <w:color w:val="auto"/>
        </w:rPr>
        <w:t>(Exact name of registrant as specified in its charter)</w:t>
      </w:r>
    </w:p>
    <w:p>
      <w:pPr>
        <w:spacing w:after="0" w:line="243" w:lineRule="exact"/>
        <w:rPr>
          <w:sz w:val="24"/>
          <w:szCs w:val="24"/>
          <w:color w:val="auto"/>
        </w:rPr>
      </w:pPr>
    </w:p>
    <w:tbl>
      <w:tblPr>
        <w:tblLayout w:type="fixed"/>
        <w:tblInd w:w="364"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Pennsylvania</w:t>
            </w:r>
          </w:p>
        </w:tc>
        <w:tc>
          <w:tcPr>
            <w:tcW w:w="26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w w:val="88"/>
              </w:rPr>
              <w:t>23-1702594</w:t>
            </w:r>
          </w:p>
        </w:tc>
        <w:tc>
          <w:tcPr>
            <w:tcW w:w="2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(State or other jurisdiction of</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2"/>
              </w:rPr>
              <w:t>(I.R.S. Employer</w:t>
            </w:r>
          </w:p>
        </w:tc>
      </w:tr>
      <w:tr>
        <w:trPr>
          <w:trHeight w:val="250"/>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incorporation or organization)</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5"/>
              </w:rPr>
              <w:t>Identification No.)</w:t>
            </w:r>
          </w:p>
        </w:tc>
      </w:tr>
      <w:tr>
        <w:trPr>
          <w:trHeight w:val="415"/>
        </w:trPr>
        <w:tc>
          <w:tcPr>
            <w:tcW w:w="5320" w:type="dxa"/>
            <w:vAlign w:val="bottom"/>
            <w:gridSpan w:val="4"/>
          </w:tcPr>
          <w:p>
            <w:pPr>
              <w:jc w:val="center"/>
              <w:ind w:right="1120"/>
              <w:spacing w:after="0"/>
              <w:rPr>
                <w:sz w:val="20"/>
                <w:szCs w:val="20"/>
                <w:color w:val="auto"/>
              </w:rPr>
            </w:pPr>
            <w:r>
              <w:rPr>
                <w:rFonts w:ascii="Arial" w:cs="Arial" w:eastAsia="Arial" w:hAnsi="Arial"/>
                <w:sz w:val="20"/>
                <w:szCs w:val="20"/>
                <w:color w:val="auto"/>
                <w:w w:val="89"/>
              </w:rPr>
              <w:t>762 W. Lancaster Avenue, Bryn Mawr, Pennsylvania</w:t>
            </w:r>
          </w:p>
        </w:tc>
        <w:tc>
          <w:tcPr>
            <w:tcW w:w="2580" w:type="dxa"/>
            <w:vAlign w:val="bottom"/>
            <w:gridSpan w:val="5"/>
          </w:tcPr>
          <w:p>
            <w:pPr>
              <w:jc w:val="right"/>
              <w:ind w:right="240"/>
              <w:spacing w:after="0"/>
              <w:rPr>
                <w:sz w:val="20"/>
                <w:szCs w:val="20"/>
                <w:color w:val="auto"/>
              </w:rPr>
            </w:pPr>
            <w:r>
              <w:rPr>
                <w:rFonts w:ascii="Arial" w:cs="Arial" w:eastAsia="Arial" w:hAnsi="Arial"/>
                <w:sz w:val="20"/>
                <w:szCs w:val="20"/>
                <w:color w:val="auto"/>
              </w:rPr>
              <w:t>19010 -3489</w:t>
            </w:r>
          </w:p>
        </w:tc>
      </w:tr>
      <w:tr>
        <w:trPr>
          <w:trHeight w:val="254"/>
        </w:trPr>
        <w:tc>
          <w:tcPr>
            <w:tcW w:w="420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1"/>
              </w:rPr>
              <w:t>(Address of principal executive offices)</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3"/>
              </w:rPr>
              <w:t>(Zip Code)</w:t>
            </w:r>
          </w:p>
        </w:tc>
        <w:tc>
          <w:tcPr>
            <w:tcW w:w="240" w:type="dxa"/>
            <w:vAlign w:val="bottom"/>
          </w:tcPr>
          <w:p>
            <w:pPr>
              <w:spacing w:after="0"/>
              <w:rPr>
                <w:sz w:val="22"/>
                <w:szCs w:val="22"/>
                <w:color w:val="auto"/>
              </w:rPr>
            </w:pPr>
          </w:p>
        </w:tc>
      </w:tr>
    </w:tbl>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0"/>
          <w:szCs w:val="20"/>
          <w:u w:val="single" w:color="auto"/>
          <w:color w:val="auto"/>
        </w:rPr>
        <w:t>(610) 527-8000</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0"/>
          <w:szCs w:val="20"/>
          <w:color w:val="auto"/>
        </w:rPr>
        <w:t>(Registrant’s telephone number, including area code)</w:t>
      </w:r>
    </w:p>
    <w:p>
      <w:pPr>
        <w:spacing w:after="0" w:line="213" w:lineRule="exact"/>
        <w:rPr>
          <w:sz w:val="24"/>
          <w:szCs w:val="24"/>
          <w:color w:val="auto"/>
        </w:rPr>
      </w:pPr>
    </w:p>
    <w:p>
      <w:pPr>
        <w:jc w:val="center"/>
        <w:ind w:right="-123"/>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29" w:lineRule="exact"/>
        <w:rPr>
          <w:sz w:val="24"/>
          <w:szCs w:val="24"/>
          <w:color w:val="auto"/>
        </w:rPr>
      </w:pPr>
    </w:p>
    <w:p>
      <w:pPr>
        <w:ind w:left="4" w:right="100"/>
        <w:spacing w:after="0" w:line="248"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pacing w:after="0" w:line="189" w:lineRule="exact"/>
        <w:rPr>
          <w:sz w:val="24"/>
          <w:szCs w:val="24"/>
          <w:color w:val="auto"/>
        </w:rPr>
      </w:pPr>
    </w:p>
    <w:p>
      <w:pPr>
        <w:jc w:val="both"/>
        <w:ind w:left="4"/>
        <w:spacing w:after="0" w:line="244" w:lineRule="exact"/>
        <w:rPr>
          <w:sz w:val="20"/>
          <w:szCs w:val="20"/>
          <w:color w:val="auto"/>
        </w:rPr>
      </w:pPr>
      <w:r>
        <w:rPr>
          <w:rFonts w:ascii="Arial" w:cs="Arial" w:eastAsia="Arial" w:hAnsi="Arial"/>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No </w:t>
      </w:r>
      <w:r>
        <w:rPr>
          <w:rFonts w:ascii="MS PGothic" w:cs="MS PGothic" w:eastAsia="MS PGothic" w:hAnsi="MS PGothic"/>
          <w:sz w:val="20"/>
          <w:szCs w:val="20"/>
          <w:color w:val="auto"/>
          <w:highlight w:val="black"/>
        </w:rPr>
        <w:t>☐</w:t>
      </w:r>
    </w:p>
    <w:p>
      <w:pPr>
        <w:spacing w:after="0" w:line="188" w:lineRule="exact"/>
        <w:rPr>
          <w:sz w:val="24"/>
          <w:szCs w:val="24"/>
          <w:color w:val="auto"/>
        </w:rPr>
      </w:pPr>
    </w:p>
    <w:p>
      <w:pPr>
        <w:jc w:val="both"/>
        <w:ind w:left="4"/>
        <w:spacing w:after="0" w:line="25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(do not check if a smaller reporting company)</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highlight w:val="black"/>
        </w:rPr>
        <w:t>☐</w:t>
      </w:r>
    </w:p>
    <w:p>
      <w:pPr>
        <w:spacing w:after="0" w:line="13" w:lineRule="exact"/>
        <w:rPr>
          <w:sz w:val="24"/>
          <w:szCs w:val="24"/>
          <w:color w:val="auto"/>
        </w:rPr>
      </w:pPr>
    </w:p>
    <w:p>
      <w:pPr>
        <w:ind w:left="4"/>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13" w:lineRule="exact"/>
        <w:rPr>
          <w:sz w:val="24"/>
          <w:szCs w:val="24"/>
          <w:color w:val="auto"/>
        </w:rPr>
      </w:pPr>
    </w:p>
    <w:p>
      <w:pPr>
        <w:ind w:left="4" w:right="220"/>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ectPr>
          <w:pgSz w:w="11900" w:h="16838" w:orient="portrait"/>
          <w:cols w:equalWidth="0" w:num="1">
            <w:col w:w="10104"/>
          </w:cols>
          <w:pgMar w:left="896" w:top="226" w:right="899" w:bottom="1440" w:gutter="0" w:footer="0" w:header="0"/>
        </w:sectPr>
      </w:pPr>
    </w:p>
    <w:p>
      <w:pPr>
        <w:spacing w:after="0" w:line="187" w:lineRule="exact"/>
        <w:rPr>
          <w:sz w:val="24"/>
          <w:szCs w:val="24"/>
          <w:color w:val="auto"/>
        </w:rPr>
      </w:pPr>
    </w:p>
    <w:p>
      <w:pPr>
        <w:ind w:left="4"/>
        <w:spacing w:after="0"/>
        <w:rPr>
          <w:sz w:val="20"/>
          <w:szCs w:val="20"/>
          <w:color w:val="auto"/>
        </w:rPr>
      </w:pPr>
      <w:r>
        <w:rPr>
          <w:rFonts w:ascii="Arial" w:cs="Arial" w:eastAsia="Arial" w:hAnsi="Arial"/>
          <w:sz w:val="18"/>
          <w:szCs w:val="18"/>
          <w:color w:val="auto"/>
        </w:rPr>
        <w:t>Indicate  by  check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whether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shell</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defined</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Rule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12b-2</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of</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Exchange</w:t>
      </w:r>
    </w:p>
    <w:p>
      <w:pPr>
        <w:spacing w:after="0" w:line="65" w:lineRule="exact"/>
        <w:rPr>
          <w:sz w:val="24"/>
          <w:szCs w:val="24"/>
          <w:color w:val="auto"/>
        </w:rPr>
      </w:pPr>
    </w:p>
    <w:p>
      <w:pPr>
        <w:sectPr>
          <w:pgSz w:w="11900" w:h="16838" w:orient="portrait"/>
          <w:cols w:equalWidth="0" w:num="16">
            <w:col w:w="1564" w:space="140"/>
            <w:col w:w="400" w:space="140"/>
            <w:col w:w="640" w:space="140"/>
            <w:col w:w="240" w:space="140"/>
            <w:col w:w="740" w:space="140"/>
            <w:col w:w="140" w:space="140"/>
            <w:col w:w="580" w:space="140"/>
            <w:col w:w="740" w:space="120"/>
            <w:col w:w="240" w:space="140"/>
            <w:col w:w="580" w:space="140"/>
            <w:col w:w="160" w:space="140"/>
            <w:col w:w="360" w:space="140"/>
            <w:col w:w="460" w:space="140"/>
            <w:col w:w="160" w:space="140"/>
            <w:col w:w="240" w:space="140"/>
            <w:col w:w="780"/>
          </w:cols>
          <w:pgMar w:left="896" w:top="226" w:right="899" w:bottom="1440" w:gutter="0" w:footer="0" w:header="0"/>
          <w:type w:val="continuous"/>
        </w:sectPr>
      </w:pPr>
    </w:p>
    <w:p>
      <w:pPr>
        <w:ind w:left="4"/>
        <w:spacing w:after="0" w:line="219" w:lineRule="exact"/>
        <w:rPr>
          <w:sz w:val="20"/>
          <w:szCs w:val="20"/>
          <w:color w:val="auto"/>
        </w:rPr>
      </w:pPr>
      <w:r>
        <w:rPr>
          <w:rFonts w:ascii="Arial" w:cs="Arial" w:eastAsia="Arial" w:hAnsi="Arial"/>
          <w:sz w:val="19"/>
          <w:szCs w:val="19"/>
          <w:color w:val="auto"/>
        </w:rPr>
        <w:t xml:space="preserve">Act).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ectPr>
          <w:pgSz w:w="11900" w:h="16838" w:orient="portrait"/>
          <w:cols w:equalWidth="0" w:num="1">
            <w:col w:w="10104"/>
          </w:cols>
          <w:pgMar w:left="896" w:top="226" w:right="899" w:bottom="1440" w:gutter="0" w:footer="0" w:header="0"/>
          <w:type w:val="continuous"/>
        </w:sectPr>
      </w:pPr>
    </w:p>
    <w:p>
      <w:pPr>
        <w:spacing w:after="0" w:line="233" w:lineRule="exact"/>
        <w:rPr>
          <w:sz w:val="24"/>
          <w:szCs w:val="24"/>
          <w:color w:val="auto"/>
        </w:rPr>
      </w:pPr>
    </w:p>
    <w:p>
      <w:pPr>
        <w:ind w:left="4" w:right="254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October 20, 2017: 177,690,598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487680</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04"/>
          </w:cols>
          <w:pgMar w:left="896" w:top="226" w:right="89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AQUA AMERICA, INC. AND SUBSIDIARIES</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TABLE OF CONTENTS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color w:val="auto"/>
                <w:w w:val="76"/>
              </w:rPr>
              <w:t>Page</w:t>
            </w:r>
          </w:p>
        </w:tc>
      </w:tr>
      <w:tr>
        <w:trPr>
          <w:trHeight w:val="21"/>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40" w:type="dxa"/>
            <w:vAlign w:val="bottom"/>
            <w:gridSpan w:val="19"/>
            <w:shd w:val="clear" w:color="auto" w:fill="CCEEFF"/>
          </w:tcPr>
          <w:p>
            <w:pPr>
              <w:jc w:val="center"/>
              <w:ind w:right="3160"/>
              <w:spacing w:after="0" w:line="189" w:lineRule="exact"/>
              <w:rPr>
                <w:rFonts w:ascii="Arial" w:cs="Arial" w:eastAsia="Arial" w:hAnsi="Arial"/>
                <w:sz w:val="20"/>
                <w:szCs w:val="20"/>
                <w:color w:val="0000EE"/>
                <w:w w:val="92"/>
              </w:rPr>
            </w:pPr>
            <w:hyperlink w:anchor="page3">
              <w:r>
                <w:rPr>
                  <w:rFonts w:ascii="Arial" w:cs="Arial" w:eastAsia="Arial" w:hAnsi="Arial"/>
                  <w:sz w:val="20"/>
                  <w:szCs w:val="20"/>
                  <w:color w:val="0000EE"/>
                  <w:w w:val="92"/>
                </w:rPr>
                <w:t>Part I – Financial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23"/>
        </w:trPr>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Item 1.</w:t>
              </w:r>
            </w:hyperlink>
          </w:p>
        </w:tc>
        <w:tc>
          <w:tcPr>
            <w:tcW w:w="8720" w:type="dxa"/>
            <w:vAlign w:val="bottom"/>
            <w:gridSpan w:val="28"/>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w:t>
              </w:r>
            </w:hyperlink>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
              <w:r>
                <w:rPr>
                  <w:rFonts w:ascii="Arial" w:cs="Arial" w:eastAsia="Arial" w:hAnsi="Arial"/>
                  <w:sz w:val="20"/>
                  <w:szCs w:val="20"/>
                  <w:color w:val="0000EE"/>
                </w:rPr>
                <w:t>Consolidated Balance Sheets (unaudited) – September 30, 2017 and December 31, 2016</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4">
              <w:r>
                <w:rPr>
                  <w:rFonts w:ascii="Arial" w:cs="Arial" w:eastAsia="Arial" w:hAnsi="Arial"/>
                  <w:sz w:val="20"/>
                  <w:szCs w:val="20"/>
                  <w:color w:val="0000EE"/>
                </w:rPr>
                <w:t>Consolidated Statements of Net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0" w:type="dxa"/>
            <w:vAlign w:val="bottom"/>
            <w:gridSpan w:val="26"/>
            <w:shd w:val="clear" w:color="auto" w:fill="CCEEFF"/>
          </w:tcPr>
          <w:p>
            <w:pPr>
              <w:spacing w:after="0" w:line="209" w:lineRule="exact"/>
              <w:rPr>
                <w:rFonts w:ascii="Arial" w:cs="Arial" w:eastAsia="Arial" w:hAnsi="Arial"/>
                <w:sz w:val="20"/>
                <w:szCs w:val="20"/>
                <w:color w:val="0000EE"/>
              </w:rPr>
            </w:pPr>
            <w:hyperlink w:anchor="page4">
              <w:r>
                <w:rPr>
                  <w:rFonts w:ascii="Arial" w:cs="Arial" w:eastAsia="Arial" w:hAnsi="Arial"/>
                  <w:sz w:val="20"/>
                  <w:szCs w:val="20"/>
                  <w:color w:val="0000EE"/>
                </w:rPr>
                <w:t>Three Months Ended September 30, 2017 and 2016</w:t>
              </w:r>
            </w:hyperlink>
          </w:p>
        </w:tc>
        <w:tc>
          <w:tcPr>
            <w:tcW w:w="50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3</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5">
              <w:r>
                <w:rPr>
                  <w:rFonts w:ascii="Arial" w:cs="Arial" w:eastAsia="Arial" w:hAnsi="Arial"/>
                  <w:sz w:val="20"/>
                  <w:szCs w:val="20"/>
                  <w:color w:val="0000EE"/>
                </w:rPr>
                <w:t>Consolidated Statements of Net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0" w:type="dxa"/>
            <w:vAlign w:val="bottom"/>
            <w:gridSpan w:val="26"/>
            <w:shd w:val="clear" w:color="auto" w:fill="CCEEFF"/>
          </w:tcPr>
          <w:p>
            <w:pPr>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Nine Months Ended September 30, 2017 and 2016</w:t>
              </w:r>
            </w:hyperlink>
          </w:p>
        </w:tc>
        <w:tc>
          <w:tcPr>
            <w:tcW w:w="50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4</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6">
              <w:r>
                <w:rPr>
                  <w:rFonts w:ascii="Arial" w:cs="Arial" w:eastAsia="Arial" w:hAnsi="Arial"/>
                  <w:sz w:val="20"/>
                  <w:szCs w:val="20"/>
                  <w:color w:val="0000EE"/>
                </w:rPr>
                <w:t>Consolidated Statements of Comprehensive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900" w:type="dxa"/>
            <w:vAlign w:val="bottom"/>
            <w:tcBorders>
              <w:top w:val="single" w:sz="8" w:color="0000EE"/>
            </w:tcBorders>
            <w:gridSpan w:val="22"/>
            <w:shd w:val="clear" w:color="auto" w:fill="CCEEFF"/>
          </w:tcPr>
          <w:p>
            <w:pPr>
              <w:spacing w:after="0" w:line="209" w:lineRule="exact"/>
              <w:rPr>
                <w:rFonts w:ascii="Arial" w:cs="Arial" w:eastAsia="Arial" w:hAnsi="Arial"/>
                <w:sz w:val="20"/>
                <w:szCs w:val="20"/>
                <w:color w:val="0000EE"/>
                <w:w w:val="89"/>
              </w:rPr>
            </w:pPr>
            <w:hyperlink w:anchor="page6">
              <w:r>
                <w:rPr>
                  <w:rFonts w:ascii="Arial" w:cs="Arial" w:eastAsia="Arial" w:hAnsi="Arial"/>
                  <w:sz w:val="20"/>
                  <w:szCs w:val="20"/>
                  <w:color w:val="0000EE"/>
                  <w:w w:val="89"/>
                </w:rPr>
                <w:t>Three and Nine Months Ended September 30, 2017 and 2016</w:t>
              </w:r>
            </w:hyperlink>
          </w:p>
        </w:tc>
        <w:tc>
          <w:tcPr>
            <w:tcW w:w="3500" w:type="dxa"/>
            <w:vAlign w:val="bottom"/>
            <w:tcBorders>
              <w:top w:val="single" w:sz="8" w:color="CCEEFF"/>
            </w:tcBorders>
            <w:gridSpan w:val="4"/>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7">
              <w:r>
                <w:rPr>
                  <w:rFonts w:ascii="Arial" w:cs="Arial" w:eastAsia="Arial" w:hAnsi="Arial"/>
                  <w:sz w:val="20"/>
                  <w:szCs w:val="20"/>
                  <w:color w:val="0000EE"/>
                </w:rPr>
                <w:t>Consolidated Statements of Capitalization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120" w:type="dxa"/>
            <w:vAlign w:val="bottom"/>
            <w:tcBorders>
              <w:top w:val="single" w:sz="8" w:color="0000EE"/>
            </w:tcBorders>
            <w:gridSpan w:val="18"/>
            <w:shd w:val="clear" w:color="auto" w:fill="CCEEFF"/>
          </w:tcPr>
          <w:p>
            <w:pPr>
              <w:spacing w:after="0" w:line="209" w:lineRule="exact"/>
              <w:rPr>
                <w:rFonts w:ascii="Arial" w:cs="Arial" w:eastAsia="Arial" w:hAnsi="Arial"/>
                <w:sz w:val="20"/>
                <w:szCs w:val="20"/>
                <w:color w:val="0000EE"/>
              </w:rPr>
            </w:pPr>
            <w:hyperlink w:anchor="page7">
              <w:r>
                <w:rPr>
                  <w:rFonts w:ascii="Arial" w:cs="Arial" w:eastAsia="Arial" w:hAnsi="Arial"/>
                  <w:sz w:val="20"/>
                  <w:szCs w:val="20"/>
                  <w:color w:val="0000EE"/>
                </w:rPr>
                <w:t>September 30, 2017 and December 31, 2016</w:t>
              </w:r>
            </w:hyperlink>
          </w:p>
        </w:tc>
        <w:tc>
          <w:tcPr>
            <w:tcW w:w="4280" w:type="dxa"/>
            <w:vAlign w:val="bottom"/>
            <w:tcBorders>
              <w:top w:val="single" w:sz="8" w:color="CCEEFF"/>
            </w:tcBorders>
            <w:gridSpan w:val="8"/>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6</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8">
              <w:r>
                <w:rPr>
                  <w:rFonts w:ascii="Arial" w:cs="Arial" w:eastAsia="Arial" w:hAnsi="Arial"/>
                  <w:sz w:val="20"/>
                  <w:szCs w:val="20"/>
                  <w:color w:val="0000EE"/>
                </w:rPr>
                <w:t>Consolidated Statement of Equity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460" w:type="dxa"/>
            <w:vAlign w:val="bottom"/>
            <w:tcBorders>
              <w:top w:val="single" w:sz="8" w:color="0000EE"/>
            </w:tcBorders>
            <w:gridSpan w:val="11"/>
            <w:shd w:val="clear" w:color="auto" w:fill="CCEEFF"/>
          </w:tcPr>
          <w:p>
            <w:pPr>
              <w:spacing w:after="0" w:line="209" w:lineRule="exact"/>
              <w:rPr>
                <w:rFonts w:ascii="Arial" w:cs="Arial" w:eastAsia="Arial" w:hAnsi="Arial"/>
                <w:sz w:val="20"/>
                <w:szCs w:val="20"/>
                <w:color w:val="0000EE"/>
                <w:w w:val="94"/>
              </w:rPr>
            </w:pPr>
            <w:hyperlink w:anchor="page8">
              <w:r>
                <w:rPr>
                  <w:rFonts w:ascii="Arial" w:cs="Arial" w:eastAsia="Arial" w:hAnsi="Arial"/>
                  <w:sz w:val="20"/>
                  <w:szCs w:val="20"/>
                  <w:color w:val="0000EE"/>
                  <w:w w:val="94"/>
                </w:rPr>
                <w:t>Nine Months Ended September 30, 2017</w:t>
              </w:r>
            </w:hyperlink>
          </w:p>
        </w:tc>
        <w:tc>
          <w:tcPr>
            <w:tcW w:w="4940" w:type="dxa"/>
            <w:vAlign w:val="bottom"/>
            <w:tcBorders>
              <w:top w:val="single" w:sz="8" w:color="CCEEFF"/>
            </w:tcBorders>
            <w:gridSpan w:val="15"/>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7</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9">
              <w:r>
                <w:rPr>
                  <w:rFonts w:ascii="Arial" w:cs="Arial" w:eastAsia="Arial" w:hAnsi="Arial"/>
                  <w:sz w:val="20"/>
                  <w:szCs w:val="20"/>
                  <w:color w:val="0000EE"/>
                </w:rPr>
                <w:t>Consolidated Statements of Cash Flow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3420" w:type="dxa"/>
            <w:vAlign w:val="bottom"/>
            <w:gridSpan w:val="3"/>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0" w:type="dxa"/>
            <w:vAlign w:val="bottom"/>
            <w:gridSpan w:val="26"/>
            <w:shd w:val="clear" w:color="auto" w:fill="CCEEFF"/>
          </w:tcPr>
          <w:p>
            <w:pPr>
              <w:spacing w:after="0" w:line="209" w:lineRule="exact"/>
              <w:rPr>
                <w:rFonts w:ascii="Arial" w:cs="Arial" w:eastAsia="Arial" w:hAnsi="Arial"/>
                <w:sz w:val="20"/>
                <w:szCs w:val="20"/>
                <w:color w:val="0000EE"/>
              </w:rPr>
            </w:pPr>
            <w:hyperlink w:anchor="page9">
              <w:r>
                <w:rPr>
                  <w:rFonts w:ascii="Arial" w:cs="Arial" w:eastAsia="Arial" w:hAnsi="Arial"/>
                  <w:sz w:val="20"/>
                  <w:szCs w:val="20"/>
                  <w:color w:val="0000EE"/>
                </w:rPr>
                <w:t>Nine Months Ended September 30, 2017 and 2016</w:t>
              </w:r>
            </w:hyperlink>
          </w:p>
        </w:tc>
        <w:tc>
          <w:tcPr>
            <w:tcW w:w="50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8</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9">
              <w:r>
                <w:rPr>
                  <w:rFonts w:ascii="Arial" w:cs="Arial" w:eastAsia="Arial" w:hAnsi="Arial"/>
                  <w:sz w:val="20"/>
                  <w:szCs w:val="20"/>
                  <w:color w:val="0000EE"/>
                </w:rPr>
                <w:t>Notes to Consolidated Financial Statements (unaudited)</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9</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26">
              <w:r>
                <w:rPr>
                  <w:rFonts w:ascii="Arial" w:cs="Arial" w:eastAsia="Arial" w:hAnsi="Arial"/>
                  <w:sz w:val="20"/>
                  <w:szCs w:val="20"/>
                  <w:color w:val="0000EE"/>
                </w:rPr>
                <w:t>Item 2. Management’s Discussion and Analysis of Financial</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0000EE"/>
              <w:right w:val="single" w:sz="8" w:color="CCEEFF"/>
            </w:tcBorders>
            <w:shd w:val="clear" w:color="auto" w:fill="CCEEFF"/>
          </w:tcPr>
          <w:p>
            <w:pPr>
              <w:spacing w:after="0"/>
              <w:rPr>
                <w:sz w:val="20"/>
                <w:szCs w:val="20"/>
                <w:color w:val="auto"/>
              </w:rPr>
            </w:pPr>
          </w:p>
        </w:tc>
        <w:tc>
          <w:tcPr>
            <w:tcW w:w="4180" w:type="dxa"/>
            <w:vAlign w:val="bottom"/>
            <w:tcBorders>
              <w:top w:val="single" w:sz="8" w:color="0000EE"/>
              <w:right w:val="single" w:sz="8" w:color="CCEEFF"/>
            </w:tcBorders>
            <w:gridSpan w:val="15"/>
            <w:shd w:val="clear" w:color="auto" w:fill="CCEEFF"/>
          </w:tcPr>
          <w:p>
            <w:pPr>
              <w:spacing w:after="0" w:line="209" w:lineRule="exact"/>
              <w:rPr>
                <w:rFonts w:ascii="Arial" w:cs="Arial" w:eastAsia="Arial" w:hAnsi="Arial"/>
                <w:sz w:val="20"/>
                <w:szCs w:val="20"/>
                <w:color w:val="0000EE"/>
              </w:rPr>
            </w:pPr>
            <w:hyperlink w:anchor="page26">
              <w:r>
                <w:rPr>
                  <w:rFonts w:ascii="Arial" w:cs="Arial" w:eastAsia="Arial" w:hAnsi="Arial"/>
                  <w:sz w:val="20"/>
                  <w:szCs w:val="20"/>
                  <w:color w:val="0000EE"/>
                </w:rPr>
                <w:t>Condition and Results of Operations</w:t>
              </w:r>
            </w:hyperlink>
          </w:p>
        </w:tc>
        <w:tc>
          <w:tcPr>
            <w:tcW w:w="4540" w:type="dxa"/>
            <w:vAlign w:val="bottom"/>
            <w:tcBorders>
              <w:top w:val="single" w:sz="8" w:color="CCEEFF"/>
            </w:tcBorders>
            <w:gridSpan w:val="13"/>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26</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Item 3.</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Quantitative and Qualitative Disclosures About Market Risk</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31</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Item 4.</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Controls and Procedures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31</w:t>
            </w:r>
          </w:p>
        </w:tc>
      </w:tr>
      <w:tr>
        <w:trPr>
          <w:trHeight w:val="230"/>
        </w:trPr>
        <w:tc>
          <w:tcPr>
            <w:tcW w:w="100" w:type="dxa"/>
            <w:vAlign w:val="bottom"/>
            <w:tcBorders>
              <w:top w:val="single" w:sz="8" w:color="CCEEFF"/>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80" w:type="dxa"/>
            <w:vAlign w:val="bottom"/>
            <w:gridSpan w:val="18"/>
            <w:shd w:val="clear" w:color="auto" w:fill="CCEEFF"/>
          </w:tcPr>
          <w:p>
            <w:pPr>
              <w:jc w:val="center"/>
              <w:ind w:right="3300"/>
              <w:spacing w:after="0" w:line="189" w:lineRule="exact"/>
              <w:rPr>
                <w:rFonts w:ascii="Arial" w:cs="Arial" w:eastAsia="Arial" w:hAnsi="Arial"/>
                <w:sz w:val="20"/>
                <w:szCs w:val="20"/>
                <w:color w:val="0000EE"/>
                <w:w w:val="92"/>
              </w:rPr>
            </w:pPr>
            <w:hyperlink w:anchor="page32">
              <w:r>
                <w:rPr>
                  <w:rFonts w:ascii="Arial" w:cs="Arial" w:eastAsia="Arial" w:hAnsi="Arial"/>
                  <w:sz w:val="20"/>
                  <w:szCs w:val="20"/>
                  <w:color w:val="0000EE"/>
                  <w:w w:val="92"/>
                </w:rPr>
                <w:t>Part II – Other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Item 1.</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Legal Proceedings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31</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Item 1A. Risk Factors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31</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3">
              <w:r>
                <w:rPr>
                  <w:rFonts w:ascii="Arial" w:cs="Arial" w:eastAsia="Arial" w:hAnsi="Arial"/>
                  <w:sz w:val="20"/>
                  <w:szCs w:val="20"/>
                  <w:color w:val="0000EE"/>
                </w:rPr>
                <w:t>Item 2.</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3">
              <w:r>
                <w:rPr>
                  <w:rFonts w:ascii="Arial" w:cs="Arial" w:eastAsia="Arial" w:hAnsi="Arial"/>
                  <w:sz w:val="20"/>
                  <w:szCs w:val="20"/>
                  <w:color w:val="0000EE"/>
                </w:rPr>
                <w:t>Unregistered Sales of Equity Securities and Use of Proceeds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32</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line="189" w:lineRule="exact"/>
              <w:rPr>
                <w:rFonts w:ascii="Arial" w:cs="Arial" w:eastAsia="Arial" w:hAnsi="Arial"/>
                <w:sz w:val="20"/>
                <w:szCs w:val="20"/>
                <w:color w:val="0000EE"/>
              </w:rPr>
            </w:pPr>
            <w:hyperlink w:anchor="page33">
              <w:r>
                <w:rPr>
                  <w:rFonts w:ascii="Arial" w:cs="Arial" w:eastAsia="Arial" w:hAnsi="Arial"/>
                  <w:sz w:val="20"/>
                  <w:szCs w:val="20"/>
                  <w:color w:val="0000EE"/>
                </w:rPr>
                <w:t>Item 6.</w:t>
              </w:r>
            </w:hyperlink>
          </w:p>
        </w:tc>
        <w:tc>
          <w:tcPr>
            <w:tcW w:w="8720" w:type="dxa"/>
            <w:vAlign w:val="bottom"/>
            <w:gridSpan w:val="28"/>
            <w:shd w:val="clear" w:color="auto" w:fill="CCEEFF"/>
          </w:tcPr>
          <w:p>
            <w:pPr>
              <w:spacing w:after="0" w:line="189" w:lineRule="exact"/>
              <w:rPr>
                <w:rFonts w:ascii="Arial" w:cs="Arial" w:eastAsia="Arial" w:hAnsi="Arial"/>
                <w:sz w:val="20"/>
                <w:szCs w:val="20"/>
                <w:color w:val="0000EE"/>
              </w:rPr>
            </w:pPr>
            <w:hyperlink w:anchor="page33">
              <w:r>
                <w:rPr>
                  <w:rFonts w:ascii="Arial" w:cs="Arial" w:eastAsia="Arial" w:hAnsi="Arial"/>
                  <w:sz w:val="20"/>
                  <w:szCs w:val="20"/>
                  <w:color w:val="0000EE"/>
                </w:rPr>
                <w:t>Exhibits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32</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4">
              <w:r>
                <w:rPr>
                  <w:rFonts w:ascii="Arial" w:cs="Arial" w:eastAsia="Arial" w:hAnsi="Arial"/>
                  <w:sz w:val="20"/>
                  <w:szCs w:val="20"/>
                  <w:color w:val="0000EE"/>
                </w:rPr>
                <w:t>Exhibit Index</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33</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5">
              <w:r>
                <w:rPr>
                  <w:rFonts w:ascii="Arial" w:cs="Arial" w:eastAsia="Arial" w:hAnsi="Arial"/>
                  <w:sz w:val="20"/>
                  <w:szCs w:val="20"/>
                  <w:color w:val="0000EE"/>
                </w:rPr>
                <w:t>Signatures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34</w:t>
            </w:r>
          </w:p>
        </w:tc>
      </w:tr>
      <w:tr>
        <w:trPr>
          <w:trHeight w:val="21"/>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000"/>
          </w:cols>
          <w:pgMar w:left="1140" w:top="118" w:right="7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w w:val="95"/>
              </w:rPr>
              <w:t>December 31,</w:t>
            </w:r>
          </w:p>
        </w:tc>
      </w:tr>
      <w:tr>
        <w:trPr>
          <w:trHeight w:val="188"/>
        </w:trPr>
        <w:tc>
          <w:tcPr>
            <w:tcW w:w="20" w:type="dxa"/>
            <w:vAlign w:val="bottom"/>
          </w:tcPr>
          <w:p>
            <w:pPr>
              <w:spacing w:after="0"/>
              <w:rPr>
                <w:sz w:val="16"/>
                <w:szCs w:val="16"/>
                <w:color w:val="auto"/>
              </w:rPr>
            </w:pPr>
          </w:p>
        </w:tc>
        <w:tc>
          <w:tcPr>
            <w:tcW w:w="7120" w:type="dxa"/>
            <w:vAlign w:val="bottom"/>
            <w:tcBorders>
              <w:bottom w:val="single" w:sz="8" w:color="CCEEFF"/>
            </w:tcBorders>
          </w:tcPr>
          <w:p>
            <w:pPr>
              <w:ind w:left="3240"/>
              <w:spacing w:after="0"/>
              <w:rPr>
                <w:sz w:val="20"/>
                <w:szCs w:val="20"/>
                <w:color w:val="auto"/>
              </w:rPr>
            </w:pPr>
            <w:r>
              <w:rPr>
                <w:rFonts w:ascii="Arial" w:cs="Arial" w:eastAsia="Arial" w:hAnsi="Arial"/>
                <w:sz w:val="14"/>
                <w:szCs w:val="14"/>
                <w:color w:val="auto"/>
              </w:rPr>
              <w:t>Assets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2016</w:t>
            </w: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6,857,093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6,509,117</w:t>
            </w:r>
          </w:p>
        </w:tc>
      </w:tr>
      <w:tr>
        <w:trPr>
          <w:trHeight w:val="203"/>
        </w:trPr>
        <w:tc>
          <w:tcPr>
            <w:tcW w:w="7140" w:type="dxa"/>
            <w:vAlign w:val="bottom"/>
            <w:gridSpan w:val="2"/>
          </w:tcPr>
          <w:p>
            <w:pPr>
              <w:spacing w:after="0"/>
              <w:rPr>
                <w:sz w:val="20"/>
                <w:szCs w:val="20"/>
                <w:color w:val="auto"/>
              </w:rPr>
            </w:pPr>
            <w:r>
              <w:rPr>
                <w:rFonts w:ascii="Arial" w:cs="Arial" w:eastAsia="Arial" w:hAnsi="Arial"/>
                <w:sz w:val="14"/>
                <w:szCs w:val="14"/>
                <w:color w:val="auto"/>
              </w:rPr>
              <w:t>Less: accumulated depreciation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1,580,619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1,507,502</w:t>
            </w:r>
          </w:p>
        </w:tc>
      </w:tr>
      <w:tr>
        <w:trPr>
          <w:trHeight w:val="183"/>
        </w:trPr>
        <w:tc>
          <w:tcPr>
            <w:tcW w:w="20" w:type="dxa"/>
            <w:vAlign w:val="bottom"/>
          </w:tcPr>
          <w:p>
            <w:pPr>
              <w:spacing w:after="0"/>
              <w:rPr>
                <w:sz w:val="15"/>
                <w:szCs w:val="15"/>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property, plant and equipment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5,276,474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5,001,615</w:t>
            </w:r>
          </w:p>
        </w:tc>
      </w:tr>
      <w:tr>
        <w:trPr>
          <w:trHeight w:val="183"/>
        </w:trPr>
        <w:tc>
          <w:tcPr>
            <w:tcW w:w="71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Accounts receivable and unbilled revenues, net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104,894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97,394</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 materials and supplies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12,961</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Prepayments and other current 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12,804</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w:t>
            </w:r>
          </w:p>
        </w:tc>
      </w:tr>
      <w:tr>
        <w:trPr>
          <w:trHeight w:val="183"/>
        </w:trPr>
        <w:tc>
          <w:tcPr>
            <w:tcW w:w="714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138,342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128,650</w:t>
            </w:r>
          </w:p>
        </w:tc>
      </w:tr>
      <w:tr>
        <w:trPr>
          <w:trHeight w:val="183"/>
        </w:trPr>
        <w:tc>
          <w:tcPr>
            <w:tcW w:w="20" w:type="dxa"/>
            <w:vAlign w:val="bottom"/>
          </w:tcPr>
          <w:p>
            <w:pPr>
              <w:spacing w:after="0"/>
              <w:rPr>
                <w:sz w:val="15"/>
                <w:szCs w:val="15"/>
                <w:color w:val="auto"/>
              </w:rPr>
            </w:pPr>
          </w:p>
        </w:tc>
        <w:tc>
          <w:tcPr>
            <w:tcW w:w="7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bl>
    <w:p>
      <w:pPr>
        <w:spacing w:after="0" w:line="76" w:lineRule="exact"/>
        <w:rPr>
          <w:sz w:val="20"/>
          <w:szCs w:val="20"/>
          <w:color w:val="auto"/>
        </w:rPr>
      </w:pPr>
    </w:p>
    <w:p>
      <w:pPr>
        <w:sectPr>
          <w:pgSz w:w="11900" w:h="16838" w:orient="portrait"/>
          <w:cols w:equalWidth="0" w:num="1">
            <w:col w:w="9640"/>
          </w:cols>
          <w:pgMar w:left="1140" w:top="118" w:right="1119" w:bottom="1440" w:gutter="0" w:footer="0" w:header="0"/>
        </w:sectPr>
      </w:pPr>
    </w:p>
    <w:p>
      <w:pPr>
        <w:spacing w:after="0"/>
        <w:rPr>
          <w:sz w:val="20"/>
          <w:szCs w:val="20"/>
          <w:color w:val="auto"/>
        </w:rPr>
      </w:pPr>
      <w:r>
        <w:rPr>
          <w:rFonts w:ascii="Arial" w:cs="Arial" w:eastAsia="Arial" w:hAnsi="Arial"/>
          <w:sz w:val="14"/>
          <w:szCs w:val="14"/>
          <w:color w:val="auto"/>
        </w:rPr>
        <w:t>Regulatory assets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Deferred charges and other assets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Investment in joint venture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Goodwill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32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1,044,787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948,647</w:t>
            </w:r>
          </w:p>
        </w:tc>
      </w:tr>
      <w:tr>
        <w:trPr>
          <w:trHeight w:val="203"/>
        </w:trPr>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36,169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30,845</w:t>
            </w:r>
          </w:p>
        </w:tc>
      </w:tr>
      <w:tr>
        <w:trPr>
          <w:trHeight w:val="203"/>
        </w:trPr>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7,379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7,026</w:t>
            </w:r>
          </w:p>
        </w:tc>
      </w:tr>
      <w:tr>
        <w:trPr>
          <w:trHeight w:val="188"/>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42,230</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42,208</w:t>
            </w:r>
          </w:p>
        </w:tc>
      </w:tr>
      <w:tr>
        <w:trPr>
          <w:trHeight w:val="176"/>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6,545,381</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-522605</wp:posOffset>
            </wp:positionV>
            <wp:extent cx="611441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44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-265430</wp:posOffset>
            </wp:positionV>
            <wp:extent cx="611441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1289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Equity</w:t>
      </w:r>
    </w:p>
    <w:p>
      <w:pPr>
        <w:spacing w:after="0" w:line="41" w:lineRule="exact"/>
        <w:rPr>
          <w:sz w:val="20"/>
          <w:szCs w:val="20"/>
          <w:color w:val="auto"/>
        </w:rPr>
      </w:pPr>
    </w:p>
    <w:p>
      <w:pPr>
        <w:sectPr>
          <w:pgSz w:w="11900" w:h="16838" w:orient="portrait"/>
          <w:cols w:equalWidth="0" w:num="2">
            <w:col w:w="2100" w:space="720"/>
            <w:col w:w="6820"/>
          </w:cols>
          <w:pgMar w:left="1140" w:top="118" w:right="1119" w:bottom="1440" w:gutter="0" w:footer="0" w:header="0"/>
          <w:type w:val="continuous"/>
        </w:sectPr>
      </w:pPr>
    </w:p>
    <w:p>
      <w:pPr>
        <w:spacing w:after="0"/>
        <w:rPr>
          <w:sz w:val="20"/>
          <w:szCs w:val="20"/>
          <w:color w:val="auto"/>
        </w:rPr>
      </w:pPr>
      <w:r>
        <w:rPr>
          <w:rFonts w:ascii="Arial" w:cs="Arial" w:eastAsia="Arial" w:hAnsi="Arial"/>
          <w:sz w:val="14"/>
          <w:szCs w:val="14"/>
          <w:color w:val="auto"/>
        </w:rPr>
        <w:t>Stockholders' equity:</w:t>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120" w:type="dxa"/>
            <w:vAlign w:val="bottom"/>
            <w:shd w:val="clear" w:color="auto" w:fill="CCEEFF"/>
          </w:tcPr>
          <w:p>
            <w:pPr>
              <w:ind w:left="100"/>
              <w:spacing w:after="0" w:line="137" w:lineRule="exact"/>
              <w:rPr>
                <w:sz w:val="20"/>
                <w:szCs w:val="20"/>
                <w:color w:val="auto"/>
              </w:rPr>
            </w:pPr>
            <w:r>
              <w:rPr>
                <w:rFonts w:ascii="Arial" w:cs="Arial" w:eastAsia="Arial" w:hAnsi="Arial"/>
                <w:sz w:val="14"/>
                <w:szCs w:val="14"/>
                <w:color w:val="auto"/>
              </w:rPr>
              <w:t>Common stock at $.50 par value, authorized 300,000,000 shares, issued 180,669,222 and 180,311,345 as of</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September 30, 2017 and December 31, 2016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90,334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90,155</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Capital in excess of par value</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804,753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797,513</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1,115,601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1,032,844</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Treasury stock, at cost, 2,984,973 and 2,916,969 shares as of September 30, 2017 and December 31, 2016</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(73,229)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(71,113)</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r>
      <w:tr>
        <w:trPr>
          <w:trHeight w:val="183"/>
        </w:trPr>
        <w:tc>
          <w:tcPr>
            <w:tcW w:w="714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1,938,265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1,850,068</w:t>
            </w:r>
          </w:p>
        </w:tc>
      </w:tr>
      <w:tr>
        <w:trPr>
          <w:trHeight w:val="183"/>
        </w:trPr>
        <w:tc>
          <w:tcPr>
            <w:tcW w:w="20" w:type="dxa"/>
            <w:vAlign w:val="bottom"/>
          </w:tcPr>
          <w:p>
            <w:pPr>
              <w:spacing w:after="0"/>
              <w:rPr>
                <w:sz w:val="15"/>
                <w:szCs w:val="15"/>
                <w:color w:val="auto"/>
              </w:rPr>
            </w:pPr>
          </w:p>
        </w:tc>
        <w:tc>
          <w:tcPr>
            <w:tcW w:w="7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03"/>
        </w:trPr>
        <w:tc>
          <w:tcPr>
            <w:tcW w:w="7140" w:type="dxa"/>
            <w:vAlign w:val="bottom"/>
            <w:gridSpan w:val="2"/>
          </w:tcPr>
          <w:p>
            <w:pPr>
              <w:spacing w:after="0"/>
              <w:rPr>
                <w:sz w:val="20"/>
                <w:szCs w:val="20"/>
                <w:color w:val="auto"/>
              </w:rPr>
            </w:pPr>
            <w:r>
              <w:rPr>
                <w:rFonts w:ascii="Arial" w:cs="Arial" w:eastAsia="Arial" w:hAnsi="Arial"/>
                <w:sz w:val="14"/>
                <w:szCs w:val="14"/>
                <w:color w:val="auto"/>
              </w:rPr>
              <w:t>Long-term debt, excluding current portion</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1,974,327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1,759,962</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Less: debt issuance costs</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21,854</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22,357</w:t>
            </w:r>
          </w:p>
        </w:tc>
      </w:tr>
      <w:tr>
        <w:trPr>
          <w:trHeight w:val="183"/>
        </w:trPr>
        <w:tc>
          <w:tcPr>
            <w:tcW w:w="7140" w:type="dxa"/>
            <w:vAlign w:val="bottom"/>
            <w:gridSpan w:val="2"/>
          </w:tcPr>
          <w:p>
            <w:pPr>
              <w:spacing w:after="0"/>
              <w:rPr>
                <w:sz w:val="20"/>
                <w:szCs w:val="20"/>
                <w:color w:val="auto"/>
              </w:rPr>
            </w:pPr>
            <w:r>
              <w:rPr>
                <w:rFonts w:ascii="Arial" w:cs="Arial" w:eastAsia="Arial" w:hAnsi="Arial"/>
                <w:sz w:val="14"/>
                <w:szCs w:val="14"/>
                <w:color w:val="auto"/>
              </w:rPr>
              <w:t>Long-term debt, excluding current portion, net of debt issuance costs</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1,952,473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1,737,605</w:t>
            </w:r>
          </w:p>
        </w:tc>
      </w:tr>
      <w:tr>
        <w:trPr>
          <w:trHeight w:val="183"/>
        </w:trPr>
        <w:tc>
          <w:tcPr>
            <w:tcW w:w="20" w:type="dxa"/>
            <w:vAlign w:val="bottom"/>
          </w:tcPr>
          <w:p>
            <w:pPr>
              <w:spacing w:after="0"/>
              <w:rPr>
                <w:sz w:val="15"/>
                <w:szCs w:val="15"/>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Commitments and contingencies (See Note 13)</w:t>
            </w:r>
          </w:p>
        </w:tc>
        <w:tc>
          <w:tcPr>
            <w:tcW w:w="3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22"/>
        </w:trPr>
        <w:tc>
          <w:tcPr>
            <w:tcW w:w="714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84,704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150,671</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payable</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6,535</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63,358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59,872</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interest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Accrued taxes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21,745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25,607</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accrued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38,943</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40,484</w:t>
            </w:r>
          </w:p>
        </w:tc>
      </w:tr>
      <w:tr>
        <w:trPr>
          <w:trHeight w:val="183"/>
        </w:trPr>
        <w:tc>
          <w:tcPr>
            <w:tcW w:w="714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252,950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301,536</w:t>
            </w:r>
          </w:p>
        </w:tc>
      </w:tr>
      <w:tr>
        <w:trPr>
          <w:trHeight w:val="129"/>
        </w:trPr>
        <w:tc>
          <w:tcPr>
            <w:tcW w:w="20" w:type="dxa"/>
            <w:vAlign w:val="bottom"/>
          </w:tcPr>
          <w:p>
            <w:pPr>
              <w:spacing w:after="0"/>
              <w:rPr>
                <w:sz w:val="11"/>
                <w:szCs w:val="11"/>
                <w:color w:val="auto"/>
              </w:rPr>
            </w:pPr>
          </w:p>
        </w:tc>
        <w:tc>
          <w:tcPr>
            <w:tcW w:w="7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203"/>
        </w:trPr>
        <w:tc>
          <w:tcPr>
            <w:tcW w:w="7140" w:type="dxa"/>
            <w:vAlign w:val="bottom"/>
            <w:gridSpan w:val="2"/>
          </w:tcPr>
          <w:p>
            <w:pPr>
              <w:spacing w:after="0"/>
              <w:rPr>
                <w:sz w:val="20"/>
                <w:szCs w:val="20"/>
                <w:color w:val="auto"/>
              </w:rPr>
            </w:pPr>
            <w:r>
              <w:rPr>
                <w:rFonts w:ascii="Arial" w:cs="Arial" w:eastAsia="Arial" w:hAnsi="Arial"/>
                <w:sz w:val="14"/>
                <w:szCs w:val="14"/>
                <w:color w:val="auto"/>
              </w:rPr>
              <w:t>Deferred credits and other liabilities: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income taxes and investment tax credits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1,391,096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1,269,253</w:t>
            </w: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4"/>
                <w:szCs w:val="14"/>
                <w:color w:val="auto"/>
              </w:rPr>
              <w:t>Customers' advances for construction</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107,715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91,843</w:t>
            </w: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Regulatory liabilities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239,469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250,635</w:t>
            </w: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110,412</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115,583</w:t>
            </w: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credits and other liabilities</w:t>
            </w: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1,848,692</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1,727,314</w:t>
            </w:r>
          </w:p>
        </w:tc>
      </w:tr>
      <w:tr>
        <w:trPr>
          <w:trHeight w:val="129"/>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Contributions in aid of construction</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553,001</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542,468</w:t>
            </w:r>
          </w:p>
        </w:tc>
      </w:tr>
      <w:tr>
        <w:trPr>
          <w:trHeight w:val="176"/>
        </w:trPr>
        <w:tc>
          <w:tcPr>
            <w:tcW w:w="7140" w:type="dxa"/>
            <w:vAlign w:val="bottom"/>
            <w:gridSpan w:val="2"/>
          </w:tcPr>
          <w:p>
            <w:pPr>
              <w:spacing w:after="0"/>
              <w:rPr>
                <w:sz w:val="20"/>
                <w:szCs w:val="20"/>
                <w:color w:val="auto"/>
              </w:rPr>
            </w:pPr>
            <w:r>
              <w:rPr>
                <w:rFonts w:ascii="Arial" w:cs="Arial" w:eastAsia="Arial" w:hAnsi="Arial"/>
                <w:sz w:val="14"/>
                <w:szCs w:val="14"/>
                <w:color w:val="auto"/>
              </w:rPr>
              <w:t>Total liabilities and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6,545,381</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6,158,991</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40" w:type="dxa"/>
            <w:vAlign w:val="bottom"/>
            <w:gridSpan w:val="4"/>
          </w:tcPr>
          <w:p>
            <w:pPr>
              <w:jc w:val="right"/>
              <w:ind w:right="512"/>
              <w:spacing w:after="0"/>
              <w:rPr>
                <w:sz w:val="20"/>
                <w:szCs w:val="20"/>
                <w:color w:val="auto"/>
              </w:rPr>
            </w:pPr>
            <w:r>
              <w:rPr>
                <w:rFonts w:ascii="Arial" w:cs="Arial" w:eastAsia="Arial" w:hAnsi="Arial"/>
                <w:sz w:val="22"/>
                <w:szCs w:val="22"/>
                <w:color w:val="auto"/>
              </w:rPr>
              <w:t>Three Months Ended</w:t>
            </w:r>
          </w:p>
        </w:tc>
      </w:tr>
      <w:tr>
        <w:trPr>
          <w:trHeight w:val="274"/>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September 30,</w:t>
            </w:r>
          </w:p>
        </w:tc>
        <w:tc>
          <w:tcPr>
            <w:tcW w:w="92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85"/>
              </w:rPr>
              <w:t>2016</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215,008</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226,593</w:t>
            </w:r>
          </w:p>
        </w:tc>
      </w:tr>
      <w:tr>
        <w:trPr>
          <w:trHeight w:val="284"/>
        </w:trPr>
        <w:tc>
          <w:tcPr>
            <w:tcW w:w="65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Operations and maintenance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67,982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79,812</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34,264</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33,881</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Amortization</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389</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Taxes other than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15,234</w:t>
            </w:r>
          </w:p>
        </w:tc>
        <w:tc>
          <w:tcPr>
            <w:tcW w:w="2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14,712</w:t>
            </w: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Total operating expenses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117,522</w:t>
            </w:r>
          </w:p>
        </w:tc>
        <w:tc>
          <w:tcPr>
            <w:tcW w:w="2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128,794</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97,486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97,799</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Other expense (income):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22,411</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20,168</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Allowance for funds used during construction</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(3,914)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(2,267)</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Gain on sale of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w:t>
            </w:r>
          </w:p>
        </w:tc>
      </w:tr>
      <w:tr>
        <w:trPr>
          <w:trHeight w:val="284"/>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Equity earnings in joint venture</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(593)</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(1,621)</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79,625</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81,581</w:t>
            </w: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Provision for income taxes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3,400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8,411</w:t>
            </w:r>
          </w:p>
        </w:tc>
      </w:tr>
      <w:tr>
        <w:trPr>
          <w:trHeight w:val="257"/>
        </w:trPr>
        <w:tc>
          <w:tcPr>
            <w:tcW w:w="20" w:type="dxa"/>
            <w:vAlign w:val="bottom"/>
          </w:tcPr>
          <w:p>
            <w:pPr>
              <w:spacing w:after="0"/>
              <w:rPr>
                <w:sz w:val="22"/>
                <w:szCs w:val="22"/>
                <w:color w:val="auto"/>
              </w:rPr>
            </w:pPr>
          </w:p>
        </w:tc>
        <w:tc>
          <w:tcPr>
            <w:tcW w:w="6540" w:type="dxa"/>
            <w:vAlign w:val="bottom"/>
            <w:tcBorders>
              <w:top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Net income</w:t>
            </w:r>
          </w:p>
        </w:tc>
        <w:tc>
          <w:tcPr>
            <w:tcW w:w="340" w:type="dxa"/>
            <w:vAlign w:val="bottom"/>
            <w:tcBorders>
              <w:top w:val="single" w:sz="8" w:color="auto"/>
              <w:bottom w:val="single" w:sz="8" w:color="auto"/>
            </w:tcBorders>
            <w:shd w:val="clear" w:color="auto" w:fill="CCEEFF"/>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116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76,225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12"/>
              <w:spacing w:after="0" w:line="250" w:lineRule="exact"/>
              <w:rPr>
                <w:sz w:val="20"/>
                <w:szCs w:val="20"/>
                <w:color w:val="auto"/>
              </w:rPr>
            </w:pPr>
            <w:r>
              <w:rPr>
                <w:rFonts w:ascii="Arial" w:cs="Arial" w:eastAsia="Arial" w:hAnsi="Arial"/>
                <w:sz w:val="22"/>
                <w:szCs w:val="22"/>
                <w:color w:val="auto"/>
                <w:w w:val="97"/>
              </w:rPr>
              <w:t>$</w:t>
            </w:r>
          </w:p>
        </w:tc>
        <w:tc>
          <w:tcPr>
            <w:tcW w:w="9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73,170</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Net income per common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Basic</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0.43</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0.41</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Diluted</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0.43</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0.41</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Average common shares outstanding during the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177,660</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177,336</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178,124</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177,817</w:t>
            </w: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Cash dividends declared per common share</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0.2047</w:t>
            </w:r>
          </w:p>
        </w:tc>
        <w:tc>
          <w:tcPr>
            <w:tcW w:w="2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0.191</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CONSOLIDATED STATEMENTS OF NET INCOME</w:t>
      </w:r>
    </w:p>
    <w:p>
      <w:pPr>
        <w:jc w:val="center"/>
        <w:ind w:right="-239"/>
        <w:spacing w:after="0" w:line="238" w:lineRule="auto"/>
        <w:rPr>
          <w:sz w:val="20"/>
          <w:szCs w:val="20"/>
          <w:color w:val="auto"/>
        </w:rPr>
      </w:pPr>
      <w:r>
        <w:rPr>
          <w:rFonts w:ascii="Arial" w:cs="Arial" w:eastAsia="Arial" w:hAnsi="Arial"/>
          <w:sz w:val="22"/>
          <w:szCs w:val="22"/>
          <w:color w:val="auto"/>
        </w:rPr>
        <w:t>(In thousands, except per share amounts)</w:t>
      </w: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6620" w:type="dxa"/>
            <w:vAlign w:val="bottom"/>
          </w:tcPr>
          <w:p>
            <w:pPr>
              <w:ind w:left="4100"/>
              <w:spacing w:after="0"/>
              <w:rPr>
                <w:sz w:val="20"/>
                <w:szCs w:val="20"/>
                <w:color w:val="auto"/>
              </w:rPr>
            </w:pPr>
            <w:r>
              <w:rPr>
                <w:rFonts w:ascii="Arial" w:cs="Arial" w:eastAsia="Arial" w:hAnsi="Arial"/>
                <w:sz w:val="22"/>
                <w:szCs w:val="22"/>
                <w:color w:val="auto"/>
              </w:rPr>
              <w:t>(UNAUDITED)</w:t>
            </w: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6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4"/>
          </w:tcPr>
          <w:p>
            <w:pPr>
              <w:jc w:val="right"/>
              <w:ind w:right="532"/>
              <w:spacing w:after="0"/>
              <w:rPr>
                <w:sz w:val="20"/>
                <w:szCs w:val="20"/>
                <w:color w:val="auto"/>
              </w:rPr>
            </w:pPr>
            <w:r>
              <w:rPr>
                <w:rFonts w:ascii="Arial" w:cs="Arial" w:eastAsia="Arial" w:hAnsi="Arial"/>
                <w:sz w:val="22"/>
                <w:szCs w:val="22"/>
                <w:color w:val="auto"/>
              </w:rPr>
              <w:t>Nine Months Ended</w:t>
            </w:r>
          </w:p>
        </w:tc>
      </w:tr>
      <w:tr>
        <w:trPr>
          <w:trHeight w:val="265"/>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22"/>
                <w:szCs w:val="22"/>
                <w:color w:val="auto"/>
              </w:rPr>
              <w:t>September 30,</w:t>
            </w:r>
          </w:p>
        </w:tc>
      </w:tr>
      <w:tr>
        <w:trPr>
          <w:trHeight w:val="264"/>
        </w:trPr>
        <w:tc>
          <w:tcPr>
            <w:tcW w:w="20" w:type="dxa"/>
            <w:vAlign w:val="bottom"/>
          </w:tcPr>
          <w:p>
            <w:pPr>
              <w:spacing w:after="0"/>
              <w:rPr>
                <w:sz w:val="22"/>
                <w:szCs w:val="22"/>
                <w:color w:val="auto"/>
              </w:rPr>
            </w:pPr>
          </w:p>
        </w:tc>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2017</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2016</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606,213</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623,076</w:t>
            </w:r>
          </w:p>
        </w:tc>
      </w:tr>
      <w:tr>
        <w:trPr>
          <w:trHeight w:val="284"/>
        </w:trPr>
        <w:tc>
          <w:tcPr>
            <w:tcW w:w="6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Operations and maintenance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207,963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227,347</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101,508</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97,645</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Amortization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358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1,367</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Taxes other than income taxes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44,390</w:t>
            </w: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43,094</w:t>
            </w:r>
          </w:p>
        </w:tc>
      </w:tr>
      <w:tr>
        <w:trPr>
          <w:trHeight w:val="264"/>
        </w:trPr>
        <w:tc>
          <w:tcPr>
            <w:tcW w:w="6640" w:type="dxa"/>
            <w:vAlign w:val="bottom"/>
            <w:gridSpan w:val="2"/>
          </w:tcPr>
          <w:p>
            <w:pPr>
              <w:spacing w:after="0"/>
              <w:rPr>
                <w:sz w:val="20"/>
                <w:szCs w:val="20"/>
                <w:color w:val="auto"/>
              </w:rPr>
            </w:pPr>
            <w:r>
              <w:rPr>
                <w:rFonts w:ascii="Arial" w:cs="Arial" w:eastAsia="Arial" w:hAnsi="Arial"/>
                <w:sz w:val="22"/>
                <w:szCs w:val="22"/>
                <w:color w:val="auto"/>
              </w:rPr>
              <w:t>Total operating expenses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354,219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369,453</w:t>
            </w: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251,994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253,623</w:t>
            </w: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Other expense (income):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 net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65,124</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60,136</w:t>
            </w:r>
          </w:p>
        </w:tc>
      </w:tr>
      <w:tr>
        <w:trPr>
          <w:trHeight w:val="284"/>
        </w:trPr>
        <w:tc>
          <w:tcPr>
            <w:tcW w:w="2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22"/>
                <w:szCs w:val="22"/>
                <w:color w:val="auto"/>
              </w:rPr>
              <w:t>Allowance for funds used during construction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(10,570)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(6,446)</w:t>
            </w: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Gain on sale of other assets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(322)</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(390)</w:t>
            </w:r>
          </w:p>
        </w:tc>
      </w:tr>
      <w:tr>
        <w:trPr>
          <w:trHeight w:val="284"/>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Equity earnings in joint venture</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(402)</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(1,143)</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Income before income taxes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198,164</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201,466</w:t>
            </w:r>
          </w:p>
        </w:tc>
      </w:tr>
      <w:tr>
        <w:trPr>
          <w:trHeight w:val="284"/>
        </w:trPr>
        <w:tc>
          <w:tcPr>
            <w:tcW w:w="6640" w:type="dxa"/>
            <w:vAlign w:val="bottom"/>
            <w:gridSpan w:val="2"/>
          </w:tcPr>
          <w:p>
            <w:pPr>
              <w:spacing w:after="0"/>
              <w:rPr>
                <w:sz w:val="20"/>
                <w:szCs w:val="20"/>
                <w:color w:val="auto"/>
              </w:rPr>
            </w:pPr>
            <w:r>
              <w:rPr>
                <w:rFonts w:ascii="Arial" w:cs="Arial" w:eastAsia="Arial" w:hAnsi="Arial"/>
                <w:sz w:val="22"/>
                <w:szCs w:val="22"/>
                <w:color w:val="auto"/>
              </w:rPr>
              <w:t>Provision for income taxes</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11,899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16,933</w:t>
            </w:r>
          </w:p>
        </w:tc>
      </w:tr>
      <w:tr>
        <w:trPr>
          <w:trHeight w:val="257"/>
        </w:trPr>
        <w:tc>
          <w:tcPr>
            <w:tcW w:w="20" w:type="dxa"/>
            <w:vAlign w:val="bottom"/>
          </w:tcPr>
          <w:p>
            <w:pPr>
              <w:spacing w:after="0"/>
              <w:rPr>
                <w:sz w:val="22"/>
                <w:szCs w:val="22"/>
                <w:color w:val="auto"/>
              </w:rPr>
            </w:pPr>
          </w:p>
        </w:tc>
        <w:tc>
          <w:tcPr>
            <w:tcW w:w="6620" w:type="dxa"/>
            <w:vAlign w:val="bottom"/>
            <w:tcBorders>
              <w:top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Net income</w:t>
            </w:r>
          </w:p>
        </w:tc>
        <w:tc>
          <w:tcPr>
            <w:tcW w:w="360" w:type="dxa"/>
            <w:vAlign w:val="bottom"/>
            <w:tcBorders>
              <w:top w:val="single" w:sz="8" w:color="auto"/>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186,265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10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184,533</w:t>
            </w:r>
          </w:p>
        </w:tc>
      </w:tr>
      <w:tr>
        <w:trPr>
          <w:trHeight w:val="270"/>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Net income per common share:</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1.05</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w:t>
            </w: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22"/>
                <w:szCs w:val="22"/>
                <w:color w:val="auto"/>
              </w:rPr>
              <w:t>Average common shares outstanding during the period: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Basic</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177,583</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177,243</w:t>
            </w:r>
          </w:p>
        </w:tc>
      </w:tr>
      <w:tr>
        <w:trPr>
          <w:trHeight w:val="264"/>
        </w:trPr>
        <w:tc>
          <w:tcPr>
            <w:tcW w:w="20" w:type="dxa"/>
            <w:vAlign w:val="bottom"/>
          </w:tcPr>
          <w:p>
            <w:pPr>
              <w:spacing w:after="0"/>
              <w:rPr>
                <w:sz w:val="22"/>
                <w:szCs w:val="22"/>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178,103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177,781</w:t>
            </w: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Cash dividends declared per common share</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0.5873</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0.5473</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3112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26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CONSOLIDATED STATEMENTS OF COMPREHENSIVE INCOME</w:t>
      </w:r>
    </w:p>
    <w:p>
      <w:pPr>
        <w:ind w:left="3840"/>
        <w:spacing w:after="0" w:line="192" w:lineRule="auto"/>
        <w:rPr>
          <w:sz w:val="20"/>
          <w:szCs w:val="20"/>
          <w:color w:val="auto"/>
        </w:rPr>
      </w:pPr>
      <w:r>
        <w:rPr>
          <w:rFonts w:ascii="Arial" w:cs="Arial" w:eastAsia="Arial" w:hAnsi="Arial"/>
          <w:sz w:val="22"/>
          <w:szCs w:val="22"/>
          <w:color w:val="auto"/>
        </w:rPr>
        <w:t>(In thousands of dollars)</w:t>
      </w:r>
    </w:p>
    <w:p>
      <w:pPr>
        <w:ind w:left="4220"/>
        <w:spacing w:after="0"/>
        <w:rPr>
          <w:sz w:val="20"/>
          <w:szCs w:val="20"/>
          <w:color w:val="auto"/>
        </w:rPr>
      </w:pPr>
      <w:r>
        <w:rPr>
          <w:rFonts w:ascii="Arial" w:cs="Arial" w:eastAsia="Arial" w:hAnsi="Arial"/>
          <w:sz w:val="22"/>
          <w:szCs w:val="22"/>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22"/>
                <w:szCs w:val="22"/>
                <w:color w:val="auto"/>
                <w:w w:val="88"/>
              </w:rPr>
              <w:t>Three Months Ended</w:t>
            </w:r>
          </w:p>
        </w:tc>
        <w:tc>
          <w:tcPr>
            <w:tcW w:w="1840" w:type="dxa"/>
            <w:vAlign w:val="bottom"/>
            <w:gridSpan w:val="3"/>
          </w:tcPr>
          <w:p>
            <w:pPr>
              <w:jc w:val="right"/>
              <w:spacing w:after="0"/>
              <w:rPr>
                <w:sz w:val="20"/>
                <w:szCs w:val="20"/>
                <w:color w:val="auto"/>
              </w:rPr>
            </w:pPr>
            <w:r>
              <w:rPr>
                <w:rFonts w:ascii="Arial" w:cs="Arial" w:eastAsia="Arial" w:hAnsi="Arial"/>
                <w:sz w:val="22"/>
                <w:szCs w:val="22"/>
                <w:color w:val="auto"/>
                <w:w w:val="92"/>
              </w:rPr>
              <w:t>Nine Months Ended</w:t>
            </w:r>
          </w:p>
        </w:tc>
      </w:tr>
      <w:tr>
        <w:trPr>
          <w:trHeight w:val="265"/>
        </w:trPr>
        <w:tc>
          <w:tcPr>
            <w:tcW w:w="5880" w:type="dxa"/>
            <w:vAlign w:val="bottom"/>
          </w:tcPr>
          <w:p>
            <w:pPr>
              <w:spacing w:after="0"/>
              <w:rPr>
                <w:sz w:val="23"/>
                <w:szCs w:val="23"/>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September 30,</w:t>
            </w:r>
          </w:p>
        </w:tc>
        <w:tc>
          <w:tcPr>
            <w:tcW w:w="1840" w:type="dxa"/>
            <w:vAlign w:val="bottom"/>
            <w:gridSpan w:val="3"/>
          </w:tcPr>
          <w:p>
            <w:pPr>
              <w:jc w:val="right"/>
              <w:ind w:right="192"/>
              <w:spacing w:after="0"/>
              <w:rPr>
                <w:sz w:val="20"/>
                <w:szCs w:val="20"/>
                <w:color w:val="auto"/>
              </w:rPr>
            </w:pPr>
            <w:r>
              <w:rPr>
                <w:rFonts w:ascii="Arial" w:cs="Arial" w:eastAsia="Arial" w:hAnsi="Arial"/>
                <w:sz w:val="22"/>
                <w:szCs w:val="22"/>
                <w:color w:val="auto"/>
              </w:rPr>
              <w:t>September 30,</w:t>
            </w:r>
          </w:p>
        </w:tc>
      </w:tr>
      <w:tr>
        <w:trPr>
          <w:trHeight w:val="264"/>
        </w:trPr>
        <w:tc>
          <w:tcPr>
            <w:tcW w:w="588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2016</w:t>
            </w:r>
          </w:p>
        </w:tc>
        <w:tc>
          <w:tcPr>
            <w:tcW w:w="2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2016</w:t>
            </w:r>
          </w:p>
        </w:tc>
      </w:tr>
      <w:tr>
        <w:trPr>
          <w:trHeight w:val="264"/>
        </w:trPr>
        <w:tc>
          <w:tcPr>
            <w:tcW w:w="5880" w:type="dxa"/>
            <w:vAlign w:val="bottom"/>
            <w:shd w:val="clear" w:color="auto" w:fill="CCEEFF"/>
          </w:tcPr>
          <w:p>
            <w:pPr>
              <w:spacing w:after="0"/>
              <w:rPr>
                <w:sz w:val="20"/>
                <w:szCs w:val="20"/>
                <w:color w:val="auto"/>
              </w:rPr>
            </w:pPr>
            <w:r>
              <w:rPr>
                <w:rFonts w:ascii="Arial" w:cs="Arial" w:eastAsia="Arial" w:hAnsi="Arial"/>
                <w:sz w:val="22"/>
                <w:szCs w:val="22"/>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1"/>
              </w:rPr>
              <w:t>$ 76,225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8"/>
              </w:rPr>
              <w:t>73,170</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7"/>
              </w:rPr>
              <w:t>$186,265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4"/>
              </w:rPr>
              <w:t>$184,533</w:t>
            </w:r>
          </w:p>
        </w:tc>
      </w:tr>
      <w:tr>
        <w:trPr>
          <w:trHeight w:val="284"/>
        </w:trPr>
        <w:tc>
          <w:tcPr>
            <w:tcW w:w="5880" w:type="dxa"/>
            <w:vAlign w:val="bottom"/>
          </w:tcPr>
          <w:p>
            <w:pPr>
              <w:spacing w:after="0"/>
              <w:rPr>
                <w:sz w:val="20"/>
                <w:szCs w:val="20"/>
                <w:color w:val="auto"/>
              </w:rPr>
            </w:pPr>
            <w:r>
              <w:rPr>
                <w:rFonts w:ascii="Arial" w:cs="Arial" w:eastAsia="Arial" w:hAnsi="Arial"/>
                <w:sz w:val="22"/>
                <w:szCs w:val="22"/>
                <w:color w:val="auto"/>
              </w:rPr>
              <w:t>Other comprehensive income, net of tax:</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880" w:type="dxa"/>
            <w:vAlign w:val="bottom"/>
            <w:shd w:val="clear" w:color="auto" w:fill="CCEEFF"/>
          </w:tcPr>
          <w:p>
            <w:pPr>
              <w:ind w:left="120"/>
              <w:spacing w:after="0" w:line="222" w:lineRule="exact"/>
              <w:rPr>
                <w:sz w:val="20"/>
                <w:szCs w:val="20"/>
                <w:color w:val="auto"/>
              </w:rPr>
            </w:pPr>
            <w:r>
              <w:rPr>
                <w:rFonts w:ascii="Arial" w:cs="Arial" w:eastAsia="Arial" w:hAnsi="Arial"/>
                <w:sz w:val="22"/>
                <w:szCs w:val="22"/>
                <w:color w:val="auto"/>
                <w:w w:val="95"/>
              </w:rPr>
              <w:t>Unrealized holding gain on investments, net of tax expense of</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88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w w:val="92"/>
              </w:rPr>
              <w:t>$22 and $11 for the three months, and $73 and $14 for the nine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58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months ended September 30, 2017 and 2016, respectively</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w:t>
            </w:r>
          </w:p>
        </w:tc>
      </w:tr>
      <w:tr>
        <w:trPr>
          <w:trHeight w:val="222"/>
        </w:trPr>
        <w:tc>
          <w:tcPr>
            <w:tcW w:w="5880" w:type="dxa"/>
            <w:vAlign w:val="bottom"/>
          </w:tcPr>
          <w:p>
            <w:pPr>
              <w:ind w:left="120"/>
              <w:spacing w:after="0" w:line="222" w:lineRule="exact"/>
              <w:rPr>
                <w:sz w:val="20"/>
                <w:szCs w:val="20"/>
                <w:color w:val="auto"/>
              </w:rPr>
            </w:pPr>
            <w:r>
              <w:rPr>
                <w:rFonts w:ascii="Arial" w:cs="Arial" w:eastAsia="Arial" w:hAnsi="Arial"/>
                <w:sz w:val="22"/>
                <w:szCs w:val="22"/>
                <w:color w:val="auto"/>
                <w:w w:val="92"/>
              </w:rPr>
              <w:t>Reclassification of gain on sale of investment to net income, net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5"/>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w w:val="92"/>
              </w:rPr>
              <w:t>of tax of $30 for the nine months ended September 30, 2016 (1)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w:t>
            </w:r>
          </w:p>
        </w:tc>
      </w:tr>
      <w:tr>
        <w:trPr>
          <w:trHeight w:val="257"/>
        </w:trPr>
        <w:tc>
          <w:tcPr>
            <w:tcW w:w="58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Comprehensive income</w:t>
            </w:r>
          </w:p>
        </w:tc>
        <w:tc>
          <w:tcPr>
            <w:tcW w:w="8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91"/>
              </w:rPr>
              <w:t>$ 76,267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97"/>
              </w:rPr>
              <w:t>$</w:t>
            </w:r>
          </w:p>
        </w:tc>
        <w:tc>
          <w:tcPr>
            <w:tcW w:w="74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98"/>
              </w:rPr>
              <w:t>73,190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186,402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184,502</w:t>
            </w:r>
          </w:p>
        </w:tc>
      </w:tr>
    </w:tbl>
    <w:p>
      <w:pPr>
        <w:spacing w:after="0" w:line="384" w:lineRule="exact"/>
        <w:rPr>
          <w:sz w:val="20"/>
          <w:szCs w:val="20"/>
          <w:color w:val="auto"/>
        </w:rPr>
      </w:pPr>
    </w:p>
    <w:p>
      <w:pPr>
        <w:ind w:right="160" w:firstLine="2"/>
        <w:spacing w:after="0" w:line="328"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Amount of pre-tax gain of $87 reclassified from accumulated other comprehensive income to gain on sale of other assets on the consolidated statements of net income for the nine months ended September 30, 2016.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57"/>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6"/>
        </w:trPr>
        <w:tc>
          <w:tcPr>
            <w:tcW w:w="45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$.50 par value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804,753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1,938,265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1,850,068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6"/>
          </w:tcPr>
          <w:p>
            <w:pPr>
              <w:spacing w:after="0"/>
              <w:rPr>
                <w:sz w:val="20"/>
                <w:szCs w:val="20"/>
                <w:color w:val="auto"/>
              </w:rPr>
            </w:pPr>
            <w:r>
              <w:rPr>
                <w:rFonts w:ascii="Arial" w:cs="Arial" w:eastAsia="Arial" w:hAnsi="Arial"/>
                <w:sz w:val="18"/>
                <w:szCs w:val="18"/>
                <w:color w:val="auto"/>
              </w:rPr>
              <w:t>Long-term debt of subsidiaries (substantially collateralized by utility plant):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Interest Rate Range</w:t>
            </w:r>
          </w:p>
        </w:tc>
        <w:tc>
          <w:tcPr>
            <w:tcW w:w="174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center"/>
              <w:ind w:right="540"/>
              <w:spacing w:after="0" w:line="176" w:lineRule="exact"/>
              <w:rPr>
                <w:sz w:val="20"/>
                <w:szCs w:val="20"/>
                <w:color w:val="auto"/>
              </w:rPr>
            </w:pPr>
            <w:r>
              <w:rPr>
                <w:rFonts w:ascii="Arial" w:cs="Arial" w:eastAsia="Arial" w:hAnsi="Arial"/>
                <w:sz w:val="18"/>
                <w:szCs w:val="18"/>
                <w:color w:val="auto"/>
                <w:w w:val="92"/>
              </w:rPr>
              <w:t>Maturity Date Range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0.00% to 0.99%</w:t>
            </w:r>
          </w:p>
        </w:tc>
        <w:tc>
          <w:tcPr>
            <w:tcW w:w="1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2023 to 2033</w:t>
            </w: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4,196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1.00% to 1.99%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2035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2.00% to 2.99%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2024 to 2033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3.00% to 3.99%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2056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4.00% to 4.99%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2020 to 2054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556,681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5.00% to 5.99%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2043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6.00% to 6.99%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2017 to 2036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7.00% to 7.99%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2022 to 2027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8.00% to 8.99%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2021 to 2025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9.00% to 9.99%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2018 to 2026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gridSpan w:val="2"/>
          </w:tcPr>
          <w:p>
            <w:pPr>
              <w:jc w:val="center"/>
              <w:ind w:right="1740"/>
              <w:spacing w:after="0"/>
              <w:rPr>
                <w:sz w:val="20"/>
                <w:szCs w:val="20"/>
                <w:color w:val="auto"/>
              </w:rPr>
            </w:pPr>
            <w:r>
              <w:rPr>
                <w:rFonts w:ascii="Arial" w:cs="Arial" w:eastAsia="Arial" w:hAnsi="Arial"/>
                <w:sz w:val="18"/>
                <w:szCs w:val="18"/>
                <w:color w:val="auto"/>
                <w:w w:val="91"/>
              </w:rPr>
              <w:t>10.00% to 10.99%</w:t>
            </w:r>
          </w:p>
        </w:tc>
        <w:tc>
          <w:tcPr>
            <w:tcW w:w="16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9"/>
              </w:rPr>
              <w:t>2018</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1,247,224</w:t>
            </w: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9"/>
                <w:szCs w:val="9"/>
                <w:color w:val="auto"/>
              </w:rPr>
            </w:pPr>
          </w:p>
        </w:tc>
        <w:tc>
          <w:tcPr>
            <w:tcW w:w="142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Notes payable to bank under revolving credit agreement, variable rate, due 2021</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Unsecured notes payable: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Bank notes at 1.975% and 2.48% due 2018 and 2019</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w w:val="93"/>
              </w:rPr>
              <w:t>Notes ranging from 3.01% to 3.59% due 2027 through 2041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Notes ranging from 4.62% to 4.87%, due 2018 through 2024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w w:val="92"/>
              </w:rPr>
              <w:t>Notes ranging from 5.20% to 5.95%, due 2018 through 2037</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Long-term debt, excluding current portion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1,974,327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Long-term debt, excluding current portion, net of debt issuance costs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1,952,473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3,890,738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3,587,673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18299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CONSOLIDATED STATEMENT OF EQUITY</w:t>
      </w:r>
    </w:p>
    <w:p>
      <w:pPr>
        <w:jc w:val="center"/>
        <w:ind w:right="-19"/>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20"/>
                <w:szCs w:val="20"/>
                <w:color w:val="auto"/>
                <w:w w:val="91"/>
              </w:rPr>
              <w:t>Accumulated</w:t>
            </w:r>
          </w:p>
        </w:tc>
        <w:tc>
          <w:tcPr>
            <w:tcW w:w="1000" w:type="dxa"/>
            <w:vAlign w:val="bottom"/>
          </w:tcPr>
          <w:p>
            <w:pPr>
              <w:spacing w:after="0"/>
              <w:rPr>
                <w:sz w:val="21"/>
                <w:szCs w:val="21"/>
                <w:color w:val="auto"/>
              </w:rPr>
            </w:pPr>
          </w:p>
        </w:tc>
      </w:tr>
      <w:tr>
        <w:trPr>
          <w:trHeight w:val="270"/>
        </w:trPr>
        <w:tc>
          <w:tcPr>
            <w:tcW w:w="3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3"/>
          </w:tcPr>
          <w:p>
            <w:pPr>
              <w:ind w:left="100"/>
              <w:spacing w:after="0"/>
              <w:rPr>
                <w:sz w:val="20"/>
                <w:szCs w:val="20"/>
                <w:color w:val="auto"/>
              </w:rPr>
            </w:pPr>
            <w:r>
              <w:rPr>
                <w:rFonts w:ascii="Arial" w:cs="Arial" w:eastAsia="Arial" w:hAnsi="Arial"/>
                <w:sz w:val="20"/>
                <w:szCs w:val="20"/>
                <w:color w:val="auto"/>
              </w:rPr>
              <w:t>Capital in</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Other</w:t>
            </w:r>
          </w:p>
        </w:tc>
        <w:tc>
          <w:tcPr>
            <w:tcW w:w="1000" w:type="dxa"/>
            <w:vAlign w:val="bottom"/>
          </w:tcPr>
          <w:p>
            <w:pPr>
              <w:spacing w:after="0"/>
              <w:rPr>
                <w:sz w:val="23"/>
                <w:szCs w:val="23"/>
                <w:color w:val="auto"/>
              </w:rPr>
            </w:pPr>
          </w:p>
        </w:tc>
      </w:tr>
      <w:tr>
        <w:trPr>
          <w:trHeight w:val="270"/>
        </w:trPr>
        <w:tc>
          <w:tcPr>
            <w:tcW w:w="3100" w:type="dxa"/>
            <w:vAlign w:val="bottom"/>
          </w:tcPr>
          <w:p>
            <w:pPr>
              <w:spacing w:after="0"/>
              <w:rPr>
                <w:sz w:val="23"/>
                <w:szCs w:val="23"/>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20"/>
                <w:szCs w:val="20"/>
                <w:color w:val="auto"/>
              </w:rPr>
              <w:t>Common</w:t>
            </w:r>
          </w:p>
        </w:tc>
        <w:tc>
          <w:tcPr>
            <w:tcW w:w="1060" w:type="dxa"/>
            <w:vAlign w:val="bottom"/>
            <w:gridSpan w:val="3"/>
          </w:tcPr>
          <w:p>
            <w:pPr>
              <w:ind w:left="120"/>
              <w:spacing w:after="0"/>
              <w:rPr>
                <w:sz w:val="20"/>
                <w:szCs w:val="20"/>
                <w:color w:val="auto"/>
              </w:rPr>
            </w:pPr>
            <w:r>
              <w:rPr>
                <w:rFonts w:ascii="Arial" w:cs="Arial" w:eastAsia="Arial" w:hAnsi="Arial"/>
                <w:sz w:val="20"/>
                <w:szCs w:val="20"/>
                <w:color w:val="auto"/>
              </w:rPr>
              <w:t>Excess of</w:t>
            </w: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Retained</w:t>
            </w:r>
          </w:p>
        </w:tc>
        <w:tc>
          <w:tcPr>
            <w:tcW w:w="1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w w:val="86"/>
              </w:rPr>
              <w:t>Treasury</w:t>
            </w: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8"/>
              </w:rPr>
              <w:t>Comprehensive</w:t>
            </w:r>
          </w:p>
        </w:tc>
        <w:tc>
          <w:tcPr>
            <w:tcW w:w="1000" w:type="dxa"/>
            <w:vAlign w:val="bottom"/>
          </w:tcPr>
          <w:p>
            <w:pPr>
              <w:spacing w:after="0"/>
              <w:rPr>
                <w:sz w:val="23"/>
                <w:szCs w:val="23"/>
                <w:color w:val="auto"/>
              </w:rPr>
            </w:pPr>
          </w:p>
        </w:tc>
      </w:tr>
      <w:tr>
        <w:trPr>
          <w:trHeight w:val="266"/>
        </w:trPr>
        <w:tc>
          <w:tcPr>
            <w:tcW w:w="3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20"/>
                <w:szCs w:val="20"/>
                <w:color w:val="auto"/>
                <w:w w:val="99"/>
              </w:rPr>
              <w:t>Stock</w:t>
            </w:r>
          </w:p>
        </w:tc>
        <w:tc>
          <w:tcPr>
            <w:tcW w:w="1060" w:type="dxa"/>
            <w:vAlign w:val="bottom"/>
            <w:gridSpan w:val="3"/>
          </w:tcPr>
          <w:p>
            <w:pPr>
              <w:ind w:left="120"/>
              <w:spacing w:after="0"/>
              <w:rPr>
                <w:sz w:val="20"/>
                <w:szCs w:val="20"/>
                <w:color w:val="auto"/>
              </w:rPr>
            </w:pPr>
            <w:r>
              <w:rPr>
                <w:rFonts w:ascii="Arial" w:cs="Arial" w:eastAsia="Arial" w:hAnsi="Arial"/>
                <w:sz w:val="20"/>
                <w:szCs w:val="20"/>
                <w:color w:val="auto"/>
              </w:rPr>
              <w:t>Par Value</w:t>
            </w: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Earnings</w:t>
            </w:r>
          </w:p>
        </w:tc>
        <w:tc>
          <w:tcPr>
            <w:tcW w:w="160" w:type="dxa"/>
            <w:vAlign w:val="bottom"/>
          </w:tcPr>
          <w:p>
            <w:pPr>
              <w:spacing w:after="0"/>
              <w:rPr>
                <w:sz w:val="23"/>
                <w:szCs w:val="2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20"/>
                <w:szCs w:val="20"/>
                <w:color w:val="auto"/>
              </w:rPr>
              <w:t>Stock</w:t>
            </w:r>
          </w:p>
        </w:tc>
        <w:tc>
          <w:tcPr>
            <w:tcW w:w="220" w:type="dxa"/>
            <w:vAlign w:val="bottom"/>
          </w:tcPr>
          <w:p>
            <w:pPr>
              <w:spacing w:after="0"/>
              <w:rPr>
                <w:sz w:val="23"/>
                <w:szCs w:val="2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Income</w:t>
            </w:r>
          </w:p>
        </w:tc>
        <w:tc>
          <w:tcPr>
            <w:tcW w:w="1000" w:type="dxa"/>
            <w:vAlign w:val="bottom"/>
          </w:tcPr>
          <w:p>
            <w:pPr>
              <w:jc w:val="right"/>
              <w:ind w:right="201"/>
              <w:spacing w:after="0"/>
              <w:rPr>
                <w:sz w:val="20"/>
                <w:szCs w:val="20"/>
                <w:color w:val="auto"/>
              </w:rPr>
            </w:pPr>
            <w:r>
              <w:rPr>
                <w:rFonts w:ascii="Arial" w:cs="Arial" w:eastAsia="Arial" w:hAnsi="Arial"/>
                <w:sz w:val="20"/>
                <w:szCs w:val="20"/>
                <w:color w:val="auto"/>
              </w:rPr>
              <w:t>Total</w:t>
            </w:r>
          </w:p>
        </w:tc>
      </w:tr>
      <w:tr>
        <w:trPr>
          <w:trHeight w:val="237"/>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at December 31, 2016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90,155</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797,513</w:t>
            </w:r>
          </w:p>
        </w:tc>
        <w:tc>
          <w:tcPr>
            <w:tcW w:w="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8"/>
              </w:rPr>
              <w:t>$ 1,032,844</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(71,113)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669</w:t>
            </w:r>
          </w:p>
        </w:tc>
        <w:tc>
          <w:tcPr>
            <w:tcW w:w="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$1,850,068</w:t>
            </w:r>
          </w:p>
        </w:tc>
      </w:tr>
      <w:tr>
        <w:trPr>
          <w:trHeight w:val="257"/>
        </w:trPr>
        <w:tc>
          <w:tcPr>
            <w:tcW w:w="3100" w:type="dxa"/>
            <w:vAlign w:val="bottom"/>
          </w:tcPr>
          <w:p>
            <w:pPr>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186,265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186,265</w:t>
            </w:r>
          </w:p>
        </w:tc>
      </w:tr>
      <w:tr>
        <w:trPr>
          <w:trHeight w:val="213"/>
        </w:trPr>
        <w:tc>
          <w:tcPr>
            <w:tcW w:w="31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5"/>
              </w:rPr>
              <w:t>Other comprehensive income, net of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6"/>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income tax of $73</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w:t>
            </w: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w:t>
            </w:r>
          </w:p>
        </w:tc>
      </w:tr>
      <w:tr>
        <w:trPr>
          <w:trHeight w:val="257"/>
        </w:trPr>
        <w:tc>
          <w:tcPr>
            <w:tcW w:w="3100" w:type="dxa"/>
            <w:vAlign w:val="bottom"/>
          </w:tcPr>
          <w:p>
            <w:pPr>
              <w:spacing w:after="0"/>
              <w:rPr>
                <w:sz w:val="20"/>
                <w:szCs w:val="20"/>
                <w:color w:val="auto"/>
              </w:rPr>
            </w:pPr>
            <w:r>
              <w:rPr>
                <w:rFonts w:ascii="Arial" w:cs="Arial" w:eastAsia="Arial" w:hAnsi="Arial"/>
                <w:sz w:val="20"/>
                <w:szCs w:val="20"/>
                <w:color w:val="auto"/>
              </w:rPr>
              <w:t>Dividends</w:t>
            </w:r>
          </w:p>
        </w:tc>
        <w:tc>
          <w:tcPr>
            <w:tcW w:w="2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(104,286)</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(104,286)</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Sale of stock (34,814 shares)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1,067</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w:t>
            </w:r>
          </w:p>
        </w:tc>
      </w:tr>
      <w:tr>
        <w:trPr>
          <w:trHeight w:val="213"/>
        </w:trPr>
        <w:tc>
          <w:tcPr>
            <w:tcW w:w="3100" w:type="dxa"/>
            <w:vAlign w:val="bottom"/>
          </w:tcPr>
          <w:p>
            <w:pPr>
              <w:spacing w:after="0" w:line="213" w:lineRule="exact"/>
              <w:rPr>
                <w:sz w:val="20"/>
                <w:szCs w:val="20"/>
                <w:color w:val="auto"/>
              </w:rPr>
            </w:pPr>
            <w:r>
              <w:rPr>
                <w:rFonts w:ascii="Arial" w:cs="Arial" w:eastAsia="Arial" w:hAnsi="Arial"/>
                <w:sz w:val="20"/>
                <w:szCs w:val="20"/>
                <w:color w:val="auto"/>
              </w:rPr>
              <w:t>Repurchase of stock (68,004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3100" w:type="dxa"/>
            <w:vAlign w:val="bottom"/>
          </w:tcPr>
          <w:p>
            <w:pPr>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(2,116)</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(2,116)</w:t>
            </w:r>
          </w:p>
        </w:tc>
      </w:tr>
      <w:tr>
        <w:trPr>
          <w:trHeight w:val="213"/>
        </w:trPr>
        <w:tc>
          <w:tcPr>
            <w:tcW w:w="31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6"/>
              </w:rPr>
              <w:t>Equity compensation plan (165,442)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6"/>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shares)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(83)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3"/>
        </w:trPr>
        <w:tc>
          <w:tcPr>
            <w:tcW w:w="3100" w:type="dxa"/>
            <w:vAlign w:val="bottom"/>
          </w:tcPr>
          <w:p>
            <w:pPr>
              <w:spacing w:after="0" w:line="213" w:lineRule="exact"/>
              <w:rPr>
                <w:sz w:val="20"/>
                <w:szCs w:val="20"/>
                <w:color w:val="auto"/>
              </w:rPr>
            </w:pPr>
            <w:r>
              <w:rPr>
                <w:rFonts w:ascii="Arial" w:cs="Arial" w:eastAsia="Arial" w:hAnsi="Arial"/>
                <w:sz w:val="20"/>
                <w:szCs w:val="20"/>
                <w:color w:val="auto"/>
                <w:w w:val="98"/>
              </w:rPr>
              <w:t>Exercise of stock options (157,621)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3100" w:type="dxa"/>
            <w:vAlign w:val="bottom"/>
          </w:tcPr>
          <w:p>
            <w:pPr>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2,524</w:t>
            </w:r>
          </w:p>
        </w:tc>
        <w:tc>
          <w:tcPr>
            <w:tcW w:w="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2,603</w:t>
            </w: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Stock-based compensation</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4,379</w:t>
            </w:r>
          </w:p>
        </w:tc>
        <w:tc>
          <w:tcPr>
            <w:tcW w:w="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(204)</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4,175</w:t>
            </w:r>
          </w:p>
        </w:tc>
      </w:tr>
      <w:tr>
        <w:trPr>
          <w:trHeight w:val="213"/>
        </w:trPr>
        <w:tc>
          <w:tcPr>
            <w:tcW w:w="3100" w:type="dxa"/>
            <w:vAlign w:val="bottom"/>
          </w:tcPr>
          <w:p>
            <w:pPr>
              <w:spacing w:after="0" w:line="213" w:lineRule="exact"/>
              <w:rPr>
                <w:sz w:val="20"/>
                <w:szCs w:val="20"/>
                <w:color w:val="auto"/>
              </w:rPr>
            </w:pPr>
            <w:r>
              <w:rPr>
                <w:rFonts w:ascii="Arial" w:cs="Arial" w:eastAsia="Arial" w:hAnsi="Arial"/>
                <w:sz w:val="20"/>
                <w:szCs w:val="20"/>
                <w:color w:val="auto"/>
              </w:rPr>
              <w:t>Cumulative effect of change in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20"/>
                <w:szCs w:val="20"/>
                <w:color w:val="auto"/>
              </w:rPr>
              <w:t>accounting principle - windfall tax</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3100" w:type="dxa"/>
            <w:vAlign w:val="bottom"/>
          </w:tcPr>
          <w:p>
            <w:pPr>
              <w:spacing w:after="0"/>
              <w:rPr>
                <w:sz w:val="20"/>
                <w:szCs w:val="20"/>
                <w:color w:val="auto"/>
              </w:rPr>
            </w:pPr>
            <w:r>
              <w:rPr>
                <w:rFonts w:ascii="Arial" w:cs="Arial" w:eastAsia="Arial" w:hAnsi="Arial"/>
                <w:sz w:val="20"/>
                <w:szCs w:val="20"/>
                <w:color w:val="auto"/>
              </w:rPr>
              <w:t>benefit</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982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982</w:t>
            </w:r>
          </w:p>
        </w:tc>
      </w:tr>
      <w:tr>
        <w:trPr>
          <w:trHeight w:val="257"/>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(647)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(647)</w:t>
            </w:r>
          </w:p>
        </w:tc>
      </w:tr>
      <w:tr>
        <w:trPr>
          <w:trHeight w:val="230"/>
        </w:trPr>
        <w:tc>
          <w:tcPr>
            <w:tcW w:w="3100" w:type="dxa"/>
            <w:vAlign w:val="bottom"/>
          </w:tcPr>
          <w:p>
            <w:pPr>
              <w:spacing w:after="0" w:line="223" w:lineRule="exact"/>
              <w:rPr>
                <w:sz w:val="20"/>
                <w:szCs w:val="20"/>
                <w:color w:val="auto"/>
              </w:rPr>
            </w:pPr>
            <w:r>
              <w:rPr>
                <w:rFonts w:ascii="Arial" w:cs="Arial" w:eastAsia="Arial" w:hAnsi="Arial"/>
                <w:sz w:val="20"/>
                <w:szCs w:val="20"/>
                <w:color w:val="auto"/>
              </w:rPr>
              <w:t>Balance at September 30, 2017</w:t>
            </w: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90,334</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6"/>
              </w:rPr>
              <w:t>804,753</w:t>
            </w:r>
          </w:p>
        </w:tc>
        <w:tc>
          <w:tcPr>
            <w:tcW w:w="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8"/>
              </w:rPr>
              <w:t>$ 1,115,601</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(73,229)</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806</w:t>
            </w:r>
          </w:p>
        </w:tc>
        <w:tc>
          <w:tcPr>
            <w:tcW w:w="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1,938,265</w:t>
            </w:r>
          </w:p>
        </w:tc>
      </w:tr>
    </w:tbl>
    <w:p>
      <w:pPr>
        <w:spacing w:after="0" w:line="334"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Refer to Note 15 - Recent Accounting Pronouncements for a discussion of the cumulative effect of change in accounting principle - windfall tax benefit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8" w:right="12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CONSOLIDATED STATEMENTS OF CASH FLOW</w:t>
      </w:r>
    </w:p>
    <w:p>
      <w:pPr>
        <w:ind w:left="386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319"/>
              <w:spacing w:after="0"/>
              <w:rPr>
                <w:sz w:val="20"/>
                <w:szCs w:val="20"/>
                <w:color w:val="auto"/>
              </w:rPr>
            </w:pPr>
            <w:r>
              <w:rPr>
                <w:rFonts w:ascii="Arial" w:cs="Arial" w:eastAsia="Arial" w:hAnsi="Arial"/>
                <w:sz w:val="16"/>
                <w:szCs w:val="16"/>
                <w:color w:val="auto"/>
              </w:rPr>
              <w:t>Nine Months Ended</w:t>
            </w:r>
          </w:p>
        </w:tc>
      </w:tr>
      <w:tr>
        <w:trPr>
          <w:trHeight w:val="219"/>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color w:val="auto"/>
              </w:rPr>
              <w:t>September 30,</w:t>
            </w:r>
          </w:p>
        </w:tc>
      </w:tr>
      <w:tr>
        <w:trPr>
          <w:trHeight w:val="199"/>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2016</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184,533</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99,012</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15,345</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3,642</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(gain) on sale of utility system and market-based business unit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Gain on sale of other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receivables, inventory and prepayments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(15,235)</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and other postretirement benefits contributions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w:t>
            </w: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8,404</w:t>
            </w:r>
          </w:p>
        </w:tc>
      </w:tr>
      <w:tr>
        <w:trPr>
          <w:trHeight w:val="199"/>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282,061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288,634</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Property, plant and equipment additions, including the debt component of allowance for funds used during</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of $2,533 and $1,626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(270,019)</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Acquisitions of utility systems and other,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(5,626)</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the sale of utility system and other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w:t>
            </w: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99"/>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(340,999)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(269,132)</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Customers' advances and contributions in aid of construction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Repayments of customers' advances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(1,882)</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of short-term debt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31,269</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441,294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234,288</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(181,359)</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Change in cash overdraft position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(12,586)</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issuing common stock</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Proceeds from exercised stock options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3,836</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windfall tax benefits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(2,905)</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on common stock</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(96,994)</w:t>
            </w: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199"/>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59,314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(19,019)</w:t>
            </w:r>
          </w:p>
        </w:tc>
      </w:tr>
      <w:tr>
        <w:trPr>
          <w:trHeight w:val="196"/>
        </w:trPr>
        <w:tc>
          <w:tcPr>
            <w:tcW w:w="7540" w:type="dxa"/>
            <w:vAlign w:val="bottom"/>
            <w:gridSpan w:val="2"/>
          </w:tcPr>
          <w:p>
            <w:pPr>
              <w:spacing w:after="0"/>
              <w:rPr>
                <w:sz w:val="20"/>
                <w:szCs w:val="20"/>
                <w:color w:val="auto"/>
              </w:rPr>
            </w:pPr>
            <w:r>
              <w:rPr>
                <w:rFonts w:ascii="Arial" w:cs="Arial" w:eastAsia="Arial" w:hAnsi="Arial"/>
                <w:sz w:val="16"/>
                <w:szCs w:val="16"/>
                <w:color w:val="auto"/>
              </w:rPr>
              <w:t>Net change in cash and cash equivalents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r>
      <w:tr>
        <w:trPr>
          <w:trHeight w:val="203"/>
        </w:trPr>
        <w:tc>
          <w:tcPr>
            <w:tcW w:w="754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w:t>
            </w:r>
          </w:p>
        </w:tc>
      </w:tr>
      <w:tr>
        <w:trPr>
          <w:trHeight w:val="416"/>
        </w:trPr>
        <w:tc>
          <w:tcPr>
            <w:tcW w:w="7540" w:type="dxa"/>
            <w:vAlign w:val="bottom"/>
            <w:gridSpan w:val="2"/>
          </w:tcPr>
          <w:p>
            <w:pPr>
              <w:spacing w:after="0"/>
              <w:rPr>
                <w:sz w:val="20"/>
                <w:szCs w:val="20"/>
                <w:color w:val="auto"/>
              </w:rPr>
            </w:pPr>
            <w:r>
              <w:rPr>
                <w:rFonts w:ascii="Arial" w:cs="Arial" w:eastAsia="Arial" w:hAnsi="Arial"/>
                <w:sz w:val="16"/>
                <w:szCs w:val="16"/>
                <w:color w:val="auto"/>
              </w:rPr>
              <w:t>Non-cash investing activities: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23,548</w:t>
            </w:r>
          </w:p>
        </w:tc>
      </w:tr>
      <w:tr>
        <w:trPr>
          <w:trHeight w:val="210"/>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20,065</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Refer to Note 3 - Acquisitions for a description of non-cash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63500</wp:posOffset>
            </wp:positionV>
            <wp:extent cx="61144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jc w:val="center"/>
        <w:ind w:right="-19"/>
        <w:spacing w:after="0" w:line="238" w:lineRule="auto"/>
        <w:rPr>
          <w:sz w:val="20"/>
          <w:szCs w:val="20"/>
          <w:color w:val="auto"/>
        </w:rPr>
      </w:pPr>
      <w:r>
        <w:rPr>
          <w:rFonts w:ascii="Arial" w:cs="Arial" w:eastAsia="Arial" w:hAnsi="Arial"/>
          <w:sz w:val="22"/>
          <w:szCs w:val="22"/>
          <w:color w:val="auto"/>
        </w:rPr>
        <w:t>AQUA AMERICA, INC. AND SUBSIDIARIES</w:t>
      </w:r>
    </w:p>
    <w:p>
      <w:pPr>
        <w:jc w:val="center"/>
        <w:ind w:right="-79"/>
        <w:spacing w:after="0" w:line="231" w:lineRule="auto"/>
        <w:rPr>
          <w:sz w:val="20"/>
          <w:szCs w:val="20"/>
          <w:color w:val="auto"/>
        </w:rPr>
      </w:pPr>
      <w:r>
        <w:rPr>
          <w:rFonts w:ascii="Arial" w:cs="Arial" w:eastAsia="Arial" w:hAnsi="Arial"/>
          <w:sz w:val="22"/>
          <w:szCs w:val="22"/>
          <w:color w:val="auto"/>
        </w:rPr>
        <w:t>NOTES TO CONSOLIDATED FINANCIAL STATEMENTS</w:t>
      </w:r>
    </w:p>
    <w:p>
      <w:pPr>
        <w:jc w:val="center"/>
        <w:ind w:right="-79"/>
        <w:spacing w:after="0" w:line="231" w:lineRule="auto"/>
        <w:rPr>
          <w:sz w:val="20"/>
          <w:szCs w:val="20"/>
          <w:color w:val="auto"/>
        </w:rPr>
      </w:pPr>
      <w:r>
        <w:rPr>
          <w:rFonts w:ascii="Arial" w:cs="Arial" w:eastAsia="Arial" w:hAnsi="Arial"/>
          <w:sz w:val="22"/>
          <w:szCs w:val="22"/>
          <w:color w:val="auto"/>
        </w:rPr>
        <w:t>(In thousands of dollars, except per share amounts)</w:t>
      </w:r>
    </w:p>
    <w:p>
      <w:pPr>
        <w:jc w:val="center"/>
        <w:ind w:right="-79"/>
        <w:spacing w:after="0"/>
        <w:rPr>
          <w:sz w:val="20"/>
          <w:szCs w:val="20"/>
          <w:color w:val="auto"/>
        </w:rPr>
      </w:pPr>
      <w:r>
        <w:rPr>
          <w:rFonts w:ascii="Arial" w:cs="Arial" w:eastAsia="Arial" w:hAnsi="Arial"/>
          <w:sz w:val="22"/>
          <w:szCs w:val="22"/>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accompanying consolidated balance sheets and statements of capitalization of Aqua America, Inc. and subsidiaries (the “Company”) at September 30, 2017, the consolidated statements of net income and comprehensive income for the three and nine months ended September 30, 2017 and 2016 the consolidated statements of cash flow for the nine months ended September 30, 2017 and 2016, and the consolidated statement of equity for the nine months ended September 30, 2017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2016. The results of operations for interim periods may not be indicative of the results that may be expected for the entire year. The December 31, 2016 consolidated balance sheet data presented herein was derived from the Company’s December 31, 2016 audited consolidated financial statements, but does not include all disclosures and notes normally provided in annual financial statements. Certain prior period amounts have been reclassified to conform to the current period presentation in the consolidated statements of cash flows:</w:t>
      </w:r>
    </w:p>
    <w:p>
      <w:pPr>
        <w:ind w:left="640" w:hanging="315"/>
        <w:spacing w:after="0" w:line="234"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pension and other postretirement benefit contributions, and</w:t>
      </w:r>
    </w:p>
    <w:p>
      <w:pPr>
        <w:ind w:left="640" w:right="240" w:hanging="315"/>
        <w:spacing w:after="0" w:line="233"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as a result of the early adoption, in the third quarter of 2017, of the Financial Accounting Standards Board’s (“FASB”) accounting guidance on the classification of certain cash receipts and cash payments, the presentation of debt extinguishment costs (refer to Note 15 – </w:t>
      </w:r>
      <w:r>
        <w:rPr>
          <w:rFonts w:ascii="Arial" w:cs="Arial" w:eastAsia="Arial" w:hAnsi="Arial"/>
          <w:sz w:val="22"/>
          <w:szCs w:val="22"/>
          <w:i w:val="1"/>
          <w:iCs w:val="1"/>
          <w:color w:val="auto"/>
        </w:rPr>
        <w:t>Recent Accounting</w:t>
      </w:r>
      <w:r>
        <w:rPr>
          <w:rFonts w:ascii="Arial" w:cs="Arial" w:eastAsia="Arial" w:hAnsi="Arial"/>
          <w:sz w:val="22"/>
          <w:szCs w:val="22"/>
          <w:color w:val="auto"/>
        </w:rPr>
        <w:t xml:space="preserve"> </w:t>
      </w:r>
      <w:r>
        <w:rPr>
          <w:rFonts w:ascii="Arial" w:cs="Arial" w:eastAsia="Arial" w:hAnsi="Arial"/>
          <w:sz w:val="22"/>
          <w:szCs w:val="22"/>
          <w:i w:val="1"/>
          <w:iCs w:val="1"/>
          <w:color w:val="auto"/>
        </w:rPr>
        <w:t>Pronouncements</w:t>
      </w:r>
      <w:r>
        <w:rPr>
          <w:rFonts w:ascii="Arial" w:cs="Arial" w:eastAsia="Arial" w:hAnsi="Arial"/>
          <w:sz w:val="22"/>
          <w:szCs w:val="22"/>
          <w:color w:val="auto"/>
        </w:rPr>
        <w:t>).</w:t>
      </w:r>
    </w:p>
    <w:p>
      <w:pPr>
        <w:spacing w:after="0" w:line="215"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net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86"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There have been no changes to the summary of significant accounting policies previously identified in the Company’s Annual Report on Form 10-K for the year ended December 31, 2016.</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480"/>
          </w:cols>
          <w:pgMar w:left="1220" w:top="118" w:right="119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22"/>
                <w:szCs w:val="22"/>
                <w:color w:val="auto"/>
                <w:w w:val="87"/>
              </w:rPr>
              <w:t>Regulated</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5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22"/>
                <w:szCs w:val="22"/>
                <w:color w:val="auto"/>
                <w:w w:val="86"/>
              </w:rPr>
              <w:t>Segment</w:t>
            </w:r>
          </w:p>
        </w:tc>
        <w:tc>
          <w:tcPr>
            <w:tcW w:w="26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Arial" w:cs="Arial" w:eastAsia="Arial" w:hAnsi="Arial"/>
                <w:sz w:val="22"/>
                <w:szCs w:val="22"/>
                <w:color w:val="auto"/>
              </w:rPr>
              <w:t>Other</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Consolidated</w:t>
            </w: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Balance at December 31, 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37,367</w:t>
            </w:r>
          </w:p>
        </w:tc>
        <w:tc>
          <w:tcPr>
            <w:tcW w:w="1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4,841</w:t>
            </w: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42,208</w:t>
            </w:r>
          </w:p>
        </w:tc>
      </w:tr>
      <w:tr>
        <w:trPr>
          <w:trHeight w:val="284"/>
        </w:trPr>
        <w:tc>
          <w:tcPr>
            <w:tcW w:w="5360" w:type="dxa"/>
            <w:vAlign w:val="bottom"/>
          </w:tcPr>
          <w:p>
            <w:pPr>
              <w:ind w:left="100"/>
              <w:spacing w:after="0"/>
              <w:rPr>
                <w:sz w:val="20"/>
                <w:szCs w:val="20"/>
                <w:color w:val="auto"/>
              </w:rPr>
            </w:pPr>
            <w:r>
              <w:rPr>
                <w:rFonts w:ascii="Arial" w:cs="Arial" w:eastAsia="Arial" w:hAnsi="Arial"/>
                <w:sz w:val="22"/>
                <w:szCs w:val="22"/>
                <w:color w:val="auto"/>
              </w:rPr>
              <w:t>Goodwill acquired</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84"/>
        </w:trPr>
        <w:tc>
          <w:tcPr>
            <w:tcW w:w="53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Reclassification to utility plant acquisition adjustment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(50)</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w:t>
            </w:r>
          </w:p>
        </w:tc>
      </w:tr>
      <w:tr>
        <w:trPr>
          <w:trHeight w:val="257"/>
        </w:trPr>
        <w:tc>
          <w:tcPr>
            <w:tcW w:w="5360" w:type="dxa"/>
            <w:vAlign w:val="bottom"/>
          </w:tcPr>
          <w:p>
            <w:pPr>
              <w:spacing w:after="0" w:line="250" w:lineRule="exact"/>
              <w:rPr>
                <w:sz w:val="20"/>
                <w:szCs w:val="20"/>
                <w:color w:val="auto"/>
              </w:rPr>
            </w:pPr>
            <w:r>
              <w:rPr>
                <w:rFonts w:ascii="Arial" w:cs="Arial" w:eastAsia="Arial" w:hAnsi="Arial"/>
                <w:sz w:val="22"/>
                <w:szCs w:val="22"/>
                <w:color w:val="auto"/>
              </w:rPr>
              <w:t>Balance at September 30, 2017</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7"/>
              </w:rPr>
              <w:t>$</w:t>
            </w:r>
          </w:p>
        </w:tc>
        <w:tc>
          <w:tcPr>
            <w:tcW w:w="11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37,389</w:t>
            </w:r>
          </w:p>
        </w:tc>
        <w:tc>
          <w:tcPr>
            <w:tcW w:w="1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w w:val="97"/>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4,841</w:t>
            </w:r>
          </w:p>
        </w:tc>
        <w:tc>
          <w:tcPr>
            <w:tcW w:w="1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32"/>
              <w:spacing w:after="0" w:line="250" w:lineRule="exact"/>
              <w:rPr>
                <w:sz w:val="20"/>
                <w:szCs w:val="20"/>
                <w:color w:val="auto"/>
              </w:rPr>
            </w:pPr>
            <w:r>
              <w:rPr>
                <w:rFonts w:ascii="Arial" w:cs="Arial" w:eastAsia="Arial" w:hAnsi="Arial"/>
                <w:sz w:val="22"/>
                <w:szCs w:val="22"/>
                <w:color w:val="auto"/>
                <w:w w:val="97"/>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42,230</w:t>
            </w:r>
          </w:p>
        </w:tc>
      </w:tr>
    </w:tbl>
    <w:p>
      <w:pPr>
        <w:spacing w:after="0" w:line="22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Goodwill is not amortized but is tested for impairment annually, or more often, if circumstances indicate a possible impairment may exist, to determine whether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Alternatively, the Company may bypass this qualitative assessment for some of its reporting units and perform a quantitative goodwill impairment test by determining the fair value of a reporting unit based on a discounted cash flow analysis. The Company tested the goodwill attributable to each of its reporting units for impairment as of July 31, 2017, in conjunction with the timing of its annual strategic business plan, and concluded that the estimated fair value of each reporting unit, which has goodwill recorded, exceeded the reporting unit’s carrying amount, indicating that none of the Company’s goodwill was impaired.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left="1240" w:right="15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During the first nine months of 2017, the Company completed four acquisitions of water and wastewater utility systems in various states adding 1,003 customers. The total purchase price of these utility systems consisted of $5,860 in cash, which resulted in $72 of goodwill being recorded. The pro forma effect of the businesses acquired is not material either individually or collectively to the Company’s results of operations.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As part of the Company’s growth-through-acquisition strategy, the Company has entered into purchase agreements to acquire the water or wastewater utility system assets of five municipalities for a total combined purchase price in cash of $145,700. The purchase price for these pending acquisitions is subject to certain adjustments at closing, and is subject to regulatory approvals. Closing for these acquisitions are expected to occur by mid-year 2018, which is subject to the timing of the regulatory approval process. These acquisitions will add approximately 14,900 customers in two of the states that the Company operates in.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Pursuant to its strategy to grow through acquisitions, in January 2016, the Company acquired Superior Water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 Inc., which provides public water service to approximately 3,900 customers in portions of Berks,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Chester, and Montgomery counties in Pennsylvania. The total purchase price for the utility system was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$16,750, which consisted of the issuance of 439,943 shares of the Company’s common stock and $3,905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cash. The purchase price allocation for this acquisition consisted primarily of acquired property, plant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equipment of $25,167, contributions in aid of construction of $16,565, and goodwill of $8,622. Additionally,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during 2016, the Company completed eighteen acquisitions of water and wastewater utility systems in various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states adding 2,469 customers. The total purchase price of these utility systems consisted of $5,518 in cash,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which resulted in $1,756 of goodwill being recorded. The pro forma effect of the businesses acquired is not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material either individually or collectively to the Company’s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Assets Held for Sale</w:t>
      </w:r>
    </w:p>
    <w:p>
      <w:pPr>
        <w:spacing w:after="0" w:line="23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In the first quarter of 2017, the Company decided to market for sale a water system that serves approximately 265 customers. This water system is reported as assets held for sale in the Company’s consolidated balance sheet.</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the second quarter of 2016, the Company decided to market for sale two business units that are reported within the Company’s market-based subsidiary, Aqua Resources. One business unit installed and tested devices that prevent the contamination of potable water and repaired water and wastewater systems, for which the sale was completed in January 2017. The other business unit repairs and performs maintenance on water and wastewater systems, for which the sale was completed in June 2017.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20"/>
          </w:cols>
          <w:pgMar w:left="1220" w:top="118" w:right="115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Capitalization</w:t>
      </w:r>
    </w:p>
    <w:p>
      <w:pPr>
        <w:spacing w:after="0" w:line="23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In October 2017, Aqua Pennsylvania issued $75,000 of first mortgage bonds, of which $35,000 is due in 2054, $20,000 is due in 2055, and $20,000 is due in 2057 with interest rates of 4.06%, 4.07%, and 4.09%, respectively. The proceeds from these bonds were used to repay existing indebtedness and for general corporate purposes.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 July 2017, Aqua Illinois issued $100,000 of first mortgage bonds consisting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94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Amount</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Interest Rate</w:t>
            </w:r>
          </w:p>
        </w:tc>
        <w:tc>
          <w:tcPr>
            <w:tcW w:w="3040" w:type="dxa"/>
            <w:vAlign w:val="bottom"/>
            <w:tcBorders>
              <w:bottom w:val="single" w:sz="8" w:color="auto"/>
            </w:tcBorders>
          </w:tcPr>
          <w:p>
            <w:pPr>
              <w:jc w:val="center"/>
              <w:ind w:left="72"/>
              <w:spacing w:after="0"/>
              <w:rPr>
                <w:sz w:val="20"/>
                <w:szCs w:val="20"/>
                <w:color w:val="auto"/>
              </w:rPr>
            </w:pPr>
            <w:r>
              <w:rPr>
                <w:rFonts w:ascii="Arial" w:cs="Arial" w:eastAsia="Arial" w:hAnsi="Arial"/>
                <w:sz w:val="22"/>
                <w:szCs w:val="22"/>
                <w:color w:val="auto"/>
                <w:w w:val="94"/>
              </w:rPr>
              <w:t>Maturity</w:t>
            </w:r>
          </w:p>
        </w:tc>
      </w:tr>
      <w:tr>
        <w:trPr>
          <w:trHeight w:val="237"/>
        </w:trPr>
        <w:tc>
          <w:tcPr>
            <w:tcW w:w="2940" w:type="dxa"/>
            <w:vAlign w:val="bottom"/>
            <w:shd w:val="clear" w:color="auto" w:fill="CCEEFF"/>
          </w:tcPr>
          <w:p>
            <w:pPr>
              <w:jc w:val="center"/>
              <w:ind w:right="92"/>
              <w:spacing w:after="0" w:line="237" w:lineRule="exact"/>
              <w:rPr>
                <w:sz w:val="20"/>
                <w:szCs w:val="20"/>
                <w:color w:val="auto"/>
              </w:rPr>
            </w:pPr>
            <w:r>
              <w:rPr>
                <w:rFonts w:ascii="Arial" w:cs="Arial" w:eastAsia="Arial" w:hAnsi="Arial"/>
                <w:sz w:val="22"/>
                <w:szCs w:val="22"/>
                <w:color w:val="auto"/>
                <w:w w:val="87"/>
              </w:rPr>
              <w:t>$25,000</w:t>
            </w:r>
          </w:p>
        </w:tc>
        <w:tc>
          <w:tcPr>
            <w:tcW w:w="3560" w:type="dxa"/>
            <w:vAlign w:val="bottom"/>
            <w:shd w:val="clear" w:color="auto" w:fill="CCEEFF"/>
          </w:tcPr>
          <w:p>
            <w:pPr>
              <w:jc w:val="center"/>
              <w:spacing w:after="0" w:line="237" w:lineRule="exact"/>
              <w:rPr>
                <w:sz w:val="20"/>
                <w:szCs w:val="20"/>
                <w:color w:val="auto"/>
              </w:rPr>
            </w:pPr>
            <w:r>
              <w:rPr>
                <w:rFonts w:ascii="Arial" w:cs="Arial" w:eastAsia="Arial" w:hAnsi="Arial"/>
                <w:sz w:val="22"/>
                <w:szCs w:val="22"/>
                <w:color w:val="auto"/>
                <w:w w:val="89"/>
              </w:rPr>
              <w:t>3.64%</w:t>
            </w:r>
          </w:p>
        </w:tc>
        <w:tc>
          <w:tcPr>
            <w:tcW w:w="3040" w:type="dxa"/>
            <w:vAlign w:val="bottom"/>
            <w:shd w:val="clear" w:color="auto" w:fill="CCEEFF"/>
          </w:tcPr>
          <w:p>
            <w:pPr>
              <w:jc w:val="center"/>
              <w:ind w:left="72"/>
              <w:spacing w:after="0" w:line="237" w:lineRule="exact"/>
              <w:rPr>
                <w:sz w:val="20"/>
                <w:szCs w:val="20"/>
                <w:color w:val="auto"/>
              </w:rPr>
            </w:pPr>
            <w:r>
              <w:rPr>
                <w:rFonts w:ascii="Arial" w:cs="Arial" w:eastAsia="Arial" w:hAnsi="Arial"/>
                <w:sz w:val="22"/>
                <w:szCs w:val="22"/>
                <w:color w:val="auto"/>
                <w:w w:val="85"/>
              </w:rPr>
              <w:t>2032</w:t>
            </w:r>
          </w:p>
        </w:tc>
      </w:tr>
      <w:tr>
        <w:trPr>
          <w:trHeight w:val="243"/>
        </w:trPr>
        <w:tc>
          <w:tcPr>
            <w:tcW w:w="294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6"/>
              </w:rPr>
              <w:t>$6,000</w:t>
            </w:r>
          </w:p>
        </w:tc>
        <w:tc>
          <w:tcPr>
            <w:tcW w:w="3560" w:type="dxa"/>
            <w:vAlign w:val="bottom"/>
          </w:tcPr>
          <w:p>
            <w:pPr>
              <w:jc w:val="center"/>
              <w:spacing w:after="0" w:line="243" w:lineRule="exact"/>
              <w:rPr>
                <w:sz w:val="20"/>
                <w:szCs w:val="20"/>
                <w:color w:val="auto"/>
              </w:rPr>
            </w:pPr>
            <w:r>
              <w:rPr>
                <w:rFonts w:ascii="Arial" w:cs="Arial" w:eastAsia="Arial" w:hAnsi="Arial"/>
                <w:sz w:val="22"/>
                <w:szCs w:val="22"/>
                <w:color w:val="auto"/>
                <w:w w:val="89"/>
              </w:rPr>
              <w:t>3.89%</w:t>
            </w:r>
          </w:p>
        </w:tc>
        <w:tc>
          <w:tcPr>
            <w:tcW w:w="30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5"/>
              </w:rPr>
              <w:t>2037</w:t>
            </w:r>
          </w:p>
        </w:tc>
      </w:tr>
      <w:tr>
        <w:trPr>
          <w:trHeight w:val="243"/>
        </w:trPr>
        <w:tc>
          <w:tcPr>
            <w:tcW w:w="2940" w:type="dxa"/>
            <w:vAlign w:val="bottom"/>
            <w:shd w:val="clear" w:color="auto" w:fill="CCEEFF"/>
          </w:tcPr>
          <w:p>
            <w:pPr>
              <w:jc w:val="center"/>
              <w:ind w:right="92"/>
              <w:spacing w:after="0" w:line="243" w:lineRule="exact"/>
              <w:rPr>
                <w:sz w:val="20"/>
                <w:szCs w:val="20"/>
                <w:color w:val="auto"/>
              </w:rPr>
            </w:pPr>
            <w:r>
              <w:rPr>
                <w:rFonts w:ascii="Arial" w:cs="Arial" w:eastAsia="Arial" w:hAnsi="Arial"/>
                <w:sz w:val="22"/>
                <w:szCs w:val="22"/>
                <w:color w:val="auto"/>
                <w:w w:val="87"/>
              </w:rPr>
              <w:t>$15,000</w:t>
            </w:r>
          </w:p>
        </w:tc>
        <w:tc>
          <w:tcPr>
            <w:tcW w:w="356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9"/>
              </w:rPr>
              <w:t>3.90%</w:t>
            </w:r>
          </w:p>
        </w:tc>
        <w:tc>
          <w:tcPr>
            <w:tcW w:w="3040" w:type="dxa"/>
            <w:vAlign w:val="bottom"/>
            <w:shd w:val="clear" w:color="auto" w:fill="CCEEFF"/>
          </w:tcPr>
          <w:p>
            <w:pPr>
              <w:jc w:val="center"/>
              <w:ind w:left="72"/>
              <w:spacing w:after="0" w:line="243" w:lineRule="exact"/>
              <w:rPr>
                <w:sz w:val="20"/>
                <w:szCs w:val="20"/>
                <w:color w:val="auto"/>
              </w:rPr>
            </w:pPr>
            <w:r>
              <w:rPr>
                <w:rFonts w:ascii="Arial" w:cs="Arial" w:eastAsia="Arial" w:hAnsi="Arial"/>
                <w:sz w:val="22"/>
                <w:szCs w:val="22"/>
                <w:color w:val="auto"/>
                <w:w w:val="85"/>
              </w:rPr>
              <w:t>2038</w:t>
            </w:r>
          </w:p>
        </w:tc>
      </w:tr>
      <w:tr>
        <w:trPr>
          <w:trHeight w:val="243"/>
        </w:trPr>
        <w:tc>
          <w:tcPr>
            <w:tcW w:w="294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87"/>
              </w:rPr>
              <w:t>$10,000</w:t>
            </w:r>
          </w:p>
        </w:tc>
        <w:tc>
          <w:tcPr>
            <w:tcW w:w="3560" w:type="dxa"/>
            <w:vAlign w:val="bottom"/>
          </w:tcPr>
          <w:p>
            <w:pPr>
              <w:jc w:val="center"/>
              <w:spacing w:after="0" w:line="243" w:lineRule="exact"/>
              <w:rPr>
                <w:sz w:val="20"/>
                <w:szCs w:val="20"/>
                <w:color w:val="auto"/>
              </w:rPr>
            </w:pPr>
            <w:r>
              <w:rPr>
                <w:rFonts w:ascii="Arial" w:cs="Arial" w:eastAsia="Arial" w:hAnsi="Arial"/>
                <w:sz w:val="22"/>
                <w:szCs w:val="22"/>
                <w:color w:val="auto"/>
                <w:w w:val="89"/>
              </w:rPr>
              <w:t>4.18%</w:t>
            </w:r>
          </w:p>
        </w:tc>
        <w:tc>
          <w:tcPr>
            <w:tcW w:w="30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5"/>
              </w:rPr>
              <w:t>2047</w:t>
            </w:r>
          </w:p>
        </w:tc>
      </w:tr>
      <w:tr>
        <w:trPr>
          <w:trHeight w:val="243"/>
        </w:trPr>
        <w:tc>
          <w:tcPr>
            <w:tcW w:w="2940" w:type="dxa"/>
            <w:vAlign w:val="bottom"/>
            <w:shd w:val="clear" w:color="auto" w:fill="CCEEFF"/>
          </w:tcPr>
          <w:p>
            <w:pPr>
              <w:jc w:val="center"/>
              <w:ind w:right="92"/>
              <w:spacing w:after="0" w:line="243" w:lineRule="exact"/>
              <w:rPr>
                <w:sz w:val="20"/>
                <w:szCs w:val="20"/>
                <w:color w:val="auto"/>
              </w:rPr>
            </w:pPr>
            <w:r>
              <w:rPr>
                <w:rFonts w:ascii="Arial" w:cs="Arial" w:eastAsia="Arial" w:hAnsi="Arial"/>
                <w:sz w:val="22"/>
                <w:szCs w:val="22"/>
                <w:color w:val="auto"/>
                <w:w w:val="87"/>
              </w:rPr>
              <w:t>$22,000</w:t>
            </w:r>
          </w:p>
        </w:tc>
        <w:tc>
          <w:tcPr>
            <w:tcW w:w="356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9"/>
              </w:rPr>
              <w:t>4.22%</w:t>
            </w:r>
          </w:p>
        </w:tc>
        <w:tc>
          <w:tcPr>
            <w:tcW w:w="3040" w:type="dxa"/>
            <w:vAlign w:val="bottom"/>
            <w:shd w:val="clear" w:color="auto" w:fill="CCEEFF"/>
          </w:tcPr>
          <w:p>
            <w:pPr>
              <w:jc w:val="center"/>
              <w:ind w:left="72"/>
              <w:spacing w:after="0" w:line="243" w:lineRule="exact"/>
              <w:rPr>
                <w:sz w:val="20"/>
                <w:szCs w:val="20"/>
                <w:color w:val="auto"/>
              </w:rPr>
            </w:pPr>
            <w:r>
              <w:rPr>
                <w:rFonts w:ascii="Arial" w:cs="Arial" w:eastAsia="Arial" w:hAnsi="Arial"/>
                <w:sz w:val="22"/>
                <w:szCs w:val="22"/>
                <w:color w:val="auto"/>
                <w:w w:val="85"/>
              </w:rPr>
              <w:t>2049</w:t>
            </w:r>
          </w:p>
        </w:tc>
      </w:tr>
      <w:tr>
        <w:trPr>
          <w:trHeight w:val="275"/>
        </w:trPr>
        <w:tc>
          <w:tcPr>
            <w:tcW w:w="2940" w:type="dxa"/>
            <w:vAlign w:val="bottom"/>
          </w:tcPr>
          <w:p>
            <w:pPr>
              <w:jc w:val="center"/>
              <w:ind w:right="92"/>
              <w:spacing w:after="0"/>
              <w:rPr>
                <w:sz w:val="20"/>
                <w:szCs w:val="20"/>
                <w:color w:val="auto"/>
              </w:rPr>
            </w:pPr>
            <w:r>
              <w:rPr>
                <w:rFonts w:ascii="Arial" w:cs="Arial" w:eastAsia="Arial" w:hAnsi="Arial"/>
                <w:sz w:val="22"/>
                <w:szCs w:val="22"/>
                <w:color w:val="auto"/>
                <w:w w:val="87"/>
              </w:rPr>
              <w:t>$22,000</w:t>
            </w:r>
          </w:p>
        </w:tc>
        <w:tc>
          <w:tcPr>
            <w:tcW w:w="3560" w:type="dxa"/>
            <w:vAlign w:val="bottom"/>
          </w:tcPr>
          <w:p>
            <w:pPr>
              <w:jc w:val="center"/>
              <w:spacing w:after="0"/>
              <w:rPr>
                <w:sz w:val="20"/>
                <w:szCs w:val="20"/>
                <w:color w:val="auto"/>
              </w:rPr>
            </w:pPr>
            <w:r>
              <w:rPr>
                <w:rFonts w:ascii="Arial" w:cs="Arial" w:eastAsia="Arial" w:hAnsi="Arial"/>
                <w:sz w:val="22"/>
                <w:szCs w:val="22"/>
                <w:color w:val="auto"/>
                <w:w w:val="89"/>
              </w:rPr>
              <w:t>4.24%</w:t>
            </w:r>
          </w:p>
        </w:tc>
        <w:tc>
          <w:tcPr>
            <w:tcW w:w="3040" w:type="dxa"/>
            <w:vAlign w:val="bottom"/>
          </w:tcPr>
          <w:p>
            <w:pPr>
              <w:jc w:val="center"/>
              <w:ind w:left="72"/>
              <w:spacing w:after="0"/>
              <w:rPr>
                <w:sz w:val="20"/>
                <w:szCs w:val="20"/>
                <w:color w:val="auto"/>
              </w:rPr>
            </w:pPr>
            <w:r>
              <w:rPr>
                <w:rFonts w:ascii="Arial" w:cs="Arial" w:eastAsia="Arial" w:hAnsi="Arial"/>
                <w:sz w:val="22"/>
                <w:szCs w:val="22"/>
                <w:color w:val="auto"/>
                <w:w w:val="85"/>
              </w:rPr>
              <w:t>2050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proceeds from these bonds were used to repay existing indebtedness and for general corporate purposes.</w:t>
      </w:r>
    </w:p>
    <w:p>
      <w:pPr>
        <w:spacing w:after="0" w:line="26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 July 2017, Aqua Pennsylvania issued $80,000 of first mortgage bonds, of which $40,000 is due in 2055 and $40,000 is due in 2057 with interest rates of 4.04% and 4.06%, respectively. The proceeds from these bonds were used to repay existing indebtedness and for general corporate purposes.</w:t>
      </w:r>
    </w:p>
    <w:p>
      <w:pPr>
        <w:spacing w:after="0" w:line="194"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In January 2017, Aqua Pennsylvania issued $50,000 of first mortgage bonds, of which $10,000 is due in 2042 and $40,000 is due in 2044 with interest rates of 3.65% and 3.69%, respectively. The proceeds from these bonds were used to repay existing indebtedness and for general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Fair Value of Financial Instruments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8" w:lineRule="exact"/>
        <w:rPr>
          <w:sz w:val="20"/>
          <w:szCs w:val="20"/>
          <w:color w:val="auto"/>
        </w:rPr>
      </w:pPr>
    </w:p>
    <w:p>
      <w:pPr>
        <w:ind w:left="320" w:right="40" w:hanging="320"/>
        <w:spacing w:after="0" w:line="25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200" w:lineRule="exact"/>
        <w:rPr>
          <w:rFonts w:ascii="Arial" w:cs="Arial" w:eastAsia="Arial" w:hAnsi="Arial"/>
          <w:sz w:val="22"/>
          <w:szCs w:val="22"/>
          <w:color w:val="auto"/>
        </w:rPr>
      </w:pPr>
    </w:p>
    <w:p>
      <w:pPr>
        <w:ind w:left="320" w:right="120" w:hanging="320"/>
        <w:spacing w:after="0" w:line="252" w:lineRule="auto"/>
        <w:tabs>
          <w:tab w:leader="none" w:pos="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201" w:lineRule="exact"/>
        <w:rPr>
          <w:rFonts w:ascii="Arial" w:cs="Arial" w:eastAsia="Arial" w:hAnsi="Arial"/>
          <w:sz w:val="21"/>
          <w:szCs w:val="21"/>
          <w:color w:val="auto"/>
        </w:rPr>
      </w:pPr>
    </w:p>
    <w:p>
      <w:pPr>
        <w:ind w:left="320" w:hanging="320"/>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Level 3: inputs that are unobservable and significant to the fair value measurement.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September 30, 2017.</w:t>
      </w:r>
    </w:p>
    <w:p>
      <w:pPr>
        <w:spacing w:after="0" w:line="17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213"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September 30, 2017 and December 31, 2016, the carrying amount of the Company’s loans payable was $20,990 and $6,535, respectively, which equates to their estimated fair value. The Company’s deferred compensation plan liability is determined by the fair value of mutual funds, which are based on quoted market prices from active markets utilizing Level 1 methods and assumptions. As of September 30, 2017 and December 31, 2016, the carrying amount of these securities was $18,145 and $17,072, which equates to their fair value, and is reported in the consolidated balance sheet in deferred charges and other assets. The fair value of cash and cash equivalents, which is comprised of a money market fund, is determined based on the net asset value per unit utilizing Level 2 methods and assumptions. As of September 30, 2017 and December 31, 2016, the carrying amounts of the Company's cash and cash equivalents was $4,139 and $3,763, respectively, which equates to their fair value.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80" w:type="dxa"/>
            <w:vAlign w:val="bottom"/>
            <w:gridSpan w:val="2"/>
          </w:tcPr>
          <w:p>
            <w:pPr>
              <w:ind w:left="240"/>
              <w:spacing w:after="0"/>
              <w:rPr>
                <w:sz w:val="20"/>
                <w:szCs w:val="20"/>
                <w:color w:val="auto"/>
              </w:rPr>
            </w:pPr>
            <w:r>
              <w:rPr>
                <w:rFonts w:ascii="Arial" w:cs="Arial" w:eastAsia="Arial" w:hAnsi="Arial"/>
                <w:sz w:val="22"/>
                <w:szCs w:val="22"/>
                <w:color w:val="auto"/>
              </w:rPr>
              <w:t>September 30,</w:t>
            </w:r>
          </w:p>
        </w:tc>
        <w:tc>
          <w:tcPr>
            <w:tcW w:w="440" w:type="dxa"/>
            <w:vAlign w:val="bottom"/>
          </w:tcPr>
          <w:p>
            <w:pPr>
              <w:spacing w:after="0"/>
              <w:rPr>
                <w:sz w:val="23"/>
                <w:szCs w:val="23"/>
                <w:color w:val="auto"/>
              </w:rPr>
            </w:pPr>
          </w:p>
        </w:tc>
        <w:tc>
          <w:tcPr>
            <w:tcW w:w="2100" w:type="dxa"/>
            <w:vAlign w:val="bottom"/>
          </w:tcPr>
          <w:p>
            <w:pPr>
              <w:jc w:val="right"/>
              <w:ind w:right="552"/>
              <w:spacing w:after="0"/>
              <w:rPr>
                <w:sz w:val="20"/>
                <w:szCs w:val="20"/>
                <w:color w:val="auto"/>
              </w:rPr>
            </w:pPr>
            <w:r>
              <w:rPr>
                <w:rFonts w:ascii="Arial" w:cs="Arial" w:eastAsia="Arial" w:hAnsi="Arial"/>
                <w:sz w:val="22"/>
                <w:szCs w:val="22"/>
                <w:color w:val="auto"/>
              </w:rPr>
              <w:t>December 31,</w:t>
            </w:r>
          </w:p>
        </w:tc>
      </w:tr>
      <w:tr>
        <w:trPr>
          <w:trHeight w:val="274"/>
        </w:trPr>
        <w:tc>
          <w:tcPr>
            <w:tcW w:w="40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2017</w:t>
            </w:r>
          </w:p>
        </w:tc>
        <w:tc>
          <w:tcPr>
            <w:tcW w:w="3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rPr>
              <w:t>2016</w:t>
            </w:r>
          </w:p>
        </w:tc>
      </w:tr>
      <w:tr>
        <w:trPr>
          <w:trHeight w:val="264"/>
        </w:trPr>
        <w:tc>
          <w:tcPr>
            <w:tcW w:w="4080" w:type="dxa"/>
            <w:vAlign w:val="bottom"/>
            <w:shd w:val="clear" w:color="auto" w:fill="CCEEFF"/>
          </w:tcPr>
          <w:p>
            <w:pPr>
              <w:spacing w:after="0"/>
              <w:rPr>
                <w:sz w:val="20"/>
                <w:szCs w:val="20"/>
                <w:color w:val="auto"/>
              </w:rPr>
            </w:pPr>
            <w:r>
              <w:rPr>
                <w:rFonts w:ascii="Arial" w:cs="Arial" w:eastAsia="Arial" w:hAnsi="Arial"/>
                <w:sz w:val="22"/>
                <w:szCs w:val="22"/>
                <w:color w:val="auto"/>
              </w:rPr>
              <w:t>Carrying Amount</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2,059,031</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1,910,633</w:t>
            </w:r>
          </w:p>
        </w:tc>
      </w:tr>
      <w:tr>
        <w:trPr>
          <w:trHeight w:val="294"/>
        </w:trPr>
        <w:tc>
          <w:tcPr>
            <w:tcW w:w="4080" w:type="dxa"/>
            <w:vAlign w:val="bottom"/>
          </w:tcPr>
          <w:p>
            <w:pPr>
              <w:spacing w:after="0"/>
              <w:rPr>
                <w:sz w:val="20"/>
                <w:szCs w:val="20"/>
                <w:color w:val="auto"/>
              </w:rPr>
            </w:pPr>
            <w:r>
              <w:rPr>
                <w:rFonts w:ascii="Arial" w:cs="Arial" w:eastAsia="Arial" w:hAnsi="Arial"/>
                <w:sz w:val="22"/>
                <w:szCs w:val="22"/>
                <w:color w:val="auto"/>
              </w:rPr>
              <w:t>Estimated Fair Value</w:t>
            </w:r>
          </w:p>
        </w:tc>
        <w:tc>
          <w:tcPr>
            <w:tcW w:w="4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2,185,051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2,018,933</w:t>
            </w:r>
          </w:p>
        </w:tc>
      </w:tr>
    </w:tbl>
    <w:p>
      <w:pPr>
        <w:spacing w:after="0" w:line="225"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$107,715 as of September 30, 2017, and $91,843 as of December 31, 2016. Their relative fair values cannot be accurately estimated because future refund payments depend on several variables, including new customer connections, customer consumption levels, and future rate increases. Portions of these non-interest bearing instruments are payable annually through 2027 and amounts not paid by the respective contract expiration dates become non-refundable. The fair value of these amounts would, however, be less than their carrying value due to the non-interest bearing feature.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Net Income per Common Share</w:t>
      </w:r>
    </w:p>
    <w:p>
      <w:pPr>
        <w:spacing w:after="0" w:line="239"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22"/>
                <w:szCs w:val="22"/>
                <w:color w:val="auto"/>
                <w:w w:val="88"/>
              </w:rPr>
              <w:t>Three Months Ended</w:t>
            </w:r>
          </w:p>
        </w:tc>
        <w:tc>
          <w:tcPr>
            <w:tcW w:w="2120" w:type="dxa"/>
            <w:vAlign w:val="bottom"/>
            <w:gridSpan w:val="3"/>
          </w:tcPr>
          <w:p>
            <w:pPr>
              <w:jc w:val="right"/>
              <w:ind w:right="72"/>
              <w:spacing w:after="0"/>
              <w:rPr>
                <w:sz w:val="20"/>
                <w:szCs w:val="20"/>
                <w:color w:val="auto"/>
              </w:rPr>
            </w:pPr>
            <w:r>
              <w:rPr>
                <w:rFonts w:ascii="Arial" w:cs="Arial" w:eastAsia="Arial" w:hAnsi="Arial"/>
                <w:sz w:val="22"/>
                <w:szCs w:val="22"/>
                <w:color w:val="auto"/>
                <w:w w:val="99"/>
              </w:rPr>
              <w:t>Nine Months Ended</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22"/>
                <w:szCs w:val="22"/>
                <w:color w:val="auto"/>
                <w:w w:val="87"/>
              </w:rPr>
              <w:t>September 30,</w:t>
            </w:r>
          </w:p>
        </w:tc>
        <w:tc>
          <w:tcPr>
            <w:tcW w:w="2120" w:type="dxa"/>
            <w:vAlign w:val="bottom"/>
            <w:gridSpan w:val="3"/>
          </w:tcPr>
          <w:p>
            <w:pPr>
              <w:jc w:val="right"/>
              <w:ind w:right="312"/>
              <w:spacing w:after="0"/>
              <w:rPr>
                <w:sz w:val="20"/>
                <w:szCs w:val="20"/>
                <w:color w:val="auto"/>
              </w:rPr>
            </w:pPr>
            <w:r>
              <w:rPr>
                <w:rFonts w:ascii="Arial" w:cs="Arial" w:eastAsia="Arial" w:hAnsi="Arial"/>
                <w:sz w:val="22"/>
                <w:szCs w:val="22"/>
                <w:color w:val="auto"/>
              </w:rPr>
              <w:t>September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22"/>
                <w:szCs w:val="22"/>
                <w:color w:val="auto"/>
              </w:rPr>
              <w:t>2016</w:t>
            </w:r>
          </w:p>
        </w:tc>
        <w:tc>
          <w:tcPr>
            <w:tcW w:w="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rPr>
              <w:t>2016</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100" w:type="dxa"/>
            <w:vAlign w:val="bottom"/>
            <w:shd w:val="clear" w:color="auto" w:fill="CCEEFF"/>
          </w:tcPr>
          <w:p>
            <w:pPr>
              <w:spacing w:after="0"/>
              <w:rPr>
                <w:sz w:val="20"/>
                <w:szCs w:val="20"/>
                <w:color w:val="auto"/>
              </w:rPr>
            </w:pPr>
            <w:r>
              <w:rPr>
                <w:rFonts w:ascii="Arial" w:cs="Arial" w:eastAsia="Arial" w:hAnsi="Arial"/>
                <w:sz w:val="22"/>
                <w:szCs w:val="22"/>
                <w:color w:val="auto"/>
              </w:rPr>
              <w:t>for basic computation</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177,660</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177,336</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177,583</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177,243</w:t>
            </w: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w w:val="96"/>
              </w:rPr>
              <w:t>Dilutive effect of employee 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464</w:t>
            </w: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481</w:t>
            </w: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520</w:t>
            </w: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538</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4"/>
              </w:rPr>
              <w:t>Average common shares outstanding during the period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178,124</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177,817</w:t>
            </w:r>
          </w:p>
        </w:tc>
        <w:tc>
          <w:tcPr>
            <w:tcW w:w="1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178,103</w:t>
            </w: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177,781</w:t>
            </w:r>
          </w:p>
        </w:tc>
        <w:tc>
          <w:tcPr>
            <w:tcW w:w="0" w:type="dxa"/>
            <w:vAlign w:val="bottom"/>
          </w:tcPr>
          <w:p>
            <w:pPr>
              <w:spacing w:after="0"/>
              <w:rPr>
                <w:sz w:val="1"/>
                <w:szCs w:val="1"/>
                <w:color w:val="auto"/>
              </w:rPr>
            </w:pPr>
          </w:p>
        </w:tc>
      </w:tr>
      <w:tr>
        <w:trPr>
          <w:trHeight w:val="258"/>
        </w:trPr>
        <w:tc>
          <w:tcPr>
            <w:tcW w:w="510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22"/>
                <w:szCs w:val="22"/>
                <w:color w:val="auto"/>
              </w:rPr>
              <w:t>for diluted computation</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For the three and nine months ended September 30, 2017 and 2016, all of the Company’s employee stock options were included in the calculations of diluted net income per share as the calculated cost to exercise the stock options was less than the average market price of the Company’s common stock during these periods.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Stock-based Compensation</w:t>
      </w:r>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The 2009 Plan authorizes 6,250,000 shares for issuance under the plan. A maximum of 3,125,000 shares under the 2009 Plan may be issued pursuant to stock awards, stock units and other stock-based awards, subject to adjustment as provided in the 2009 Plan. During any calendar year, no individual may be granted</w:t>
      </w:r>
    </w:p>
    <w:p>
      <w:pPr>
        <w:spacing w:after="0" w:line="5" w:lineRule="exact"/>
        <w:rPr>
          <w:sz w:val="20"/>
          <w:szCs w:val="20"/>
          <w:color w:val="auto"/>
        </w:rPr>
      </w:pPr>
    </w:p>
    <w:p>
      <w:pPr>
        <w:ind w:right="60"/>
        <w:spacing w:after="0" w:line="243" w:lineRule="auto"/>
        <w:tabs>
          <w:tab w:leader="none" w:pos="258" w:val="left"/>
        </w:tabs>
        <w:numPr>
          <w:ilvl w:val="0"/>
          <w:numId w:val="6"/>
        </w:numPr>
        <w:rPr>
          <w:rFonts w:ascii="Arial" w:cs="Arial" w:eastAsia="Arial" w:hAnsi="Arial"/>
          <w:sz w:val="21"/>
          <w:szCs w:val="21"/>
          <w:color w:val="auto"/>
        </w:rPr>
      </w:pPr>
      <w:r>
        <w:rPr>
          <w:rFonts w:ascii="Arial" w:cs="Arial" w:eastAsia="Arial" w:hAnsi="Arial"/>
          <w:sz w:val="21"/>
          <w:szCs w:val="21"/>
          <w:color w:val="auto"/>
        </w:rPr>
        <w:t>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2017, 3,741,526 shares were still available for issuance under the 2009 Plan. No further grants may be made under the 2004 Plan.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common stock if specified performance goals are met over the three-year performance period specified in the grant, subject to exceptions through the respective vesting period,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22"/>
                <w:szCs w:val="22"/>
                <w:color w:val="auto"/>
                <w:w w:val="88"/>
              </w:rPr>
              <w:t>Three Months Ended</w:t>
            </w:r>
          </w:p>
        </w:tc>
        <w:tc>
          <w:tcPr>
            <w:tcW w:w="280" w:type="dxa"/>
            <w:vAlign w:val="bottom"/>
          </w:tcPr>
          <w:p>
            <w:pPr>
              <w:spacing w:after="0"/>
              <w:rPr>
                <w:sz w:val="23"/>
                <w:szCs w:val="23"/>
                <w:color w:val="auto"/>
              </w:rPr>
            </w:pPr>
          </w:p>
        </w:tc>
        <w:tc>
          <w:tcPr>
            <w:tcW w:w="2300" w:type="dxa"/>
            <w:vAlign w:val="bottom"/>
            <w:gridSpan w:val="4"/>
          </w:tcPr>
          <w:p>
            <w:pPr>
              <w:ind w:left="140"/>
              <w:spacing w:after="0"/>
              <w:rPr>
                <w:sz w:val="20"/>
                <w:szCs w:val="20"/>
                <w:color w:val="auto"/>
              </w:rPr>
            </w:pPr>
            <w:r>
              <w:rPr>
                <w:rFonts w:ascii="Arial" w:cs="Arial" w:eastAsia="Arial" w:hAnsi="Arial"/>
                <w:sz w:val="22"/>
                <w:szCs w:val="22"/>
                <w:color w:val="auto"/>
              </w:rPr>
              <w:t>Nine Months Ended</w:t>
            </w:r>
          </w:p>
        </w:tc>
      </w:tr>
      <w:tr>
        <w:trPr>
          <w:trHeight w:val="274"/>
        </w:trPr>
        <w:tc>
          <w:tcPr>
            <w:tcW w:w="4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0" w:type="dxa"/>
            <w:vAlign w:val="bottom"/>
            <w:gridSpan w:val="5"/>
          </w:tcPr>
          <w:p>
            <w:pPr>
              <w:jc w:val="center"/>
              <w:ind w:right="480"/>
              <w:spacing w:after="0"/>
              <w:rPr>
                <w:sz w:val="20"/>
                <w:szCs w:val="20"/>
                <w:color w:val="auto"/>
              </w:rPr>
            </w:pPr>
            <w:r>
              <w:rPr>
                <w:rFonts w:ascii="Arial" w:cs="Arial" w:eastAsia="Arial" w:hAnsi="Arial"/>
                <w:sz w:val="22"/>
                <w:szCs w:val="22"/>
                <w:color w:val="auto"/>
                <w:w w:val="85"/>
              </w:rPr>
              <w:t>September 30,</w:t>
            </w:r>
          </w:p>
        </w:tc>
        <w:tc>
          <w:tcPr>
            <w:tcW w:w="280" w:type="dxa"/>
            <w:vAlign w:val="bottom"/>
          </w:tcPr>
          <w:p>
            <w:pPr>
              <w:spacing w:after="0"/>
              <w:rPr>
                <w:sz w:val="23"/>
                <w:szCs w:val="23"/>
                <w:color w:val="auto"/>
              </w:rPr>
            </w:pPr>
          </w:p>
        </w:tc>
        <w:tc>
          <w:tcPr>
            <w:tcW w:w="2300" w:type="dxa"/>
            <w:vAlign w:val="bottom"/>
            <w:gridSpan w:val="4"/>
          </w:tcPr>
          <w:p>
            <w:pPr>
              <w:ind w:left="380"/>
              <w:spacing w:after="0"/>
              <w:rPr>
                <w:sz w:val="20"/>
                <w:szCs w:val="20"/>
                <w:color w:val="auto"/>
              </w:rPr>
            </w:pPr>
            <w:r>
              <w:rPr>
                <w:rFonts w:ascii="Arial" w:cs="Arial" w:eastAsia="Arial" w:hAnsi="Arial"/>
                <w:sz w:val="22"/>
                <w:szCs w:val="22"/>
                <w:color w:val="auto"/>
              </w:rPr>
              <w:t>September 30,</w:t>
            </w:r>
          </w:p>
        </w:tc>
      </w:tr>
      <w:tr>
        <w:trPr>
          <w:trHeight w:val="264"/>
        </w:trPr>
        <w:tc>
          <w:tcPr>
            <w:tcW w:w="40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2016</w:t>
            </w:r>
          </w:p>
        </w:tc>
        <w:tc>
          <w:tcPr>
            <w:tcW w:w="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color w:val="auto"/>
              </w:rPr>
              <w:t>2016</w:t>
            </w:r>
          </w:p>
        </w:tc>
      </w:tr>
      <w:tr>
        <w:trPr>
          <w:trHeight w:val="202"/>
        </w:trPr>
        <w:tc>
          <w:tcPr>
            <w:tcW w:w="40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2"/>
              </w:rPr>
              <w:t>Stock-based compensation within operations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65"/>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1,035</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1,012</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22"/>
                <w:szCs w:val="22"/>
                <w:color w:val="auto"/>
                <w:w w:val="94"/>
              </w:rPr>
              <w:t>2,875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2,504</w:t>
            </w:r>
          </w:p>
        </w:tc>
      </w:tr>
      <w:tr>
        <w:trPr>
          <w:trHeight w:val="294"/>
        </w:trPr>
        <w:tc>
          <w:tcPr>
            <w:tcW w:w="406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420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411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22"/>
                <w:szCs w:val="22"/>
                <w:color w:val="auto"/>
                <w:w w:val="94"/>
              </w:rPr>
              <w:t>1,167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1,013</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PSU transactions for the nine months ended September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3"/>
                <w:szCs w:val="23"/>
                <w:color w:val="auto"/>
              </w:rPr>
            </w:pPr>
          </w:p>
        </w:tc>
        <w:tc>
          <w:tcPr>
            <w:tcW w:w="102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84"/>
        </w:trPr>
        <w:tc>
          <w:tcPr>
            <w:tcW w:w="684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4"/>
                <w:szCs w:val="24"/>
                <w:color w:val="auto"/>
              </w:rPr>
            </w:pPr>
          </w:p>
        </w:tc>
        <w:tc>
          <w:tcPr>
            <w:tcW w:w="1020" w:type="dxa"/>
            <w:vAlign w:val="bottom"/>
          </w:tcPr>
          <w:p>
            <w:pPr>
              <w:jc w:val="center"/>
              <w:ind w:right="72"/>
              <w:spacing w:after="0"/>
              <w:rPr>
                <w:sz w:val="20"/>
                <w:szCs w:val="20"/>
                <w:color w:val="auto"/>
              </w:rPr>
            </w:pPr>
            <w:r>
              <w:rPr>
                <w:rFonts w:ascii="Arial" w:cs="Arial" w:eastAsia="Arial" w:hAnsi="Arial"/>
                <w:sz w:val="22"/>
                <w:szCs w:val="22"/>
                <w:color w:val="auto"/>
                <w:w w:val="87"/>
              </w:rPr>
              <w:t>Average</w:t>
            </w:r>
          </w:p>
        </w:tc>
      </w:tr>
      <w:tr>
        <w:trPr>
          <w:trHeight w:val="274"/>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Share Units</w:t>
            </w:r>
          </w:p>
        </w:tc>
        <w:tc>
          <w:tcPr>
            <w:tcW w:w="1220" w:type="dxa"/>
            <w:vAlign w:val="bottom"/>
            <w:gridSpan w:val="2"/>
          </w:tcPr>
          <w:p>
            <w:pPr>
              <w:jc w:val="center"/>
              <w:spacing w:after="0"/>
              <w:rPr>
                <w:sz w:val="20"/>
                <w:szCs w:val="20"/>
                <w:color w:val="auto"/>
              </w:rPr>
            </w:pPr>
            <w:r>
              <w:rPr>
                <w:rFonts w:ascii="Arial" w:cs="Arial" w:eastAsia="Arial" w:hAnsi="Arial"/>
                <w:sz w:val="22"/>
                <w:szCs w:val="22"/>
                <w:color w:val="auto"/>
                <w:w w:val="89"/>
              </w:rPr>
              <w:t>Fair Value</w:t>
            </w:r>
          </w:p>
        </w:tc>
      </w:tr>
      <w:tr>
        <w:trPr>
          <w:trHeight w:val="264"/>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476,896</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27.96</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rPr>
                <w:sz w:val="20"/>
                <w:szCs w:val="20"/>
                <w:color w:val="auto"/>
              </w:rPr>
            </w:pPr>
            <w:r>
              <w:rPr>
                <w:rFonts w:ascii="Arial" w:cs="Arial" w:eastAsia="Arial" w:hAnsi="Arial"/>
                <w:sz w:val="22"/>
                <w:szCs w:val="22"/>
                <w:color w:val="auto"/>
              </w:rPr>
              <w:t>125,202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30.79</w:t>
            </w:r>
          </w:p>
        </w:tc>
      </w:tr>
      <w:tr>
        <w:trPr>
          <w:trHeight w:val="284"/>
        </w:trPr>
        <w:tc>
          <w:tcPr>
            <w:tcW w:w="6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Performance criteria adjustment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(64,398)</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27.75</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Forfeited</w:t>
            </w:r>
          </w:p>
        </w:tc>
        <w:tc>
          <w:tcPr>
            <w:tcW w:w="1480" w:type="dxa"/>
            <w:vAlign w:val="bottom"/>
            <w:gridSpan w:val="2"/>
          </w:tcPr>
          <w:p>
            <w:pPr>
              <w:jc w:val="right"/>
              <w:ind w:right="180"/>
              <w:spacing w:after="0"/>
              <w:rPr>
                <w:sz w:val="20"/>
                <w:szCs w:val="20"/>
                <w:color w:val="auto"/>
              </w:rPr>
            </w:pPr>
            <w:r>
              <w:rPr>
                <w:rFonts w:ascii="Arial" w:cs="Arial" w:eastAsia="Arial" w:hAnsi="Arial"/>
                <w:sz w:val="22"/>
                <w:szCs w:val="22"/>
                <w:color w:val="auto"/>
              </w:rPr>
              <w:t>(16,306)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28.26</w:t>
            </w:r>
          </w:p>
        </w:tc>
      </w:tr>
      <w:tr>
        <w:trPr>
          <w:trHeight w:val="284"/>
        </w:trPr>
        <w:tc>
          <w:tcPr>
            <w:tcW w:w="6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Share units vested in prior period and issued in current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32,400</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25.31</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Share units issued</w:t>
            </w:r>
          </w:p>
        </w:tc>
        <w:tc>
          <w:tcPr>
            <w:tcW w:w="1480" w:type="dxa"/>
            <w:vAlign w:val="bottom"/>
            <w:gridSpan w:val="2"/>
          </w:tcPr>
          <w:p>
            <w:pPr>
              <w:jc w:val="right"/>
              <w:ind w:right="180"/>
              <w:spacing w:after="0"/>
              <w:rPr>
                <w:sz w:val="20"/>
                <w:szCs w:val="20"/>
                <w:color w:val="auto"/>
              </w:rPr>
            </w:pPr>
            <w:r>
              <w:rPr>
                <w:rFonts w:ascii="Arial" w:cs="Arial" w:eastAsia="Arial" w:hAnsi="Arial"/>
                <w:sz w:val="22"/>
                <w:szCs w:val="22"/>
                <w:color w:val="auto"/>
              </w:rPr>
              <w:t>(125,999)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36.37</w:t>
            </w:r>
          </w:p>
        </w:tc>
      </w:tr>
      <w:tr>
        <w:trPr>
          <w:trHeight w:val="257"/>
        </w:trPr>
        <w:tc>
          <w:tcPr>
            <w:tcW w:w="684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Nonvested share units at end of period</w:t>
            </w:r>
          </w:p>
        </w:tc>
        <w:tc>
          <w:tcPr>
            <w:tcW w:w="13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427,795</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102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26.13</w:t>
            </w:r>
          </w:p>
        </w:tc>
      </w:tr>
    </w:tbl>
    <w:p>
      <w:pPr>
        <w:spacing w:after="0" w:line="200" w:lineRule="exact"/>
        <w:rPr>
          <w:sz w:val="20"/>
          <w:szCs w:val="20"/>
          <w:color w:val="auto"/>
        </w:rPr>
      </w:pPr>
    </w:p>
    <w:p>
      <w:pPr>
        <w:spacing w:after="0" w:line="278"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w:t>
      </w:r>
    </w:p>
    <w:p>
      <w:pPr>
        <w:spacing w:after="0" w:line="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nine months ended September 30, 2017 and 2016 was $30.79 and $28.89,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common stock. RSUs are eligible to be earned at the end of a specified restricted period,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22"/>
                <w:szCs w:val="22"/>
                <w:color w:val="auto"/>
                <w:w w:val="88"/>
              </w:rPr>
              <w:t>Three Months Ended</w:t>
            </w:r>
          </w:p>
        </w:tc>
        <w:tc>
          <w:tcPr>
            <w:tcW w:w="280" w:type="dxa"/>
            <w:vAlign w:val="bottom"/>
          </w:tcPr>
          <w:p>
            <w:pPr>
              <w:spacing w:after="0"/>
              <w:rPr>
                <w:sz w:val="23"/>
                <w:szCs w:val="23"/>
                <w:color w:val="auto"/>
              </w:rPr>
            </w:pPr>
          </w:p>
        </w:tc>
        <w:tc>
          <w:tcPr>
            <w:tcW w:w="2520" w:type="dxa"/>
            <w:vAlign w:val="bottom"/>
            <w:gridSpan w:val="4"/>
          </w:tcPr>
          <w:p>
            <w:pPr>
              <w:jc w:val="right"/>
              <w:ind w:right="412"/>
              <w:spacing w:after="0"/>
              <w:rPr>
                <w:sz w:val="20"/>
                <w:szCs w:val="20"/>
                <w:color w:val="auto"/>
              </w:rPr>
            </w:pPr>
            <w:r>
              <w:rPr>
                <w:rFonts w:ascii="Arial" w:cs="Arial" w:eastAsia="Arial" w:hAnsi="Arial"/>
                <w:sz w:val="22"/>
                <w:szCs w:val="22"/>
                <w:color w:val="auto"/>
              </w:rPr>
              <w:t>Nine Months Ended</w:t>
            </w:r>
          </w:p>
        </w:tc>
      </w:tr>
      <w:tr>
        <w:trPr>
          <w:trHeight w:val="274"/>
        </w:trPr>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22"/>
                <w:szCs w:val="22"/>
                <w:color w:val="auto"/>
                <w:w w:val="85"/>
              </w:rPr>
              <w:t>September 30,</w:t>
            </w:r>
          </w:p>
        </w:tc>
        <w:tc>
          <w:tcPr>
            <w:tcW w:w="280" w:type="dxa"/>
            <w:vAlign w:val="bottom"/>
          </w:tcPr>
          <w:p>
            <w:pPr>
              <w:spacing w:after="0"/>
              <w:rPr>
                <w:sz w:val="23"/>
                <w:szCs w:val="23"/>
                <w:color w:val="auto"/>
              </w:rPr>
            </w:pPr>
          </w:p>
        </w:tc>
        <w:tc>
          <w:tcPr>
            <w:tcW w:w="2520" w:type="dxa"/>
            <w:vAlign w:val="bottom"/>
            <w:gridSpan w:val="4"/>
          </w:tcPr>
          <w:p>
            <w:pPr>
              <w:jc w:val="right"/>
              <w:ind w:right="672"/>
              <w:spacing w:after="0"/>
              <w:rPr>
                <w:sz w:val="20"/>
                <w:szCs w:val="20"/>
                <w:color w:val="auto"/>
              </w:rPr>
            </w:pPr>
            <w:r>
              <w:rPr>
                <w:rFonts w:ascii="Arial" w:cs="Arial" w:eastAsia="Arial" w:hAnsi="Arial"/>
                <w:sz w:val="22"/>
                <w:szCs w:val="22"/>
                <w:color w:val="auto"/>
              </w:rPr>
              <w:t>September 30,</w:t>
            </w:r>
          </w:p>
        </w:tc>
      </w:tr>
      <w:tr>
        <w:trPr>
          <w:trHeight w:val="264"/>
        </w:trPr>
        <w:tc>
          <w:tcPr>
            <w:tcW w:w="4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color w:val="auto"/>
              </w:rPr>
              <w:t>2016</w:t>
            </w:r>
          </w:p>
        </w:tc>
        <w:tc>
          <w:tcPr>
            <w:tcW w:w="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color w:val="auto"/>
              </w:rPr>
              <w:t>2016</w:t>
            </w:r>
          </w:p>
        </w:tc>
      </w:tr>
      <w:tr>
        <w:trPr>
          <w:trHeight w:val="202"/>
        </w:trPr>
        <w:tc>
          <w:tcPr>
            <w:tcW w:w="41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65"/>
        </w:trPr>
        <w:tc>
          <w:tcPr>
            <w:tcW w:w="4100" w:type="dxa"/>
            <w:vAlign w:val="bottom"/>
            <w:shd w:val="clear" w:color="auto" w:fill="CCEEFF"/>
          </w:tcPr>
          <w:p>
            <w:pPr>
              <w:spacing w:after="0"/>
              <w:rPr>
                <w:sz w:val="20"/>
                <w:szCs w:val="20"/>
                <w:color w:val="auto"/>
              </w:rPr>
            </w:pPr>
            <w:r>
              <w:rPr>
                <w:rFonts w:ascii="Arial" w:cs="Arial" w:eastAsia="Arial" w:hAnsi="Arial"/>
                <w:sz w:val="22"/>
                <w:szCs w:val="22"/>
                <w:color w:val="auto"/>
              </w:rPr>
              <w:t>and maintenance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311</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299</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763</w:t>
            </w:r>
          </w:p>
        </w:tc>
      </w:tr>
      <w:tr>
        <w:trPr>
          <w:trHeight w:val="294"/>
        </w:trPr>
        <w:tc>
          <w:tcPr>
            <w:tcW w:w="410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124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378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RSU transactions for the nine months ended September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60" w:type="dxa"/>
            <w:vAlign w:val="bottom"/>
          </w:tcPr>
          <w:p>
            <w:pPr>
              <w:spacing w:after="0"/>
              <w:rPr>
                <w:sz w:val="23"/>
                <w:szCs w:val="23"/>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320" w:type="dxa"/>
            <w:vAlign w:val="bottom"/>
          </w:tcPr>
          <w:p>
            <w:pPr>
              <w:spacing w:after="0"/>
              <w:rPr>
                <w:sz w:val="23"/>
                <w:szCs w:val="23"/>
                <w:color w:val="auto"/>
              </w:rPr>
            </w:pPr>
          </w:p>
        </w:tc>
        <w:tc>
          <w:tcPr>
            <w:tcW w:w="1400" w:type="dxa"/>
            <w:vAlign w:val="bottom"/>
          </w:tcPr>
          <w:p>
            <w:pPr>
              <w:jc w:val="center"/>
              <w:ind w:right="192"/>
              <w:spacing w:after="0"/>
              <w:rPr>
                <w:sz w:val="20"/>
                <w:szCs w:val="20"/>
                <w:color w:val="auto"/>
              </w:rPr>
            </w:pPr>
            <w:r>
              <w:rPr>
                <w:rFonts w:ascii="Arial" w:cs="Arial" w:eastAsia="Arial" w:hAnsi="Arial"/>
                <w:sz w:val="22"/>
                <w:szCs w:val="22"/>
                <w:color w:val="auto"/>
                <w:w w:val="88"/>
              </w:rPr>
              <w:t>Weighted</w:t>
            </w:r>
          </w:p>
        </w:tc>
      </w:tr>
      <w:tr>
        <w:trPr>
          <w:trHeight w:val="284"/>
        </w:trPr>
        <w:tc>
          <w:tcPr>
            <w:tcW w:w="606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22"/>
                <w:szCs w:val="22"/>
                <w:color w:val="auto"/>
                <w:w w:val="97"/>
              </w:rPr>
              <w:t>of</w:t>
            </w:r>
          </w:p>
        </w:tc>
        <w:tc>
          <w:tcPr>
            <w:tcW w:w="320" w:type="dxa"/>
            <w:vAlign w:val="bottom"/>
          </w:tcPr>
          <w:p>
            <w:pPr>
              <w:spacing w:after="0"/>
              <w:rPr>
                <w:sz w:val="24"/>
                <w:szCs w:val="24"/>
                <w:color w:val="auto"/>
              </w:rPr>
            </w:pPr>
          </w:p>
        </w:tc>
        <w:tc>
          <w:tcPr>
            <w:tcW w:w="1400" w:type="dxa"/>
            <w:vAlign w:val="bottom"/>
          </w:tcPr>
          <w:p>
            <w:pPr>
              <w:jc w:val="center"/>
              <w:ind w:right="212"/>
              <w:spacing w:after="0"/>
              <w:rPr>
                <w:sz w:val="20"/>
                <w:szCs w:val="20"/>
                <w:color w:val="auto"/>
              </w:rPr>
            </w:pPr>
            <w:r>
              <w:rPr>
                <w:rFonts w:ascii="Arial" w:cs="Arial" w:eastAsia="Arial" w:hAnsi="Arial"/>
                <w:sz w:val="22"/>
                <w:szCs w:val="22"/>
                <w:color w:val="auto"/>
                <w:w w:val="87"/>
              </w:rPr>
              <w:t>Average</w:t>
            </w:r>
          </w:p>
        </w:tc>
      </w:tr>
      <w:tr>
        <w:trPr>
          <w:trHeight w:val="274"/>
        </w:trPr>
        <w:tc>
          <w:tcPr>
            <w:tcW w:w="6060" w:type="dxa"/>
            <w:vAlign w:val="bottom"/>
          </w:tcPr>
          <w:p>
            <w:pPr>
              <w:spacing w:after="0"/>
              <w:rPr>
                <w:sz w:val="23"/>
                <w:szCs w:val="23"/>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22"/>
                <w:szCs w:val="22"/>
                <w:color w:val="auto"/>
                <w:w w:val="91"/>
              </w:rPr>
              <w:t>Stock Units</w:t>
            </w:r>
          </w:p>
        </w:tc>
        <w:tc>
          <w:tcPr>
            <w:tcW w:w="320" w:type="dxa"/>
            <w:vAlign w:val="bottom"/>
          </w:tcPr>
          <w:p>
            <w:pPr>
              <w:spacing w:after="0"/>
              <w:rPr>
                <w:sz w:val="23"/>
                <w:szCs w:val="23"/>
                <w:color w:val="auto"/>
              </w:rPr>
            </w:pPr>
          </w:p>
        </w:tc>
        <w:tc>
          <w:tcPr>
            <w:tcW w:w="1400" w:type="dxa"/>
            <w:vAlign w:val="bottom"/>
          </w:tcPr>
          <w:p>
            <w:pPr>
              <w:jc w:val="center"/>
              <w:ind w:right="192"/>
              <w:spacing w:after="0"/>
              <w:rPr>
                <w:sz w:val="20"/>
                <w:szCs w:val="20"/>
                <w:color w:val="auto"/>
              </w:rPr>
            </w:pPr>
            <w:r>
              <w:rPr>
                <w:rFonts w:ascii="Arial" w:cs="Arial" w:eastAsia="Arial" w:hAnsi="Arial"/>
                <w:sz w:val="22"/>
                <w:szCs w:val="22"/>
                <w:color w:val="auto"/>
                <w:w w:val="89"/>
              </w:rPr>
              <w:t>Fair Value</w:t>
            </w:r>
          </w:p>
        </w:tc>
      </w:tr>
      <w:tr>
        <w:trPr>
          <w:trHeight w:val="264"/>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Nonvested stock units at beginning of period</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109,273</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28.48</w:t>
            </w:r>
          </w:p>
        </w:tc>
      </w:tr>
      <w:tr>
        <w:trPr>
          <w:trHeight w:val="284"/>
        </w:trPr>
        <w:tc>
          <w:tcPr>
            <w:tcW w:w="6060" w:type="dxa"/>
            <w:vAlign w:val="bottom"/>
          </w:tcPr>
          <w:p>
            <w:pPr>
              <w:ind w:left="100"/>
              <w:spacing w:after="0"/>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rPr>
                <w:sz w:val="20"/>
                <w:szCs w:val="20"/>
                <w:color w:val="auto"/>
              </w:rPr>
            </w:pPr>
            <w:r>
              <w:rPr>
                <w:rFonts w:ascii="Arial" w:cs="Arial" w:eastAsia="Arial" w:hAnsi="Arial"/>
                <w:sz w:val="22"/>
                <w:szCs w:val="22"/>
                <w:color w:val="auto"/>
              </w:rPr>
              <w:t>41,293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30.37</w:t>
            </w:r>
          </w:p>
        </w:tc>
      </w:tr>
      <w:tr>
        <w:trPr>
          <w:trHeight w:val="284"/>
        </w:trPr>
        <w:tc>
          <w:tcPr>
            <w:tcW w:w="60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Stock units vested and issued</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(26,914)</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26.18</w:t>
            </w:r>
          </w:p>
        </w:tc>
      </w:tr>
      <w:tr>
        <w:trPr>
          <w:trHeight w:val="284"/>
        </w:trPr>
        <w:tc>
          <w:tcPr>
            <w:tcW w:w="6060" w:type="dxa"/>
            <w:vAlign w:val="bottom"/>
          </w:tcPr>
          <w:p>
            <w:pPr>
              <w:ind w:left="100"/>
              <w:spacing w:after="0"/>
              <w:rPr>
                <w:sz w:val="20"/>
                <w:szCs w:val="20"/>
                <w:color w:val="auto"/>
              </w:rPr>
            </w:pPr>
            <w:r>
              <w:rPr>
                <w:rFonts w:ascii="Arial" w:cs="Arial" w:eastAsia="Arial" w:hAnsi="Arial"/>
                <w:sz w:val="22"/>
                <w:szCs w:val="22"/>
                <w:color w:val="auto"/>
              </w:rPr>
              <w:t>Forfeited</w:t>
            </w: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(2,287)</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30.52</w:t>
            </w:r>
          </w:p>
        </w:tc>
      </w:tr>
      <w:tr>
        <w:trPr>
          <w:trHeight w:val="257"/>
        </w:trPr>
        <w:tc>
          <w:tcPr>
            <w:tcW w:w="606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Nonvested stock units at end of period</w:t>
            </w:r>
          </w:p>
        </w:tc>
        <w:tc>
          <w:tcPr>
            <w:tcW w:w="15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121,365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140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29.60</w:t>
            </w:r>
          </w:p>
        </w:tc>
      </w:tr>
    </w:tbl>
    <w:p>
      <w:pPr>
        <w:spacing w:after="0" w:line="235"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per unit weighted-average fair value at the date of grant for RSUs granted during the nine months ended September 30, 2017 and 2016 was $30.37 and $32.09, respectively.</w:t>
      </w:r>
    </w:p>
    <w:p>
      <w:pPr>
        <w:spacing w:after="0" w:line="200"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00" w:type="dxa"/>
            <w:vAlign w:val="bottom"/>
          </w:tcPr>
          <w:p>
            <w:pPr>
              <w:spacing w:after="0"/>
              <w:rPr>
                <w:sz w:val="23"/>
                <w:szCs w:val="23"/>
                <w:color w:val="auto"/>
              </w:rPr>
            </w:pPr>
          </w:p>
        </w:tc>
        <w:tc>
          <w:tcPr>
            <w:tcW w:w="2160" w:type="dxa"/>
            <w:vAlign w:val="bottom"/>
            <w:gridSpan w:val="4"/>
          </w:tcPr>
          <w:p>
            <w:pPr>
              <w:jc w:val="center"/>
              <w:ind w:left="192"/>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4"/>
          </w:tcPr>
          <w:p>
            <w:pPr>
              <w:jc w:val="right"/>
              <w:ind w:right="192"/>
              <w:spacing w:after="0"/>
              <w:rPr>
                <w:sz w:val="20"/>
                <w:szCs w:val="20"/>
                <w:color w:val="auto"/>
              </w:rPr>
            </w:pPr>
            <w:r>
              <w:rPr>
                <w:rFonts w:ascii="Arial" w:cs="Arial" w:eastAsia="Arial" w:hAnsi="Arial"/>
                <w:sz w:val="22"/>
                <w:szCs w:val="22"/>
                <w:color w:val="auto"/>
                <w:w w:val="93"/>
              </w:rPr>
              <w:t>Nine Months Ended</w:t>
            </w:r>
          </w:p>
        </w:tc>
        <w:tc>
          <w:tcPr>
            <w:tcW w:w="40" w:type="dxa"/>
            <w:vAlign w:val="bottom"/>
          </w:tcPr>
          <w:p>
            <w:pPr>
              <w:spacing w:after="0"/>
              <w:rPr>
                <w:sz w:val="23"/>
                <w:szCs w:val="23"/>
                <w:color w:val="auto"/>
              </w:rPr>
            </w:pPr>
          </w:p>
        </w:tc>
      </w:tr>
      <w:tr>
        <w:trPr>
          <w:trHeight w:val="274"/>
        </w:trPr>
        <w:tc>
          <w:tcPr>
            <w:tcW w:w="4500" w:type="dxa"/>
            <w:vAlign w:val="bottom"/>
          </w:tcPr>
          <w:p>
            <w:pPr>
              <w:spacing w:after="0"/>
              <w:rPr>
                <w:sz w:val="23"/>
                <w:szCs w:val="23"/>
                <w:color w:val="auto"/>
              </w:rPr>
            </w:pPr>
          </w:p>
        </w:tc>
        <w:tc>
          <w:tcPr>
            <w:tcW w:w="216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22"/>
                <w:szCs w:val="22"/>
                <w:color w:val="auto"/>
                <w:w w:val="87"/>
              </w:rPr>
              <w:t>September 30,</w:t>
            </w:r>
          </w:p>
        </w:tc>
        <w:tc>
          <w:tcPr>
            <w:tcW w:w="3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22"/>
                <w:szCs w:val="22"/>
                <w:color w:val="auto"/>
              </w:rPr>
              <w:t>September 30,</w:t>
            </w:r>
          </w:p>
        </w:tc>
        <w:tc>
          <w:tcPr>
            <w:tcW w:w="40" w:type="dxa"/>
            <w:vAlign w:val="bottom"/>
          </w:tcPr>
          <w:p>
            <w:pPr>
              <w:spacing w:after="0"/>
              <w:rPr>
                <w:sz w:val="23"/>
                <w:szCs w:val="23"/>
                <w:color w:val="auto"/>
              </w:rPr>
            </w:pPr>
          </w:p>
        </w:tc>
      </w:tr>
      <w:tr>
        <w:trPr>
          <w:trHeight w:val="264"/>
        </w:trPr>
        <w:tc>
          <w:tcPr>
            <w:tcW w:w="45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2017</w:t>
            </w: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2016</w:t>
            </w: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2017</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2016</w:t>
            </w:r>
          </w:p>
        </w:tc>
        <w:tc>
          <w:tcPr>
            <w:tcW w:w="40" w:type="dxa"/>
            <w:vAlign w:val="bottom"/>
          </w:tcPr>
          <w:p>
            <w:pPr>
              <w:spacing w:after="0"/>
              <w:rPr>
                <w:sz w:val="22"/>
                <w:szCs w:val="22"/>
                <w:color w:val="auto"/>
              </w:rPr>
            </w:pPr>
          </w:p>
        </w:tc>
      </w:tr>
      <w:tr>
        <w:trPr>
          <w:trHeight w:val="202"/>
        </w:trPr>
        <w:tc>
          <w:tcPr>
            <w:tcW w:w="45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 and</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450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820" w:type="dxa"/>
            <w:vAlign w:val="bottom"/>
            <w:shd w:val="clear" w:color="auto" w:fill="CCEEFF"/>
          </w:tcPr>
          <w:p>
            <w:pPr>
              <w:jc w:val="right"/>
              <w:ind w:right="512"/>
              <w:spacing w:after="0"/>
              <w:rPr>
                <w:sz w:val="20"/>
                <w:szCs w:val="20"/>
                <w:color w:val="auto"/>
              </w:rPr>
            </w:pPr>
            <w:r>
              <w:rPr>
                <w:rFonts w:ascii="Arial" w:cs="Arial" w:eastAsia="Arial" w:hAnsi="Arial"/>
                <w:sz w:val="22"/>
                <w:szCs w:val="2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73</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2"/>
              <w:spacing w:after="0"/>
              <w:rPr>
                <w:sz w:val="20"/>
                <w:szCs w:val="20"/>
                <w:color w:val="auto"/>
              </w:rPr>
            </w:pPr>
            <w:r>
              <w:rPr>
                <w:rFonts w:ascii="Arial" w:cs="Arial" w:eastAsia="Arial" w:hAnsi="Arial"/>
                <w:sz w:val="22"/>
                <w:szCs w:val="2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r>
      <w:tr>
        <w:trPr>
          <w:trHeight w:val="294"/>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w w:val="97"/>
              </w:rPr>
              <w:t>43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89"/>
              </w:rPr>
              <w:t>15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249</w:t>
            </w:r>
          </w:p>
        </w:tc>
        <w:tc>
          <w:tcPr>
            <w:tcW w:w="40" w:type="dxa"/>
            <w:vAlign w:val="bottom"/>
          </w:tcPr>
          <w:p>
            <w:pPr>
              <w:spacing w:after="0"/>
              <w:rPr>
                <w:sz w:val="24"/>
                <w:szCs w:val="24"/>
                <w:color w:val="auto"/>
              </w:rPr>
            </w:pPr>
          </w:p>
        </w:tc>
      </w:tr>
      <w:tr>
        <w:trPr>
          <w:trHeight w:val="459"/>
        </w:trPr>
        <w:tc>
          <w:tcPr>
            <w:tcW w:w="4500" w:type="dxa"/>
            <w:vAlign w:val="bottom"/>
          </w:tcPr>
          <w:p>
            <w:pPr>
              <w:spacing w:after="0"/>
              <w:rPr>
                <w:sz w:val="24"/>
                <w:szCs w:val="24"/>
                <w:color w:val="auto"/>
              </w:rPr>
            </w:pPr>
          </w:p>
        </w:tc>
        <w:tc>
          <w:tcPr>
            <w:tcW w:w="820" w:type="dxa"/>
            <w:vAlign w:val="bottom"/>
          </w:tcPr>
          <w:p>
            <w:pPr>
              <w:jc w:val="right"/>
              <w:ind w:right="332"/>
              <w:spacing w:after="0"/>
              <w:rPr>
                <w:sz w:val="20"/>
                <w:szCs w:val="20"/>
                <w:color w:val="auto"/>
              </w:rPr>
            </w:pPr>
            <w:r>
              <w:rPr>
                <w:rFonts w:ascii="Arial" w:cs="Arial" w:eastAsia="Arial" w:hAnsi="Arial"/>
                <w:sz w:val="22"/>
                <w:szCs w:val="22"/>
                <w:color w:val="auto"/>
              </w:rPr>
              <w:t>16</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4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4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08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2017</w:t>
            </w:r>
          </w:p>
        </w:tc>
        <w:tc>
          <w:tcPr>
            <w:tcW w:w="700" w:type="dxa"/>
            <w:vAlign w:val="bottom"/>
            <w:tcBorders>
              <w:bottom w:val="single" w:sz="8" w:color="auto"/>
            </w:tcBorders>
          </w:tcPr>
          <w:p>
            <w:pPr>
              <w:spacing w:after="0"/>
              <w:rPr>
                <w:sz w:val="23"/>
                <w:szCs w:val="23"/>
                <w:color w:val="auto"/>
              </w:rPr>
            </w:pPr>
          </w:p>
        </w:tc>
      </w:tr>
      <w:tr>
        <w:trPr>
          <w:trHeight w:val="264"/>
        </w:trPr>
        <w:tc>
          <w:tcPr>
            <w:tcW w:w="7080" w:type="dxa"/>
            <w:vAlign w:val="bottom"/>
            <w:shd w:val="clear" w:color="auto" w:fill="CCEEFF"/>
          </w:tcPr>
          <w:p>
            <w:pPr>
              <w:spacing w:after="0"/>
              <w:rPr>
                <w:sz w:val="20"/>
                <w:szCs w:val="20"/>
                <w:color w:val="auto"/>
              </w:rPr>
            </w:pPr>
            <w:r>
              <w:rPr>
                <w:rFonts w:ascii="Arial" w:cs="Arial" w:eastAsia="Arial" w:hAnsi="Arial"/>
                <w:sz w:val="22"/>
                <w:szCs w:val="22"/>
                <w:color w:val="auto"/>
              </w:rPr>
              <w:t>Expected term (years)</w:t>
            </w:r>
          </w:p>
        </w:tc>
        <w:tc>
          <w:tcPr>
            <w:tcW w:w="17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5.45</w:t>
            </w:r>
          </w:p>
        </w:tc>
      </w:tr>
      <w:tr>
        <w:trPr>
          <w:trHeight w:val="284"/>
        </w:trPr>
        <w:tc>
          <w:tcPr>
            <w:tcW w:w="708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84"/>
        </w:trPr>
        <w:tc>
          <w:tcPr>
            <w:tcW w:w="7080" w:type="dxa"/>
            <w:vAlign w:val="bottom"/>
            <w:shd w:val="clear" w:color="auto" w:fill="CCEEFF"/>
          </w:tcPr>
          <w:p>
            <w:pPr>
              <w:spacing w:after="0"/>
              <w:rPr>
                <w:sz w:val="20"/>
                <w:szCs w:val="20"/>
                <w:color w:val="auto"/>
              </w:rPr>
            </w:pPr>
            <w:r>
              <w:rPr>
                <w:rFonts w:ascii="Arial" w:cs="Arial" w:eastAsia="Arial" w:hAnsi="Arial"/>
                <w:sz w:val="22"/>
                <w:szCs w:val="22"/>
                <w:color w:val="auto"/>
              </w:rPr>
              <w:t>Expected volatility</w:t>
            </w: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w:t>
            </w:r>
          </w:p>
        </w:tc>
      </w:tr>
      <w:tr>
        <w:trPr>
          <w:trHeight w:val="284"/>
        </w:trPr>
        <w:tc>
          <w:tcPr>
            <w:tcW w:w="7080" w:type="dxa"/>
            <w:vAlign w:val="bottom"/>
          </w:tcPr>
          <w:p>
            <w:pPr>
              <w:spacing w:after="0"/>
              <w:rPr>
                <w:sz w:val="20"/>
                <w:szCs w:val="20"/>
                <w:color w:val="auto"/>
              </w:rPr>
            </w:pPr>
            <w:r>
              <w:rPr>
                <w:rFonts w:ascii="Arial" w:cs="Arial" w:eastAsia="Arial" w:hAnsi="Arial"/>
                <w:sz w:val="22"/>
                <w:szCs w:val="22"/>
                <w:color w:val="auto"/>
              </w:rPr>
              <w:t>Dividend yield</w:t>
            </w:r>
          </w:p>
        </w:tc>
        <w:tc>
          <w:tcPr>
            <w:tcW w:w="1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2.51%</w:t>
            </w:r>
          </w:p>
        </w:tc>
      </w:tr>
      <w:tr>
        <w:trPr>
          <w:trHeight w:val="284"/>
        </w:trPr>
        <w:tc>
          <w:tcPr>
            <w:tcW w:w="7080" w:type="dxa"/>
            <w:vAlign w:val="bottom"/>
            <w:shd w:val="clear" w:color="auto" w:fill="CCEEFF"/>
          </w:tcPr>
          <w:p>
            <w:pPr>
              <w:spacing w:after="0"/>
              <w:rPr>
                <w:sz w:val="20"/>
                <w:szCs w:val="20"/>
                <w:color w:val="auto"/>
              </w:rPr>
            </w:pPr>
            <w:r>
              <w:rPr>
                <w:rFonts w:ascii="Arial" w:cs="Arial" w:eastAsia="Arial" w:hAnsi="Arial"/>
                <w:sz w:val="22"/>
                <w:szCs w:val="22"/>
                <w:color w:val="auto"/>
              </w:rPr>
              <w:t>Grant date fair value per option</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4.07</w:t>
            </w:r>
          </w:p>
        </w:tc>
      </w:tr>
    </w:tbl>
    <w:p>
      <w:pPr>
        <w:spacing w:after="0" w:line="222"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0"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For the nine months ended September 30, 2016, there were no compensation costs for stock-based compensation related to stock options, as the previous stock option grant that occurred in 2010 became fully amortized in 2013. Additionally, there were no stock options granted during the nine months ended September 30, 2016.</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option transactions for the nine months ended September 30,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22"/>
                <w:szCs w:val="22"/>
                <w:color w:val="auto"/>
                <w:w w:val="88"/>
              </w:rPr>
              <w:t>Weighted</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5"/>
              </w:rPr>
              <w:t>Average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5"/>
              </w:rPr>
              <w:t>Average</w:t>
            </w:r>
          </w:p>
        </w:tc>
        <w:tc>
          <w:tcPr>
            <w:tcW w:w="18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Aggregate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7"/>
              </w:rPr>
              <w:t>Exercise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21"/>
                <w:szCs w:val="21"/>
                <w:color w:val="auto"/>
              </w:rPr>
            </w:pPr>
          </w:p>
        </w:tc>
        <w:tc>
          <w:tcPr>
            <w:tcW w:w="1080" w:type="dxa"/>
            <w:vAlign w:val="bottom"/>
          </w:tcPr>
          <w:p>
            <w:pPr>
              <w:jc w:val="center"/>
              <w:ind w:right="52"/>
              <w:spacing w:after="0"/>
              <w:rPr>
                <w:sz w:val="20"/>
                <w:szCs w:val="20"/>
                <w:color w:val="auto"/>
              </w:rPr>
            </w:pPr>
            <w:r>
              <w:rPr>
                <w:rFonts w:ascii="Arial" w:cs="Arial" w:eastAsia="Arial" w:hAnsi="Arial"/>
                <w:sz w:val="22"/>
                <w:szCs w:val="22"/>
                <w:color w:val="auto"/>
                <w:w w:val="94"/>
              </w:rPr>
              <w:t>Intrinsic</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rPr>
              <w:t>Life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22"/>
                <w:szCs w:val="22"/>
                <w:color w:val="auto"/>
              </w:rPr>
              <w:t>Shares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91"/>
              </w:rPr>
              <w:t>Price</w:t>
            </w:r>
          </w:p>
        </w:tc>
        <w:tc>
          <w:tcPr>
            <w:tcW w:w="1180" w:type="dxa"/>
            <w:vAlign w:val="bottom"/>
            <w:gridSpan w:val="2"/>
          </w:tcPr>
          <w:p>
            <w:pPr>
              <w:jc w:val="center"/>
              <w:ind w:right="140"/>
              <w:spacing w:after="0"/>
              <w:rPr>
                <w:sz w:val="20"/>
                <w:szCs w:val="20"/>
                <w:color w:val="auto"/>
              </w:rPr>
            </w:pPr>
            <w:r>
              <w:rPr>
                <w:rFonts w:ascii="Arial" w:cs="Arial" w:eastAsia="Arial" w:hAnsi="Arial"/>
                <w:sz w:val="22"/>
                <w:szCs w:val="22"/>
                <w:color w:val="auto"/>
                <w:w w:val="87"/>
              </w:rPr>
              <w:t>(years)</w:t>
            </w:r>
          </w:p>
        </w:tc>
        <w:tc>
          <w:tcPr>
            <w:tcW w:w="180" w:type="dxa"/>
            <w:vAlign w:val="bottom"/>
          </w:tcPr>
          <w:p>
            <w:pPr>
              <w:spacing w:after="0"/>
              <w:rPr>
                <w:sz w:val="23"/>
                <w:szCs w:val="23"/>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Value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427,335</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15.55</w:t>
            </w:r>
          </w:p>
        </w:tc>
        <w:tc>
          <w:tcPr>
            <w:tcW w:w="1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Granted</w:t>
            </w:r>
          </w:p>
        </w:tc>
        <w:tc>
          <w:tcPr>
            <w:tcW w:w="1080" w:type="dxa"/>
            <w:vAlign w:val="bottom"/>
          </w:tcPr>
          <w:p>
            <w:pPr>
              <w:jc w:val="right"/>
              <w:spacing w:after="0"/>
              <w:rPr>
                <w:sz w:val="20"/>
                <w:szCs w:val="20"/>
                <w:color w:val="auto"/>
              </w:rPr>
            </w:pPr>
            <w:r>
              <w:rPr>
                <w:rFonts w:ascii="Arial" w:cs="Arial" w:eastAsia="Arial" w:hAnsi="Arial"/>
                <w:sz w:val="22"/>
                <w:szCs w:val="22"/>
                <w:color w:val="auto"/>
              </w:rPr>
              <w:t>120,127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30.47</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(2,439)</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Expired / Cancelled</w:t>
            </w:r>
          </w:p>
        </w:tc>
        <w:tc>
          <w:tcPr>
            <w:tcW w:w="1240" w:type="dxa"/>
            <w:vAlign w:val="bottom"/>
            <w:gridSpan w:val="2"/>
          </w:tcPr>
          <w:p>
            <w:pPr>
              <w:jc w:val="right"/>
              <w:ind w:right="160"/>
              <w:spacing w:after="0"/>
              <w:rPr>
                <w:sz w:val="20"/>
                <w:szCs w:val="20"/>
                <w:color w:val="auto"/>
              </w:rPr>
            </w:pPr>
            <w:r>
              <w:rPr>
                <w:rFonts w:ascii="Arial" w:cs="Arial" w:eastAsia="Arial" w:hAnsi="Arial"/>
                <w:sz w:val="22"/>
                <w:szCs w:val="22"/>
                <w:color w:val="auto"/>
              </w:rPr>
              <w:t>(2,812)</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14.26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(157,621)</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16.51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40" w:type="dxa"/>
            <w:vAlign w:val="bottom"/>
            <w:gridSpan w:val="2"/>
          </w:tcPr>
          <w:p>
            <w:pPr>
              <w:spacing w:after="0"/>
              <w:rPr>
                <w:sz w:val="20"/>
                <w:szCs w:val="20"/>
                <w:color w:val="auto"/>
              </w:rPr>
            </w:pPr>
            <w:r>
              <w:rPr>
                <w:rFonts w:ascii="Arial" w:cs="Arial" w:eastAsia="Arial" w:hAnsi="Arial"/>
                <w:sz w:val="22"/>
                <w:szCs w:val="22"/>
                <w:color w:val="auto"/>
              </w:rPr>
              <w:t>Outstanding at end of period</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384,590</w:t>
            </w:r>
          </w:p>
        </w:tc>
        <w:tc>
          <w:tcPr>
            <w:tcW w:w="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19.73</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3.9</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5,175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Pr>
          <w:p>
            <w:pPr>
              <w:spacing w:after="0" w:line="243" w:lineRule="exact"/>
              <w:rPr>
                <w:sz w:val="20"/>
                <w:szCs w:val="20"/>
                <w:color w:val="auto"/>
              </w:rPr>
            </w:pPr>
            <w:r>
              <w:rPr>
                <w:rFonts w:ascii="Arial" w:cs="Arial" w:eastAsia="Arial" w:hAnsi="Arial"/>
                <w:sz w:val="22"/>
                <w:szCs w:val="22"/>
                <w:color w:val="auto"/>
              </w:rPr>
              <w:t>Exercisable at end of period</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266,902</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15.00</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1.4</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4,855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jc w:val="right"/>
              <w:ind w:right="732"/>
              <w:spacing w:after="0"/>
              <w:rPr>
                <w:sz w:val="20"/>
                <w:szCs w:val="20"/>
                <w:color w:val="auto"/>
              </w:rPr>
            </w:pPr>
            <w:r>
              <w:rPr>
                <w:rFonts w:ascii="Arial" w:cs="Arial" w:eastAsia="Arial" w:hAnsi="Arial"/>
                <w:sz w:val="22"/>
                <w:szCs w:val="22"/>
                <w:color w:val="auto"/>
                <w:w w:val="89"/>
              </w:rPr>
              <w:t>17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 Stock awards represent the issuance of the Company’s common stock,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restriction. The 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22"/>
                <w:szCs w:val="22"/>
                <w:color w:val="auto"/>
                <w:w w:val="88"/>
              </w:rPr>
              <w:t>Three Months Ended</w:t>
            </w:r>
          </w:p>
        </w:tc>
        <w:tc>
          <w:tcPr>
            <w:tcW w:w="280" w:type="dxa"/>
            <w:vAlign w:val="bottom"/>
          </w:tcPr>
          <w:p>
            <w:pPr>
              <w:spacing w:after="0"/>
              <w:rPr>
                <w:sz w:val="23"/>
                <w:szCs w:val="23"/>
                <w:color w:val="auto"/>
              </w:rPr>
            </w:pPr>
          </w:p>
        </w:tc>
        <w:tc>
          <w:tcPr>
            <w:tcW w:w="2580" w:type="dxa"/>
            <w:vAlign w:val="bottom"/>
            <w:gridSpan w:val="4"/>
          </w:tcPr>
          <w:p>
            <w:pPr>
              <w:jc w:val="right"/>
              <w:ind w:right="452"/>
              <w:spacing w:after="0"/>
              <w:rPr>
                <w:sz w:val="20"/>
                <w:szCs w:val="20"/>
                <w:color w:val="auto"/>
              </w:rPr>
            </w:pPr>
            <w:r>
              <w:rPr>
                <w:rFonts w:ascii="Arial" w:cs="Arial" w:eastAsia="Arial" w:hAnsi="Arial"/>
                <w:sz w:val="22"/>
                <w:szCs w:val="22"/>
                <w:color w:val="auto"/>
              </w:rPr>
              <w:t>Nine Months Ended</w:t>
            </w:r>
          </w:p>
        </w:tc>
      </w:tr>
      <w:tr>
        <w:trPr>
          <w:trHeight w:val="274"/>
        </w:trPr>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22"/>
                <w:szCs w:val="22"/>
                <w:color w:val="auto"/>
                <w:w w:val="87"/>
              </w:rPr>
              <w:t>September 30,</w:t>
            </w:r>
          </w:p>
        </w:tc>
        <w:tc>
          <w:tcPr>
            <w:tcW w:w="280" w:type="dxa"/>
            <w:vAlign w:val="bottom"/>
          </w:tcPr>
          <w:p>
            <w:pPr>
              <w:spacing w:after="0"/>
              <w:rPr>
                <w:sz w:val="23"/>
                <w:szCs w:val="23"/>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22"/>
                <w:szCs w:val="22"/>
                <w:color w:val="auto"/>
              </w:rPr>
              <w:t>September 30,</w:t>
            </w:r>
          </w:p>
        </w:tc>
      </w:tr>
      <w:tr>
        <w:trPr>
          <w:trHeight w:val="264"/>
        </w:trPr>
        <w:tc>
          <w:tcPr>
            <w:tcW w:w="39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color w:val="auto"/>
                <w:w w:val="98"/>
              </w:rPr>
              <w:t>2017</w:t>
            </w:r>
          </w:p>
        </w:tc>
        <w:tc>
          <w:tcPr>
            <w:tcW w:w="18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color w:val="auto"/>
                <w:w w:val="98"/>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2016</w:t>
            </w:r>
          </w:p>
        </w:tc>
      </w:tr>
      <w:tr>
        <w:trPr>
          <w:trHeight w:val="202"/>
        </w:trPr>
        <w:tc>
          <w:tcPr>
            <w:tcW w:w="39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Stock-based compensation within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65"/>
        </w:trPr>
        <w:tc>
          <w:tcPr>
            <w:tcW w:w="3960" w:type="dxa"/>
            <w:vAlign w:val="bottom"/>
            <w:shd w:val="clear" w:color="auto" w:fill="CCEEFF"/>
          </w:tcPr>
          <w:p>
            <w:pPr>
              <w:spacing w:after="0"/>
              <w:rPr>
                <w:sz w:val="20"/>
                <w:szCs w:val="20"/>
                <w:color w:val="auto"/>
              </w:rPr>
            </w:pPr>
            <w:r>
              <w:rPr>
                <w:rFonts w:ascii="Arial" w:cs="Arial" w:eastAsia="Arial" w:hAnsi="Arial"/>
                <w:sz w:val="22"/>
                <w:szCs w:val="22"/>
                <w:color w:val="auto"/>
              </w:rPr>
              <w:t>operations and maintenance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131</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375</w:t>
            </w:r>
          </w:p>
        </w:tc>
      </w:tr>
      <w:tr>
        <w:trPr>
          <w:trHeight w:val="294"/>
        </w:trPr>
        <w:tc>
          <w:tcPr>
            <w:tcW w:w="396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62</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171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155</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award transactions for the nine months ended September 30, 2017: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6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84"/>
        </w:trPr>
        <w:tc>
          <w:tcPr>
            <w:tcW w:w="60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center"/>
              <w:ind w:right="192"/>
              <w:spacing w:after="0"/>
              <w:rPr>
                <w:sz w:val="20"/>
                <w:szCs w:val="20"/>
                <w:color w:val="auto"/>
              </w:rPr>
            </w:pPr>
            <w:r>
              <w:rPr>
                <w:rFonts w:ascii="Arial" w:cs="Arial" w:eastAsia="Arial" w:hAnsi="Arial"/>
                <w:sz w:val="22"/>
                <w:szCs w:val="22"/>
                <w:color w:val="auto"/>
                <w:w w:val="87"/>
              </w:rPr>
              <w:t>Average</w:t>
            </w:r>
          </w:p>
        </w:tc>
      </w:tr>
      <w:tr>
        <w:trPr>
          <w:trHeight w:val="274"/>
        </w:trPr>
        <w:tc>
          <w:tcPr>
            <w:tcW w:w="606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Stock Awards</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color w:val="auto"/>
                <w:w w:val="87"/>
              </w:rPr>
              <w:t>Fair Value</w:t>
            </w:r>
          </w:p>
        </w:tc>
      </w:tr>
      <w:tr>
        <w:trPr>
          <w:trHeight w:val="264"/>
        </w:trPr>
        <w:tc>
          <w:tcPr>
            <w:tcW w:w="6060" w:type="dxa"/>
            <w:vAlign w:val="bottom"/>
            <w:shd w:val="clear" w:color="auto" w:fill="CCEEFF"/>
          </w:tcPr>
          <w:p>
            <w:pPr>
              <w:spacing w:after="0"/>
              <w:rPr>
                <w:sz w:val="20"/>
                <w:szCs w:val="20"/>
                <w:color w:val="auto"/>
              </w:rPr>
            </w:pPr>
            <w:r>
              <w:rPr>
                <w:rFonts w:ascii="Arial" w:cs="Arial" w:eastAsia="Arial" w:hAnsi="Arial"/>
                <w:sz w:val="22"/>
                <w:szCs w:val="22"/>
                <w:color w:val="auto"/>
              </w:rPr>
              <w:t>Nonvested stock awards at beginning of period</w:t>
            </w:r>
          </w:p>
        </w:tc>
        <w:tc>
          <w:tcPr>
            <w:tcW w:w="15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6060" w:type="dxa"/>
            <w:vAlign w:val="bottom"/>
          </w:tcPr>
          <w:p>
            <w:pPr>
              <w:ind w:left="100"/>
              <w:spacing w:after="0"/>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rPr>
                <w:sz w:val="20"/>
                <w:szCs w:val="20"/>
                <w:color w:val="auto"/>
              </w:rPr>
            </w:pPr>
            <w:r>
              <w:rPr>
                <w:rFonts w:ascii="Arial" w:cs="Arial" w:eastAsia="Arial" w:hAnsi="Arial"/>
                <w:sz w:val="22"/>
                <w:szCs w:val="22"/>
                <w:color w:val="auto"/>
              </w:rPr>
              <w:t>12,529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32.92</w:t>
            </w:r>
          </w:p>
        </w:tc>
      </w:tr>
      <w:tr>
        <w:trPr>
          <w:trHeight w:val="284"/>
        </w:trPr>
        <w:tc>
          <w:tcPr>
            <w:tcW w:w="60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Vested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(12,529)</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32.92</w:t>
            </w:r>
          </w:p>
        </w:tc>
      </w:tr>
      <w:tr>
        <w:trPr>
          <w:trHeight w:val="257"/>
        </w:trPr>
        <w:tc>
          <w:tcPr>
            <w:tcW w:w="6060" w:type="dxa"/>
            <w:vAlign w:val="bottom"/>
          </w:tcPr>
          <w:p>
            <w:pPr>
              <w:spacing w:after="0" w:line="250" w:lineRule="exact"/>
              <w:rPr>
                <w:sz w:val="20"/>
                <w:szCs w:val="20"/>
                <w:color w:val="auto"/>
              </w:rPr>
            </w:pPr>
            <w:r>
              <w:rPr>
                <w:rFonts w:ascii="Arial" w:cs="Arial" w:eastAsia="Arial" w:hAnsi="Arial"/>
                <w:sz w:val="22"/>
                <w:szCs w:val="22"/>
                <w:color w:val="auto"/>
              </w:rPr>
              <w:t>Nonvested stock awards at end of period</w:t>
            </w:r>
          </w:p>
        </w:tc>
        <w:tc>
          <w:tcPr>
            <w:tcW w:w="15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ind w:right="80"/>
              <w:spacing w:after="0" w:line="250" w:lineRule="exact"/>
              <w:rPr>
                <w:sz w:val="20"/>
                <w:szCs w:val="20"/>
                <w:color w:val="auto"/>
              </w:rPr>
            </w:pPr>
            <w:r>
              <w:rPr>
                <w:rFonts w:ascii="Arial" w:cs="Arial" w:eastAsia="Arial" w:hAnsi="Arial"/>
                <w:sz w:val="22"/>
                <w:szCs w:val="22"/>
                <w:color w:val="auto"/>
              </w:rPr>
              <w:t>$</w:t>
            </w:r>
          </w:p>
        </w:tc>
        <w:tc>
          <w:tcPr>
            <w:tcW w:w="138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r>
    </w:tbl>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per unit weighted-average fair value at the date of grant for stock awards granted during the nine months ended September 30, 2017 and 2016 was $32.92 and $32.57,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Pension Plans and Other Postretirement Benefits</w:t>
      </w:r>
    </w:p>
    <w:p>
      <w:pPr>
        <w:spacing w:after="0" w:line="239"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22"/>
                <w:szCs w:val="22"/>
                <w:color w:val="auto"/>
                <w:w w:val="88"/>
              </w:rPr>
              <w:t>Pension Benefits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420"/>
              <w:spacing w:after="0" w:line="216" w:lineRule="exact"/>
              <w:rPr>
                <w:sz w:val="20"/>
                <w:szCs w:val="20"/>
                <w:color w:val="auto"/>
              </w:rPr>
            </w:pPr>
            <w:r>
              <w:rPr>
                <w:rFonts w:ascii="Arial" w:cs="Arial" w:eastAsia="Arial" w:hAnsi="Arial"/>
                <w:sz w:val="22"/>
                <w:szCs w:val="22"/>
                <w:color w:val="auto"/>
                <w:w w:val="91"/>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472"/>
              <w:spacing w:after="0" w:line="216" w:lineRule="exact"/>
              <w:rPr>
                <w:sz w:val="20"/>
                <w:szCs w:val="20"/>
                <w:color w:val="auto"/>
              </w:rPr>
            </w:pPr>
            <w:r>
              <w:rPr>
                <w:rFonts w:ascii="Arial" w:cs="Arial" w:eastAsia="Arial" w:hAnsi="Arial"/>
                <w:sz w:val="22"/>
                <w:szCs w:val="22"/>
                <w:color w:val="auto"/>
              </w:rPr>
              <w:t>Nine Months Ended</w:t>
            </w:r>
          </w:p>
        </w:tc>
      </w:tr>
      <w:tr>
        <w:trPr>
          <w:trHeight w:val="265"/>
        </w:trPr>
        <w:tc>
          <w:tcPr>
            <w:tcW w:w="3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22"/>
                <w:szCs w:val="22"/>
                <w:color w:val="auto"/>
              </w:rPr>
              <w:t>September 30,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40" w:type="dxa"/>
            <w:vAlign w:val="bottom"/>
            <w:gridSpan w:val="4"/>
          </w:tcPr>
          <w:p>
            <w:pPr>
              <w:jc w:val="right"/>
              <w:ind w:right="732"/>
              <w:spacing w:after="0"/>
              <w:rPr>
                <w:sz w:val="20"/>
                <w:szCs w:val="20"/>
                <w:color w:val="auto"/>
              </w:rPr>
            </w:pPr>
            <w:r>
              <w:rPr>
                <w:rFonts w:ascii="Arial" w:cs="Arial" w:eastAsia="Arial" w:hAnsi="Arial"/>
                <w:sz w:val="22"/>
                <w:szCs w:val="22"/>
                <w:color w:val="auto"/>
              </w:rPr>
              <w:t>September 30,</w:t>
            </w: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2016</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2016</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794</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784</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2,382</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2,394</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3,108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3,251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9,324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9,787</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(4,270)</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(4,215)</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(12,810)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(12,696)</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145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145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435</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2,001</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1,797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6,003</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5,354</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Settlement charge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3,028</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Special termination benefit charge</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302</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1,778</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1,762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5,334</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8,604</w:t>
            </w:r>
          </w:p>
        </w:tc>
      </w:tr>
      <w:tr>
        <w:trPr>
          <w:trHeight w:val="451"/>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3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22"/>
                <w:szCs w:val="22"/>
                <w:color w:val="auto"/>
                <w:w w:val="89"/>
              </w:rPr>
              <w:t>Postretirement Benefits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15"/>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jc w:val="right"/>
              <w:ind w:right="300"/>
              <w:spacing w:after="0" w:line="216" w:lineRule="exact"/>
              <w:rPr>
                <w:sz w:val="20"/>
                <w:szCs w:val="20"/>
                <w:color w:val="auto"/>
              </w:rPr>
            </w:pPr>
            <w:r>
              <w:rPr>
                <w:rFonts w:ascii="Arial" w:cs="Arial" w:eastAsia="Arial" w:hAnsi="Arial"/>
                <w:sz w:val="22"/>
                <w:szCs w:val="22"/>
                <w:color w:val="auto"/>
                <w:w w:val="97"/>
              </w:rPr>
              <w:t>Three 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4"/>
          </w:tcPr>
          <w:p>
            <w:pPr>
              <w:jc w:val="right"/>
              <w:ind w:right="392"/>
              <w:spacing w:after="0" w:line="216" w:lineRule="exact"/>
              <w:rPr>
                <w:sz w:val="20"/>
                <w:szCs w:val="20"/>
                <w:color w:val="auto"/>
              </w:rPr>
            </w:pPr>
            <w:r>
              <w:rPr>
                <w:rFonts w:ascii="Arial" w:cs="Arial" w:eastAsia="Arial" w:hAnsi="Arial"/>
                <w:sz w:val="22"/>
                <w:szCs w:val="22"/>
                <w:color w:val="auto"/>
              </w:rPr>
              <w:t>Nine Months Ended</w:t>
            </w:r>
          </w:p>
        </w:tc>
      </w:tr>
      <w:tr>
        <w:trPr>
          <w:trHeight w:val="265"/>
        </w:trPr>
        <w:tc>
          <w:tcPr>
            <w:tcW w:w="3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22"/>
                <w:szCs w:val="22"/>
                <w:color w:val="auto"/>
              </w:rPr>
              <w:t>September 30,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40" w:type="dxa"/>
            <w:vAlign w:val="bottom"/>
            <w:gridSpan w:val="4"/>
          </w:tcPr>
          <w:p>
            <w:pPr>
              <w:jc w:val="right"/>
              <w:ind w:right="632"/>
              <w:spacing w:after="0"/>
              <w:rPr>
                <w:sz w:val="20"/>
                <w:szCs w:val="20"/>
                <w:color w:val="auto"/>
              </w:rPr>
            </w:pPr>
            <w:r>
              <w:rPr>
                <w:rFonts w:ascii="Arial" w:cs="Arial" w:eastAsia="Arial" w:hAnsi="Arial"/>
                <w:sz w:val="22"/>
                <w:szCs w:val="22"/>
                <w:color w:val="auto"/>
              </w:rPr>
              <w:t>September 30,</w:t>
            </w:r>
          </w:p>
        </w:tc>
      </w:tr>
      <w:tr>
        <w:trPr>
          <w:trHeight w:val="264"/>
        </w:trPr>
        <w:tc>
          <w:tcPr>
            <w:tcW w:w="37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2016</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2016</w:t>
            </w:r>
          </w:p>
        </w:tc>
      </w:tr>
      <w:tr>
        <w:trPr>
          <w:trHeight w:val="26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255</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253</w:t>
            </w:r>
          </w:p>
        </w:tc>
        <w:tc>
          <w:tcPr>
            <w:tcW w:w="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765</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761</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Interest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737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726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2,211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2,202</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(647)</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(645)</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(1,941)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(2,001)</w:t>
            </w: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(127)</w:t>
            </w:r>
          </w:p>
        </w:tc>
        <w:tc>
          <w:tcPr>
            <w:tcW w:w="2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2"/>
                <w:szCs w:val="22"/>
                <w:color w:val="auto"/>
              </w:rPr>
              <w:t>(137)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2"/>
                <w:szCs w:val="22"/>
                <w:color w:val="auto"/>
              </w:rPr>
              <w:t>(381)</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(411)</w:t>
            </w:r>
          </w:p>
        </w:tc>
      </w:tr>
      <w:tr>
        <w:trPr>
          <w:trHeight w:val="284"/>
        </w:trPr>
        <w:tc>
          <w:tcPr>
            <w:tcW w:w="37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220</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873</w:t>
            </w:r>
          </w:p>
        </w:tc>
        <w:tc>
          <w:tcPr>
            <w:tcW w:w="1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707</w:t>
            </w:r>
          </w:p>
        </w:tc>
      </w:tr>
      <w:tr>
        <w:trPr>
          <w:trHeight w:val="257"/>
        </w:trPr>
        <w:tc>
          <w:tcPr>
            <w:tcW w:w="37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509</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417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1,527</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1,258</w:t>
            </w:r>
          </w:p>
        </w:tc>
      </w:tr>
    </w:tbl>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Effective July 1, 2015, the Company added a permanent lump sum option to the form of benefit payments offered to participants of the qualified defined benefit pension plan and non-qualified retirement plans upon retirement or termination. During the first quarter of 2016, the lump sum payments paid to participants who elected this option for payments from the non-qualified retirement plans resulted in a settlement charge.</w:t>
      </w:r>
    </w:p>
    <w:p>
      <w:pPr>
        <w:spacing w:after="0" w:line="170" w:lineRule="exact"/>
        <w:rPr>
          <w:sz w:val="20"/>
          <w:szCs w:val="20"/>
          <w:color w:val="auto"/>
        </w:rPr>
      </w:pPr>
    </w:p>
    <w:p>
      <w:pPr>
        <w:ind w:left="60" w:right="400" w:hanging="53"/>
        <w:spacing w:after="0" w:line="251" w:lineRule="auto"/>
        <w:rPr>
          <w:sz w:val="20"/>
          <w:szCs w:val="20"/>
          <w:color w:val="auto"/>
        </w:rPr>
      </w:pPr>
      <w:r>
        <w:rPr>
          <w:rFonts w:ascii="Arial" w:cs="Arial" w:eastAsia="Arial" w:hAnsi="Arial"/>
          <w:sz w:val="22"/>
          <w:szCs w:val="22"/>
          <w:color w:val="auto"/>
        </w:rPr>
        <w:t>The Company made cash contributions of $15,421 to its Pension Plan during the first six months of 2017, which completed the Company’s 2017 cash contributions.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Water and Wastewater Rates</w:t>
      </w:r>
    </w:p>
    <w:p>
      <w:pPr>
        <w:spacing w:after="0" w:line="239"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During the first nine months of 2017, the Company’s operating divisions in Indiana and Ohio were granted base rate increases designed to increase total operating revenues on an annual basis by $7,403. Further, during the first nine months of 2017, the Company’s operating divisions in Illinois, New Jersey, and North Carolina received approval to bill infrastructure rehabilitation surcharges designed to increase total operating revenues on an annual basis by $3,659.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ind w:left="80"/>
              <w:spacing w:after="0"/>
              <w:rPr>
                <w:sz w:val="20"/>
                <w:szCs w:val="20"/>
                <w:color w:val="auto"/>
              </w:rPr>
            </w:pPr>
            <w:r>
              <w:rPr>
                <w:rFonts w:ascii="Arial" w:cs="Arial" w:eastAsia="Arial" w:hAnsi="Arial"/>
                <w:sz w:val="22"/>
                <w:szCs w:val="22"/>
                <w:color w:val="auto"/>
              </w:rPr>
              <w:t>Three Months Ended</w:t>
            </w:r>
          </w:p>
        </w:tc>
        <w:tc>
          <w:tcPr>
            <w:tcW w:w="320" w:type="dxa"/>
            <w:vAlign w:val="bottom"/>
          </w:tcPr>
          <w:p>
            <w:pPr>
              <w:spacing w:after="0"/>
              <w:rPr>
                <w:sz w:val="21"/>
                <w:szCs w:val="21"/>
                <w:color w:val="auto"/>
              </w:rPr>
            </w:pPr>
          </w:p>
        </w:tc>
        <w:tc>
          <w:tcPr>
            <w:tcW w:w="2620" w:type="dxa"/>
            <w:vAlign w:val="bottom"/>
            <w:gridSpan w:val="4"/>
          </w:tcPr>
          <w:p>
            <w:pPr>
              <w:jc w:val="right"/>
              <w:ind w:right="492"/>
              <w:spacing w:after="0"/>
              <w:rPr>
                <w:sz w:val="20"/>
                <w:szCs w:val="20"/>
                <w:color w:val="auto"/>
              </w:rPr>
            </w:pPr>
            <w:r>
              <w:rPr>
                <w:rFonts w:ascii="Arial" w:cs="Arial" w:eastAsia="Arial" w:hAnsi="Arial"/>
                <w:sz w:val="22"/>
                <w:szCs w:val="22"/>
                <w:color w:val="auto"/>
              </w:rPr>
              <w:t>Nine Months Ended</w:t>
            </w:r>
          </w:p>
        </w:tc>
      </w:tr>
      <w:tr>
        <w:trPr>
          <w:trHeight w:val="265"/>
        </w:trPr>
        <w:tc>
          <w:tcPr>
            <w:tcW w:w="3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80" w:type="dxa"/>
            <w:vAlign w:val="bottom"/>
            <w:gridSpan w:val="5"/>
          </w:tcPr>
          <w:p>
            <w:pPr>
              <w:ind w:left="360"/>
              <w:spacing w:after="0"/>
              <w:rPr>
                <w:sz w:val="20"/>
                <w:szCs w:val="20"/>
                <w:color w:val="auto"/>
              </w:rPr>
            </w:pPr>
            <w:r>
              <w:rPr>
                <w:rFonts w:ascii="Arial" w:cs="Arial" w:eastAsia="Arial" w:hAnsi="Arial"/>
                <w:sz w:val="22"/>
                <w:szCs w:val="22"/>
                <w:color w:val="auto"/>
              </w:rPr>
              <w:t>September 30,</w:t>
            </w:r>
          </w:p>
        </w:tc>
        <w:tc>
          <w:tcPr>
            <w:tcW w:w="320" w:type="dxa"/>
            <w:vAlign w:val="bottom"/>
          </w:tcPr>
          <w:p>
            <w:pPr>
              <w:spacing w:after="0"/>
              <w:rPr>
                <w:sz w:val="23"/>
                <w:szCs w:val="23"/>
                <w:color w:val="auto"/>
              </w:rPr>
            </w:pPr>
          </w:p>
        </w:tc>
        <w:tc>
          <w:tcPr>
            <w:tcW w:w="2620" w:type="dxa"/>
            <w:vAlign w:val="bottom"/>
            <w:gridSpan w:val="4"/>
          </w:tcPr>
          <w:p>
            <w:pPr>
              <w:jc w:val="right"/>
              <w:ind w:right="732"/>
              <w:spacing w:after="0"/>
              <w:rPr>
                <w:sz w:val="20"/>
                <w:szCs w:val="20"/>
                <w:color w:val="auto"/>
              </w:rPr>
            </w:pPr>
            <w:r>
              <w:rPr>
                <w:rFonts w:ascii="Arial" w:cs="Arial" w:eastAsia="Arial" w:hAnsi="Arial"/>
                <w:sz w:val="22"/>
                <w:szCs w:val="22"/>
                <w:color w:val="auto"/>
              </w:rPr>
              <w:t>September 30,</w:t>
            </w:r>
          </w:p>
        </w:tc>
      </w:tr>
      <w:tr>
        <w:trPr>
          <w:trHeight w:val="264"/>
        </w:trPr>
        <w:tc>
          <w:tcPr>
            <w:tcW w:w="38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color w:val="auto"/>
              </w:rPr>
              <w:t>2016</w:t>
            </w:r>
          </w:p>
        </w:tc>
        <w:tc>
          <w:tcPr>
            <w:tcW w:w="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c>
          <w:tcPr>
            <w:tcW w:w="2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rPr>
              <w:t>2016</w:t>
            </w:r>
          </w:p>
        </w:tc>
      </w:tr>
      <w:tr>
        <w:trPr>
          <w:trHeight w:val="237"/>
        </w:trPr>
        <w:tc>
          <w:tcPr>
            <w:tcW w:w="38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6,955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7,007</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20,608</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w w:val="97"/>
              </w:rPr>
              <w:t>$</w:t>
            </w:r>
          </w:p>
        </w:tc>
        <w:tc>
          <w:tcPr>
            <w:tcW w:w="10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20,119</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3,969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3,409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10,507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9,468</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2,066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2,140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7,322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7,775</w:t>
            </w: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674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639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1,933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1,991</w:t>
            </w:r>
          </w:p>
        </w:tc>
      </w:tr>
      <w:tr>
        <w:trPr>
          <w:trHeight w:val="243"/>
        </w:trPr>
        <w:tc>
          <w:tcPr>
            <w:tcW w:w="38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1,526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1,442</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3,820</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3,501</w:t>
            </w:r>
          </w:p>
        </w:tc>
      </w:tr>
      <w:tr>
        <w:trPr>
          <w:trHeight w:val="243"/>
        </w:trPr>
        <w:tc>
          <w:tcPr>
            <w:tcW w:w="382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Other</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44</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75</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200</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240</w:t>
            </w:r>
          </w:p>
        </w:tc>
      </w:tr>
      <w:tr>
        <w:trPr>
          <w:trHeight w:val="257"/>
        </w:trPr>
        <w:tc>
          <w:tcPr>
            <w:tcW w:w="382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15,234</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14,712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44,390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43,094</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Segment Information</w:t>
      </w:r>
    </w:p>
    <w:p>
      <w:pPr>
        <w:spacing w:after="0" w:line="239"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Resources and Aqua Infrastructure. Aqua Resources provides water and wastewater service through operating and maintenance contracts with municipal authorities and other parties close to its utility companies’ service territories; and offers, through a third party, water and sewer line repair service and protection solutions to households. Aqua Infrastructure provides non-utility raw water supply services for firms in the natural gas drilling industry. 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 Additionally, contained within total assets for the Other category, in the table below, is a regulatory asset for postretirement benefits for the underfunded status of the Company’s pension and other postretirement benefit plans and an intercompany receivable.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8"/>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2017</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 2016</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214,032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215,008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222,231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226,593</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70,772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(2,790)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67,982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73,013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79,812</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(269)</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(144)</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33,881</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94,142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97,486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100,563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(2,764)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97,799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20,168</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3,914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2,267</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(616)</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8,411</w:t>
            </w:r>
          </w:p>
        </w:tc>
      </w:tr>
      <w:tr>
        <w:trPr>
          <w:trHeight w:val="218"/>
        </w:trPr>
        <w:tc>
          <w:tcPr>
            <w:tcW w:w="318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74,208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76,225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74,681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(1,511)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73,170</w:t>
            </w:r>
          </w:p>
        </w:tc>
      </w:tr>
      <w:tr>
        <w:trPr>
          <w:trHeight w:val="405"/>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4"/>
              </w:rPr>
              <w:t>Nine Months Ended</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color w:val="auto"/>
                <w:w w:val="94"/>
              </w:rPr>
              <w:t>Nine Months Ended</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8"/>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2017</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 2016</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602,341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606,213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606,323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16,753</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623,076</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210,842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(2,879)</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207,963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210,014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17,333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227,347</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102,340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(832)</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101,508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98,445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97,645</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246,361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5,633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251,994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255,431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(1,808)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253,623</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65,124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60,136</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10,570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10,570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6,446</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(344)</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(1,677)</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16,933</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184,733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186,265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186,579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(2,046)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184,533</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337,321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270,019</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Arial" w:cs="Arial" w:eastAsia="Arial" w:hAnsi="Arial"/>
                <w:sz w:val="22"/>
                <w:szCs w:val="22"/>
                <w:color w:val="auto"/>
              </w:rPr>
              <w:t>September 30,</w:t>
            </w:r>
          </w:p>
        </w:tc>
        <w:tc>
          <w:tcPr>
            <w:tcW w:w="440" w:type="dxa"/>
            <w:vAlign w:val="bottom"/>
          </w:tcPr>
          <w:p>
            <w:pPr>
              <w:spacing w:after="0"/>
              <w:rPr>
                <w:sz w:val="21"/>
                <w:szCs w:val="21"/>
                <w:color w:val="auto"/>
              </w:rPr>
            </w:pPr>
          </w:p>
        </w:tc>
        <w:tc>
          <w:tcPr>
            <w:tcW w:w="1960" w:type="dxa"/>
            <w:vAlign w:val="bottom"/>
          </w:tcPr>
          <w:p>
            <w:pPr>
              <w:jc w:val="right"/>
              <w:ind w:right="492"/>
              <w:spacing w:after="0"/>
              <w:rPr>
                <w:sz w:val="20"/>
                <w:szCs w:val="20"/>
                <w:color w:val="auto"/>
              </w:rPr>
            </w:pPr>
            <w:r>
              <w:rPr>
                <w:rFonts w:ascii="Arial" w:cs="Arial" w:eastAsia="Arial" w:hAnsi="Arial"/>
                <w:sz w:val="22"/>
                <w:szCs w:val="22"/>
                <w:color w:val="auto"/>
                <w:w w:val="96"/>
              </w:rPr>
              <w:t>December 31,</w:t>
            </w:r>
          </w:p>
        </w:tc>
      </w:tr>
      <w:tr>
        <w:trPr>
          <w:trHeight w:val="265"/>
        </w:trPr>
        <w:tc>
          <w:tcPr>
            <w:tcW w:w="42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2017</w:t>
            </w:r>
          </w:p>
        </w:tc>
        <w:tc>
          <w:tcPr>
            <w:tcW w:w="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872"/>
              <w:spacing w:after="0"/>
              <w:rPr>
                <w:sz w:val="20"/>
                <w:szCs w:val="20"/>
                <w:color w:val="auto"/>
              </w:rPr>
            </w:pPr>
            <w:r>
              <w:rPr>
                <w:rFonts w:ascii="Arial" w:cs="Arial" w:eastAsia="Arial" w:hAnsi="Arial"/>
                <w:sz w:val="22"/>
                <w:szCs w:val="22"/>
                <w:color w:val="auto"/>
              </w:rPr>
              <w:t>2016</w:t>
            </w:r>
          </w:p>
        </w:tc>
      </w:tr>
      <w:tr>
        <w:trPr>
          <w:trHeight w:val="264"/>
        </w:trPr>
        <w:tc>
          <w:tcPr>
            <w:tcW w:w="4260" w:type="dxa"/>
            <w:vAlign w:val="bottom"/>
          </w:tcPr>
          <w:p>
            <w:pPr>
              <w:spacing w:after="0"/>
              <w:rPr>
                <w:sz w:val="20"/>
                <w:szCs w:val="20"/>
                <w:color w:val="auto"/>
              </w:rPr>
            </w:pPr>
            <w:r>
              <w:rPr>
                <w:rFonts w:ascii="Arial" w:cs="Arial" w:eastAsia="Arial" w:hAnsi="Arial"/>
                <w:sz w:val="22"/>
                <w:szCs w:val="22"/>
                <w:color w:val="auto"/>
              </w:rPr>
              <w:t>Total assets:</w:t>
            </w:r>
          </w:p>
        </w:tc>
        <w:tc>
          <w:tcPr>
            <w:tcW w:w="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84"/>
        </w:trPr>
        <w:tc>
          <w:tcPr>
            <w:tcW w:w="42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Regulated</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6,355,896</w:t>
            </w: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5,953,702</w:t>
            </w:r>
          </w:p>
        </w:tc>
      </w:tr>
      <w:tr>
        <w:trPr>
          <w:trHeight w:val="284"/>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Other</w:t>
            </w: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189,485</w:t>
            </w: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205,289</w:t>
            </w:r>
          </w:p>
        </w:tc>
      </w:tr>
      <w:tr>
        <w:trPr>
          <w:trHeight w:val="257"/>
        </w:trPr>
        <w:tc>
          <w:tcPr>
            <w:tcW w:w="4260" w:type="dxa"/>
            <w:vAlign w:val="bottom"/>
            <w:tcBorders>
              <w:bottom w:val="single" w:sz="8" w:color="CCEEFF"/>
            </w:tcBorders>
            <w:shd w:val="clear" w:color="auto" w:fill="CCEEFF"/>
          </w:tcPr>
          <w:p>
            <w:pPr>
              <w:ind w:left="100"/>
              <w:spacing w:after="0" w:line="250" w:lineRule="exact"/>
              <w:rPr>
                <w:sz w:val="20"/>
                <w:szCs w:val="20"/>
                <w:color w:val="auto"/>
              </w:rPr>
            </w:pPr>
            <w:r>
              <w:rPr>
                <w:rFonts w:ascii="Arial" w:cs="Arial" w:eastAsia="Arial" w:hAnsi="Arial"/>
                <w:sz w:val="22"/>
                <w:szCs w:val="22"/>
                <w:color w:val="auto"/>
              </w:rPr>
              <w:t>Consolidated</w:t>
            </w:r>
          </w:p>
        </w:tc>
        <w:tc>
          <w:tcPr>
            <w:tcW w:w="480" w:type="dxa"/>
            <w:vAlign w:val="bottom"/>
            <w:tcBorders>
              <w:bottom w:val="single" w:sz="8" w:color="auto"/>
            </w:tcBorders>
            <w:shd w:val="clear" w:color="auto" w:fill="CCEEFF"/>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21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6,545,381</w:t>
            </w:r>
          </w:p>
        </w:tc>
        <w:tc>
          <w:tcPr>
            <w:tcW w:w="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6,158,991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2017, the aggregate amount of $16,898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cash flows. Further, the Company has insurance coverage for certain of these loss contingencies, and as of September 30, 2017, estimates that approximately $5,415 of the amount accrued for these matters are probable of recovery through insurance, which amount is also reported in the Company’s consolidated balance sheet as deferred charges and other assets.</w:t>
      </w: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$1,451 at September 30, 2017 and represents a reserve for unpaid claim costs, including an estimate for the cost of incurred but not reported claims.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During the nine months ended September 30, 2017, the Company’s Federal net operating loss (“NOL”)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carryforward decreased by $31,935. In addition, during the nine months ended September 30, 2017,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state NOL carryforward increased by $23,173. As of September 30, 2017, the balance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Federal NOL was $81,208. The Company believes its Federal NOL carryforward is more likely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than not to be recovered and requires no valuation allowance. As of September 30, 2017, the balance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gross state NOL was $600,358, a portion of which is offset by a valuation allowance because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does not believe the state NOLs are more likely than not to be realized. The Company’s Federal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state NOL carryforwards begin to expire in 2032 and 2023, respectively. The Company’s Federal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 NOL carryforwards are reduced by an unrecognized tax position, on a gross basis, of $64,738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$85,523, respectively. The amounts of the Company’s Federal and state NOL carryforwards prior to being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reduced by the unrecognized tax positions were $145,947 and $685,880 respectively. The Company records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unrecognized tax benefit as a reduction to its deferred income tax liability.</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In accordance with a 2012 settlement agreement with the Pennsylvania Public Utility Commission, Aqua Pennsylvania expenses, for tax purposes, qualifying utility asset improvement costs, which results in a substantial reduction in income tax expense and greater net income and cash flows. The Company’s effective income tax rate for the third quarter of 2017 and 2016 was 4.3% and 10.3%, respectively, and for the first nine months of 2017 and 2016 was 6.0% and 8.4%, respectively.</w:t>
      </w:r>
    </w:p>
    <w:p>
      <w:pPr>
        <w:spacing w:after="0" w:line="206"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As of September 30, 2017 regulatory assets increased by $96,140, as compared to the beginning of the year, primarily due to the effect of additional tax deductions for certain qualifying infrastructure improvements, which results in differences between costs capitalized for book and deducted as an expense for tax purposes.</w:t>
      </w:r>
    </w:p>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As of September 30, 2017, the total gross unrecognized tax benefit was $28,938, of which $23,700, if recognized, would affect the Company’s effective tax rate as a result of the regulatory treatment afforded for qualifying infrastructure improvements in Pennsylvania. At December 31, 2016, the Company had unrecognized tax benefits of $28,099.</w:t>
      </w:r>
    </w:p>
    <w:p>
      <w:pPr>
        <w:spacing w:after="0" w:line="212"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Recent Accounting Pronouncements</w:t>
      </w:r>
    </w:p>
    <w:p>
      <w:pPr>
        <w:spacing w:after="0" w:line="239"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The guidance is effective for annual reporting periods beginning after December 15, 2017, and interim periods within that reporting period, and is to be applied retrospectively for the presentation of the service cost component and the other components of net benefit cost, and on a prospective basis for the capitalization of only the service cost component of net benefit cost. The Company is evaluating the requirements of the updated guidance to determine the impact of adoption, and does not believe it will have a material impact on its results of operations or financial position.</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January 2017, the FASB issued updated accounting guidance that eliminates step 2 of the current goodwill impairment test, which requires a hypothetical purchase price allocation to measure goodwill impairment. A goodwill impairment loss will instead be measured at the amount by which a reporting unit’s carrying amount exceeds its fair value, not to exceed the carrying amount of goodwill. The guidance will be effective for annual reporting periods beginning after December 15, 2019, and interim periods within that reporting period, with early adoption permitted for any impairment test performed on testing dates after January 1, 2017. The Company has elected to early adopt the provisions of the updated guidance, for its annual impairment valuation performed in the third quarter of 2017, and the provisions of the updated guidance did not have an impact on its results of operations or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August 2016, the FASB issued updated accounting guidance on the classification of certain cash receipts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and cash payments in the statement of cash flows, which is intended to reduce diversity in practice in how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certain transactions are classified in the statement of cash flows. This guidance is effective for fiscal years,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and interim periods within those years, beginning after December 15, 2017, and early adoption is</w:t>
      </w:r>
    </w:p>
    <w:p>
      <w:pPr>
        <w:spacing w:after="0"/>
        <w:rPr>
          <w:sz w:val="20"/>
          <w:szCs w:val="20"/>
          <w:color w:val="auto"/>
        </w:rPr>
      </w:pPr>
      <w:r>
        <w:rPr>
          <w:rFonts w:ascii="Arial" w:cs="Arial" w:eastAsia="Arial" w:hAnsi="Arial"/>
          <w:sz w:val="19"/>
          <w:szCs w:val="19"/>
          <w:color w:val="auto"/>
        </w:rPr>
        <w:t>permitted. The Company has elected to early adopt the provisions of the updated guidance, which resulted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reclassification of $375 debt extinguishment costs, for the nine months ended September 30, 2016, from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cash flows from operating to financing activities to conform to the new classification.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March 2016, the FASB issued updated accounting guidance on simplifying the accounting for share-based payments, which includes several aspects of the accounting for share-based payment transactions, including the income tax consequences, classification of awards as either equity or liabilities, and classification on the statement of cash flows. The updated guidance was effective for fiscal years beginning after December 15, 2016, and interim periods within those fiscal years, with early adoption available. On January 1, 2017, the Company adopted the updated guidance, prospectively, and recognized a previously unrecognized windfall tax benefit for stock-based compensation of $982 associated with the Company’s 2012 Federal net operating loss, which was recorded as an adjustment to deferred income taxes and retained earnings (refer to the presentation of “cumulative effect of change in accounting principle - windfall tax benefit” on the Company’s Consolidated Statement of Equity). Additionally, income tax benefits in excess of compensation costs or tax deficiencies for share-based compensation are now recorded to the Company’s income tax provision, instead of historically to stockholder’s equity, which impacts its effective tax rate. Lastly, all tax-related cash flows resulting from share-based payments are reported prospectively as operating activities on the statement of cash flows, a change from the historical requirement to present tax benefits as an inflow from financing activities and an outflow from operating activities.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evaluating the requirements of the updated guidance to determine the impact of adoption.</w:t>
      </w:r>
    </w:p>
    <w:p>
      <w:pPr>
        <w:spacing w:after="0" w:line="18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The Company does not expect the provisions of the updated guidance to have a material impact on its results of operations or financial position.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The updated guidance also requires additional disclosure about the nature, amount, timing, and uncertainty of revenue and cash flows arising from customer contracts, including significant judgments and changes in judgments and assets recognized from costs incurred to fulfill a contract. Additionally, the accounting for contributions in aid of construction may be impacted by the updated accounting guidance if the contributions are determined to be in scope. In July 2015, the FASB approved a one year deferral to the original effective date of this guidance. The updated guidance is effective for annual periods beginning after December 15, 2017, and interim periods therein, using either of the following transition methods: (i) a full retrospective approach reflecting the application of the updated guidance in each prior reporting period, or (ii) a modified retrospective approach with the cumulative effect of initially adopting the updated guidance recognized through retained earnings at the date of adoption. In 2016, the Company performed an evaluation of the requirements of the updated guidance and based on current interpretations of the updated guidance believes that the impact of adoption will not result in a material change in the Company’s measurement of revenue and timing of recognition if contributions in aid of construction are determined to not be in scope. In 2017, the American Institute of Certified Public Accountants (AICPA) power and utility entities revenue recognition task force has determined that contributions in aid of construction are not in the scope of the new standard, and submitted its recommendation to the AICPA’s revenue recognition working group for approval. The Company plans to implement the updated guidance using the modified retrospective approach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Forward-looking Statements</w:t>
      </w:r>
    </w:p>
    <w:p>
      <w:pPr>
        <w:spacing w:after="0" w:line="233"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changes in capital requirements and funding, acquisitions, changes to the capital markets, and our ability to assimilate acquired operations, as well as those risks, uncertainties and other factors discussed in our Annual Report on Form 10-K for the fiscal year ended December 31, 2016 under the captions “Risk Factors” and “Management’s Discussion and Analysis of Financial Condition and Results of Operations” and elsewhere in such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General Information</w:t>
      </w:r>
    </w:p>
    <w:p>
      <w:pPr>
        <w:spacing w:after="0" w:line="23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 party, water and wastewater line repair service and protection solutions to households.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During 2016, we completed the sale of business units within Aqua Resources which provided liquid waste hauling and disposal services, and inspection, cleaning and repair of storm and sanitary wastewater lines. Additionally, in 2016, we decided to market for sale two business units that are reported within the Company’s market-based subsidiary, Aqua Resources. One business unit installed and tested devices that prevent the contamination of potable water and repaired water and wastewater systems, for which the sale was completed in January 2017. The other business unit repairs and performs maintenance on water and wastewater systems, for which the sale was completed in June 2017.</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Currently,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w:t>
      </w:r>
    </w:p>
    <w:p>
      <w:pPr>
        <w:spacing w:after="0" w:line="200" w:lineRule="exact"/>
        <w:rPr>
          <w:sz w:val="20"/>
          <w:szCs w:val="20"/>
          <w:color w:val="auto"/>
        </w:rPr>
      </w:pPr>
    </w:p>
    <w:p>
      <w:pPr>
        <w:spacing w:after="0" w:line="239"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Condition</w:t>
      </w:r>
    </w:p>
    <w:p>
      <w:pPr>
        <w:spacing w:after="0" w:line="233"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During the first nine months of 2017, we had $337,731 of capital expenditures, expended $5,860 for the acquisition of water and wastewater utility systems, issued $441,294 of long-term debt, and repaid debt and made sinking fund contributions and other loan repayments of $293,270.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 and the issuances of $80,000 and $50,000 of first mortgage bonds by Aqua Pennsylvania in July and January 2017 and $100,000 of first mortgage bonds by Aqua Illinois in July 2017.</w:t>
      </w:r>
    </w:p>
    <w:p>
      <w:pPr>
        <w:spacing w:after="0" w:line="185"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At September 30, 2017, we had $4,139 of cash and cash equivalents compared to $3,763 at December 31, 2016. During the first nine months of 2017, we used the proceeds from the issuance of long-term debt and internally generated funds to fund the cash requirements discussed above and to pay dividends.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At September 30, 2017, our $250,000 unsecured revolving credit facility, which expires in February 2021, had $183,547 available for borrowing. At September 30, 2017, we had short-term lines of credit of $135,500, of which $114,510 was available for borrowing. One of our short-term lines of credit is an Aqua Pennsylvania $100,000 364-day unsecured revolving credit facility with four banks, which is used to provide working capital, and as of September 30, 2017, $80,000 was available for borrowing. In July we issued $180,000 of long-term debt, the proceeds of which were used to reduce our borrowings under our revolving credit facilities. Subsequently, in October we issued $75,000 of long-term debt, the proceeds of which were used to reduce our borrowings under our revolving credit facilities.</w:t>
      </w:r>
    </w:p>
    <w:p>
      <w:pPr>
        <w:spacing w:after="0" w:line="208"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13"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Results of Operations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Analysis of Third Quarter of 2017 Compared to Third Quarter of 2016</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Revenues decreased by $11,585 or 5.1%, primarily due to a decrease in customer water consumption, and a decrease in market-based activities revenue of $3,431 associated with the dispositions of business units, offset by an increase in water and wastewater rates and infrastructure rehabilitation surcharges of $1,759, and additional water and wastewater revenues of $505 associated with a larger customer base due to utility acquisitions.</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Operations and maintenance expenses decreased by $11,830 or 14.8%, primarily due to a reduction in operating expenses for Aqua Resources of $4,249 associated with the completion of the disposition of business units, which was finalized in June 2017, a decrease in water production costs of $2,928, a decrease in the Company’s self-insured employee medical benefit program expense of $2,425, and a decrease in postretirement benefits expense of $1,011. The decrease in water production costs is due to a reduction in purchased water expense of $1,907 due to replacing a purchased water supply coincident with the Company securing its own water supply source.</w:t>
      </w:r>
    </w:p>
    <w:p>
      <w:pPr>
        <w:spacing w:after="0" w:line="20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Depreciation expense increased by $383 or 1.1%, primarily due to the utility plant placed in service since September 30, 2016.</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increased by $2,243 or 11.1%, primarily due to an increase in average borrowings.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Allowance for funds used during construction (“AFUDC”) increased by $1,647, due to an increase in the average balance of utility plant construction work in progress, to which AFUDC is applied, and an increase in the AFUDC rate as a result of an increase in the amount of AFUDC related to equity.</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Our effective income tax rate was 4.3% in the third quarter of 2017 and 10.3% in the third quarter of</w:t>
      </w:r>
    </w:p>
    <w:p>
      <w:pPr>
        <w:spacing w:after="0" w:line="20"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2016. The effective income tax rate decreased due to the effect of additional tax deductions recognized in the third quarter of 2017 for certain qualifying infrastructure improvements for Aqua Pennsylvania.</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$3,055 or 4.2%, primarily as a result of the factors described above.</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Analysis of First Nine Months of 2017 Compared to First Nine Months of 2016</w:t>
      </w:r>
    </w:p>
    <w:p>
      <w:pPr>
        <w:spacing w:after="0" w:line="233"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color w:val="auto"/>
        </w:rPr>
        <w:t>Revenues decreased by $16,863 or 2.7%, primarily due to a decrease in market-based activities revenue of $12,970 associated with the dispositions of business units, and a decrease in customer water consumption, offset by an increase in water and wastewater rates and infrastructure rehabilitation surcharges of $4,586, additional water and wastewater revenues from organic growth of $2,296, and additional water and wastewater revenues of $1,257 associated with a larger customer base due to utility acquisitions.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Operations and maintenance expenses decreased by $19,384 or 8.5%, primarily due to a reduction in operating expenses for Aqua Resources of $12,981 associated with the completion of the disposition of business units, which was finalized in June 2017, a decrease in water production costs of $4,459, a decrease in the Company’s self-insured employee medical benefit program expense of $4,239, and a decrease in postretirement benefits expense of $2,946, offset by the prior year effect of a gain on sale of a utility system of $1,215. The gain on sale of a utility system is reported in the consolidated statement of net income as a component of operations and maintenance expense. The decrease in water production costs is due to a reduction in purchased water expense of $2,886 due to replacing a purchased water supply coincident with the Company securing its own water supply source.</w:t>
      </w:r>
    </w:p>
    <w:p>
      <w:pPr>
        <w:spacing w:after="0" w:line="21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expense increased by $3,863 or 4.0%, primarily due to the utility plant placed in service since September 30, 2016.</w:t>
      </w:r>
    </w:p>
    <w:p>
      <w:pPr>
        <w:spacing w:after="0" w:line="200"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Taxes other than income taxes increased by $1,296 or 3.0% primarily due to an increase in property taxes of $489 primarily due to the effect of a benefit recorded in 2016 for Ohio based on the final settlement of a property tax bill, and an increase in pumping fees of $319 in Texas due to higher rates and water production.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increased by $4,988 or 8.3%, primarily due to an increase in average borrowings.</w:t>
      </w:r>
    </w:p>
    <w:p>
      <w:pPr>
        <w:spacing w:after="0" w:line="24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AFUDC increased by $4,124, due to an increase in the average balance of utility plant construction work in progress, to which AFUDC is applied, and an increase in the AFUDC rate as a result of an increase in the amount of AFUDC related to equity.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1300" w:right="136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Our effective income tax rate was 6.0% in the first nine months of 2017 and 8.4% in the first nine months of 2016. The effective income tax rate decreased due to the effect of additional tax deductions recognized in the first nine months of 2017 for certain qualifying infrastructure improvements for Aqua Pennsylvania.</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$1,732 or 0.9%, primarily as a result of the factors described above.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33" w:lineRule="exact"/>
        <w:rPr>
          <w:sz w:val="20"/>
          <w:szCs w:val="20"/>
          <w:color w:val="auto"/>
        </w:rPr>
      </w:pPr>
    </w:p>
    <w:p>
      <w:pPr>
        <w:ind w:right="1460"/>
        <w:spacing w:after="0" w:line="274" w:lineRule="auto"/>
        <w:rPr>
          <w:sz w:val="20"/>
          <w:szCs w:val="20"/>
          <w:color w:val="auto"/>
        </w:rPr>
      </w:pPr>
      <w:r>
        <w:rPr>
          <w:rFonts w:ascii="Arial" w:cs="Arial" w:eastAsia="Arial" w:hAnsi="Arial"/>
          <w:sz w:val="21"/>
          <w:szCs w:val="21"/>
          <w:color w:val="auto"/>
        </w:rPr>
        <w:t xml:space="preserve">We describe the impact of recent accounting pronouncements in Note 15, </w:t>
      </w:r>
      <w:r>
        <w:rPr>
          <w:rFonts w:ascii="Arial" w:cs="Arial" w:eastAsia="Arial" w:hAnsi="Arial"/>
          <w:sz w:val="21"/>
          <w:szCs w:val="21"/>
          <w:i w:val="1"/>
          <w:iCs w:val="1"/>
          <w:color w:val="auto"/>
        </w:rPr>
        <w:t>Recent Accounting</w:t>
      </w:r>
      <w:r>
        <w:rPr>
          <w:rFonts w:ascii="Arial" w:cs="Arial" w:eastAsia="Arial" w:hAnsi="Arial"/>
          <w:sz w:val="21"/>
          <w:szCs w:val="21"/>
          <w:color w:val="auto"/>
        </w:rPr>
        <w:t xml:space="preserve"> </w:t>
      </w:r>
      <w:r>
        <w:rPr>
          <w:rFonts w:ascii="Arial" w:cs="Arial" w:eastAsia="Arial" w:hAnsi="Arial"/>
          <w:sz w:val="21"/>
          <w:szCs w:val="21"/>
          <w:i w:val="1"/>
          <w:iCs w:val="1"/>
          <w:color w:val="auto"/>
        </w:rPr>
        <w:t>Pronouncements</w:t>
      </w:r>
      <w:r>
        <w:rPr>
          <w:rFonts w:ascii="Arial" w:cs="Arial" w:eastAsia="Arial" w:hAnsi="Arial"/>
          <w:sz w:val="21"/>
          <w:szCs w:val="21"/>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63500</wp:posOffset>
            </wp:positionV>
            <wp:extent cx="63030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480"/>
          </w:cols>
          <w:pgMar w:left="1220" w:top="118" w:right="119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There have been no significant changes in our exposure to market risks since December 31, 2016. Refer to Item 7A of the Company’s Annual Report on Form 10-K for the year ended December 31, 2016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8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3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3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33"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There have been no material changes to the risks disclosed in our Annual Report on Form 10-K for the year ended December 31, 2016 under “Part 1, Item 1A – Risk Factors.”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8" w:right="89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table summarizes the Company’s purchases of its common stock for the quarter ended September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60" w:type="dxa"/>
            <w:vAlign w:val="bottom"/>
            <w:gridSpan w:val="7"/>
          </w:tcPr>
          <w:p>
            <w:pPr>
              <w:jc w:val="right"/>
              <w:ind w:right="460"/>
              <w:spacing w:after="0"/>
              <w:rPr>
                <w:sz w:val="20"/>
                <w:szCs w:val="20"/>
                <w:color w:val="auto"/>
              </w:rPr>
            </w:pPr>
            <w:r>
              <w:rPr>
                <w:rFonts w:ascii="Arial" w:cs="Arial" w:eastAsia="Arial" w:hAnsi="Arial"/>
                <w:sz w:val="22"/>
                <w:szCs w:val="22"/>
                <w:color w:val="auto"/>
                <w:w w:val="87"/>
              </w:rPr>
              <w:t>Issuer Purchases of Equity Securities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Total</w:t>
            </w:r>
          </w:p>
        </w:tc>
        <w:tc>
          <w:tcPr>
            <w:tcW w:w="1600" w:type="dxa"/>
            <w:vAlign w:val="bottom"/>
          </w:tcPr>
          <w:p>
            <w:pPr>
              <w:jc w:val="right"/>
              <w:spacing w:after="0"/>
              <w:rPr>
                <w:sz w:val="20"/>
                <w:szCs w:val="20"/>
                <w:color w:val="auto"/>
              </w:rPr>
            </w:pPr>
            <w:r>
              <w:rPr>
                <w:rFonts w:ascii="Arial" w:cs="Arial" w:eastAsia="Arial" w:hAnsi="Arial"/>
                <w:sz w:val="22"/>
                <w:szCs w:val="22"/>
                <w:color w:val="auto"/>
              </w:rPr>
              <w:t>Maximum</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Number of</w:t>
            </w:r>
          </w:p>
        </w:tc>
        <w:tc>
          <w:tcPr>
            <w:tcW w:w="1600" w:type="dxa"/>
            <w:vAlign w:val="bottom"/>
          </w:tcPr>
          <w:p>
            <w:pPr>
              <w:jc w:val="right"/>
              <w:spacing w:after="0"/>
              <w:rPr>
                <w:sz w:val="20"/>
                <w:szCs w:val="20"/>
                <w:color w:val="auto"/>
              </w:rPr>
            </w:pPr>
            <w:r>
              <w:rPr>
                <w:rFonts w:ascii="Arial" w:cs="Arial" w:eastAsia="Arial" w:hAnsi="Arial"/>
                <w:sz w:val="22"/>
                <w:szCs w:val="22"/>
                <w:color w:val="auto"/>
              </w:rPr>
              <w:t>Number of</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Shares</w:t>
            </w:r>
          </w:p>
        </w:tc>
        <w:tc>
          <w:tcPr>
            <w:tcW w:w="1600" w:type="dxa"/>
            <w:vAlign w:val="bottom"/>
          </w:tcPr>
          <w:p>
            <w:pPr>
              <w:jc w:val="right"/>
              <w:spacing w:after="0"/>
              <w:rPr>
                <w:sz w:val="20"/>
                <w:szCs w:val="20"/>
                <w:color w:val="auto"/>
              </w:rPr>
            </w:pPr>
            <w:r>
              <w:rPr>
                <w:rFonts w:ascii="Arial" w:cs="Arial" w:eastAsia="Arial" w:hAnsi="Arial"/>
                <w:sz w:val="22"/>
                <w:szCs w:val="22"/>
                <w:color w:val="auto"/>
              </w:rPr>
              <w:t>Shares</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Purchased</w:t>
            </w:r>
          </w:p>
        </w:tc>
        <w:tc>
          <w:tcPr>
            <w:tcW w:w="1600" w:type="dxa"/>
            <w:vAlign w:val="bottom"/>
          </w:tcPr>
          <w:p>
            <w:pPr>
              <w:jc w:val="right"/>
              <w:spacing w:after="0"/>
              <w:rPr>
                <w:sz w:val="20"/>
                <w:szCs w:val="20"/>
                <w:color w:val="auto"/>
              </w:rPr>
            </w:pPr>
            <w:r>
              <w:rPr>
                <w:rFonts w:ascii="Arial" w:cs="Arial" w:eastAsia="Arial" w:hAnsi="Arial"/>
                <w:sz w:val="22"/>
                <w:szCs w:val="22"/>
                <w:color w:val="auto"/>
              </w:rPr>
              <w:t>that May</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as Part of</w:t>
            </w:r>
          </w:p>
        </w:tc>
        <w:tc>
          <w:tcPr>
            <w:tcW w:w="1600" w:type="dxa"/>
            <w:vAlign w:val="bottom"/>
          </w:tcPr>
          <w:p>
            <w:pPr>
              <w:jc w:val="right"/>
              <w:spacing w:after="0"/>
              <w:rPr>
                <w:sz w:val="20"/>
                <w:szCs w:val="20"/>
                <w:color w:val="auto"/>
              </w:rPr>
            </w:pPr>
            <w:r>
              <w:rPr>
                <w:rFonts w:ascii="Arial" w:cs="Arial" w:eastAsia="Arial" w:hAnsi="Arial"/>
                <w:sz w:val="22"/>
                <w:szCs w:val="22"/>
                <w:color w:val="auto"/>
              </w:rPr>
              <w:t>Yet be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Total</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Publicly</w:t>
            </w:r>
          </w:p>
        </w:tc>
        <w:tc>
          <w:tcPr>
            <w:tcW w:w="1600" w:type="dxa"/>
            <w:vAlign w:val="bottom"/>
          </w:tcPr>
          <w:p>
            <w:pPr>
              <w:jc w:val="right"/>
              <w:spacing w:after="0"/>
              <w:rPr>
                <w:sz w:val="20"/>
                <w:szCs w:val="20"/>
                <w:color w:val="auto"/>
              </w:rPr>
            </w:pPr>
            <w:r>
              <w:rPr>
                <w:rFonts w:ascii="Arial" w:cs="Arial" w:eastAsia="Arial" w:hAnsi="Arial"/>
                <w:sz w:val="22"/>
                <w:szCs w:val="22"/>
                <w:color w:val="auto"/>
              </w:rPr>
              <w:t>Purchased</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Number</w:t>
            </w:r>
          </w:p>
        </w:tc>
        <w:tc>
          <w:tcPr>
            <w:tcW w:w="40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22"/>
                <w:szCs w:val="22"/>
                <w:color w:val="auto"/>
              </w:rPr>
              <w:t>Average</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Announced</w:t>
            </w:r>
          </w:p>
        </w:tc>
        <w:tc>
          <w:tcPr>
            <w:tcW w:w="1600" w:type="dxa"/>
            <w:vAlign w:val="bottom"/>
          </w:tcPr>
          <w:p>
            <w:pPr>
              <w:jc w:val="right"/>
              <w:spacing w:after="0"/>
              <w:rPr>
                <w:sz w:val="20"/>
                <w:szCs w:val="20"/>
                <w:color w:val="auto"/>
              </w:rPr>
            </w:pPr>
            <w:r>
              <w:rPr>
                <w:rFonts w:ascii="Arial" w:cs="Arial" w:eastAsia="Arial" w:hAnsi="Arial"/>
                <w:sz w:val="22"/>
                <w:szCs w:val="22"/>
                <w:color w:val="auto"/>
              </w:rPr>
              <w:t>Under the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of Shares</w:t>
            </w:r>
          </w:p>
        </w:tc>
        <w:tc>
          <w:tcPr>
            <w:tcW w:w="40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22"/>
                <w:szCs w:val="22"/>
                <w:color w:val="auto"/>
              </w:rPr>
              <w:t>Price Paid</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Plans or</w:t>
            </w:r>
          </w:p>
        </w:tc>
        <w:tc>
          <w:tcPr>
            <w:tcW w:w="1600" w:type="dxa"/>
            <w:vAlign w:val="bottom"/>
          </w:tcPr>
          <w:p>
            <w:pPr>
              <w:jc w:val="right"/>
              <w:spacing w:after="0"/>
              <w:rPr>
                <w:sz w:val="20"/>
                <w:szCs w:val="20"/>
                <w:color w:val="auto"/>
              </w:rPr>
            </w:pPr>
            <w:r>
              <w:rPr>
                <w:rFonts w:ascii="Arial" w:cs="Arial" w:eastAsia="Arial" w:hAnsi="Arial"/>
                <w:sz w:val="22"/>
                <w:szCs w:val="22"/>
                <w:color w:val="auto"/>
              </w:rPr>
              <w:t>Plan or</w:t>
            </w:r>
          </w:p>
        </w:tc>
      </w:tr>
      <w:tr>
        <w:trPr>
          <w:trHeight w:val="233"/>
        </w:trPr>
        <w:tc>
          <w:tcPr>
            <w:tcW w:w="3000" w:type="dxa"/>
            <w:vAlign w:val="bottom"/>
            <w:gridSpan w:val="3"/>
          </w:tcPr>
          <w:p>
            <w:pPr>
              <w:spacing w:after="0" w:line="233" w:lineRule="exact"/>
              <w:rPr>
                <w:sz w:val="20"/>
                <w:szCs w:val="20"/>
                <w:color w:val="auto"/>
              </w:rPr>
            </w:pPr>
            <w:r>
              <w:rPr>
                <w:rFonts w:ascii="Arial" w:cs="Arial" w:eastAsia="Arial" w:hAnsi="Arial"/>
                <w:sz w:val="22"/>
                <w:szCs w:val="22"/>
                <w:color w:val="auto"/>
              </w:rPr>
              <w:t>Period</w:t>
            </w:r>
          </w:p>
        </w:tc>
        <w:tc>
          <w:tcPr>
            <w:tcW w:w="20" w:type="dxa"/>
            <w:vAlign w:val="bottom"/>
          </w:tcPr>
          <w:p>
            <w:pPr>
              <w:spacing w:after="0"/>
              <w:rPr>
                <w:sz w:val="20"/>
                <w:szCs w:val="20"/>
                <w:color w:val="auto"/>
              </w:rPr>
            </w:pPr>
          </w:p>
        </w:tc>
        <w:tc>
          <w:tcPr>
            <w:tcW w:w="1900" w:type="dxa"/>
            <w:vAlign w:val="bottom"/>
            <w:gridSpan w:val="2"/>
          </w:tcPr>
          <w:p>
            <w:pPr>
              <w:jc w:val="right"/>
              <w:ind w:right="220"/>
              <w:spacing w:after="0" w:line="233" w:lineRule="exact"/>
              <w:rPr>
                <w:sz w:val="20"/>
                <w:szCs w:val="20"/>
                <w:color w:val="auto"/>
              </w:rPr>
            </w:pPr>
            <w:r>
              <w:rPr>
                <w:rFonts w:ascii="Arial" w:cs="Arial" w:eastAsia="Arial" w:hAnsi="Arial"/>
                <w:sz w:val="22"/>
                <w:szCs w:val="22"/>
                <w:color w:val="auto"/>
              </w:rPr>
              <w:t>Purchased (1)</w:t>
            </w:r>
          </w:p>
        </w:tc>
        <w:tc>
          <w:tcPr>
            <w:tcW w:w="400" w:type="dxa"/>
            <w:vAlign w:val="bottom"/>
          </w:tcPr>
          <w:p>
            <w:pPr>
              <w:spacing w:after="0"/>
              <w:rPr>
                <w:sz w:val="20"/>
                <w:szCs w:val="20"/>
                <w:color w:val="auto"/>
              </w:rPr>
            </w:pPr>
          </w:p>
        </w:tc>
        <w:tc>
          <w:tcPr>
            <w:tcW w:w="1340" w:type="dxa"/>
            <w:vAlign w:val="bottom"/>
            <w:gridSpan w:val="3"/>
          </w:tcPr>
          <w:p>
            <w:pPr>
              <w:jc w:val="right"/>
              <w:ind w:right="240"/>
              <w:spacing w:after="0" w:line="233" w:lineRule="exact"/>
              <w:rPr>
                <w:sz w:val="20"/>
                <w:szCs w:val="20"/>
                <w:color w:val="auto"/>
              </w:rPr>
            </w:pPr>
            <w:r>
              <w:rPr>
                <w:rFonts w:ascii="Arial" w:cs="Arial" w:eastAsia="Arial" w:hAnsi="Arial"/>
                <w:sz w:val="22"/>
                <w:szCs w:val="22"/>
                <w:color w:val="auto"/>
              </w:rPr>
              <w:t>per Share</w:t>
            </w:r>
          </w:p>
        </w:tc>
        <w:tc>
          <w:tcPr>
            <w:tcW w:w="1620" w:type="dxa"/>
            <w:vAlign w:val="bottom"/>
            <w:gridSpan w:val="2"/>
          </w:tcPr>
          <w:p>
            <w:pPr>
              <w:jc w:val="right"/>
              <w:ind w:right="240"/>
              <w:spacing w:after="0" w:line="233" w:lineRule="exact"/>
              <w:rPr>
                <w:sz w:val="20"/>
                <w:szCs w:val="20"/>
                <w:color w:val="auto"/>
              </w:rPr>
            </w:pPr>
            <w:r>
              <w:rPr>
                <w:rFonts w:ascii="Arial" w:cs="Arial" w:eastAsia="Arial" w:hAnsi="Arial"/>
                <w:sz w:val="22"/>
                <w:szCs w:val="22"/>
                <w:color w:val="auto"/>
              </w:rPr>
              <w:t>Programs</w:t>
            </w:r>
          </w:p>
        </w:tc>
        <w:tc>
          <w:tcPr>
            <w:tcW w:w="1600" w:type="dxa"/>
            <w:vAlign w:val="bottom"/>
          </w:tcPr>
          <w:p>
            <w:pPr>
              <w:jc w:val="right"/>
              <w:spacing w:after="0" w:line="233" w:lineRule="exact"/>
              <w:rPr>
                <w:sz w:val="20"/>
                <w:szCs w:val="20"/>
                <w:color w:val="auto"/>
              </w:rPr>
            </w:pPr>
            <w:r>
              <w:rPr>
                <w:rFonts w:ascii="Arial" w:cs="Arial" w:eastAsia="Arial" w:hAnsi="Arial"/>
                <w:sz w:val="22"/>
                <w:szCs w:val="22"/>
                <w:color w:val="auto"/>
              </w:rPr>
              <w:t>Programs</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July 1-31, 2017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196</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33.46</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000" w:type="dxa"/>
            <w:vAlign w:val="bottom"/>
            <w:gridSpan w:val="3"/>
          </w:tcPr>
          <w:p>
            <w:pPr>
              <w:spacing w:after="0"/>
              <w:rPr>
                <w:sz w:val="20"/>
                <w:szCs w:val="20"/>
                <w:color w:val="auto"/>
              </w:rPr>
            </w:pPr>
            <w:r>
              <w:rPr>
                <w:rFonts w:ascii="Arial" w:cs="Arial" w:eastAsia="Arial" w:hAnsi="Arial"/>
                <w:sz w:val="22"/>
                <w:szCs w:val="22"/>
                <w:color w:val="auto"/>
              </w:rPr>
              <w:t>August 1-31, 2017</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513</w:t>
            </w:r>
          </w:p>
        </w:tc>
        <w:tc>
          <w:tcPr>
            <w:tcW w:w="220" w:type="dxa"/>
            <w:vAlign w:val="bottom"/>
          </w:tcPr>
          <w:p>
            <w:pPr>
              <w:spacing w:after="0"/>
              <w:rPr>
                <w:sz w:val="24"/>
                <w:szCs w:val="24"/>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33.86</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20" w:type="dxa"/>
            <w:vAlign w:val="bottom"/>
          </w:tcPr>
          <w:p>
            <w:pPr>
              <w:spacing w:after="0"/>
              <w:rPr>
                <w:sz w:val="24"/>
                <w:szCs w:val="2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September 1-30, 2017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3000" w:type="dxa"/>
            <w:vAlign w:val="bottom"/>
            <w:gridSpan w:val="3"/>
          </w:tcPr>
          <w:p>
            <w:pPr>
              <w:spacing w:after="0" w:line="250" w:lineRule="exact"/>
              <w:rPr>
                <w:sz w:val="20"/>
                <w:szCs w:val="20"/>
                <w:color w:val="auto"/>
              </w:rPr>
            </w:pPr>
            <w:r>
              <w:rPr>
                <w:rFonts w:ascii="Arial" w:cs="Arial" w:eastAsia="Arial" w:hAnsi="Arial"/>
                <w:sz w:val="22"/>
                <w:szCs w:val="22"/>
                <w:color w:val="auto"/>
              </w:rPr>
              <w:t>Total</w:t>
            </w:r>
          </w:p>
        </w:tc>
        <w:tc>
          <w:tcPr>
            <w:tcW w:w="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709</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12"/>
              <w:spacing w:after="0" w:line="250" w:lineRule="exact"/>
              <w:rPr>
                <w:sz w:val="20"/>
                <w:szCs w:val="20"/>
                <w:color w:val="auto"/>
              </w:rPr>
            </w:pPr>
            <w:r>
              <w:rPr>
                <w:rFonts w:ascii="Arial" w:cs="Arial" w:eastAsia="Arial" w:hAnsi="Arial"/>
                <w:sz w:val="22"/>
                <w:szCs w:val="22"/>
                <w:color w:val="auto"/>
              </w:rPr>
              <w:t>$</w:t>
            </w:r>
          </w:p>
        </w:tc>
        <w:tc>
          <w:tcPr>
            <w:tcW w:w="1100" w:type="dxa"/>
            <w:vAlign w:val="bottom"/>
            <w:tcBorders>
              <w:top w:val="single" w:sz="8" w:color="auto"/>
              <w:bottom w:val="single" w:sz="8" w:color="auto"/>
            </w:tcBorders>
            <w:gridSpan w:val="2"/>
          </w:tcPr>
          <w:p>
            <w:pPr>
              <w:jc w:val="right"/>
              <w:ind w:right="60"/>
              <w:spacing w:after="0" w:line="250" w:lineRule="exact"/>
              <w:rPr>
                <w:sz w:val="20"/>
                <w:szCs w:val="20"/>
                <w:color w:val="auto"/>
              </w:rPr>
            </w:pPr>
            <w:r>
              <w:rPr>
                <w:rFonts w:ascii="Arial" w:cs="Arial" w:eastAsia="Arial" w:hAnsi="Arial"/>
                <w:sz w:val="22"/>
                <w:szCs w:val="22"/>
                <w:color w:val="auto"/>
              </w:rPr>
              <w:t>33.75</w:t>
            </w:r>
          </w:p>
        </w:tc>
        <w:tc>
          <w:tcPr>
            <w:tcW w:w="2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r>
    </w:tbl>
    <w:p>
      <w:pPr>
        <w:spacing w:after="0" w:line="235" w:lineRule="exact"/>
        <w:rPr>
          <w:sz w:val="20"/>
          <w:szCs w:val="20"/>
          <w:color w:val="auto"/>
        </w:rPr>
      </w:pPr>
    </w:p>
    <w:p>
      <w:pPr>
        <w:jc w:val="both"/>
        <w:ind w:left="400" w:right="20" w:hanging="392"/>
        <w:spacing w:after="0" w:line="276" w:lineRule="auto"/>
        <w:tabs>
          <w:tab w:leader="none" w:pos="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These amounts include the following: (a) 196 shares we acquired from employees associated with the withholding of shares to pay certain withholding taxes upon the vesting of stock-based compensation; and</w:t>
      </w:r>
    </w:p>
    <w:p>
      <w:pPr>
        <w:spacing w:after="0" w:line="1" w:lineRule="exact"/>
        <w:rPr>
          <w:rFonts w:ascii="Arial" w:cs="Arial" w:eastAsia="Arial" w:hAnsi="Arial"/>
          <w:sz w:val="19"/>
          <w:szCs w:val="19"/>
          <w:color w:val="auto"/>
        </w:rPr>
      </w:pPr>
    </w:p>
    <w:p>
      <w:pPr>
        <w:jc w:val="both"/>
        <w:ind w:left="400" w:right="20"/>
        <w:spacing w:after="0" w:line="244" w:lineRule="auto"/>
        <w:rPr>
          <w:rFonts w:ascii="Arial" w:cs="Arial" w:eastAsia="Arial" w:hAnsi="Arial"/>
          <w:sz w:val="19"/>
          <w:szCs w:val="19"/>
          <w:color w:val="auto"/>
        </w:rPr>
      </w:pPr>
      <w:r>
        <w:rPr>
          <w:rFonts w:ascii="Arial" w:cs="Arial" w:eastAsia="Arial" w:hAnsi="Arial"/>
          <w:sz w:val="21"/>
          <w:szCs w:val="21"/>
          <w:color w:val="auto"/>
        </w:rPr>
        <w:t>(b) 513 shares we acquired from our employees who elected to pay the exercise price of their stock options (and then hold shares of the stock), upon exercise, by delivering to us shares of our common stock in accordance with the terms of our equity compensation plan that were previously approved by our shareholders and disclosed in our proxy statements. These features of our equity compensation plan are available to all employees who receive stock-based compensation under the plan. We purchased these shares at their fair market value, as determined by reference to the closing price of our common stock on the day prior to the option exercise.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23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information required by this Item is set forth in the Exhibit Index hereto which is incorporated herein by reference.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8" w:right="87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11"/>
          </w:tcPr>
          <w:p>
            <w:pPr>
              <w:jc w:val="center"/>
              <w:ind w:right="2020"/>
              <w:spacing w:after="0"/>
              <w:rPr>
                <w:sz w:val="20"/>
                <w:szCs w:val="20"/>
                <w:color w:val="auto"/>
              </w:rPr>
            </w:pPr>
            <w:r>
              <w:rPr>
                <w:rFonts w:ascii="Arial" w:cs="Arial" w:eastAsia="Arial" w:hAnsi="Arial"/>
                <w:sz w:val="22"/>
                <w:szCs w:val="22"/>
                <w:b w:val="1"/>
                <w:bCs w:val="1"/>
                <w:color w:val="auto"/>
              </w:rPr>
              <w:t>EXHIBIT INDEX</w:t>
            </w:r>
          </w:p>
        </w:tc>
        <w:tc>
          <w:tcPr>
            <w:tcW w:w="20" w:type="dxa"/>
            <w:vAlign w:val="bottom"/>
          </w:tcPr>
          <w:p>
            <w:pPr>
              <w:spacing w:after="0"/>
              <w:rPr>
                <w:sz w:val="24"/>
                <w:szCs w:val="24"/>
                <w:color w:val="auto"/>
              </w:rPr>
            </w:pPr>
          </w:p>
        </w:tc>
      </w:tr>
      <w:tr>
        <w:trPr>
          <w:trHeight w:val="598"/>
        </w:trPr>
        <w:tc>
          <w:tcPr>
            <w:tcW w:w="1860" w:type="dxa"/>
            <w:vAlign w:val="bottom"/>
            <w:gridSpan w:val="2"/>
          </w:tcPr>
          <w:p>
            <w:pPr>
              <w:ind w:left="100"/>
              <w:spacing w:after="0"/>
              <w:rPr>
                <w:sz w:val="20"/>
                <w:szCs w:val="20"/>
                <w:color w:val="auto"/>
              </w:rPr>
            </w:pPr>
            <w:r>
              <w:rPr>
                <w:rFonts w:ascii="Arial" w:cs="Arial" w:eastAsia="Arial" w:hAnsi="Arial"/>
                <w:sz w:val="22"/>
                <w:szCs w:val="22"/>
                <w:b w:val="1"/>
                <w:bCs w:val="1"/>
                <w:color w:val="auto"/>
              </w:rPr>
              <w:t>Exhibit No.</w:t>
            </w:r>
          </w:p>
        </w:tc>
        <w:tc>
          <w:tcPr>
            <w:tcW w:w="100" w:type="dxa"/>
            <w:vAlign w:val="bottom"/>
          </w:tcPr>
          <w:p>
            <w:pPr>
              <w:spacing w:after="0"/>
              <w:rPr>
                <w:sz w:val="24"/>
                <w:szCs w:val="24"/>
                <w:color w:val="auto"/>
              </w:rPr>
            </w:pPr>
          </w:p>
        </w:tc>
        <w:tc>
          <w:tcPr>
            <w:tcW w:w="7900" w:type="dxa"/>
            <w:vAlign w:val="bottom"/>
            <w:gridSpan w:val="11"/>
          </w:tcPr>
          <w:p>
            <w:pPr>
              <w:ind w:left="6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4"/>
                <w:szCs w:val="24"/>
                <w:color w:val="auto"/>
              </w:rPr>
            </w:pPr>
          </w:p>
        </w:tc>
      </w:tr>
      <w:tr>
        <w:trPr>
          <w:trHeight w:val="196"/>
        </w:trPr>
        <w:tc>
          <w:tcPr>
            <w:tcW w:w="1480" w:type="dxa"/>
            <w:vAlign w:val="bottom"/>
            <w:tcBorders>
              <w:top w:val="single" w:sz="8" w:color="auto"/>
            </w:tcBorders>
            <w:shd w:val="clear" w:color="auto" w:fill="CCEEFF"/>
          </w:tcPr>
          <w:p>
            <w:pPr>
              <w:ind w:left="100"/>
              <w:spacing w:after="0" w:line="197" w:lineRule="exact"/>
              <w:rPr>
                <w:sz w:val="20"/>
                <w:szCs w:val="20"/>
                <w:color w:val="auto"/>
              </w:rPr>
            </w:pPr>
            <w:r>
              <w:rPr>
                <w:rFonts w:ascii="Arial" w:cs="Arial" w:eastAsia="Arial" w:hAnsi="Arial"/>
                <w:sz w:val="22"/>
                <w:szCs w:val="22"/>
                <w:color w:val="auto"/>
              </w:rPr>
              <w:t>4.1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900" w:type="dxa"/>
            <w:vAlign w:val="bottom"/>
            <w:tcBorders>
              <w:top w:val="single" w:sz="8" w:color="auto"/>
            </w:tcBorders>
            <w:gridSpan w:val="11"/>
            <w:shd w:val="clear" w:color="auto" w:fill="CCEEFF"/>
          </w:tcPr>
          <w:p>
            <w:pPr>
              <w:spacing w:after="0" w:line="197" w:lineRule="exact"/>
              <w:rPr>
                <w:rFonts w:ascii="Arial" w:cs="Arial" w:eastAsia="Arial" w:hAnsi="Arial"/>
                <w:sz w:val="22"/>
                <w:szCs w:val="22"/>
                <w:color w:val="0000EE"/>
                <w:w w:val="99"/>
              </w:rPr>
            </w:pPr>
            <w:hyperlink w:anchor="page36">
              <w:r>
                <w:rPr>
                  <w:rFonts w:ascii="Arial" w:cs="Arial" w:eastAsia="Arial" w:hAnsi="Arial"/>
                  <w:sz w:val="22"/>
                  <w:szCs w:val="22"/>
                  <w:color w:val="0000EE"/>
                  <w:w w:val="99"/>
                </w:rPr>
                <w:t>Bond Purchase Agreement, dated July 10, 2017 by and among Aqua Illinois, Inc.,</w:t>
              </w:r>
            </w:hyperlink>
          </w:p>
        </w:tc>
        <w:tc>
          <w:tcPr>
            <w:tcW w:w="20" w:type="dxa"/>
            <w:vAlign w:val="bottom"/>
          </w:tcPr>
          <w:p>
            <w:pPr>
              <w:spacing w:after="0"/>
              <w:rPr>
                <w:sz w:val="17"/>
                <w:szCs w:val="17"/>
                <w:color w:val="auto"/>
              </w:rPr>
            </w:pPr>
          </w:p>
        </w:tc>
      </w:tr>
      <w:tr>
        <w:trPr>
          <w:trHeight w:val="223"/>
        </w:trPr>
        <w:tc>
          <w:tcPr>
            <w:tcW w:w="1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80" w:type="dxa"/>
            <w:vAlign w:val="bottom"/>
            <w:tcBorders>
              <w:top w:val="single" w:sz="8" w:color="0000EE"/>
            </w:tcBorders>
            <w:gridSpan w:val="7"/>
            <w:shd w:val="clear" w:color="auto" w:fill="CCEEFF"/>
          </w:tcPr>
          <w:p>
            <w:pPr>
              <w:spacing w:after="0" w:line="223" w:lineRule="exact"/>
              <w:rPr>
                <w:rFonts w:ascii="Arial" w:cs="Arial" w:eastAsia="Arial" w:hAnsi="Arial"/>
                <w:sz w:val="22"/>
                <w:szCs w:val="22"/>
                <w:color w:val="0000EE"/>
              </w:rPr>
            </w:pPr>
            <w:hyperlink w:anchor="page36">
              <w:r>
                <w:rPr>
                  <w:rFonts w:ascii="Arial" w:cs="Arial" w:eastAsia="Arial" w:hAnsi="Arial"/>
                  <w:sz w:val="22"/>
                  <w:szCs w:val="22"/>
                  <w:color w:val="0000EE"/>
                </w:rPr>
                <w:t>Teachers Insurance and Annuity Association of America</w:t>
              </w:r>
            </w:hyperlink>
          </w:p>
        </w:tc>
        <w:tc>
          <w:tcPr>
            <w:tcW w:w="820" w:type="dxa"/>
            <w:vAlign w:val="bottom"/>
            <w:tcBorders>
              <w:top w:val="single" w:sz="8" w:color="CCEEFF"/>
            </w:tcBorders>
            <w:gridSpan w:val="4"/>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Arial" w:cs="Arial" w:eastAsia="Arial" w:hAnsi="Arial"/>
                <w:sz w:val="22"/>
                <w:szCs w:val="22"/>
                <w:color w:val="auto"/>
              </w:rPr>
              <w:t>4.2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gridSpan w:val="11"/>
          </w:tcPr>
          <w:p>
            <w:pPr>
              <w:spacing w:after="0" w:line="203" w:lineRule="exact"/>
              <w:rPr>
                <w:rFonts w:ascii="Arial" w:cs="Arial" w:eastAsia="Arial" w:hAnsi="Arial"/>
                <w:sz w:val="22"/>
                <w:szCs w:val="22"/>
                <w:color w:val="0000EE"/>
                <w:w w:val="91"/>
              </w:rPr>
            </w:pPr>
            <w:hyperlink w:anchor="page81">
              <w:r>
                <w:rPr>
                  <w:rFonts w:ascii="Arial" w:cs="Arial" w:eastAsia="Arial" w:hAnsi="Arial"/>
                  <w:sz w:val="22"/>
                  <w:szCs w:val="22"/>
                  <w:color w:val="0000EE"/>
                  <w:w w:val="91"/>
                </w:rPr>
                <w:t>Bond Purchase Agreement, dated July 20, 2017 by and among Aqua Pennsylvania, Inc.,</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Borders>
              <w:bottom w:val="single" w:sz="8" w:color="0000EE"/>
            </w:tcBorders>
            <w:gridSpan w:val="10"/>
          </w:tcPr>
          <w:p>
            <w:pPr>
              <w:spacing w:after="0" w:line="223" w:lineRule="exact"/>
              <w:rPr>
                <w:rFonts w:ascii="Arial" w:cs="Arial" w:eastAsia="Arial" w:hAnsi="Arial"/>
                <w:sz w:val="22"/>
                <w:szCs w:val="22"/>
                <w:color w:val="0000EE"/>
                <w:w w:val="91"/>
              </w:rPr>
            </w:pPr>
            <w:hyperlink w:anchor="page81">
              <w:r>
                <w:rPr>
                  <w:rFonts w:ascii="Arial" w:cs="Arial" w:eastAsia="Arial" w:hAnsi="Arial"/>
                  <w:sz w:val="22"/>
                  <w:szCs w:val="22"/>
                  <w:color w:val="0000EE"/>
                  <w:w w:val="91"/>
                </w:rPr>
                <w:t>New York Life Insurance Company, New York Life Insurance and Annuity Corporation,</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1"/>
          </w:tcPr>
          <w:p>
            <w:pPr>
              <w:spacing w:after="0" w:line="223" w:lineRule="exact"/>
              <w:rPr>
                <w:rFonts w:ascii="Arial" w:cs="Arial" w:eastAsia="Arial" w:hAnsi="Arial"/>
                <w:sz w:val="22"/>
                <w:szCs w:val="22"/>
                <w:color w:val="0000EE"/>
                <w:w w:val="94"/>
              </w:rPr>
            </w:pPr>
            <w:hyperlink w:anchor="page81">
              <w:r>
                <w:rPr>
                  <w:rFonts w:ascii="Arial" w:cs="Arial" w:eastAsia="Arial" w:hAnsi="Arial"/>
                  <w:sz w:val="22"/>
                  <w:szCs w:val="22"/>
                  <w:color w:val="0000EE"/>
                  <w:w w:val="94"/>
                </w:rPr>
                <w:t>New York Life Insurance and Annuity Corporation Institutionally Owned Life Insurance</w:t>
              </w:r>
            </w:hyperlink>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Borders>
              <w:top w:val="single" w:sz="8" w:color="0000EE"/>
            </w:tcBorders>
            <w:gridSpan w:val="10"/>
          </w:tcPr>
          <w:p>
            <w:pPr>
              <w:spacing w:after="0" w:line="223" w:lineRule="exact"/>
              <w:rPr>
                <w:rFonts w:ascii="Arial" w:cs="Arial" w:eastAsia="Arial" w:hAnsi="Arial"/>
                <w:sz w:val="22"/>
                <w:szCs w:val="22"/>
                <w:color w:val="0000EE"/>
              </w:rPr>
            </w:pPr>
            <w:hyperlink w:anchor="page81">
              <w:r>
                <w:rPr>
                  <w:rFonts w:ascii="Arial" w:cs="Arial" w:eastAsia="Arial" w:hAnsi="Arial"/>
                  <w:sz w:val="22"/>
                  <w:szCs w:val="22"/>
                  <w:color w:val="0000EE"/>
                </w:rPr>
                <w:t>Separate Account (BOLI 3), New York Life Insurance and Annuity Corporation</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tcBorders>
              <w:top w:val="single" w:sz="8" w:color="0000EE"/>
            </w:tcBorders>
            <w:gridSpan w:val="6"/>
          </w:tcPr>
          <w:p>
            <w:pPr>
              <w:spacing w:after="0" w:line="223" w:lineRule="exact"/>
              <w:rPr>
                <w:rFonts w:ascii="Arial" w:cs="Arial" w:eastAsia="Arial" w:hAnsi="Arial"/>
                <w:sz w:val="22"/>
                <w:szCs w:val="22"/>
                <w:color w:val="0000EE"/>
              </w:rPr>
            </w:pPr>
            <w:hyperlink w:anchor="page81">
              <w:r>
                <w:rPr>
                  <w:rFonts w:ascii="Arial" w:cs="Arial" w:eastAsia="Arial" w:hAnsi="Arial"/>
                  <w:sz w:val="22"/>
                  <w:szCs w:val="22"/>
                  <w:color w:val="0000EE"/>
                </w:rPr>
                <w:t>Institutionally Owned Life Insurance Separate Account (BOLI 3-2)</w:t>
              </w:r>
            </w:hyperlink>
          </w:p>
        </w:tc>
        <w:tc>
          <w:tcPr>
            <w:tcW w:w="9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80" w:type="dxa"/>
            <w:vAlign w:val="bottom"/>
            <w:tcBorders>
              <w:bottom w:val="single" w:sz="8" w:color="CCEEFF"/>
            </w:tcBorders>
            <w:shd w:val="clear" w:color="auto" w:fill="CCEEFF"/>
          </w:tcPr>
          <w:p>
            <w:pPr>
              <w:ind w:left="100"/>
              <w:spacing w:after="0" w:line="203" w:lineRule="exact"/>
              <w:rPr>
                <w:sz w:val="20"/>
                <w:szCs w:val="20"/>
                <w:color w:val="auto"/>
              </w:rPr>
            </w:pPr>
            <w:r>
              <w:rPr>
                <w:rFonts w:ascii="Arial" w:cs="Arial" w:eastAsia="Arial" w:hAnsi="Arial"/>
                <w:sz w:val="22"/>
                <w:szCs w:val="22"/>
                <w:color w:val="auto"/>
              </w:rPr>
              <w:t>31.1</w:t>
            </w: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9"/>
            <w:shd w:val="clear" w:color="auto" w:fill="CCEEFF"/>
          </w:tcPr>
          <w:p>
            <w:pPr>
              <w:spacing w:after="0" w:line="203" w:lineRule="exact"/>
              <w:rPr>
                <w:rFonts w:ascii="Arial" w:cs="Arial" w:eastAsia="Arial" w:hAnsi="Arial"/>
                <w:sz w:val="22"/>
                <w:szCs w:val="22"/>
                <w:color w:val="0000EE"/>
                <w:w w:val="90"/>
              </w:rPr>
            </w:pPr>
            <w:hyperlink w:anchor="page130">
              <w:r>
                <w:rPr>
                  <w:rFonts w:ascii="Arial" w:cs="Arial" w:eastAsia="Arial" w:hAnsi="Arial"/>
                  <w:sz w:val="22"/>
                  <w:szCs w:val="22"/>
                  <w:color w:val="0000EE"/>
                  <w:w w:val="90"/>
                </w:rPr>
                <w:t>Certification of Chief Executive Officer, pursuant to Rule 13a-14(a) under the Securities</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900" w:type="dxa"/>
            <w:vAlign w:val="bottom"/>
            <w:gridSpan w:val="11"/>
            <w:shd w:val="clear" w:color="auto" w:fill="CCEEFF"/>
          </w:tcPr>
          <w:p>
            <w:pPr>
              <w:spacing w:after="0" w:line="223" w:lineRule="exact"/>
              <w:rPr>
                <w:rFonts w:ascii="Arial" w:cs="Arial" w:eastAsia="Arial" w:hAnsi="Arial"/>
                <w:sz w:val="22"/>
                <w:szCs w:val="22"/>
                <w:color w:val="0000EE"/>
              </w:rPr>
            </w:pPr>
            <w:hyperlink w:anchor="page130">
              <w:r>
                <w:rPr>
                  <w:rFonts w:ascii="Arial" w:cs="Arial" w:eastAsia="Arial" w:hAnsi="Arial"/>
                  <w:sz w:val="22"/>
                  <w:szCs w:val="22"/>
                  <w:color w:val="0000EE"/>
                </w:rPr>
                <w:t>and Exchange Act of 1934.</w:t>
              </w:r>
            </w:hyperlink>
          </w:p>
        </w:tc>
        <w:tc>
          <w:tcPr>
            <w:tcW w:w="20" w:type="dxa"/>
            <w:vAlign w:val="bottom"/>
          </w:tcPr>
          <w:p>
            <w:pPr>
              <w:spacing w:after="0"/>
              <w:rPr>
                <w:sz w:val="19"/>
                <w:szCs w:val="19"/>
                <w:color w:val="auto"/>
              </w:rPr>
            </w:pP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Arial" w:cs="Arial" w:eastAsia="Arial" w:hAnsi="Arial"/>
                <w:sz w:val="22"/>
                <w:szCs w:val="22"/>
                <w:color w:val="auto"/>
              </w:rPr>
              <w:t>31.2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203" w:lineRule="exact"/>
              <w:rPr>
                <w:rFonts w:ascii="Arial" w:cs="Arial" w:eastAsia="Arial" w:hAnsi="Arial"/>
                <w:sz w:val="22"/>
                <w:szCs w:val="22"/>
                <w:color w:val="0000EE"/>
                <w:w w:val="90"/>
              </w:rPr>
            </w:pPr>
            <w:hyperlink w:anchor="page131">
              <w:r>
                <w:rPr>
                  <w:rFonts w:ascii="Arial" w:cs="Arial" w:eastAsia="Arial" w:hAnsi="Arial"/>
                  <w:sz w:val="22"/>
                  <w:szCs w:val="22"/>
                  <w:color w:val="0000EE"/>
                  <w:w w:val="90"/>
                </w:rPr>
                <w:t>Certification of Chief Financial Officer, pursuant to Rule 13a-14(a) under the Securities</w:t>
              </w:r>
            </w:hyperlink>
          </w:p>
        </w:tc>
        <w:tc>
          <w:tcPr>
            <w:tcW w:w="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11"/>
          </w:tcPr>
          <w:p>
            <w:pPr>
              <w:spacing w:after="0" w:line="223" w:lineRule="exact"/>
              <w:rPr>
                <w:rFonts w:ascii="Arial" w:cs="Arial" w:eastAsia="Arial" w:hAnsi="Arial"/>
                <w:sz w:val="22"/>
                <w:szCs w:val="22"/>
                <w:color w:val="0000EE"/>
              </w:rPr>
            </w:pPr>
            <w:hyperlink w:anchor="page131">
              <w:r>
                <w:rPr>
                  <w:rFonts w:ascii="Arial" w:cs="Arial" w:eastAsia="Arial" w:hAnsi="Arial"/>
                  <w:sz w:val="22"/>
                  <w:szCs w:val="22"/>
                  <w:color w:val="0000EE"/>
                </w:rPr>
                <w:t>and Exchange Act of 1934.</w:t>
              </w:r>
            </w:hyperlink>
          </w:p>
        </w:tc>
        <w:tc>
          <w:tcPr>
            <w:tcW w:w="20" w:type="dxa"/>
            <w:vAlign w:val="bottom"/>
          </w:tcPr>
          <w:p>
            <w:pPr>
              <w:spacing w:after="0"/>
              <w:rPr>
                <w:sz w:val="19"/>
                <w:szCs w:val="19"/>
                <w:color w:val="auto"/>
              </w:rPr>
            </w:pPr>
          </w:p>
        </w:tc>
      </w:tr>
      <w:tr>
        <w:trPr>
          <w:trHeight w:val="21"/>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80" w:type="dxa"/>
            <w:vAlign w:val="bottom"/>
            <w:tcBorders>
              <w:bottom w:val="single" w:sz="8" w:color="CCEEFF"/>
            </w:tcBorders>
            <w:shd w:val="clear" w:color="auto" w:fill="CCEEFF"/>
          </w:tcPr>
          <w:p>
            <w:pPr>
              <w:ind w:left="100"/>
              <w:spacing w:after="0" w:line="203" w:lineRule="exact"/>
              <w:rPr>
                <w:sz w:val="20"/>
                <w:szCs w:val="20"/>
                <w:color w:val="auto"/>
              </w:rPr>
            </w:pPr>
            <w:r>
              <w:rPr>
                <w:rFonts w:ascii="Arial" w:cs="Arial" w:eastAsia="Arial" w:hAnsi="Arial"/>
                <w:sz w:val="22"/>
                <w:szCs w:val="22"/>
                <w:color w:val="auto"/>
              </w:rPr>
              <w:t>32.1</w:t>
            </w: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80" w:type="dxa"/>
            <w:vAlign w:val="bottom"/>
            <w:tcBorders>
              <w:bottom w:val="single" w:sz="8" w:color="0000EE"/>
            </w:tcBorders>
            <w:gridSpan w:val="5"/>
            <w:shd w:val="clear" w:color="auto" w:fill="CCEEFF"/>
          </w:tcPr>
          <w:p>
            <w:pPr>
              <w:spacing w:after="0" w:line="203" w:lineRule="exact"/>
              <w:rPr>
                <w:rFonts w:ascii="Arial" w:cs="Arial" w:eastAsia="Arial" w:hAnsi="Arial"/>
                <w:sz w:val="22"/>
                <w:szCs w:val="22"/>
                <w:color w:val="0000EE"/>
                <w:w w:val="90"/>
              </w:rPr>
            </w:pPr>
            <w:hyperlink w:anchor="page132">
              <w:r>
                <w:rPr>
                  <w:rFonts w:ascii="Arial" w:cs="Arial" w:eastAsia="Arial" w:hAnsi="Arial"/>
                  <w:sz w:val="22"/>
                  <w:szCs w:val="22"/>
                  <w:color w:val="0000EE"/>
                  <w:w w:val="90"/>
                </w:rPr>
                <w:t>Certification of Chief Executive Officer, pursuant to 18 U.S.C. Section 1350.</w:t>
              </w:r>
            </w:hyperlink>
          </w:p>
        </w:tc>
        <w:tc>
          <w:tcPr>
            <w:tcW w:w="1220" w:type="dxa"/>
            <w:vAlign w:val="bottom"/>
            <w:tcBorders>
              <w:bottom w:val="single" w:sz="8" w:color="CCEEFF"/>
            </w:tcBorders>
            <w:gridSpan w:val="6"/>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480" w:type="dxa"/>
            <w:vAlign w:val="bottom"/>
          </w:tcPr>
          <w:p>
            <w:pPr>
              <w:ind w:left="100"/>
              <w:spacing w:after="0" w:line="203" w:lineRule="exact"/>
              <w:rPr>
                <w:sz w:val="20"/>
                <w:szCs w:val="20"/>
                <w:color w:val="auto"/>
              </w:rPr>
            </w:pPr>
            <w:r>
              <w:rPr>
                <w:rFonts w:ascii="Arial" w:cs="Arial" w:eastAsia="Arial" w:hAnsi="Arial"/>
                <w:sz w:val="22"/>
                <w:szCs w:val="22"/>
                <w:color w:val="auto"/>
              </w:rPr>
              <w:t>32.2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gridSpan w:val="11"/>
          </w:tcPr>
          <w:p>
            <w:pPr>
              <w:spacing w:after="0" w:line="203" w:lineRule="exact"/>
              <w:rPr>
                <w:rFonts w:ascii="Arial" w:cs="Arial" w:eastAsia="Arial" w:hAnsi="Arial"/>
                <w:sz w:val="22"/>
                <w:szCs w:val="22"/>
                <w:color w:val="0000EE"/>
              </w:rPr>
            </w:pPr>
            <w:hyperlink w:anchor="page133">
              <w:r>
                <w:rPr>
                  <w:rFonts w:ascii="Arial" w:cs="Arial" w:eastAsia="Arial" w:hAnsi="Arial"/>
                  <w:sz w:val="22"/>
                  <w:szCs w:val="22"/>
                  <w:color w:val="0000EE"/>
                </w:rPr>
                <w:t>Certification of Chief Financial Officer, pursuant to 18 U.S.C. Section 1350.</w:t>
              </w:r>
            </w:hyperlink>
          </w:p>
        </w:tc>
        <w:tc>
          <w:tcPr>
            <w:tcW w:w="20" w:type="dxa"/>
            <w:vAlign w:val="bottom"/>
          </w:tcPr>
          <w:p>
            <w:pPr>
              <w:spacing w:after="0"/>
              <w:rPr>
                <w:sz w:val="17"/>
                <w:szCs w:val="17"/>
                <w:color w:val="auto"/>
              </w:rPr>
            </w:pPr>
          </w:p>
        </w:tc>
      </w:tr>
      <w:tr>
        <w:trPr>
          <w:trHeight w:val="21"/>
        </w:trPr>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186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22"/>
                <w:szCs w:val="22"/>
                <w:color w:val="auto"/>
              </w:rPr>
              <w:t>101.INS</w:t>
            </w:r>
          </w:p>
        </w:tc>
        <w:tc>
          <w:tcPr>
            <w:tcW w:w="100" w:type="dxa"/>
            <w:vAlign w:val="bottom"/>
            <w:shd w:val="clear" w:color="auto" w:fill="CCEEFF"/>
          </w:tcPr>
          <w:p>
            <w:pPr>
              <w:spacing w:after="0"/>
              <w:rPr>
                <w:sz w:val="21"/>
                <w:szCs w:val="21"/>
                <w:color w:val="auto"/>
              </w:rPr>
            </w:pPr>
          </w:p>
        </w:tc>
        <w:tc>
          <w:tcPr>
            <w:tcW w:w="7900" w:type="dxa"/>
            <w:vAlign w:val="bottom"/>
            <w:gridSpan w:val="11"/>
            <w:shd w:val="clear" w:color="auto" w:fill="CCEEFF"/>
          </w:tcPr>
          <w:p>
            <w:pPr>
              <w:spacing w:after="0" w:line="243" w:lineRule="exact"/>
              <w:rPr>
                <w:sz w:val="20"/>
                <w:szCs w:val="20"/>
                <w:color w:val="auto"/>
              </w:rPr>
            </w:pPr>
            <w:r>
              <w:rPr>
                <w:rFonts w:ascii="Arial" w:cs="Arial" w:eastAsia="Arial" w:hAnsi="Arial"/>
                <w:sz w:val="22"/>
                <w:szCs w:val="22"/>
                <w:color w:val="auto"/>
              </w:rPr>
              <w:t>XBRL Instance Document</w:t>
            </w:r>
          </w:p>
        </w:tc>
        <w:tc>
          <w:tcPr>
            <w:tcW w:w="20" w:type="dxa"/>
            <w:vAlign w:val="bottom"/>
          </w:tcPr>
          <w:p>
            <w:pPr>
              <w:spacing w:after="0"/>
              <w:rPr>
                <w:sz w:val="21"/>
                <w:szCs w:val="2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101.SCH</w:t>
            </w:r>
          </w:p>
        </w:tc>
        <w:tc>
          <w:tcPr>
            <w:tcW w:w="100" w:type="dxa"/>
            <w:vAlign w:val="bottom"/>
          </w:tcPr>
          <w:p>
            <w:pPr>
              <w:spacing w:after="0"/>
              <w:rPr>
                <w:sz w:val="21"/>
                <w:szCs w:val="21"/>
                <w:color w:val="auto"/>
              </w:rPr>
            </w:pPr>
          </w:p>
        </w:tc>
        <w:tc>
          <w:tcPr>
            <w:tcW w:w="7900" w:type="dxa"/>
            <w:vAlign w:val="bottom"/>
            <w:gridSpan w:val="11"/>
          </w:tcPr>
          <w:p>
            <w:pPr>
              <w:spacing w:after="0" w:line="243" w:lineRule="exact"/>
              <w:rPr>
                <w:sz w:val="20"/>
                <w:szCs w:val="20"/>
                <w:color w:val="auto"/>
              </w:rPr>
            </w:pPr>
            <w:r>
              <w:rPr>
                <w:rFonts w:ascii="Arial" w:cs="Arial" w:eastAsia="Arial" w:hAnsi="Arial"/>
                <w:sz w:val="22"/>
                <w:szCs w:val="22"/>
                <w:color w:val="auto"/>
              </w:rPr>
              <w:t>XBRL Taxonomy Extension Schema Document</w:t>
            </w:r>
          </w:p>
        </w:tc>
        <w:tc>
          <w:tcPr>
            <w:tcW w:w="20" w:type="dxa"/>
            <w:vAlign w:val="bottom"/>
          </w:tcPr>
          <w:p>
            <w:pPr>
              <w:spacing w:after="0"/>
              <w:rPr>
                <w:sz w:val="21"/>
                <w:szCs w:val="21"/>
                <w:color w:val="auto"/>
              </w:rPr>
            </w:pPr>
          </w:p>
        </w:tc>
      </w:tr>
      <w:tr>
        <w:trPr>
          <w:trHeight w:val="243"/>
        </w:trPr>
        <w:tc>
          <w:tcPr>
            <w:tcW w:w="186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22"/>
                <w:szCs w:val="22"/>
                <w:color w:val="auto"/>
              </w:rPr>
              <w:t>101.CAL</w:t>
            </w:r>
          </w:p>
        </w:tc>
        <w:tc>
          <w:tcPr>
            <w:tcW w:w="100" w:type="dxa"/>
            <w:vAlign w:val="bottom"/>
            <w:shd w:val="clear" w:color="auto" w:fill="CCEEFF"/>
          </w:tcPr>
          <w:p>
            <w:pPr>
              <w:spacing w:after="0"/>
              <w:rPr>
                <w:sz w:val="21"/>
                <w:szCs w:val="21"/>
                <w:color w:val="auto"/>
              </w:rPr>
            </w:pPr>
          </w:p>
        </w:tc>
        <w:tc>
          <w:tcPr>
            <w:tcW w:w="7900" w:type="dxa"/>
            <w:vAlign w:val="bottom"/>
            <w:gridSpan w:val="11"/>
            <w:shd w:val="clear" w:color="auto" w:fill="CCEEFF"/>
          </w:tcPr>
          <w:p>
            <w:pPr>
              <w:spacing w:after="0" w:line="243" w:lineRule="exact"/>
              <w:rPr>
                <w:sz w:val="20"/>
                <w:szCs w:val="20"/>
                <w:color w:val="auto"/>
              </w:rPr>
            </w:pPr>
            <w:r>
              <w:rPr>
                <w:rFonts w:ascii="Arial" w:cs="Arial" w:eastAsia="Arial" w:hAnsi="Arial"/>
                <w:sz w:val="22"/>
                <w:szCs w:val="22"/>
                <w:color w:val="auto"/>
              </w:rPr>
              <w:t>XBRL Taxonomy Extension Calculation Linkbase Document</w:t>
            </w:r>
          </w:p>
        </w:tc>
        <w:tc>
          <w:tcPr>
            <w:tcW w:w="20" w:type="dxa"/>
            <w:vAlign w:val="bottom"/>
          </w:tcPr>
          <w:p>
            <w:pPr>
              <w:spacing w:after="0"/>
              <w:rPr>
                <w:sz w:val="21"/>
                <w:szCs w:val="2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101.DEF</w:t>
            </w:r>
          </w:p>
        </w:tc>
        <w:tc>
          <w:tcPr>
            <w:tcW w:w="100" w:type="dxa"/>
            <w:vAlign w:val="bottom"/>
          </w:tcPr>
          <w:p>
            <w:pPr>
              <w:spacing w:after="0"/>
              <w:rPr>
                <w:sz w:val="21"/>
                <w:szCs w:val="21"/>
                <w:color w:val="auto"/>
              </w:rPr>
            </w:pPr>
          </w:p>
        </w:tc>
        <w:tc>
          <w:tcPr>
            <w:tcW w:w="7900" w:type="dxa"/>
            <w:vAlign w:val="bottom"/>
            <w:gridSpan w:val="11"/>
          </w:tcPr>
          <w:p>
            <w:pPr>
              <w:spacing w:after="0" w:line="243" w:lineRule="exact"/>
              <w:rPr>
                <w:sz w:val="20"/>
                <w:szCs w:val="20"/>
                <w:color w:val="auto"/>
              </w:rPr>
            </w:pPr>
            <w:r>
              <w:rPr>
                <w:rFonts w:ascii="Arial" w:cs="Arial" w:eastAsia="Arial" w:hAnsi="Arial"/>
                <w:sz w:val="22"/>
                <w:szCs w:val="22"/>
                <w:color w:val="auto"/>
              </w:rPr>
              <w:t>XBRL Taxonomy Extension Definition Linkbase Document</w:t>
            </w:r>
          </w:p>
        </w:tc>
        <w:tc>
          <w:tcPr>
            <w:tcW w:w="20" w:type="dxa"/>
            <w:vAlign w:val="bottom"/>
          </w:tcPr>
          <w:p>
            <w:pPr>
              <w:spacing w:after="0"/>
              <w:rPr>
                <w:sz w:val="21"/>
                <w:szCs w:val="21"/>
                <w:color w:val="auto"/>
              </w:rPr>
            </w:pPr>
          </w:p>
        </w:tc>
      </w:tr>
      <w:tr>
        <w:trPr>
          <w:trHeight w:val="243"/>
        </w:trPr>
        <w:tc>
          <w:tcPr>
            <w:tcW w:w="186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22"/>
                <w:szCs w:val="22"/>
                <w:color w:val="auto"/>
              </w:rPr>
              <w:t>101.LAB</w:t>
            </w:r>
          </w:p>
        </w:tc>
        <w:tc>
          <w:tcPr>
            <w:tcW w:w="100" w:type="dxa"/>
            <w:vAlign w:val="bottom"/>
            <w:shd w:val="clear" w:color="auto" w:fill="CCEEFF"/>
          </w:tcPr>
          <w:p>
            <w:pPr>
              <w:spacing w:after="0"/>
              <w:rPr>
                <w:sz w:val="21"/>
                <w:szCs w:val="21"/>
                <w:color w:val="auto"/>
              </w:rPr>
            </w:pPr>
          </w:p>
        </w:tc>
        <w:tc>
          <w:tcPr>
            <w:tcW w:w="7900" w:type="dxa"/>
            <w:vAlign w:val="bottom"/>
            <w:gridSpan w:val="11"/>
            <w:shd w:val="clear" w:color="auto" w:fill="CCEEFF"/>
          </w:tcPr>
          <w:p>
            <w:pPr>
              <w:spacing w:after="0" w:line="243" w:lineRule="exact"/>
              <w:rPr>
                <w:sz w:val="20"/>
                <w:szCs w:val="20"/>
                <w:color w:val="auto"/>
              </w:rPr>
            </w:pPr>
            <w:r>
              <w:rPr>
                <w:rFonts w:ascii="Arial" w:cs="Arial" w:eastAsia="Arial" w:hAnsi="Arial"/>
                <w:sz w:val="22"/>
                <w:szCs w:val="22"/>
                <w:color w:val="auto"/>
              </w:rPr>
              <w:t>XBRL Taxonomy Extension Label Linkbase Document</w:t>
            </w:r>
          </w:p>
        </w:tc>
        <w:tc>
          <w:tcPr>
            <w:tcW w:w="20" w:type="dxa"/>
            <w:vAlign w:val="bottom"/>
          </w:tcPr>
          <w:p>
            <w:pPr>
              <w:spacing w:after="0"/>
              <w:rPr>
                <w:sz w:val="21"/>
                <w:szCs w:val="21"/>
                <w:color w:val="auto"/>
              </w:rPr>
            </w:pPr>
          </w:p>
        </w:tc>
      </w:tr>
      <w:tr>
        <w:trPr>
          <w:trHeight w:val="275"/>
        </w:trPr>
        <w:tc>
          <w:tcPr>
            <w:tcW w:w="1860" w:type="dxa"/>
            <w:vAlign w:val="bottom"/>
            <w:gridSpan w:val="2"/>
          </w:tcPr>
          <w:p>
            <w:pPr>
              <w:ind w:left="100"/>
              <w:spacing w:after="0"/>
              <w:rPr>
                <w:sz w:val="20"/>
                <w:szCs w:val="20"/>
                <w:color w:val="auto"/>
              </w:rPr>
            </w:pPr>
            <w:r>
              <w:rPr>
                <w:rFonts w:ascii="Arial" w:cs="Arial" w:eastAsia="Arial" w:hAnsi="Arial"/>
                <w:sz w:val="22"/>
                <w:szCs w:val="22"/>
                <w:color w:val="auto"/>
              </w:rPr>
              <w:t>101.PRES</w:t>
            </w:r>
          </w:p>
        </w:tc>
        <w:tc>
          <w:tcPr>
            <w:tcW w:w="100" w:type="dxa"/>
            <w:vAlign w:val="bottom"/>
          </w:tcPr>
          <w:p>
            <w:pPr>
              <w:spacing w:after="0"/>
              <w:rPr>
                <w:sz w:val="23"/>
                <w:szCs w:val="23"/>
                <w:color w:val="auto"/>
              </w:rPr>
            </w:pPr>
          </w:p>
        </w:tc>
        <w:tc>
          <w:tcPr>
            <w:tcW w:w="7900" w:type="dxa"/>
            <w:vAlign w:val="bottom"/>
            <w:gridSpan w:val="11"/>
          </w:tcPr>
          <w:p>
            <w:pPr>
              <w:spacing w:after="0"/>
              <w:rPr>
                <w:sz w:val="20"/>
                <w:szCs w:val="20"/>
                <w:color w:val="auto"/>
              </w:rPr>
            </w:pPr>
            <w:r>
              <w:rPr>
                <w:rFonts w:ascii="Arial" w:cs="Arial" w:eastAsia="Arial" w:hAnsi="Arial"/>
                <w:sz w:val="22"/>
                <w:szCs w:val="22"/>
                <w:color w:val="auto"/>
              </w:rPr>
              <w:t>XBRL Taxonomy Extension Presentation Linkbase Document</w:t>
            </w:r>
          </w:p>
        </w:tc>
        <w:tc>
          <w:tcPr>
            <w:tcW w:w="20" w:type="dxa"/>
            <w:vAlign w:val="bottom"/>
          </w:tcPr>
          <w:p>
            <w:pPr>
              <w:spacing w:after="0"/>
              <w:rPr>
                <w:sz w:val="23"/>
                <w:szCs w:val="23"/>
                <w:color w:val="auto"/>
              </w:rPr>
            </w:pPr>
          </w:p>
        </w:tc>
      </w:tr>
      <w:tr>
        <w:trPr>
          <w:trHeight w:val="600"/>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0" w:type="dxa"/>
            <w:vAlign w:val="bottom"/>
            <w:gridSpan w:val="3"/>
          </w:tcPr>
          <w:p>
            <w:pPr>
              <w:jc w:val="right"/>
              <w:ind w:right="1840"/>
              <w:spacing w:after="0"/>
              <w:rPr>
                <w:sz w:val="20"/>
                <w:szCs w:val="20"/>
                <w:color w:val="auto"/>
              </w:rPr>
            </w:pPr>
            <w:r>
              <w:rPr>
                <w:rFonts w:ascii="Arial" w:cs="Arial" w:eastAsia="Arial" w:hAnsi="Arial"/>
                <w:sz w:val="22"/>
                <w:szCs w:val="22"/>
                <w:color w:val="auto"/>
              </w:rPr>
              <w:t>33</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14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900"/>
          </w:cols>
          <w:pgMar w:left="1140" w:top="118" w:right="85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SIGNATURES</w:t>
      </w:r>
    </w:p>
    <w:p>
      <w:pPr>
        <w:spacing w:after="0" w:line="112"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November 2, 2017</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wp:posOffset>
            </wp:positionV>
            <wp:extent cx="273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 Christopher H. Franklin</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-154940</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President and</w:t>
      </w:r>
    </w:p>
    <w:p>
      <w:pPr>
        <w:ind w:left="56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 David P. Smeltzer</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-154940</wp:posOffset>
            </wp:positionV>
            <wp:extent cx="2735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Executive Vice President and</w:t>
      </w:r>
    </w:p>
    <w:p>
      <w:pPr>
        <w:ind w:left="56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760"/>
          </w:cols>
          <w:pgMar w:left="1140" w:top="118" w:right="999" w:bottom="1440" w:gutter="0" w:footer="0" w:header="0"/>
        </w:sectPr>
      </w:pPr>
    </w:p>
    <w:bookmarkStart w:id="35" w:name="page36"/>
    <w:bookmarkEnd w:id="35"/>
    <w:p>
      <w:pPr>
        <w:jc w:val="right"/>
        <w:ind w:right="99"/>
        <w:spacing w:after="0"/>
        <w:rPr>
          <w:sz w:val="20"/>
          <w:szCs w:val="20"/>
          <w:color w:val="auto"/>
        </w:rPr>
      </w:pPr>
      <w:r>
        <w:rPr>
          <w:rFonts w:ascii="Arial" w:cs="Arial" w:eastAsia="Arial" w:hAnsi="Arial"/>
          <w:sz w:val="22"/>
          <w:szCs w:val="22"/>
          <w:color w:val="auto"/>
        </w:rPr>
        <w:t>Exhibit 4.1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-3175</wp:posOffset>
            </wp:positionV>
            <wp:extent cx="56000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1560" w:right="1100"/>
        <w:spacing w:after="0" w:line="516" w:lineRule="auto"/>
        <w:rPr>
          <w:sz w:val="20"/>
          <w:szCs w:val="20"/>
          <w:color w:val="auto"/>
        </w:rPr>
      </w:pPr>
      <w:r>
        <w:rPr>
          <w:rFonts w:ascii="Arial" w:cs="Arial" w:eastAsia="Arial" w:hAnsi="Arial"/>
          <w:sz w:val="19"/>
          <w:szCs w:val="19"/>
          <w:color w:val="auto"/>
        </w:rPr>
        <w:t>$25,000,000 First Mortgage Bonds, Series Y, 3.64% due July 15, 2032 $6,000,000 First Mortgage Bonds, Series Z, 3.89% due July 15, 2037 $15,000,000 First Mortgage Bonds, Series AA, 3.90% due January 15, 2038 $10,000,000 First Mortgage Bonds, Series BB, 4.18% due July 15, 2047 $22,000,000 First Mortgage Bonds, Series CC, 4.22% due July 15, 2049 $22,000,000 First Mortgage Bonds, Series DD, 4.24% due July 15, 2050</w:t>
      </w:r>
    </w:p>
    <w:p>
      <w:pPr>
        <w:spacing w:after="0" w:line="200" w:lineRule="exact"/>
        <w:rPr>
          <w:sz w:val="20"/>
          <w:szCs w:val="20"/>
          <w:color w:val="auto"/>
        </w:rPr>
      </w:pPr>
    </w:p>
    <w:p>
      <w:pPr>
        <w:spacing w:after="0" w:line="30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OND</w:t>
      </w:r>
      <w:r>
        <w:rPr>
          <w:rFonts w:ascii="Arial" w:cs="Arial" w:eastAsia="Arial" w:hAnsi="Arial"/>
          <w:sz w:val="22"/>
          <w:szCs w:val="22"/>
          <w:color w:val="auto"/>
        </w:rPr>
        <w:t xml:space="preserve"> P</w:t>
      </w:r>
      <w:r>
        <w:rPr>
          <w:rFonts w:ascii="Arial" w:cs="Arial" w:eastAsia="Arial" w:hAnsi="Arial"/>
          <w:sz w:val="18"/>
          <w:szCs w:val="18"/>
          <w:color w:val="auto"/>
        </w:rPr>
        <w:t>URCHASE</w:t>
      </w:r>
      <w:r>
        <w:rPr>
          <w:rFonts w:ascii="Arial" w:cs="Arial" w:eastAsia="Arial" w:hAnsi="Arial"/>
          <w:sz w:val="22"/>
          <w:szCs w:val="22"/>
          <w:color w:val="auto"/>
        </w:rPr>
        <w:t xml:space="preserve"> A</w:t>
      </w:r>
      <w:r>
        <w:rPr>
          <w:rFonts w:ascii="Arial" w:cs="Arial" w:eastAsia="Arial" w:hAnsi="Arial"/>
          <w:sz w:val="18"/>
          <w:szCs w:val="18"/>
          <w:color w:val="auto"/>
        </w:rPr>
        <w:t>GREEMENT</w:t>
      </w:r>
    </w:p>
    <w:p>
      <w:pPr>
        <w:spacing w:after="0" w:line="32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July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830580</wp:posOffset>
            </wp:positionV>
            <wp:extent cx="56000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4228862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65405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tbl>
      <w:tblPr>
        <w:tblLayout w:type="fixed"/>
        <w:tblInd w:w="100" w:type="dxa"/>
        <w:tblCellMar>
          <w:top w:w="0" w:type="dxa"/>
          <w:left w:w="0" w:type="dxa"/>
          <w:bottom w:w="0" w:type="dxa"/>
          <w:right w:w="0" w:type="dxa"/>
        </w:tblCellMar>
      </w:tblPr>
      <w:tr>
        <w:trPr>
          <w:trHeight w:val="281"/>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24"/>
          </w:tcPr>
          <w:p>
            <w:pPr>
              <w:jc w:val="center"/>
              <w:ind w:right="22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1660" w:type="dxa"/>
            <w:vAlign w:val="bottom"/>
            <w:gridSpan w:val="6"/>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gridSpan w:val="14"/>
          </w:tcPr>
          <w:p>
            <w:pPr>
              <w:ind w:left="180"/>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EADING</w:t>
            </w:r>
          </w:p>
        </w:tc>
        <w:tc>
          <w:tcPr>
            <w:tcW w:w="860" w:type="dxa"/>
            <w:vAlign w:val="bottom"/>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AGE</w:t>
            </w:r>
          </w:p>
        </w:tc>
        <w:tc>
          <w:tcPr>
            <w:tcW w:w="0" w:type="dxa"/>
            <w:vAlign w:val="bottom"/>
          </w:tcPr>
          <w:p>
            <w:pPr>
              <w:spacing w:after="0"/>
              <w:rPr>
                <w:sz w:val="1"/>
                <w:szCs w:val="1"/>
                <w:color w:val="auto"/>
              </w:rPr>
            </w:pPr>
          </w:p>
        </w:tc>
      </w:tr>
      <w:tr>
        <w:trPr>
          <w:trHeight w:val="436"/>
        </w:trPr>
        <w:tc>
          <w:tcPr>
            <w:tcW w:w="1660" w:type="dxa"/>
            <w:vAlign w:val="bottom"/>
            <w:gridSpan w:val="6"/>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w:t>
              </w:r>
            </w:hyperlink>
          </w:p>
        </w:tc>
        <w:tc>
          <w:tcPr>
            <w:tcW w:w="6340" w:type="dxa"/>
            <w:vAlign w:val="bottom"/>
            <w:gridSpan w:val="30"/>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A</w:t>
              </w:r>
              <w:r>
                <w:rPr>
                  <w:rFonts w:ascii="Arial" w:cs="Arial" w:eastAsia="Arial" w:hAnsi="Arial"/>
                  <w:sz w:val="18"/>
                  <w:szCs w:val="18"/>
                  <w:color w:val="0000EE"/>
                </w:rPr>
                <w:t>UTHORIZATION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60" w:type="dxa"/>
            <w:vAlign w:val="bottom"/>
            <w:gridSpan w:val="6"/>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2.</w:t>
              </w:r>
            </w:hyperlink>
          </w:p>
        </w:tc>
        <w:tc>
          <w:tcPr>
            <w:tcW w:w="6340" w:type="dxa"/>
            <w:vAlign w:val="bottom"/>
            <w:gridSpan w:val="30"/>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S</w:t>
              </w:r>
              <w:r>
                <w:rPr>
                  <w:rFonts w:ascii="Arial" w:cs="Arial" w:eastAsia="Arial" w:hAnsi="Arial"/>
                  <w:sz w:val="18"/>
                  <w:szCs w:val="18"/>
                  <w:color w:val="0000EE"/>
                </w:rPr>
                <w:t>ALE AND</w:t>
              </w:r>
              <w:r>
                <w:rPr>
                  <w:rFonts w:ascii="Arial" w:cs="Arial" w:eastAsia="Arial" w:hAnsi="Arial"/>
                  <w:sz w:val="22"/>
                  <w:szCs w:val="22"/>
                  <w:color w:val="0000EE"/>
                </w:rPr>
                <w:t xml:space="preserve"> P</w:t>
              </w:r>
              <w:r>
                <w:rPr>
                  <w:rFonts w:ascii="Arial" w:cs="Arial" w:eastAsia="Arial" w:hAnsi="Arial"/>
                  <w:sz w:val="18"/>
                  <w:szCs w:val="18"/>
                  <w:color w:val="0000EE"/>
                </w:rPr>
                <w:t>URCHASE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60" w:type="dxa"/>
            <w:vAlign w:val="bottom"/>
            <w:gridSpan w:val="6"/>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3.</w:t>
              </w:r>
            </w:hyperlink>
          </w:p>
        </w:tc>
        <w:tc>
          <w:tcPr>
            <w:tcW w:w="6340" w:type="dxa"/>
            <w:vAlign w:val="bottom"/>
            <w:gridSpan w:val="30"/>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C</w:t>
              </w:r>
              <w:r>
                <w:rPr>
                  <w:rFonts w:ascii="Arial" w:cs="Arial" w:eastAsia="Arial" w:hAnsi="Arial"/>
                  <w:sz w:val="18"/>
                  <w:szCs w:val="18"/>
                  <w:color w:val="0000EE"/>
                </w:rPr>
                <w:t>LOSING</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60" w:type="dxa"/>
            <w:vAlign w:val="bottom"/>
            <w:gridSpan w:val="6"/>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4.</w:t>
              </w:r>
            </w:hyperlink>
          </w:p>
        </w:tc>
        <w:tc>
          <w:tcPr>
            <w:tcW w:w="6340" w:type="dxa"/>
            <w:vAlign w:val="bottom"/>
            <w:gridSpan w:val="30"/>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C</w:t>
              </w:r>
              <w:r>
                <w:rPr>
                  <w:rFonts w:ascii="Arial" w:cs="Arial" w:eastAsia="Arial" w:hAnsi="Arial"/>
                  <w:sz w:val="18"/>
                  <w:szCs w:val="18"/>
                  <w:color w:val="0000EE"/>
                </w:rPr>
                <w:t>ONDITIONS TO</w:t>
              </w:r>
              <w:r>
                <w:rPr>
                  <w:rFonts w:ascii="Arial" w:cs="Arial" w:eastAsia="Arial" w:hAnsi="Arial"/>
                  <w:sz w:val="22"/>
                  <w:szCs w:val="22"/>
                  <w:color w:val="0000EE"/>
                </w:rPr>
                <w:t xml:space="preserve"> C</w:t>
              </w:r>
              <w:r>
                <w:rPr>
                  <w:rFonts w:ascii="Arial" w:cs="Arial" w:eastAsia="Arial" w:hAnsi="Arial"/>
                  <w:sz w:val="18"/>
                  <w:szCs w:val="18"/>
                  <w:color w:val="0000EE"/>
                </w:rPr>
                <w:t>LOSING</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440" w:type="dxa"/>
            <w:vAlign w:val="bottom"/>
            <w:gridSpan w:val="5"/>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Section 4.1.</w:t>
              </w:r>
            </w:hyperlink>
          </w:p>
        </w:tc>
        <w:tc>
          <w:tcPr>
            <w:tcW w:w="200" w:type="dxa"/>
            <w:vAlign w:val="bottom"/>
          </w:tcPr>
          <w:p>
            <w:pPr>
              <w:spacing w:after="0"/>
              <w:rPr>
                <w:sz w:val="24"/>
                <w:szCs w:val="24"/>
                <w:color w:val="auto"/>
              </w:rPr>
            </w:pPr>
          </w:p>
        </w:tc>
        <w:tc>
          <w:tcPr>
            <w:tcW w:w="6140" w:type="dxa"/>
            <w:vAlign w:val="bottom"/>
            <w:gridSpan w:val="29"/>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Representations and Warranties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Section 4.2.</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Performance; No Default</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Section 4.3.</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Compliance Certificates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4.4.</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Opinions of Counsel</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4.5.</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Purchase Permitted by Applicable Law,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4.6.</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[Reserved]</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4.7.</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Payment of Special Counsel Fees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4.8.</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Private Placement Number</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4.9.</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Changes in Corporate Structure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3"/>
          </w:tcPr>
          <w:p>
            <w:pPr>
              <w:spacing w:after="0" w:line="223" w:lineRule="exact"/>
              <w:rPr>
                <w:rFonts w:ascii="Arial" w:cs="Arial" w:eastAsia="Arial" w:hAnsi="Arial"/>
                <w:sz w:val="22"/>
                <w:szCs w:val="22"/>
                <w:color w:val="0000EE"/>
                <w:w w:val="84"/>
              </w:rPr>
            </w:pPr>
            <w:hyperlink w:anchor="page44">
              <w:r>
                <w:rPr>
                  <w:rFonts w:ascii="Arial" w:cs="Arial" w:eastAsia="Arial" w:hAnsi="Arial"/>
                  <w:sz w:val="22"/>
                  <w:szCs w:val="22"/>
                  <w:color w:val="0000EE"/>
                  <w:w w:val="84"/>
                </w:rPr>
                <w:t>Section 4.10.</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Funding Instructions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3"/>
          </w:tcPr>
          <w:p>
            <w:pPr>
              <w:spacing w:after="0" w:line="22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4.11.</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Proceedings and Documents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4.12.</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5800" w:type="dxa"/>
            <w:vAlign w:val="bottom"/>
            <w:tcBorders>
              <w:bottom w:val="single" w:sz="8" w:color="0000EE"/>
            </w:tcBorders>
            <w:gridSpan w:val="28"/>
          </w:tcPr>
          <w:p>
            <w:pPr>
              <w:spacing w:after="0" w:line="223" w:lineRule="exact"/>
              <w:rPr>
                <w:rFonts w:ascii="Arial" w:cs="Arial" w:eastAsia="Arial" w:hAnsi="Arial"/>
                <w:sz w:val="22"/>
                <w:szCs w:val="22"/>
                <w:color w:val="0000EE"/>
                <w:w w:val="90"/>
              </w:rPr>
            </w:pPr>
            <w:hyperlink w:anchor="page45">
              <w:r>
                <w:rPr>
                  <w:rFonts w:ascii="Arial" w:cs="Arial" w:eastAsia="Arial" w:hAnsi="Arial"/>
                  <w:sz w:val="22"/>
                  <w:szCs w:val="22"/>
                  <w:color w:val="0000EE"/>
                  <w:w w:val="90"/>
                </w:rPr>
                <w:t>Execution and Delivery and Filing and Recording of Supplemental</w:t>
              </w:r>
            </w:hyperlink>
          </w:p>
        </w:tc>
        <w:tc>
          <w:tcPr>
            <w:tcW w:w="3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Indenture Y</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3"/>
            <w:vMerge w:val="restart"/>
          </w:tcPr>
          <w:p>
            <w:pPr>
              <w:spacing w:after="0" w:line="24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4.13.</w:t>
              </w:r>
            </w:hyperlink>
          </w:p>
        </w:tc>
        <w:tc>
          <w:tcPr>
            <w:tcW w:w="320" w:type="dxa"/>
            <w:vAlign w:val="bottom"/>
            <w:gridSpan w:val="2"/>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Regulatory Approvals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60" w:type="dxa"/>
            <w:vAlign w:val="bottom"/>
            <w:gridSpan w:val="6"/>
          </w:tcPr>
          <w:p>
            <w:pPr>
              <w:spacing w:after="0"/>
              <w:rPr>
                <w:rFonts w:ascii="Arial" w:cs="Arial" w:eastAsia="Arial" w:hAnsi="Arial"/>
                <w:sz w:val="22"/>
                <w:szCs w:val="22"/>
                <w:color w:val="0000EE"/>
              </w:rPr>
            </w:pPr>
            <w:hyperlink w:anchor="page45">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5.</w:t>
              </w:r>
            </w:hyperlink>
          </w:p>
        </w:tc>
        <w:tc>
          <w:tcPr>
            <w:tcW w:w="6340" w:type="dxa"/>
            <w:vAlign w:val="bottom"/>
            <w:gridSpan w:val="30"/>
          </w:tcPr>
          <w:p>
            <w:pPr>
              <w:spacing w:after="0"/>
              <w:rPr>
                <w:rFonts w:ascii="Arial" w:cs="Arial" w:eastAsia="Arial" w:hAnsi="Arial"/>
                <w:sz w:val="22"/>
                <w:szCs w:val="22"/>
                <w:color w:val="0000EE"/>
              </w:rPr>
            </w:pPr>
            <w:hyperlink w:anchor="page45">
              <w:r>
                <w:rPr>
                  <w:rFonts w:ascii="Arial" w:cs="Arial" w:eastAsia="Arial" w:hAnsi="Arial"/>
                  <w:sz w:val="22"/>
                  <w:szCs w:val="22"/>
                  <w:color w:val="0000EE"/>
                </w:rPr>
                <w:t>R</w:t>
              </w:r>
              <w:r>
                <w:rPr>
                  <w:rFonts w:ascii="Arial" w:cs="Arial" w:eastAsia="Arial" w:hAnsi="Arial"/>
                  <w:sz w:val="18"/>
                  <w:szCs w:val="18"/>
                  <w:color w:val="0000EE"/>
                </w:rPr>
                <w:t>EPRESENTATIONS AND</w:t>
              </w:r>
              <w:r>
                <w:rPr>
                  <w:rFonts w:ascii="Arial" w:cs="Arial" w:eastAsia="Arial" w:hAnsi="Arial"/>
                  <w:sz w:val="22"/>
                  <w:szCs w:val="22"/>
                  <w:color w:val="0000EE"/>
                </w:rPr>
                <w:t xml:space="preserve"> W</w:t>
              </w:r>
              <w:r>
                <w:rPr>
                  <w:rFonts w:ascii="Arial" w:cs="Arial" w:eastAsia="Arial" w:hAnsi="Arial"/>
                  <w:sz w:val="18"/>
                  <w:szCs w:val="18"/>
                  <w:color w:val="0000EE"/>
                </w:rPr>
                <w:t>ARRANTIES OF THE</w:t>
              </w:r>
              <w:r>
                <w:rPr>
                  <w:rFonts w:ascii="Arial" w:cs="Arial" w:eastAsia="Arial" w:hAnsi="Arial"/>
                  <w:sz w:val="22"/>
                  <w:szCs w:val="22"/>
                  <w:color w:val="0000EE"/>
                </w:rPr>
                <w:t xml:space="preserve"> C</w:t>
              </w:r>
              <w:r>
                <w:rPr>
                  <w:rFonts w:ascii="Arial" w:cs="Arial" w:eastAsia="Arial" w:hAnsi="Arial"/>
                  <w:sz w:val="18"/>
                  <w:szCs w:val="18"/>
                  <w:color w:val="0000EE"/>
                </w:rPr>
                <w:t>OMPANY</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440" w:type="dxa"/>
            <w:vAlign w:val="bottom"/>
            <w:gridSpan w:val="5"/>
          </w:tcPr>
          <w:p>
            <w:pPr>
              <w:spacing w:after="0"/>
              <w:rPr>
                <w:rFonts w:ascii="Arial" w:cs="Arial" w:eastAsia="Arial" w:hAnsi="Arial"/>
                <w:sz w:val="22"/>
                <w:szCs w:val="22"/>
                <w:color w:val="0000EE"/>
              </w:rPr>
            </w:pPr>
            <w:hyperlink w:anchor="page45">
              <w:r>
                <w:rPr>
                  <w:rFonts w:ascii="Arial" w:cs="Arial" w:eastAsia="Arial" w:hAnsi="Arial"/>
                  <w:sz w:val="22"/>
                  <w:szCs w:val="22"/>
                  <w:color w:val="0000EE"/>
                </w:rPr>
                <w:t>Section 5.1.</w:t>
              </w:r>
            </w:hyperlink>
          </w:p>
        </w:tc>
        <w:tc>
          <w:tcPr>
            <w:tcW w:w="200" w:type="dxa"/>
            <w:vAlign w:val="bottom"/>
          </w:tcPr>
          <w:p>
            <w:pPr>
              <w:spacing w:after="0"/>
              <w:rPr>
                <w:sz w:val="24"/>
                <w:szCs w:val="24"/>
                <w:color w:val="auto"/>
              </w:rPr>
            </w:pPr>
          </w:p>
        </w:tc>
        <w:tc>
          <w:tcPr>
            <w:tcW w:w="6140" w:type="dxa"/>
            <w:vAlign w:val="bottom"/>
            <w:gridSpan w:val="29"/>
          </w:tcPr>
          <w:p>
            <w:pPr>
              <w:spacing w:after="0"/>
              <w:rPr>
                <w:rFonts w:ascii="Arial" w:cs="Arial" w:eastAsia="Arial" w:hAnsi="Arial"/>
                <w:sz w:val="22"/>
                <w:szCs w:val="22"/>
                <w:color w:val="0000EE"/>
              </w:rPr>
            </w:pPr>
            <w:hyperlink w:anchor="page45">
              <w:r>
                <w:rPr>
                  <w:rFonts w:ascii="Arial" w:cs="Arial" w:eastAsia="Arial" w:hAnsi="Arial"/>
                  <w:sz w:val="22"/>
                  <w:szCs w:val="22"/>
                  <w:color w:val="0000EE"/>
                </w:rPr>
                <w:t>Organization; Power and Authority</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5.2.</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Authorization,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5.3.</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Disclosure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5.4.</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Ownership; Investments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5.5.</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Financial Statements; Material Liabilities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5.6.</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Compliance with Laws, Other Instruments,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5.7.</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Governmental Authorizations,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5.8.</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Litigation; Observance of Statutes and Orders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5.9.</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Taxes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49">
              <w:r>
                <w:rPr>
                  <w:rFonts w:ascii="Arial" w:cs="Arial" w:eastAsia="Arial" w:hAnsi="Arial"/>
                  <w:sz w:val="22"/>
                  <w:szCs w:val="22"/>
                  <w:color w:val="0000EE"/>
                  <w:w w:val="84"/>
                </w:rPr>
                <w:t>Section 5.10.</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Borders>
              <w:bottom w:val="single" w:sz="8" w:color="0000EE"/>
            </w:tcBorders>
            <w:gridSpan w:val="11"/>
          </w:tcPr>
          <w:p>
            <w:pPr>
              <w:spacing w:after="0" w:line="223" w:lineRule="exact"/>
              <w:rPr>
                <w:rFonts w:ascii="Arial" w:cs="Arial" w:eastAsia="Arial" w:hAnsi="Arial"/>
                <w:sz w:val="22"/>
                <w:szCs w:val="22"/>
                <w:color w:val="0000EE"/>
                <w:w w:val="90"/>
              </w:rPr>
            </w:pPr>
            <w:hyperlink w:anchor="page49">
              <w:r>
                <w:rPr>
                  <w:rFonts w:ascii="Arial" w:cs="Arial" w:eastAsia="Arial" w:hAnsi="Arial"/>
                  <w:sz w:val="22"/>
                  <w:szCs w:val="22"/>
                  <w:color w:val="0000EE"/>
                  <w:w w:val="90"/>
                </w:rPr>
                <w:t>Title to Property; Leases</w:t>
              </w:r>
            </w:hyperlink>
          </w:p>
        </w:tc>
        <w:tc>
          <w:tcPr>
            <w:tcW w:w="3940" w:type="dxa"/>
            <w:vAlign w:val="bottom"/>
            <w:gridSpan w:val="18"/>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49">
              <w:r>
                <w:rPr>
                  <w:rFonts w:ascii="Arial" w:cs="Arial" w:eastAsia="Arial" w:hAnsi="Arial"/>
                  <w:sz w:val="22"/>
                  <w:szCs w:val="22"/>
                  <w:color w:val="0000EE"/>
                </w:rPr>
                <w:t>Section 5.11.</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49">
              <w:r>
                <w:rPr>
                  <w:rFonts w:ascii="Arial" w:cs="Arial" w:eastAsia="Arial" w:hAnsi="Arial"/>
                  <w:sz w:val="22"/>
                  <w:szCs w:val="22"/>
                  <w:color w:val="0000EE"/>
                </w:rPr>
                <w:t>Licenses, Permits, Etc</w:t>
              </w:r>
            </w:hyperlink>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49">
              <w:r>
                <w:rPr>
                  <w:rFonts w:ascii="Arial" w:cs="Arial" w:eastAsia="Arial" w:hAnsi="Arial"/>
                  <w:sz w:val="22"/>
                  <w:szCs w:val="22"/>
                  <w:color w:val="0000EE"/>
                  <w:w w:val="84"/>
                </w:rPr>
                <w:t>Section 5.12.</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Borders>
              <w:bottom w:val="single" w:sz="8" w:color="0000EE"/>
            </w:tcBorders>
            <w:gridSpan w:val="23"/>
          </w:tcPr>
          <w:p>
            <w:pPr>
              <w:spacing w:after="0" w:line="223" w:lineRule="exact"/>
              <w:rPr>
                <w:rFonts w:ascii="Arial" w:cs="Arial" w:eastAsia="Arial" w:hAnsi="Arial"/>
                <w:sz w:val="22"/>
                <w:szCs w:val="22"/>
                <w:color w:val="0000EE"/>
                <w:w w:val="90"/>
              </w:rPr>
            </w:pPr>
            <w:hyperlink w:anchor="page49">
              <w:r>
                <w:rPr>
                  <w:rFonts w:ascii="Arial" w:cs="Arial" w:eastAsia="Arial" w:hAnsi="Arial"/>
                  <w:sz w:val="22"/>
                  <w:szCs w:val="22"/>
                  <w:color w:val="0000EE"/>
                  <w:w w:val="90"/>
                </w:rPr>
                <w:t>Compliance with Employee Benefit Plans</w:t>
              </w:r>
            </w:hyperlink>
          </w:p>
        </w:tc>
        <w:tc>
          <w:tcPr>
            <w:tcW w:w="2500" w:type="dxa"/>
            <w:vAlign w:val="bottom"/>
            <w:gridSpan w:val="6"/>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50">
              <w:r>
                <w:rPr>
                  <w:rFonts w:ascii="Arial" w:cs="Arial" w:eastAsia="Arial" w:hAnsi="Arial"/>
                  <w:sz w:val="22"/>
                  <w:szCs w:val="22"/>
                  <w:color w:val="0000EE"/>
                  <w:w w:val="84"/>
                </w:rPr>
                <w:t>Section 5.13.</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tcBorders>
              <w:bottom w:val="single" w:sz="8" w:color="0000EE"/>
            </w:tcBorders>
            <w:gridSpan w:val="17"/>
          </w:tcPr>
          <w:p>
            <w:pPr>
              <w:spacing w:after="0" w:line="223" w:lineRule="exact"/>
              <w:rPr>
                <w:rFonts w:ascii="Arial" w:cs="Arial" w:eastAsia="Arial" w:hAnsi="Arial"/>
                <w:sz w:val="22"/>
                <w:szCs w:val="22"/>
                <w:color w:val="0000EE"/>
                <w:w w:val="90"/>
              </w:rPr>
            </w:pPr>
            <w:hyperlink w:anchor="page50">
              <w:r>
                <w:rPr>
                  <w:rFonts w:ascii="Arial" w:cs="Arial" w:eastAsia="Arial" w:hAnsi="Arial"/>
                  <w:sz w:val="22"/>
                  <w:szCs w:val="22"/>
                  <w:color w:val="0000EE"/>
                  <w:w w:val="90"/>
                </w:rPr>
                <w:t>Private Offering by the Company</w:t>
              </w:r>
            </w:hyperlink>
          </w:p>
        </w:tc>
        <w:tc>
          <w:tcPr>
            <w:tcW w:w="3240" w:type="dxa"/>
            <w:vAlign w:val="bottom"/>
            <w:gridSpan w:val="12"/>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60" w:type="dxa"/>
            <w:vAlign w:val="bottom"/>
            <w:gridSpan w:val="4"/>
          </w:tcPr>
          <w:p>
            <w:pPr>
              <w:spacing w:after="0" w:line="223" w:lineRule="exact"/>
              <w:rPr>
                <w:rFonts w:ascii="Arial" w:cs="Arial" w:eastAsia="Arial" w:hAnsi="Arial"/>
                <w:sz w:val="22"/>
                <w:szCs w:val="22"/>
                <w:color w:val="0000EE"/>
                <w:w w:val="88"/>
              </w:rPr>
            </w:pPr>
            <w:hyperlink w:anchor="page50">
              <w:r>
                <w:rPr>
                  <w:rFonts w:ascii="Arial" w:cs="Arial" w:eastAsia="Arial" w:hAnsi="Arial"/>
                  <w:sz w:val="22"/>
                  <w:szCs w:val="22"/>
                  <w:color w:val="0000EE"/>
                  <w:w w:val="88"/>
                </w:rPr>
                <w:t>Section 5.14.</w:t>
              </w:r>
            </w:hyperlink>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Use of Proceeds; Margin Regulations</w:t>
              </w:r>
            </w:hyperlink>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top w:val="single" w:sz="8" w:color="0000EE"/>
            </w:tcBorders>
            <w:gridSpan w:val="3"/>
          </w:tcPr>
          <w:p>
            <w:pPr>
              <w:spacing w:after="0" w:line="223" w:lineRule="exact"/>
              <w:rPr>
                <w:rFonts w:ascii="Arial" w:cs="Arial" w:eastAsia="Arial" w:hAnsi="Arial"/>
                <w:sz w:val="22"/>
                <w:szCs w:val="22"/>
                <w:color w:val="0000EE"/>
                <w:w w:val="84"/>
              </w:rPr>
            </w:pPr>
            <w:hyperlink w:anchor="page50">
              <w:r>
                <w:rPr>
                  <w:rFonts w:ascii="Arial" w:cs="Arial" w:eastAsia="Arial" w:hAnsi="Arial"/>
                  <w:sz w:val="22"/>
                  <w:szCs w:val="22"/>
                  <w:color w:val="0000EE"/>
                  <w:w w:val="84"/>
                </w:rPr>
                <w:t>Section 5.15.</w:t>
              </w:r>
            </w:hyperlink>
          </w:p>
        </w:tc>
        <w:tc>
          <w:tcPr>
            <w:tcW w:w="4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Borders>
              <w:top w:val="single" w:sz="8" w:color="0000EE"/>
            </w:tcBorders>
            <w:gridSpan w:val="20"/>
          </w:tcPr>
          <w:p>
            <w:pPr>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Existing Debt</w:t>
              </w:r>
            </w:hyperlink>
          </w:p>
        </w:tc>
        <w:tc>
          <w:tcPr>
            <w:tcW w:w="2900" w:type="dxa"/>
            <w:vAlign w:val="bottom"/>
            <w:gridSpan w:val="9"/>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51">
              <w:r>
                <w:rPr>
                  <w:rFonts w:ascii="Arial" w:cs="Arial" w:eastAsia="Arial" w:hAnsi="Arial"/>
                  <w:sz w:val="22"/>
                  <w:szCs w:val="22"/>
                  <w:color w:val="0000EE"/>
                  <w:w w:val="84"/>
                </w:rPr>
                <w:t>Section 5.16.</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Borders>
              <w:bottom w:val="single" w:sz="8" w:color="0000EE"/>
            </w:tcBorders>
            <w:gridSpan w:val="21"/>
          </w:tcPr>
          <w:p>
            <w:pPr>
              <w:spacing w:after="0" w:line="223" w:lineRule="exact"/>
              <w:rPr>
                <w:rFonts w:ascii="Arial" w:cs="Arial" w:eastAsia="Arial" w:hAnsi="Arial"/>
                <w:sz w:val="22"/>
                <w:szCs w:val="22"/>
                <w:color w:val="0000EE"/>
                <w:w w:val="89"/>
              </w:rPr>
            </w:pPr>
            <w:hyperlink w:anchor="page51">
              <w:r>
                <w:rPr>
                  <w:rFonts w:ascii="Arial" w:cs="Arial" w:eastAsia="Arial" w:hAnsi="Arial"/>
                  <w:sz w:val="22"/>
                  <w:szCs w:val="22"/>
                  <w:color w:val="0000EE"/>
                  <w:w w:val="89"/>
                </w:rPr>
                <w:t>Foreign Assets Control Regulations, Etc</w:t>
              </w:r>
            </w:hyperlink>
          </w:p>
        </w:tc>
        <w:tc>
          <w:tcPr>
            <w:tcW w:w="2640" w:type="dxa"/>
            <w:vAlign w:val="bottom"/>
            <w:gridSpan w:val="8"/>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4"/>
              </w:rPr>
            </w:pPr>
            <w:hyperlink w:anchor="page51">
              <w:r>
                <w:rPr>
                  <w:rFonts w:ascii="Arial" w:cs="Arial" w:eastAsia="Arial" w:hAnsi="Arial"/>
                  <w:sz w:val="22"/>
                  <w:szCs w:val="22"/>
                  <w:color w:val="0000EE"/>
                  <w:w w:val="84"/>
                </w:rPr>
                <w:t>Section 5.17.</w:t>
              </w:r>
            </w:hyperlink>
          </w:p>
        </w:tc>
        <w:tc>
          <w:tcPr>
            <w:tcW w:w="3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Borders>
              <w:bottom w:val="single" w:sz="8" w:color="0000EE"/>
            </w:tcBorders>
            <w:gridSpan w:val="15"/>
          </w:tcPr>
          <w:p>
            <w:pPr>
              <w:spacing w:after="0" w:line="223" w:lineRule="exact"/>
              <w:rPr>
                <w:rFonts w:ascii="Arial" w:cs="Arial" w:eastAsia="Arial" w:hAnsi="Arial"/>
                <w:sz w:val="22"/>
                <w:szCs w:val="22"/>
                <w:color w:val="0000EE"/>
                <w:w w:val="86"/>
              </w:rPr>
            </w:pPr>
            <w:hyperlink w:anchor="page51">
              <w:r>
                <w:rPr>
                  <w:rFonts w:ascii="Arial" w:cs="Arial" w:eastAsia="Arial" w:hAnsi="Arial"/>
                  <w:sz w:val="22"/>
                  <w:szCs w:val="22"/>
                  <w:color w:val="0000EE"/>
                  <w:w w:val="86"/>
                </w:rPr>
                <w:t>Status under Certain Statutes</w:t>
              </w:r>
            </w:hyperlink>
          </w:p>
        </w:tc>
        <w:tc>
          <w:tcPr>
            <w:tcW w:w="3620" w:type="dxa"/>
            <w:vAlign w:val="bottom"/>
            <w:gridSpan w:val="14"/>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gridSpan w:val="5"/>
          </w:tcPr>
          <w:p>
            <w:pPr>
              <w:spacing w:after="0" w:line="223" w:lineRule="exact"/>
              <w:rPr>
                <w:rFonts w:ascii="Arial" w:cs="Arial" w:eastAsia="Arial" w:hAnsi="Arial"/>
                <w:sz w:val="22"/>
                <w:szCs w:val="22"/>
                <w:color w:val="0000EE"/>
              </w:rPr>
            </w:pPr>
            <w:hyperlink w:anchor="page51">
              <w:r>
                <w:rPr>
                  <w:rFonts w:ascii="Arial" w:cs="Arial" w:eastAsia="Arial" w:hAnsi="Arial"/>
                  <w:sz w:val="22"/>
                  <w:szCs w:val="22"/>
                  <w:color w:val="0000EE"/>
                </w:rPr>
                <w:t>Section 5.18.</w:t>
              </w:r>
            </w:hyperlink>
          </w:p>
        </w:tc>
        <w:tc>
          <w:tcPr>
            <w:tcW w:w="200" w:type="dxa"/>
            <w:vAlign w:val="bottom"/>
          </w:tcPr>
          <w:p>
            <w:pPr>
              <w:spacing w:after="0"/>
              <w:rPr>
                <w:sz w:val="19"/>
                <w:szCs w:val="19"/>
                <w:color w:val="auto"/>
              </w:rPr>
            </w:pPr>
          </w:p>
        </w:tc>
        <w:tc>
          <w:tcPr>
            <w:tcW w:w="6140" w:type="dxa"/>
            <w:vAlign w:val="bottom"/>
            <w:gridSpan w:val="29"/>
          </w:tcPr>
          <w:p>
            <w:pPr>
              <w:spacing w:after="0" w:line="223" w:lineRule="exact"/>
              <w:rPr>
                <w:rFonts w:ascii="Arial" w:cs="Arial" w:eastAsia="Arial" w:hAnsi="Arial"/>
                <w:sz w:val="22"/>
                <w:szCs w:val="22"/>
                <w:color w:val="0000EE"/>
              </w:rPr>
            </w:pPr>
            <w:hyperlink w:anchor="page51">
              <w:r>
                <w:rPr>
                  <w:rFonts w:ascii="Arial" w:cs="Arial" w:eastAsia="Arial" w:hAnsi="Arial"/>
                  <w:sz w:val="22"/>
                  <w:szCs w:val="22"/>
                  <w:color w:val="0000EE"/>
                </w:rPr>
                <w:t>Environmental Matters</w:t>
              </w:r>
            </w:hyperlink>
          </w:p>
        </w:tc>
        <w:tc>
          <w:tcPr>
            <w:tcW w:w="860" w:type="dxa"/>
            <w:vAlign w:val="bottom"/>
          </w:tcPr>
          <w:p>
            <w:pPr>
              <w:jc w:val="right"/>
              <w:spacing w:after="0" w:line="22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74"/>
        </w:trPr>
        <w:tc>
          <w:tcPr>
            <w:tcW w:w="220" w:type="dxa"/>
            <w:vAlign w:val="bottom"/>
          </w:tcPr>
          <w:p>
            <w:pPr>
              <w:spacing w:after="0"/>
              <w:rPr>
                <w:sz w:val="23"/>
                <w:szCs w:val="23"/>
                <w:color w:val="auto"/>
              </w:rPr>
            </w:pPr>
          </w:p>
        </w:tc>
        <w:tc>
          <w:tcPr>
            <w:tcW w:w="7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0" w:type="dxa"/>
            <w:vAlign w:val="bottom"/>
            <w:gridSpan w:val="16"/>
          </w:tcPr>
          <w:p>
            <w:pPr>
              <w:jc w:val="center"/>
              <w:ind w:right="3360"/>
              <w:spacing w:after="0"/>
              <w:rPr>
                <w:sz w:val="20"/>
                <w:szCs w:val="20"/>
                <w:color w:val="auto"/>
              </w:rPr>
            </w:pPr>
            <w:r>
              <w:rPr>
                <w:rFonts w:ascii="Arial" w:cs="Arial" w:eastAsia="Arial" w:hAnsi="Arial"/>
                <w:sz w:val="22"/>
                <w:szCs w:val="22"/>
                <w:color w:val="auto"/>
              </w:rPr>
              <w:t>-i-</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7"/>
        </w:trPr>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7" w:name="page38"/>
    <w:bookmarkEnd w:id="37"/>
    <w:tbl>
      <w:tblPr>
        <w:tblLayout w:type="fixed"/>
        <w:tblInd w:w="10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140" w:type="dxa"/>
            <w:vAlign w:val="bottom"/>
            <w:tcBorders>
              <w:bottom w:val="single" w:sz="8" w:color="0000EE"/>
            </w:tcBorders>
            <w:gridSpan w:val="5"/>
          </w:tcPr>
          <w:p>
            <w:pPr>
              <w:spacing w:after="0"/>
              <w:rPr>
                <w:rFonts w:ascii="Arial" w:cs="Arial" w:eastAsia="Arial" w:hAnsi="Arial"/>
                <w:sz w:val="22"/>
                <w:szCs w:val="22"/>
                <w:color w:val="0000EE"/>
                <w:w w:val="87"/>
              </w:rPr>
            </w:pPr>
            <w:hyperlink w:anchor="page52">
              <w:r>
                <w:rPr>
                  <w:rFonts w:ascii="Arial" w:cs="Arial" w:eastAsia="Arial" w:hAnsi="Arial"/>
                  <w:sz w:val="22"/>
                  <w:szCs w:val="22"/>
                  <w:color w:val="0000EE"/>
                  <w:w w:val="87"/>
                </w:rPr>
                <w:t>Section 5.19.</w:t>
              </w:r>
            </w:hyperlink>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Borders>
              <w:bottom w:val="single" w:sz="8" w:color="0000EE"/>
            </w:tcBorders>
            <w:gridSpan w:val="8"/>
          </w:tcPr>
          <w:p>
            <w:pPr>
              <w:spacing w:after="0"/>
              <w:rPr>
                <w:rFonts w:ascii="Arial" w:cs="Arial" w:eastAsia="Arial" w:hAnsi="Arial"/>
                <w:sz w:val="22"/>
                <w:szCs w:val="22"/>
                <w:color w:val="0000EE"/>
                <w:w w:val="90"/>
              </w:rPr>
            </w:pPr>
            <w:hyperlink w:anchor="page52">
              <w:r>
                <w:rPr>
                  <w:rFonts w:ascii="Arial" w:cs="Arial" w:eastAsia="Arial" w:hAnsi="Arial"/>
                  <w:sz w:val="22"/>
                  <w:szCs w:val="22"/>
                  <w:color w:val="0000EE"/>
                  <w:w w:val="90"/>
                </w:rPr>
                <w:t>Lien of Indenture</w:t>
              </w:r>
            </w:hyperlink>
          </w:p>
        </w:tc>
        <w:tc>
          <w:tcPr>
            <w:tcW w:w="3720" w:type="dxa"/>
            <w:vAlign w:val="bottom"/>
            <w:gridSpan w:val="18"/>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5"/>
          </w:tcPr>
          <w:p>
            <w:pPr>
              <w:spacing w:after="0" w:line="223" w:lineRule="exact"/>
              <w:rPr>
                <w:rFonts w:ascii="Arial" w:cs="Arial" w:eastAsia="Arial" w:hAnsi="Arial"/>
                <w:sz w:val="22"/>
                <w:szCs w:val="22"/>
                <w:color w:val="0000EE"/>
                <w:w w:val="87"/>
              </w:rPr>
            </w:pPr>
            <w:hyperlink w:anchor="page52">
              <w:r>
                <w:rPr>
                  <w:rFonts w:ascii="Arial" w:cs="Arial" w:eastAsia="Arial" w:hAnsi="Arial"/>
                  <w:sz w:val="22"/>
                  <w:szCs w:val="22"/>
                  <w:color w:val="0000EE"/>
                  <w:w w:val="87"/>
                </w:rPr>
                <w:t>Section 5.20.</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26"/>
          </w:tcPr>
          <w:p>
            <w:pPr>
              <w:spacing w:after="0" w:line="223" w:lineRule="exact"/>
              <w:rPr>
                <w:rFonts w:ascii="Arial" w:cs="Arial" w:eastAsia="Arial" w:hAnsi="Arial"/>
                <w:sz w:val="22"/>
                <w:szCs w:val="22"/>
                <w:color w:val="0000EE"/>
              </w:rPr>
            </w:pPr>
            <w:hyperlink w:anchor="page52">
              <w:r>
                <w:rPr>
                  <w:rFonts w:ascii="Arial" w:cs="Arial" w:eastAsia="Arial" w:hAnsi="Arial"/>
                  <w:sz w:val="22"/>
                  <w:szCs w:val="22"/>
                  <w:color w:val="0000EE"/>
                </w:rPr>
                <w:t>Filings</w:t>
              </w:r>
            </w:hyperlink>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6.</w:t>
              </w:r>
            </w:hyperlink>
          </w:p>
        </w:tc>
        <w:tc>
          <w:tcPr>
            <w:tcW w:w="5760" w:type="dxa"/>
            <w:vAlign w:val="bottom"/>
            <w:gridSpan w:val="28"/>
          </w:tcPr>
          <w:p>
            <w:pPr>
              <w:ind w:left="300"/>
              <w:spacing w:after="0"/>
              <w:rPr>
                <w:rFonts w:ascii="Arial" w:cs="Arial" w:eastAsia="Arial" w:hAnsi="Arial"/>
                <w:sz w:val="22"/>
                <w:szCs w:val="22"/>
                <w:color w:val="0000EE"/>
              </w:rPr>
            </w:pPr>
            <w:hyperlink w:anchor="page53">
              <w:r>
                <w:rPr>
                  <w:rFonts w:ascii="Arial" w:cs="Arial" w:eastAsia="Arial" w:hAnsi="Arial"/>
                  <w:sz w:val="22"/>
                  <w:szCs w:val="22"/>
                  <w:color w:val="0000EE"/>
                </w:rPr>
                <w:t>R</w:t>
              </w:r>
              <w:r>
                <w:rPr>
                  <w:rFonts w:ascii="Arial" w:cs="Arial" w:eastAsia="Arial" w:hAnsi="Arial"/>
                  <w:sz w:val="18"/>
                  <w:szCs w:val="18"/>
                  <w:color w:val="0000EE"/>
                </w:rPr>
                <w:t>EPRESENTATIONS OF THE</w:t>
              </w:r>
              <w:r>
                <w:rPr>
                  <w:rFonts w:ascii="Arial" w:cs="Arial" w:eastAsia="Arial" w:hAnsi="Arial"/>
                  <w:sz w:val="22"/>
                  <w:szCs w:val="22"/>
                  <w:color w:val="0000EE"/>
                </w:rPr>
                <w:t xml:space="preserve"> P</w:t>
              </w:r>
              <w:r>
                <w:rPr>
                  <w:rFonts w:ascii="Arial" w:cs="Arial" w:eastAsia="Arial" w:hAnsi="Arial"/>
                  <w:sz w:val="18"/>
                  <w:szCs w:val="18"/>
                  <w:color w:val="0000EE"/>
                </w:rPr>
                <w:t>URCHASER</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22"/>
                <w:szCs w:val="22"/>
                <w:color w:val="0000EE"/>
                <w:w w:val="87"/>
              </w:rPr>
            </w:pPr>
            <w:hyperlink w:anchor="page53">
              <w:r>
                <w:rPr>
                  <w:rFonts w:ascii="Arial" w:cs="Arial" w:eastAsia="Arial" w:hAnsi="Arial"/>
                  <w:sz w:val="22"/>
                  <w:szCs w:val="22"/>
                  <w:color w:val="0000EE"/>
                  <w:w w:val="87"/>
                </w:rPr>
                <w:t>Section 6.1.</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26"/>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Purchase for Investment</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tcBorders>
              <w:top w:val="single" w:sz="8" w:color="0000EE"/>
            </w:tcBorders>
            <w:gridSpan w:val="4"/>
          </w:tcPr>
          <w:p>
            <w:pPr>
              <w:spacing w:after="0" w:line="223" w:lineRule="exact"/>
              <w:rPr>
                <w:rFonts w:ascii="Arial" w:cs="Arial" w:eastAsia="Arial" w:hAnsi="Arial"/>
                <w:sz w:val="22"/>
                <w:szCs w:val="22"/>
                <w:color w:val="0000EE"/>
                <w:w w:val="87"/>
              </w:rPr>
            </w:pPr>
            <w:hyperlink w:anchor="page53">
              <w:r>
                <w:rPr>
                  <w:rFonts w:ascii="Arial" w:cs="Arial" w:eastAsia="Arial" w:hAnsi="Arial"/>
                  <w:sz w:val="22"/>
                  <w:szCs w:val="22"/>
                  <w:color w:val="0000EE"/>
                  <w:w w:val="87"/>
                </w:rPr>
                <w:t>Section 6.2.</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53">
              <w:r>
                <w:rPr>
                  <w:rFonts w:ascii="Arial" w:cs="Arial" w:eastAsia="Arial" w:hAnsi="Arial"/>
                  <w:sz w:val="22"/>
                  <w:szCs w:val="22"/>
                  <w:color w:val="0000EE"/>
                </w:rPr>
                <w:t>Source of Funds</w:t>
              </w:r>
            </w:hyperlink>
          </w:p>
        </w:tc>
        <w:tc>
          <w:tcPr>
            <w:tcW w:w="3140" w:type="dxa"/>
            <w:vAlign w:val="bottom"/>
            <w:gridSpan w:val="13"/>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7.</w:t>
              </w:r>
            </w:hyperlink>
          </w:p>
        </w:tc>
        <w:tc>
          <w:tcPr>
            <w:tcW w:w="5760" w:type="dxa"/>
            <w:vAlign w:val="bottom"/>
            <w:gridSpan w:val="28"/>
          </w:tcPr>
          <w:p>
            <w:pPr>
              <w:ind w:left="300"/>
              <w:spacing w:after="0"/>
              <w:rPr>
                <w:rFonts w:ascii="Arial" w:cs="Arial" w:eastAsia="Arial" w:hAnsi="Arial"/>
                <w:sz w:val="22"/>
                <w:szCs w:val="22"/>
                <w:color w:val="0000EE"/>
              </w:rPr>
            </w:pPr>
            <w:hyperlink w:anchor="page54">
              <w:r>
                <w:rPr>
                  <w:rFonts w:ascii="Arial" w:cs="Arial" w:eastAsia="Arial" w:hAnsi="Arial"/>
                  <w:sz w:val="22"/>
                  <w:szCs w:val="22"/>
                  <w:color w:val="0000EE"/>
                </w:rPr>
                <w:t>I</w:t>
              </w:r>
              <w:r>
                <w:rPr>
                  <w:rFonts w:ascii="Arial" w:cs="Arial" w:eastAsia="Arial" w:hAnsi="Arial"/>
                  <w:sz w:val="18"/>
                  <w:szCs w:val="18"/>
                  <w:color w:val="0000EE"/>
                </w:rPr>
                <w:t>NFORMATION AS TO</w:t>
              </w:r>
              <w:r>
                <w:rPr>
                  <w:rFonts w:ascii="Arial" w:cs="Arial" w:eastAsia="Arial" w:hAnsi="Arial"/>
                  <w:sz w:val="22"/>
                  <w:szCs w:val="22"/>
                  <w:color w:val="0000EE"/>
                </w:rPr>
                <w:t xml:space="preserve"> C</w:t>
              </w:r>
              <w:r>
                <w:rPr>
                  <w:rFonts w:ascii="Arial" w:cs="Arial" w:eastAsia="Arial" w:hAnsi="Arial"/>
                  <w:sz w:val="18"/>
                  <w:szCs w:val="18"/>
                  <w:color w:val="0000EE"/>
                </w:rPr>
                <w:t>OMPANY</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22"/>
                <w:szCs w:val="22"/>
                <w:color w:val="0000EE"/>
                <w:w w:val="87"/>
              </w:rPr>
            </w:pPr>
            <w:hyperlink w:anchor="page54">
              <w:r>
                <w:rPr>
                  <w:rFonts w:ascii="Arial" w:cs="Arial" w:eastAsia="Arial" w:hAnsi="Arial"/>
                  <w:sz w:val="22"/>
                  <w:szCs w:val="22"/>
                  <w:color w:val="0000EE"/>
                  <w:w w:val="87"/>
                </w:rPr>
                <w:t>Section 7.1.</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26"/>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Financial and Business Information</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7"/>
              </w:rPr>
            </w:pPr>
            <w:hyperlink w:anchor="page57">
              <w:r>
                <w:rPr>
                  <w:rFonts w:ascii="Arial" w:cs="Arial" w:eastAsia="Arial" w:hAnsi="Arial"/>
                  <w:sz w:val="22"/>
                  <w:szCs w:val="22"/>
                  <w:color w:val="0000EE"/>
                  <w:w w:val="87"/>
                </w:rPr>
                <w:t>Section 7.2.</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color w:val="0000EE"/>
                <w:w w:val="89"/>
              </w:rPr>
            </w:pPr>
            <w:hyperlink w:anchor="page57">
              <w:r>
                <w:rPr>
                  <w:rFonts w:ascii="Arial" w:cs="Arial" w:eastAsia="Arial" w:hAnsi="Arial"/>
                  <w:sz w:val="22"/>
                  <w:szCs w:val="22"/>
                  <w:color w:val="0000EE"/>
                  <w:w w:val="89"/>
                </w:rPr>
                <w:t>Officer’s Certificate</w:t>
              </w:r>
            </w:hyperlink>
          </w:p>
        </w:tc>
        <w:tc>
          <w:tcPr>
            <w:tcW w:w="1380" w:type="dxa"/>
            <w:vAlign w:val="bottom"/>
            <w:tcBorders>
              <w:top w:val="single" w:sz="8" w:color="0000EE"/>
            </w:tcBorders>
            <w:gridSpan w:val="13"/>
          </w:tcPr>
          <w:p>
            <w:pPr>
              <w:spacing w:after="0"/>
              <w:rPr>
                <w:sz w:val="19"/>
                <w:szCs w:val="19"/>
                <w:color w:val="auto"/>
              </w:rPr>
            </w:pPr>
          </w:p>
        </w:tc>
        <w:tc>
          <w:tcPr>
            <w:tcW w:w="2160" w:type="dxa"/>
            <w:vAlign w:val="bottom"/>
            <w:gridSpan w:val="3"/>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5"/>
          </w:tcPr>
          <w:p>
            <w:pPr>
              <w:spacing w:after="0" w:line="223" w:lineRule="exact"/>
              <w:rPr>
                <w:rFonts w:ascii="Arial" w:cs="Arial" w:eastAsia="Arial" w:hAnsi="Arial"/>
                <w:sz w:val="22"/>
                <w:szCs w:val="22"/>
                <w:color w:val="0000EE"/>
                <w:w w:val="96"/>
              </w:rPr>
            </w:pPr>
            <w:hyperlink w:anchor="page57">
              <w:r>
                <w:rPr>
                  <w:rFonts w:ascii="Arial" w:cs="Arial" w:eastAsia="Arial" w:hAnsi="Arial"/>
                  <w:sz w:val="22"/>
                  <w:szCs w:val="22"/>
                  <w:color w:val="0000EE"/>
                  <w:w w:val="96"/>
                </w:rPr>
                <w:t>Section 7.3.</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26"/>
          </w:tcPr>
          <w:p>
            <w:pPr>
              <w:spacing w:after="0" w:line="223" w:lineRule="exact"/>
              <w:rPr>
                <w:rFonts w:ascii="Arial" w:cs="Arial" w:eastAsia="Arial" w:hAnsi="Arial"/>
                <w:sz w:val="22"/>
                <w:szCs w:val="22"/>
                <w:color w:val="0000EE"/>
              </w:rPr>
            </w:pPr>
            <w:hyperlink w:anchor="page57">
              <w:r>
                <w:rPr>
                  <w:rFonts w:ascii="Arial" w:cs="Arial" w:eastAsia="Arial" w:hAnsi="Arial"/>
                  <w:sz w:val="22"/>
                  <w:szCs w:val="22"/>
                  <w:color w:val="0000EE"/>
                </w:rPr>
                <w:t>Visitation</w:t>
              </w:r>
            </w:hyperlink>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8.</w:t>
              </w:r>
            </w:hyperlink>
          </w:p>
        </w:tc>
        <w:tc>
          <w:tcPr>
            <w:tcW w:w="5760" w:type="dxa"/>
            <w:vAlign w:val="bottom"/>
            <w:gridSpan w:val="28"/>
          </w:tcPr>
          <w:p>
            <w:pPr>
              <w:ind w:left="300"/>
              <w:spacing w:after="0"/>
              <w:rPr>
                <w:rFonts w:ascii="Arial" w:cs="Arial" w:eastAsia="Arial" w:hAnsi="Arial"/>
                <w:sz w:val="22"/>
                <w:szCs w:val="22"/>
                <w:color w:val="0000EE"/>
              </w:rPr>
            </w:pPr>
            <w:hyperlink w:anchor="page58">
              <w:r>
                <w:rPr>
                  <w:rFonts w:ascii="Arial" w:cs="Arial" w:eastAsia="Arial" w:hAnsi="Arial"/>
                  <w:sz w:val="22"/>
                  <w:szCs w:val="22"/>
                  <w:color w:val="0000EE"/>
                </w:rPr>
                <w:t>P</w:t>
              </w:r>
              <w:r>
                <w:rPr>
                  <w:rFonts w:ascii="Arial" w:cs="Arial" w:eastAsia="Arial" w:hAnsi="Arial"/>
                  <w:sz w:val="18"/>
                  <w:szCs w:val="18"/>
                  <w:color w:val="0000EE"/>
                </w:rPr>
                <w:t>URCHASE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9.</w:t>
              </w:r>
            </w:hyperlink>
          </w:p>
        </w:tc>
        <w:tc>
          <w:tcPr>
            <w:tcW w:w="5760" w:type="dxa"/>
            <w:vAlign w:val="bottom"/>
            <w:gridSpan w:val="28"/>
          </w:tcPr>
          <w:p>
            <w:pPr>
              <w:ind w:left="300"/>
              <w:spacing w:after="0"/>
              <w:rPr>
                <w:rFonts w:ascii="Arial" w:cs="Arial" w:eastAsia="Arial" w:hAnsi="Arial"/>
                <w:sz w:val="22"/>
                <w:szCs w:val="22"/>
                <w:color w:val="0000EE"/>
              </w:rPr>
            </w:pPr>
            <w:hyperlink w:anchor="page58">
              <w:r>
                <w:rPr>
                  <w:rFonts w:ascii="Arial" w:cs="Arial" w:eastAsia="Arial" w:hAnsi="Arial"/>
                  <w:sz w:val="22"/>
                  <w:szCs w:val="22"/>
                  <w:color w:val="0000EE"/>
                </w:rPr>
                <w:t>A</w:t>
              </w:r>
              <w:r>
                <w:rPr>
                  <w:rFonts w:ascii="Arial" w:cs="Arial" w:eastAsia="Arial" w:hAnsi="Arial"/>
                  <w:sz w:val="18"/>
                  <w:szCs w:val="18"/>
                  <w:color w:val="0000EE"/>
                </w:rPr>
                <w:t>FFIRMATIVE</w:t>
              </w:r>
              <w:r>
                <w:rPr>
                  <w:rFonts w:ascii="Arial" w:cs="Arial" w:eastAsia="Arial" w:hAnsi="Arial"/>
                  <w:sz w:val="22"/>
                  <w:szCs w:val="22"/>
                  <w:color w:val="0000EE"/>
                </w:rPr>
                <w:t xml:space="preserve"> C</w:t>
              </w:r>
              <w:r>
                <w:rPr>
                  <w:rFonts w:ascii="Arial" w:cs="Arial" w:eastAsia="Arial" w:hAnsi="Arial"/>
                  <w:sz w:val="18"/>
                  <w:szCs w:val="18"/>
                  <w:color w:val="0000EE"/>
                </w:rPr>
                <w:t>OVENANTS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22"/>
                <w:szCs w:val="22"/>
                <w:color w:val="0000EE"/>
                <w:w w:val="87"/>
              </w:rPr>
            </w:pPr>
            <w:hyperlink w:anchor="page58">
              <w:r>
                <w:rPr>
                  <w:rFonts w:ascii="Arial" w:cs="Arial" w:eastAsia="Arial" w:hAnsi="Arial"/>
                  <w:sz w:val="22"/>
                  <w:szCs w:val="22"/>
                  <w:color w:val="0000EE"/>
                  <w:w w:val="87"/>
                </w:rPr>
                <w:t>Section 9.1.</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26"/>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Compliance with Law</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tcBorders>
              <w:top w:val="single" w:sz="8" w:color="0000EE"/>
            </w:tcBorders>
            <w:gridSpan w:val="4"/>
          </w:tcPr>
          <w:p>
            <w:pPr>
              <w:spacing w:after="0" w:line="223" w:lineRule="exact"/>
              <w:rPr>
                <w:rFonts w:ascii="Arial" w:cs="Arial" w:eastAsia="Arial" w:hAnsi="Arial"/>
                <w:sz w:val="22"/>
                <w:szCs w:val="22"/>
                <w:color w:val="0000EE"/>
                <w:w w:val="87"/>
              </w:rPr>
            </w:pPr>
            <w:hyperlink w:anchor="page58">
              <w:r>
                <w:rPr>
                  <w:rFonts w:ascii="Arial" w:cs="Arial" w:eastAsia="Arial" w:hAnsi="Arial"/>
                  <w:sz w:val="22"/>
                  <w:szCs w:val="22"/>
                  <w:color w:val="0000EE"/>
                  <w:w w:val="87"/>
                </w:rPr>
                <w:t>Section 9.2.</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Borders>
              <w:top w:val="single" w:sz="8" w:color="0000EE"/>
            </w:tcBorders>
            <w:gridSpan w:val="12"/>
          </w:tcPr>
          <w:p>
            <w:pPr>
              <w:spacing w:after="0" w:line="223" w:lineRule="exact"/>
              <w:rPr>
                <w:rFonts w:ascii="Arial" w:cs="Arial" w:eastAsia="Arial" w:hAnsi="Arial"/>
                <w:sz w:val="22"/>
                <w:szCs w:val="22"/>
                <w:color w:val="0000EE"/>
              </w:rPr>
            </w:pPr>
            <w:hyperlink w:anchor="page58">
              <w:r>
                <w:rPr>
                  <w:rFonts w:ascii="Arial" w:cs="Arial" w:eastAsia="Arial" w:hAnsi="Arial"/>
                  <w:sz w:val="22"/>
                  <w:szCs w:val="22"/>
                  <w:color w:val="0000EE"/>
                </w:rPr>
                <w:t>Insurance</w:t>
              </w:r>
            </w:hyperlink>
          </w:p>
        </w:tc>
        <w:tc>
          <w:tcPr>
            <w:tcW w:w="3320" w:type="dxa"/>
            <w:vAlign w:val="bottom"/>
            <w:gridSpan w:val="14"/>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gridSpan w:val="4"/>
          </w:tcPr>
          <w:p>
            <w:pPr>
              <w:spacing w:after="0" w:line="223" w:lineRule="exact"/>
              <w:rPr>
                <w:rFonts w:ascii="Arial" w:cs="Arial" w:eastAsia="Arial" w:hAnsi="Arial"/>
                <w:sz w:val="22"/>
                <w:szCs w:val="22"/>
                <w:color w:val="0000EE"/>
                <w:w w:val="87"/>
              </w:rPr>
            </w:pPr>
            <w:hyperlink w:anchor="page58">
              <w:r>
                <w:rPr>
                  <w:rFonts w:ascii="Arial" w:cs="Arial" w:eastAsia="Arial" w:hAnsi="Arial"/>
                  <w:sz w:val="22"/>
                  <w:szCs w:val="22"/>
                  <w:color w:val="0000EE"/>
                  <w:w w:val="87"/>
                </w:rPr>
                <w:t>Section 9.3.</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26"/>
          </w:tcPr>
          <w:p>
            <w:pPr>
              <w:spacing w:after="0" w:line="223" w:lineRule="exact"/>
              <w:rPr>
                <w:rFonts w:ascii="Arial" w:cs="Arial" w:eastAsia="Arial" w:hAnsi="Arial"/>
                <w:sz w:val="22"/>
                <w:szCs w:val="22"/>
                <w:color w:val="0000EE"/>
              </w:rPr>
            </w:pPr>
            <w:hyperlink w:anchor="page58">
              <w:r>
                <w:rPr>
                  <w:rFonts w:ascii="Arial" w:cs="Arial" w:eastAsia="Arial" w:hAnsi="Arial"/>
                  <w:sz w:val="22"/>
                  <w:szCs w:val="22"/>
                  <w:color w:val="0000EE"/>
                </w:rPr>
                <w:t>Maintenance of Properties</w:t>
              </w:r>
            </w:hyperlink>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tcBorders>
              <w:top w:val="single" w:sz="8" w:color="0000EE"/>
            </w:tcBorders>
            <w:gridSpan w:val="4"/>
          </w:tcPr>
          <w:p>
            <w:pPr>
              <w:spacing w:after="0" w:line="223" w:lineRule="exact"/>
              <w:rPr>
                <w:rFonts w:ascii="Arial" w:cs="Arial" w:eastAsia="Arial" w:hAnsi="Arial"/>
                <w:sz w:val="22"/>
                <w:szCs w:val="22"/>
                <w:color w:val="0000EE"/>
                <w:w w:val="87"/>
              </w:rPr>
            </w:pPr>
            <w:hyperlink w:anchor="page59">
              <w:r>
                <w:rPr>
                  <w:rFonts w:ascii="Arial" w:cs="Arial" w:eastAsia="Arial" w:hAnsi="Arial"/>
                  <w:sz w:val="22"/>
                  <w:szCs w:val="22"/>
                  <w:color w:val="0000EE"/>
                  <w:w w:val="87"/>
                </w:rPr>
                <w:t>Section 9.4.</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Borders>
              <w:top w:val="single" w:sz="8" w:color="0000EE"/>
            </w:tcBorders>
            <w:gridSpan w:val="17"/>
          </w:tcPr>
          <w:p>
            <w:pPr>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Payment of Taxes</w:t>
              </w:r>
            </w:hyperlink>
          </w:p>
        </w:tc>
        <w:tc>
          <w:tcPr>
            <w:tcW w:w="2960" w:type="dxa"/>
            <w:vAlign w:val="bottom"/>
            <w:gridSpan w:val="9"/>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40" w:type="dxa"/>
            <w:vAlign w:val="bottom"/>
            <w:tcBorders>
              <w:bottom w:val="single" w:sz="8" w:color="0000EE"/>
            </w:tcBorders>
            <w:gridSpan w:val="4"/>
          </w:tcPr>
          <w:p>
            <w:pPr>
              <w:spacing w:after="0" w:line="223" w:lineRule="exact"/>
              <w:rPr>
                <w:rFonts w:ascii="Arial" w:cs="Arial" w:eastAsia="Arial" w:hAnsi="Arial"/>
                <w:sz w:val="22"/>
                <w:szCs w:val="22"/>
                <w:color w:val="0000EE"/>
                <w:w w:val="87"/>
              </w:rPr>
            </w:pPr>
            <w:hyperlink w:anchor="page59">
              <w:r>
                <w:rPr>
                  <w:rFonts w:ascii="Arial" w:cs="Arial" w:eastAsia="Arial" w:hAnsi="Arial"/>
                  <w:sz w:val="22"/>
                  <w:szCs w:val="22"/>
                  <w:color w:val="0000EE"/>
                  <w:w w:val="87"/>
                </w:rPr>
                <w:t>Section 9.5.</w:t>
              </w:r>
            </w:hyperlink>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Borders>
              <w:bottom w:val="single" w:sz="8" w:color="0000EE"/>
            </w:tcBorders>
            <w:gridSpan w:val="14"/>
          </w:tcPr>
          <w:p>
            <w:pPr>
              <w:spacing w:after="0" w:line="223" w:lineRule="exact"/>
              <w:rPr>
                <w:rFonts w:ascii="Arial" w:cs="Arial" w:eastAsia="Arial" w:hAnsi="Arial"/>
                <w:sz w:val="22"/>
                <w:szCs w:val="22"/>
                <w:color w:val="0000EE"/>
                <w:w w:val="87"/>
              </w:rPr>
            </w:pPr>
            <w:hyperlink w:anchor="page59">
              <w:r>
                <w:rPr>
                  <w:rFonts w:ascii="Arial" w:cs="Arial" w:eastAsia="Arial" w:hAnsi="Arial"/>
                  <w:sz w:val="22"/>
                  <w:szCs w:val="22"/>
                  <w:color w:val="0000EE"/>
                  <w:w w:val="87"/>
                </w:rPr>
                <w:t>Corporate Existence, Etc</w:t>
              </w:r>
            </w:hyperlink>
          </w:p>
        </w:tc>
        <w:tc>
          <w:tcPr>
            <w:tcW w:w="3080" w:type="dxa"/>
            <w:vAlign w:val="bottom"/>
            <w:gridSpan w:val="12"/>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5"/>
          </w:tcPr>
          <w:p>
            <w:pPr>
              <w:spacing w:after="0" w:line="223" w:lineRule="exact"/>
              <w:rPr>
                <w:rFonts w:ascii="Arial" w:cs="Arial" w:eastAsia="Arial" w:hAnsi="Arial"/>
                <w:sz w:val="22"/>
                <w:szCs w:val="22"/>
                <w:color w:val="0000EE"/>
                <w:w w:val="96"/>
              </w:rPr>
            </w:pPr>
            <w:hyperlink w:anchor="page59">
              <w:r>
                <w:rPr>
                  <w:rFonts w:ascii="Arial" w:cs="Arial" w:eastAsia="Arial" w:hAnsi="Arial"/>
                  <w:sz w:val="22"/>
                  <w:szCs w:val="22"/>
                  <w:color w:val="0000EE"/>
                  <w:w w:val="96"/>
                </w:rPr>
                <w:t>Section 9.6.</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26"/>
          </w:tcPr>
          <w:p>
            <w:pPr>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Books and Records</w:t>
              </w:r>
            </w:hyperlink>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gridSpan w:val="3"/>
          </w:tcPr>
          <w:p>
            <w:pPr>
              <w:spacing w:after="0"/>
              <w:rPr>
                <w:rFonts w:ascii="Arial" w:cs="Arial" w:eastAsia="Arial" w:hAnsi="Arial"/>
                <w:sz w:val="22"/>
                <w:szCs w:val="22"/>
                <w:color w:val="0000EE"/>
                <w:w w:val="88"/>
              </w:rPr>
            </w:pPr>
            <w:hyperlink w:anchor="page59">
              <w:r>
                <w:rPr>
                  <w:rFonts w:ascii="Arial" w:cs="Arial" w:eastAsia="Arial" w:hAnsi="Arial"/>
                  <w:sz w:val="22"/>
                  <w:szCs w:val="22"/>
                  <w:color w:val="0000EE"/>
                  <w:w w:val="88"/>
                </w:rPr>
                <w:t>S</w:t>
              </w:r>
              <w:r>
                <w:rPr>
                  <w:rFonts w:ascii="Arial" w:cs="Arial" w:eastAsia="Arial" w:hAnsi="Arial"/>
                  <w:sz w:val="18"/>
                  <w:szCs w:val="18"/>
                  <w:color w:val="0000EE"/>
                  <w:w w:val="88"/>
                </w:rPr>
                <w:t>ECTION</w:t>
              </w:r>
              <w:r>
                <w:rPr>
                  <w:rFonts w:ascii="Arial" w:cs="Arial" w:eastAsia="Arial" w:hAnsi="Arial"/>
                  <w:sz w:val="22"/>
                  <w:szCs w:val="22"/>
                  <w:color w:val="0000EE"/>
                  <w:w w:val="88"/>
                </w:rPr>
                <w:t xml:space="preserve"> 10.</w:t>
              </w:r>
            </w:hyperlink>
          </w:p>
        </w:tc>
        <w:tc>
          <w:tcPr>
            <w:tcW w:w="26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27"/>
          </w:tcPr>
          <w:p>
            <w:pPr>
              <w:spacing w:after="0"/>
              <w:rPr>
                <w:rFonts w:ascii="Arial" w:cs="Arial" w:eastAsia="Arial" w:hAnsi="Arial"/>
                <w:sz w:val="22"/>
                <w:szCs w:val="22"/>
                <w:color w:val="0000EE"/>
              </w:rPr>
            </w:pPr>
            <w:hyperlink w:anchor="page59">
              <w:r>
                <w:rPr>
                  <w:rFonts w:ascii="Arial" w:cs="Arial" w:eastAsia="Arial" w:hAnsi="Arial"/>
                  <w:sz w:val="22"/>
                  <w:szCs w:val="22"/>
                  <w:color w:val="0000EE"/>
                </w:rPr>
                <w:t>N</w:t>
              </w:r>
              <w:r>
                <w:rPr>
                  <w:rFonts w:ascii="Arial" w:cs="Arial" w:eastAsia="Arial" w:hAnsi="Arial"/>
                  <w:sz w:val="18"/>
                  <w:szCs w:val="18"/>
                  <w:color w:val="0000EE"/>
                </w:rPr>
                <w:t>EGATIVE</w:t>
              </w:r>
              <w:r>
                <w:rPr>
                  <w:rFonts w:ascii="Arial" w:cs="Arial" w:eastAsia="Arial" w:hAnsi="Arial"/>
                  <w:sz w:val="22"/>
                  <w:szCs w:val="22"/>
                  <w:color w:val="0000EE"/>
                </w:rPr>
                <w:t xml:space="preserve"> C</w:t>
              </w:r>
              <w:r>
                <w:rPr>
                  <w:rFonts w:ascii="Arial" w:cs="Arial" w:eastAsia="Arial" w:hAnsi="Arial"/>
                  <w:sz w:val="18"/>
                  <w:szCs w:val="18"/>
                  <w:color w:val="0000EE"/>
                </w:rPr>
                <w:t>OVENANTS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22"/>
                <w:szCs w:val="22"/>
                <w:color w:val="0000EE"/>
                <w:w w:val="87"/>
              </w:rPr>
            </w:pPr>
            <w:hyperlink w:anchor="page59">
              <w:r>
                <w:rPr>
                  <w:rFonts w:ascii="Arial" w:cs="Arial" w:eastAsia="Arial" w:hAnsi="Arial"/>
                  <w:sz w:val="22"/>
                  <w:szCs w:val="22"/>
                  <w:color w:val="0000EE"/>
                  <w:w w:val="87"/>
                </w:rPr>
                <w:t>Section 10.1.</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26"/>
          </w:tcPr>
          <w:p>
            <w:pPr>
              <w:spacing w:after="0"/>
              <w:rPr>
                <w:rFonts w:ascii="Arial" w:cs="Arial" w:eastAsia="Arial" w:hAnsi="Arial"/>
                <w:sz w:val="22"/>
                <w:szCs w:val="22"/>
                <w:color w:val="0000EE"/>
              </w:rPr>
            </w:pPr>
            <w:hyperlink w:anchor="page59">
              <w:r>
                <w:rPr>
                  <w:rFonts w:ascii="Arial" w:cs="Arial" w:eastAsia="Arial" w:hAnsi="Arial"/>
                  <w:sz w:val="22"/>
                  <w:szCs w:val="22"/>
                  <w:color w:val="0000EE"/>
                </w:rPr>
                <w:t>Transactions with Affiliates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top w:val="single" w:sz="8" w:color="0000EE"/>
            </w:tcBorders>
            <w:gridSpan w:val="5"/>
          </w:tcPr>
          <w:p>
            <w:pPr>
              <w:spacing w:after="0" w:line="223" w:lineRule="exact"/>
              <w:rPr>
                <w:rFonts w:ascii="Arial" w:cs="Arial" w:eastAsia="Arial" w:hAnsi="Arial"/>
                <w:sz w:val="22"/>
                <w:szCs w:val="22"/>
                <w:color w:val="0000EE"/>
                <w:w w:val="87"/>
              </w:rPr>
            </w:pPr>
            <w:hyperlink w:anchor="page59">
              <w:r>
                <w:rPr>
                  <w:rFonts w:ascii="Arial" w:cs="Arial" w:eastAsia="Arial" w:hAnsi="Arial"/>
                  <w:sz w:val="22"/>
                  <w:szCs w:val="22"/>
                  <w:color w:val="0000EE"/>
                  <w:w w:val="87"/>
                </w:rPr>
                <w:t>Section 10.2.</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tcBorders>
              <w:top w:val="single" w:sz="8" w:color="0000EE"/>
            </w:tcBorders>
            <w:gridSpan w:val="19"/>
          </w:tcPr>
          <w:p>
            <w:pPr>
              <w:spacing w:after="0" w:line="223" w:lineRule="exact"/>
              <w:rPr>
                <w:rFonts w:ascii="Arial" w:cs="Arial" w:eastAsia="Arial" w:hAnsi="Arial"/>
                <w:sz w:val="22"/>
                <w:szCs w:val="22"/>
                <w:color w:val="0000EE"/>
                <w:w w:val="91"/>
              </w:rPr>
            </w:pPr>
            <w:hyperlink w:anchor="page59">
              <w:r>
                <w:rPr>
                  <w:rFonts w:ascii="Arial" w:cs="Arial" w:eastAsia="Arial" w:hAnsi="Arial"/>
                  <w:sz w:val="22"/>
                  <w:szCs w:val="22"/>
                  <w:color w:val="0000EE"/>
                  <w:w w:val="91"/>
                </w:rPr>
                <w:t>Merger, Consolidation, Etc</w:t>
              </w:r>
            </w:hyperlink>
          </w:p>
        </w:tc>
        <w:tc>
          <w:tcPr>
            <w:tcW w:w="2840" w:type="dxa"/>
            <w:vAlign w:val="bottom"/>
            <w:gridSpan w:val="7"/>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7"/>
              </w:rPr>
            </w:pPr>
            <w:hyperlink w:anchor="page60">
              <w:r>
                <w:rPr>
                  <w:rFonts w:ascii="Arial" w:cs="Arial" w:eastAsia="Arial" w:hAnsi="Arial"/>
                  <w:sz w:val="22"/>
                  <w:szCs w:val="22"/>
                  <w:color w:val="0000EE"/>
                  <w:w w:val="87"/>
                </w:rPr>
                <w:t>Section 10.3.</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7"/>
          </w:tcPr>
          <w:p>
            <w:pPr>
              <w:spacing w:after="0" w:line="223" w:lineRule="exact"/>
              <w:rPr>
                <w:rFonts w:ascii="Arial" w:cs="Arial" w:eastAsia="Arial" w:hAnsi="Arial"/>
                <w:sz w:val="22"/>
                <w:szCs w:val="22"/>
                <w:color w:val="0000EE"/>
                <w:w w:val="89"/>
              </w:rPr>
            </w:pPr>
            <w:hyperlink w:anchor="page60">
              <w:r>
                <w:rPr>
                  <w:rFonts w:ascii="Arial" w:cs="Arial" w:eastAsia="Arial" w:hAnsi="Arial"/>
                  <w:sz w:val="22"/>
                  <w:szCs w:val="22"/>
                  <w:color w:val="0000EE"/>
                  <w:w w:val="89"/>
                </w:rPr>
                <w:t>Line of Business</w:t>
              </w:r>
            </w:hyperlink>
          </w:p>
        </w:tc>
        <w:tc>
          <w:tcPr>
            <w:tcW w:w="880" w:type="dxa"/>
            <w:vAlign w:val="bottom"/>
            <w:tcBorders>
              <w:top w:val="single" w:sz="8" w:color="0000EE"/>
            </w:tcBorders>
            <w:gridSpan w:val="11"/>
          </w:tcPr>
          <w:p>
            <w:pPr>
              <w:spacing w:after="0"/>
              <w:rPr>
                <w:sz w:val="19"/>
                <w:szCs w:val="19"/>
                <w:color w:val="auto"/>
              </w:rPr>
            </w:pPr>
          </w:p>
        </w:tc>
        <w:tc>
          <w:tcPr>
            <w:tcW w:w="2900" w:type="dxa"/>
            <w:vAlign w:val="bottom"/>
            <w:gridSpan w:val="8"/>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60">
              <w:r>
                <w:rPr>
                  <w:rFonts w:ascii="Arial" w:cs="Arial" w:eastAsia="Arial" w:hAnsi="Arial"/>
                  <w:sz w:val="22"/>
                  <w:szCs w:val="22"/>
                  <w:color w:val="0000EE"/>
                  <w:w w:val="87"/>
                </w:rPr>
                <w:t>Section 10.4.</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Borders>
              <w:bottom w:val="single" w:sz="8" w:color="0000EE"/>
            </w:tcBorders>
            <w:gridSpan w:val="16"/>
          </w:tcPr>
          <w:p>
            <w:pPr>
              <w:spacing w:after="0" w:line="223" w:lineRule="exact"/>
              <w:rPr>
                <w:rFonts w:ascii="Arial" w:cs="Arial" w:eastAsia="Arial" w:hAnsi="Arial"/>
                <w:sz w:val="22"/>
                <w:szCs w:val="22"/>
                <w:color w:val="0000EE"/>
                <w:w w:val="88"/>
              </w:rPr>
            </w:pPr>
            <w:hyperlink w:anchor="page60">
              <w:r>
                <w:rPr>
                  <w:rFonts w:ascii="Arial" w:cs="Arial" w:eastAsia="Arial" w:hAnsi="Arial"/>
                  <w:sz w:val="22"/>
                  <w:szCs w:val="22"/>
                  <w:color w:val="0000EE"/>
                  <w:w w:val="88"/>
                </w:rPr>
                <w:t>Economic Sanctions, Etc.</w:t>
              </w:r>
            </w:hyperlink>
          </w:p>
        </w:tc>
        <w:tc>
          <w:tcPr>
            <w:tcW w:w="2980" w:type="dxa"/>
            <w:vAlign w:val="bottom"/>
            <w:gridSpan w:val="10"/>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60">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11.</w:t>
              </w:r>
            </w:hyperlink>
          </w:p>
        </w:tc>
        <w:tc>
          <w:tcPr>
            <w:tcW w:w="5760" w:type="dxa"/>
            <w:vAlign w:val="bottom"/>
            <w:gridSpan w:val="28"/>
          </w:tcPr>
          <w:p>
            <w:pPr>
              <w:ind w:left="300"/>
              <w:spacing w:after="0"/>
              <w:rPr>
                <w:rFonts w:ascii="Arial" w:cs="Arial" w:eastAsia="Arial" w:hAnsi="Arial"/>
                <w:sz w:val="22"/>
                <w:szCs w:val="22"/>
                <w:color w:val="0000EE"/>
              </w:rPr>
            </w:pPr>
            <w:hyperlink w:anchor="page60">
              <w:r>
                <w:rPr>
                  <w:rFonts w:ascii="Arial" w:cs="Arial" w:eastAsia="Arial" w:hAnsi="Arial"/>
                  <w:sz w:val="22"/>
                  <w:szCs w:val="22"/>
                  <w:color w:val="0000EE"/>
                </w:rPr>
                <w:t>P</w:t>
              </w:r>
              <w:r>
                <w:rPr>
                  <w:rFonts w:ascii="Arial" w:cs="Arial" w:eastAsia="Arial" w:hAnsi="Arial"/>
                  <w:sz w:val="18"/>
                  <w:szCs w:val="18"/>
                  <w:color w:val="0000EE"/>
                </w:rPr>
                <w:t>AYMENTS ON</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tcBorders>
              <w:bottom w:val="single" w:sz="8" w:color="0000EE"/>
            </w:tcBorders>
            <w:gridSpan w:val="6"/>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12.</w:t>
              </w:r>
            </w:hyperlink>
          </w:p>
        </w:tc>
        <w:tc>
          <w:tcPr>
            <w:tcW w:w="300" w:type="dxa"/>
            <w:vAlign w:val="bottom"/>
          </w:tcPr>
          <w:p>
            <w:pPr>
              <w:spacing w:after="0"/>
              <w:rPr>
                <w:sz w:val="24"/>
                <w:szCs w:val="24"/>
                <w:color w:val="auto"/>
              </w:rPr>
            </w:pPr>
          </w:p>
        </w:tc>
        <w:tc>
          <w:tcPr>
            <w:tcW w:w="4080" w:type="dxa"/>
            <w:vAlign w:val="bottom"/>
            <w:tcBorders>
              <w:bottom w:val="single" w:sz="8" w:color="0000EE"/>
            </w:tcBorders>
            <w:gridSpan w:val="26"/>
          </w:tcPr>
          <w:p>
            <w:pPr>
              <w:spacing w:after="0"/>
              <w:rPr>
                <w:rFonts w:ascii="Arial" w:cs="Arial" w:eastAsia="Arial" w:hAnsi="Arial"/>
                <w:sz w:val="22"/>
                <w:szCs w:val="22"/>
                <w:color w:val="0000EE"/>
                <w:w w:val="98"/>
              </w:rPr>
            </w:pPr>
            <w:hyperlink w:anchor="page61">
              <w:r>
                <w:rPr>
                  <w:rFonts w:ascii="Arial" w:cs="Arial" w:eastAsia="Arial" w:hAnsi="Arial"/>
                  <w:sz w:val="22"/>
                  <w:szCs w:val="22"/>
                  <w:color w:val="0000EE"/>
                  <w:w w:val="98"/>
                </w:rPr>
                <w:t>R</w:t>
              </w:r>
              <w:r>
                <w:rPr>
                  <w:rFonts w:ascii="Arial" w:cs="Arial" w:eastAsia="Arial" w:hAnsi="Arial"/>
                  <w:sz w:val="18"/>
                  <w:szCs w:val="18"/>
                  <w:color w:val="0000EE"/>
                  <w:w w:val="98"/>
                </w:rPr>
                <w:t>EGISTRATION;</w:t>
              </w:r>
              <w:r>
                <w:rPr>
                  <w:rFonts w:ascii="Arial" w:cs="Arial" w:eastAsia="Arial" w:hAnsi="Arial"/>
                  <w:sz w:val="22"/>
                  <w:szCs w:val="22"/>
                  <w:color w:val="0000EE"/>
                  <w:w w:val="98"/>
                </w:rPr>
                <w:t xml:space="preserve"> E</w:t>
              </w:r>
              <w:r>
                <w:rPr>
                  <w:rFonts w:ascii="Arial" w:cs="Arial" w:eastAsia="Arial" w:hAnsi="Arial"/>
                  <w:sz w:val="18"/>
                  <w:szCs w:val="18"/>
                  <w:color w:val="0000EE"/>
                  <w:w w:val="98"/>
                </w:rPr>
                <w:t>XCHANGE;</w:t>
              </w:r>
              <w:r>
                <w:rPr>
                  <w:rFonts w:ascii="Arial" w:cs="Arial" w:eastAsia="Arial" w:hAnsi="Arial"/>
                  <w:sz w:val="22"/>
                  <w:szCs w:val="22"/>
                  <w:color w:val="0000EE"/>
                  <w:w w:val="98"/>
                </w:rPr>
                <w:t xml:space="preserve"> E</w:t>
              </w:r>
              <w:r>
                <w:rPr>
                  <w:rFonts w:ascii="Arial" w:cs="Arial" w:eastAsia="Arial" w:hAnsi="Arial"/>
                  <w:sz w:val="18"/>
                  <w:szCs w:val="18"/>
                  <w:color w:val="0000EE"/>
                  <w:w w:val="98"/>
                </w:rPr>
                <w:t>XPENSES,</w:t>
              </w:r>
              <w:r>
                <w:rPr>
                  <w:rFonts w:ascii="Arial" w:cs="Arial" w:eastAsia="Arial" w:hAnsi="Arial"/>
                  <w:sz w:val="22"/>
                  <w:szCs w:val="22"/>
                  <w:color w:val="0000EE"/>
                  <w:w w:val="98"/>
                </w:rPr>
                <w:t xml:space="preserve"> E</w:t>
              </w:r>
              <w:r>
                <w:rPr>
                  <w:rFonts w:ascii="Arial" w:cs="Arial" w:eastAsia="Arial" w:hAnsi="Arial"/>
                  <w:sz w:val="18"/>
                  <w:szCs w:val="18"/>
                  <w:color w:val="0000EE"/>
                  <w:w w:val="98"/>
                </w:rPr>
                <w:t>TC</w:t>
              </w:r>
            </w:hyperlink>
          </w:p>
        </w:tc>
        <w:tc>
          <w:tcPr>
            <w:tcW w:w="1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22"/>
                <w:szCs w:val="22"/>
                <w:color w:val="0000EE"/>
                <w:w w:val="87"/>
              </w:rPr>
            </w:pPr>
            <w:hyperlink w:anchor="page61">
              <w:r>
                <w:rPr>
                  <w:rFonts w:ascii="Arial" w:cs="Arial" w:eastAsia="Arial" w:hAnsi="Arial"/>
                  <w:sz w:val="22"/>
                  <w:szCs w:val="22"/>
                  <w:color w:val="0000EE"/>
                  <w:w w:val="87"/>
                </w:rPr>
                <w:t>Section 12.1.</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Borders>
              <w:bottom w:val="single" w:sz="8" w:color="0000EE"/>
            </w:tcBorders>
            <w:gridSpan w:val="12"/>
          </w:tcPr>
          <w:p>
            <w:pPr>
              <w:spacing w:after="0"/>
              <w:rPr>
                <w:rFonts w:ascii="Arial" w:cs="Arial" w:eastAsia="Arial" w:hAnsi="Arial"/>
                <w:sz w:val="22"/>
                <w:szCs w:val="22"/>
                <w:color w:val="0000EE"/>
                <w:w w:val="89"/>
              </w:rPr>
            </w:pPr>
            <w:hyperlink w:anchor="page61">
              <w:r>
                <w:rPr>
                  <w:rFonts w:ascii="Arial" w:cs="Arial" w:eastAsia="Arial" w:hAnsi="Arial"/>
                  <w:sz w:val="22"/>
                  <w:szCs w:val="22"/>
                  <w:color w:val="0000EE"/>
                  <w:w w:val="89"/>
                </w:rPr>
                <w:t>Registration of Bonds</w:t>
              </w:r>
            </w:hyperlink>
          </w:p>
        </w:tc>
        <w:tc>
          <w:tcPr>
            <w:tcW w:w="3320" w:type="dxa"/>
            <w:vAlign w:val="bottom"/>
            <w:gridSpan w:val="1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5"/>
          </w:tcPr>
          <w:p>
            <w:pPr>
              <w:spacing w:after="0" w:line="223" w:lineRule="exact"/>
              <w:rPr>
                <w:rFonts w:ascii="Arial" w:cs="Arial" w:eastAsia="Arial" w:hAnsi="Arial"/>
                <w:sz w:val="22"/>
                <w:szCs w:val="22"/>
                <w:color w:val="0000EE"/>
                <w:w w:val="87"/>
              </w:rPr>
            </w:pPr>
            <w:hyperlink w:anchor="page61">
              <w:r>
                <w:rPr>
                  <w:rFonts w:ascii="Arial" w:cs="Arial" w:eastAsia="Arial" w:hAnsi="Arial"/>
                  <w:sz w:val="22"/>
                  <w:szCs w:val="22"/>
                  <w:color w:val="0000EE"/>
                  <w:w w:val="87"/>
                </w:rPr>
                <w:t>Section 12.2.</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26"/>
          </w:tcPr>
          <w:p>
            <w:pPr>
              <w:spacing w:after="0" w:line="223" w:lineRule="exact"/>
              <w:rPr>
                <w:rFonts w:ascii="Arial" w:cs="Arial" w:eastAsia="Arial" w:hAnsi="Arial"/>
                <w:sz w:val="22"/>
                <w:szCs w:val="22"/>
                <w:color w:val="0000EE"/>
              </w:rPr>
            </w:pPr>
            <w:hyperlink w:anchor="page61">
              <w:r>
                <w:rPr>
                  <w:rFonts w:ascii="Arial" w:cs="Arial" w:eastAsia="Arial" w:hAnsi="Arial"/>
                  <w:sz w:val="22"/>
                  <w:szCs w:val="22"/>
                  <w:color w:val="0000EE"/>
                </w:rPr>
                <w:t>Transaction Expenses</w:t>
              </w:r>
            </w:hyperlink>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7"/>
              </w:rPr>
            </w:pPr>
            <w:hyperlink w:anchor="page61">
              <w:r>
                <w:rPr>
                  <w:rFonts w:ascii="Arial" w:cs="Arial" w:eastAsia="Arial" w:hAnsi="Arial"/>
                  <w:sz w:val="22"/>
                  <w:szCs w:val="22"/>
                  <w:color w:val="0000EE"/>
                  <w:w w:val="87"/>
                </w:rPr>
                <w:t>Section 12.3.</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1"/>
              </w:rPr>
            </w:pPr>
            <w:hyperlink w:anchor="page61">
              <w:r>
                <w:rPr>
                  <w:rFonts w:ascii="Arial" w:cs="Arial" w:eastAsia="Arial" w:hAnsi="Arial"/>
                  <w:sz w:val="22"/>
                  <w:szCs w:val="22"/>
                  <w:color w:val="0000EE"/>
                  <w:w w:val="91"/>
                </w:rPr>
                <w:t>Survival</w:t>
              </w:r>
            </w:hyperlink>
          </w:p>
        </w:tc>
        <w:tc>
          <w:tcPr>
            <w:tcW w:w="1140" w:type="dxa"/>
            <w:vAlign w:val="bottom"/>
            <w:tcBorders>
              <w:top w:val="single" w:sz="8" w:color="0000EE"/>
            </w:tcBorders>
            <w:gridSpan w:val="9"/>
          </w:tcPr>
          <w:p>
            <w:pPr>
              <w:spacing w:after="0"/>
              <w:rPr>
                <w:sz w:val="19"/>
                <w:szCs w:val="19"/>
                <w:color w:val="auto"/>
              </w:rPr>
            </w:pPr>
          </w:p>
        </w:tc>
        <w:tc>
          <w:tcPr>
            <w:tcW w:w="3360" w:type="dxa"/>
            <w:vAlign w:val="bottom"/>
            <w:gridSpan w:val="15"/>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466"/>
        </w:trPr>
        <w:tc>
          <w:tcPr>
            <w:tcW w:w="1360" w:type="dxa"/>
            <w:vAlign w:val="bottom"/>
            <w:gridSpan w:val="6"/>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13.</w:t>
              </w:r>
            </w:hyperlink>
          </w:p>
        </w:tc>
        <w:tc>
          <w:tcPr>
            <w:tcW w:w="5760" w:type="dxa"/>
            <w:vAlign w:val="bottom"/>
            <w:gridSpan w:val="28"/>
          </w:tcPr>
          <w:p>
            <w:pPr>
              <w:ind w:left="300"/>
              <w:spacing w:after="0"/>
              <w:rPr>
                <w:rFonts w:ascii="Arial" w:cs="Arial" w:eastAsia="Arial" w:hAnsi="Arial"/>
                <w:sz w:val="22"/>
                <w:szCs w:val="22"/>
                <w:color w:val="0000EE"/>
                <w:w w:val="96"/>
              </w:rPr>
            </w:pPr>
            <w:hyperlink w:anchor="page61">
              <w:r>
                <w:rPr>
                  <w:rFonts w:ascii="Arial" w:cs="Arial" w:eastAsia="Arial" w:hAnsi="Arial"/>
                  <w:sz w:val="22"/>
                  <w:szCs w:val="22"/>
                  <w:color w:val="0000EE"/>
                  <w:w w:val="96"/>
                </w:rPr>
                <w:t>S</w:t>
              </w:r>
              <w:r>
                <w:rPr>
                  <w:rFonts w:ascii="Arial" w:cs="Arial" w:eastAsia="Arial" w:hAnsi="Arial"/>
                  <w:sz w:val="18"/>
                  <w:szCs w:val="18"/>
                  <w:color w:val="0000EE"/>
                  <w:w w:val="96"/>
                </w:rPr>
                <w:t>URVIVAL OF</w:t>
              </w:r>
              <w:r>
                <w:rPr>
                  <w:rFonts w:ascii="Arial" w:cs="Arial" w:eastAsia="Arial" w:hAnsi="Arial"/>
                  <w:sz w:val="22"/>
                  <w:szCs w:val="22"/>
                  <w:color w:val="0000EE"/>
                  <w:w w:val="96"/>
                </w:rPr>
                <w:t xml:space="preserve"> R</w:t>
              </w:r>
              <w:r>
                <w:rPr>
                  <w:rFonts w:ascii="Arial" w:cs="Arial" w:eastAsia="Arial" w:hAnsi="Arial"/>
                  <w:sz w:val="18"/>
                  <w:szCs w:val="18"/>
                  <w:color w:val="0000EE"/>
                  <w:w w:val="96"/>
                </w:rPr>
                <w:t>EPRESENTATIONS AND</w:t>
              </w:r>
              <w:r>
                <w:rPr>
                  <w:rFonts w:ascii="Arial" w:cs="Arial" w:eastAsia="Arial" w:hAnsi="Arial"/>
                  <w:sz w:val="22"/>
                  <w:szCs w:val="22"/>
                  <w:color w:val="0000EE"/>
                  <w:w w:val="96"/>
                </w:rPr>
                <w:t xml:space="preserve"> W</w:t>
              </w:r>
              <w:r>
                <w:rPr>
                  <w:rFonts w:ascii="Arial" w:cs="Arial" w:eastAsia="Arial" w:hAnsi="Arial"/>
                  <w:sz w:val="18"/>
                  <w:szCs w:val="18"/>
                  <w:color w:val="0000EE"/>
                  <w:w w:val="96"/>
                </w:rPr>
                <w:t>ARRANTIES</w:t>
              </w:r>
              <w:r>
                <w:rPr>
                  <w:rFonts w:ascii="Arial" w:cs="Arial" w:eastAsia="Arial" w:hAnsi="Arial"/>
                  <w:sz w:val="22"/>
                  <w:szCs w:val="22"/>
                  <w:color w:val="0000EE"/>
                  <w:w w:val="96"/>
                </w:rPr>
                <w:t>; E</w:t>
              </w:r>
              <w:r>
                <w:rPr>
                  <w:rFonts w:ascii="Arial" w:cs="Arial" w:eastAsia="Arial" w:hAnsi="Arial"/>
                  <w:sz w:val="18"/>
                  <w:szCs w:val="18"/>
                  <w:color w:val="0000EE"/>
                  <w:w w:val="96"/>
                </w:rPr>
                <w:t>NTIRE</w:t>
              </w:r>
            </w:hyperlink>
          </w:p>
        </w:tc>
        <w:tc>
          <w:tcPr>
            <w:tcW w:w="1740" w:type="dxa"/>
            <w:vAlign w:val="bottom"/>
            <w:vMerge w:val="restart"/>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Borders>
              <w:top w:val="single" w:sz="8" w:color="0000EE"/>
            </w:tcBorders>
            <w:gridSpan w:val="27"/>
          </w:tcPr>
          <w:p>
            <w:pPr>
              <w:ind w:left="40"/>
              <w:spacing w:after="0" w:line="223" w:lineRule="exact"/>
              <w:rPr>
                <w:rFonts w:ascii="Arial" w:cs="Arial" w:eastAsia="Arial" w:hAnsi="Arial"/>
                <w:sz w:val="22"/>
                <w:szCs w:val="22"/>
                <w:color w:val="0000EE"/>
              </w:rPr>
            </w:pPr>
            <w:hyperlink w:anchor="page61">
              <w:r>
                <w:rPr>
                  <w:rFonts w:ascii="Arial" w:cs="Arial" w:eastAsia="Arial" w:hAnsi="Arial"/>
                  <w:sz w:val="22"/>
                  <w:szCs w:val="22"/>
                  <w:color w:val="0000EE"/>
                </w:rPr>
                <w:t>A</w:t>
              </w:r>
              <w:r>
                <w:rPr>
                  <w:rFonts w:ascii="Arial" w:cs="Arial" w:eastAsia="Arial" w:hAnsi="Arial"/>
                  <w:sz w:val="18"/>
                  <w:szCs w:val="18"/>
                  <w:color w:val="0000EE"/>
                </w:rPr>
                <w:t>GREEMENT</w:t>
              </w:r>
            </w:hyperlink>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tcBorders>
              <w:bottom w:val="single" w:sz="8" w:color="0000EE"/>
            </w:tcBorders>
            <w:gridSpan w:val="6"/>
          </w:tcPr>
          <w:p>
            <w:pPr>
              <w:spacing w:after="0"/>
              <w:rPr>
                <w:rFonts w:ascii="Arial" w:cs="Arial" w:eastAsia="Arial" w:hAnsi="Arial"/>
                <w:sz w:val="22"/>
                <w:szCs w:val="22"/>
                <w:color w:val="0000EE"/>
              </w:rPr>
            </w:pPr>
            <w:hyperlink w:anchor="page62">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14.</w:t>
              </w:r>
            </w:hyperlink>
          </w:p>
        </w:tc>
        <w:tc>
          <w:tcPr>
            <w:tcW w:w="300" w:type="dxa"/>
            <w:vAlign w:val="bottom"/>
          </w:tcPr>
          <w:p>
            <w:pPr>
              <w:spacing w:after="0"/>
              <w:rPr>
                <w:sz w:val="24"/>
                <w:szCs w:val="24"/>
                <w:color w:val="auto"/>
              </w:rPr>
            </w:pPr>
          </w:p>
        </w:tc>
        <w:tc>
          <w:tcPr>
            <w:tcW w:w="2440" w:type="dxa"/>
            <w:vAlign w:val="bottom"/>
            <w:tcBorders>
              <w:bottom w:val="single" w:sz="8" w:color="0000EE"/>
            </w:tcBorders>
            <w:gridSpan w:val="16"/>
          </w:tcPr>
          <w:p>
            <w:pPr>
              <w:spacing w:after="0"/>
              <w:rPr>
                <w:rFonts w:ascii="Arial" w:cs="Arial" w:eastAsia="Arial" w:hAnsi="Arial"/>
                <w:sz w:val="22"/>
                <w:szCs w:val="22"/>
                <w:color w:val="0000EE"/>
                <w:w w:val="99"/>
              </w:rPr>
            </w:pPr>
            <w:hyperlink w:anchor="page62">
              <w:r>
                <w:rPr>
                  <w:rFonts w:ascii="Arial" w:cs="Arial" w:eastAsia="Arial" w:hAnsi="Arial"/>
                  <w:sz w:val="22"/>
                  <w:szCs w:val="22"/>
                  <w:color w:val="0000EE"/>
                  <w:w w:val="99"/>
                </w:rPr>
                <w:t>A</w:t>
              </w:r>
              <w:r>
                <w:rPr>
                  <w:rFonts w:ascii="Arial" w:cs="Arial" w:eastAsia="Arial" w:hAnsi="Arial"/>
                  <w:sz w:val="18"/>
                  <w:szCs w:val="18"/>
                  <w:color w:val="0000EE"/>
                  <w:w w:val="99"/>
                </w:rPr>
                <w:t>MENDMENT AND</w:t>
              </w:r>
              <w:r>
                <w:rPr>
                  <w:rFonts w:ascii="Arial" w:cs="Arial" w:eastAsia="Arial" w:hAnsi="Arial"/>
                  <w:sz w:val="22"/>
                  <w:szCs w:val="22"/>
                  <w:color w:val="0000EE"/>
                  <w:w w:val="99"/>
                </w:rPr>
                <w:t xml:space="preserve"> W</w:t>
              </w:r>
              <w:r>
                <w:rPr>
                  <w:rFonts w:ascii="Arial" w:cs="Arial" w:eastAsia="Arial" w:hAnsi="Arial"/>
                  <w:sz w:val="18"/>
                  <w:szCs w:val="18"/>
                  <w:color w:val="0000EE"/>
                  <w:w w:val="99"/>
                </w:rPr>
                <w:t>AIVER</w:t>
              </w:r>
            </w:hyperlink>
          </w:p>
        </w:tc>
        <w:tc>
          <w:tcPr>
            <w:tcW w:w="3020" w:type="dxa"/>
            <w:vAlign w:val="bottom"/>
            <w:gridSpan w:val="1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22"/>
                <w:szCs w:val="22"/>
                <w:color w:val="0000EE"/>
                <w:w w:val="87"/>
              </w:rPr>
            </w:pPr>
            <w:hyperlink w:anchor="page62">
              <w:r>
                <w:rPr>
                  <w:rFonts w:ascii="Arial" w:cs="Arial" w:eastAsia="Arial" w:hAnsi="Arial"/>
                  <w:sz w:val="22"/>
                  <w:szCs w:val="22"/>
                  <w:color w:val="0000EE"/>
                  <w:w w:val="87"/>
                </w:rPr>
                <w:t>Section 14.1.</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26"/>
          </w:tcPr>
          <w:p>
            <w:pPr>
              <w:spacing w:after="0"/>
              <w:rPr>
                <w:rFonts w:ascii="Arial" w:cs="Arial" w:eastAsia="Arial" w:hAnsi="Arial"/>
                <w:sz w:val="22"/>
                <w:szCs w:val="22"/>
                <w:color w:val="0000EE"/>
              </w:rPr>
            </w:pPr>
            <w:hyperlink w:anchor="page62">
              <w:r>
                <w:rPr>
                  <w:rFonts w:ascii="Arial" w:cs="Arial" w:eastAsia="Arial" w:hAnsi="Arial"/>
                  <w:sz w:val="22"/>
                  <w:szCs w:val="22"/>
                  <w:color w:val="0000EE"/>
                </w:rPr>
                <w:t>Requirements</w:t>
              </w:r>
            </w:hyperlink>
          </w:p>
        </w:tc>
        <w:tc>
          <w:tcPr>
            <w:tcW w:w="17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62">
              <w:r>
                <w:rPr>
                  <w:rFonts w:ascii="Arial" w:cs="Arial" w:eastAsia="Arial" w:hAnsi="Arial"/>
                  <w:sz w:val="22"/>
                  <w:szCs w:val="22"/>
                  <w:color w:val="0000EE"/>
                  <w:w w:val="87"/>
                </w:rPr>
                <w:t>Section 14.2.</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Borders>
              <w:bottom w:val="single" w:sz="8" w:color="0000EE"/>
            </w:tcBorders>
            <w:gridSpan w:val="22"/>
          </w:tcPr>
          <w:p>
            <w:pPr>
              <w:spacing w:after="0" w:line="223" w:lineRule="exact"/>
              <w:rPr>
                <w:rFonts w:ascii="Arial" w:cs="Arial" w:eastAsia="Arial" w:hAnsi="Arial"/>
                <w:sz w:val="22"/>
                <w:szCs w:val="22"/>
                <w:color w:val="0000EE"/>
                <w:w w:val="91"/>
              </w:rPr>
            </w:pPr>
            <w:hyperlink w:anchor="page62">
              <w:r>
                <w:rPr>
                  <w:rFonts w:ascii="Arial" w:cs="Arial" w:eastAsia="Arial" w:hAnsi="Arial"/>
                  <w:sz w:val="22"/>
                  <w:szCs w:val="22"/>
                  <w:color w:val="0000EE"/>
                  <w:w w:val="91"/>
                </w:rPr>
                <w:t>Solicitation of Holders of Bonds</w:t>
              </w:r>
            </w:hyperlink>
          </w:p>
        </w:tc>
        <w:tc>
          <w:tcPr>
            <w:tcW w:w="2420" w:type="dxa"/>
            <w:vAlign w:val="bottom"/>
            <w:gridSpan w:val="4"/>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63">
              <w:r>
                <w:rPr>
                  <w:rFonts w:ascii="Arial" w:cs="Arial" w:eastAsia="Arial" w:hAnsi="Arial"/>
                  <w:sz w:val="22"/>
                  <w:szCs w:val="22"/>
                  <w:color w:val="0000EE"/>
                  <w:w w:val="87"/>
                </w:rPr>
                <w:t>Section 14.3.</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0000EE"/>
            </w:tcBorders>
            <w:gridSpan w:val="10"/>
          </w:tcPr>
          <w:p>
            <w:pPr>
              <w:spacing w:after="0" w:line="223" w:lineRule="exact"/>
              <w:rPr>
                <w:rFonts w:ascii="Arial" w:cs="Arial" w:eastAsia="Arial" w:hAnsi="Arial"/>
                <w:sz w:val="22"/>
                <w:szCs w:val="22"/>
                <w:color w:val="0000EE"/>
                <w:w w:val="92"/>
              </w:rPr>
            </w:pPr>
            <w:hyperlink w:anchor="page63">
              <w:r>
                <w:rPr>
                  <w:rFonts w:ascii="Arial" w:cs="Arial" w:eastAsia="Arial" w:hAnsi="Arial"/>
                  <w:sz w:val="22"/>
                  <w:szCs w:val="22"/>
                  <w:color w:val="0000EE"/>
                  <w:w w:val="92"/>
                </w:rPr>
                <w:t>Binding Effect, Etc</w:t>
              </w:r>
            </w:hyperlink>
          </w:p>
        </w:tc>
        <w:tc>
          <w:tcPr>
            <w:tcW w:w="3540" w:type="dxa"/>
            <w:vAlign w:val="bottom"/>
            <w:gridSpan w:val="16"/>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63">
              <w:r>
                <w:rPr>
                  <w:rFonts w:ascii="Arial" w:cs="Arial" w:eastAsia="Arial" w:hAnsi="Arial"/>
                  <w:sz w:val="22"/>
                  <w:szCs w:val="22"/>
                  <w:color w:val="0000EE"/>
                  <w:w w:val="87"/>
                </w:rPr>
                <w:t>Section 14.4.</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bottom w:val="single" w:sz="8" w:color="0000EE"/>
            </w:tcBorders>
            <w:gridSpan w:val="21"/>
          </w:tcPr>
          <w:p>
            <w:pPr>
              <w:spacing w:after="0" w:line="223" w:lineRule="exact"/>
              <w:rPr>
                <w:rFonts w:ascii="Arial" w:cs="Arial" w:eastAsia="Arial" w:hAnsi="Arial"/>
                <w:sz w:val="22"/>
                <w:szCs w:val="22"/>
                <w:color w:val="0000EE"/>
                <w:w w:val="89"/>
              </w:rPr>
            </w:pPr>
            <w:hyperlink w:anchor="page63">
              <w:r>
                <w:rPr>
                  <w:rFonts w:ascii="Arial" w:cs="Arial" w:eastAsia="Arial" w:hAnsi="Arial"/>
                  <w:sz w:val="22"/>
                  <w:szCs w:val="22"/>
                  <w:color w:val="0000EE"/>
                  <w:w w:val="89"/>
                </w:rPr>
                <w:t>Bonds Held by Company, Etc</w:t>
              </w:r>
            </w:hyperlink>
          </w:p>
        </w:tc>
        <w:tc>
          <w:tcPr>
            <w:tcW w:w="2660" w:type="dxa"/>
            <w:vAlign w:val="bottom"/>
            <w:gridSpan w:val="5"/>
          </w:tcPr>
          <w:p>
            <w:pPr>
              <w:spacing w:after="0"/>
              <w:rPr>
                <w:sz w:val="19"/>
                <w:szCs w:val="19"/>
                <w:color w:val="auto"/>
              </w:rPr>
            </w:pPr>
          </w:p>
        </w:tc>
        <w:tc>
          <w:tcPr>
            <w:tcW w:w="1740" w:type="dxa"/>
            <w:vAlign w:val="bottom"/>
          </w:tcPr>
          <w:p>
            <w:pPr>
              <w:jc w:val="right"/>
              <w:spacing w:after="0" w:line="22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74"/>
        </w:trPr>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00" w:type="dxa"/>
            <w:vAlign w:val="bottom"/>
            <w:gridSpan w:val="8"/>
          </w:tcPr>
          <w:p>
            <w:pPr>
              <w:ind w:left="60"/>
              <w:spacing w:after="0"/>
              <w:rPr>
                <w:sz w:val="20"/>
                <w:szCs w:val="20"/>
                <w:color w:val="auto"/>
              </w:rPr>
            </w:pPr>
            <w:r>
              <w:rPr>
                <w:rFonts w:ascii="Arial" w:cs="Arial" w:eastAsia="Arial" w:hAnsi="Arial"/>
                <w:sz w:val="22"/>
                <w:szCs w:val="22"/>
                <w:color w:val="auto"/>
              </w:rPr>
              <w:t>-ii-</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7"/>
        </w:trPr>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38" w:name="page39"/>
    <w:bookmarkEnd w:id="38"/>
    <w:tbl>
      <w:tblPr>
        <w:tblLayout w:type="fixed"/>
        <w:tblInd w:w="100" w:type="dxa"/>
        <w:tblCellMar>
          <w:top w:w="0" w:type="dxa"/>
          <w:left w:w="0" w:type="dxa"/>
          <w:bottom w:w="0" w:type="dxa"/>
          <w:right w:w="0" w:type="dxa"/>
        </w:tblCellMar>
      </w:tblPr>
      <w:tr>
        <w:trPr>
          <w:trHeight w:val="253"/>
        </w:trPr>
        <w:tc>
          <w:tcPr>
            <w:tcW w:w="1360" w:type="dxa"/>
            <w:vAlign w:val="bottom"/>
            <w:tcBorders>
              <w:bottom w:val="single" w:sz="8" w:color="0000EE"/>
            </w:tcBorders>
            <w:gridSpan w:val="3"/>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15.</w:t>
              </w:r>
            </w:hyperlink>
          </w:p>
        </w:tc>
        <w:tc>
          <w:tcPr>
            <w:tcW w:w="300" w:type="dxa"/>
            <w:vAlign w:val="bottom"/>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22"/>
                <w:szCs w:val="22"/>
                <w:color w:val="0000EE"/>
                <w:w w:val="94"/>
              </w:rPr>
            </w:pPr>
            <w:hyperlink w:anchor="page63">
              <w:r>
                <w:rPr>
                  <w:rFonts w:ascii="Arial" w:cs="Arial" w:eastAsia="Arial" w:hAnsi="Arial"/>
                  <w:sz w:val="22"/>
                  <w:szCs w:val="22"/>
                  <w:color w:val="0000EE"/>
                  <w:w w:val="94"/>
                </w:rPr>
                <w:t>N</w:t>
              </w:r>
              <w:r>
                <w:rPr>
                  <w:rFonts w:ascii="Arial" w:cs="Arial" w:eastAsia="Arial" w:hAnsi="Arial"/>
                  <w:sz w:val="18"/>
                  <w:szCs w:val="18"/>
                  <w:color w:val="0000EE"/>
                  <w:w w:val="94"/>
                </w:rPr>
                <w:t>OTICES</w:t>
              </w:r>
            </w:hyperlink>
          </w:p>
        </w:tc>
        <w:tc>
          <w:tcPr>
            <w:tcW w:w="4740" w:type="dxa"/>
            <w:vAlign w:val="bottom"/>
            <w:gridSpan w:val="12"/>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466"/>
        </w:trPr>
        <w:tc>
          <w:tcPr>
            <w:tcW w:w="1360" w:type="dxa"/>
            <w:vAlign w:val="bottom"/>
            <w:gridSpan w:val="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16.</w:t>
              </w:r>
            </w:hyperlink>
          </w:p>
        </w:tc>
        <w:tc>
          <w:tcPr>
            <w:tcW w:w="5840" w:type="dxa"/>
            <w:vAlign w:val="bottom"/>
            <w:gridSpan w:val="15"/>
          </w:tcPr>
          <w:p>
            <w:pPr>
              <w:ind w:left="300"/>
              <w:spacing w:after="0"/>
              <w:rPr>
                <w:rFonts w:ascii="Arial" w:cs="Arial" w:eastAsia="Arial" w:hAnsi="Arial"/>
                <w:sz w:val="22"/>
                <w:szCs w:val="22"/>
                <w:color w:val="0000EE"/>
              </w:rPr>
            </w:pPr>
            <w:hyperlink w:anchor="page64">
              <w:r>
                <w:rPr>
                  <w:rFonts w:ascii="Arial" w:cs="Arial" w:eastAsia="Arial" w:hAnsi="Arial"/>
                  <w:sz w:val="22"/>
                  <w:szCs w:val="22"/>
                  <w:color w:val="0000EE"/>
                </w:rPr>
                <w:t>I</w:t>
              </w:r>
              <w:r>
                <w:rPr>
                  <w:rFonts w:ascii="Arial" w:cs="Arial" w:eastAsia="Arial" w:hAnsi="Arial"/>
                  <w:sz w:val="18"/>
                  <w:szCs w:val="18"/>
                  <w:color w:val="0000EE"/>
                </w:rPr>
                <w:t>NDEMNIFICATION</w:t>
              </w:r>
            </w:hyperlink>
          </w:p>
        </w:tc>
        <w:tc>
          <w:tcPr>
            <w:tcW w:w="156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17.</w:t>
              </w:r>
            </w:hyperlink>
          </w:p>
        </w:tc>
        <w:tc>
          <w:tcPr>
            <w:tcW w:w="5840" w:type="dxa"/>
            <w:vAlign w:val="bottom"/>
            <w:gridSpan w:val="15"/>
          </w:tcPr>
          <w:p>
            <w:pPr>
              <w:ind w:left="300"/>
              <w:spacing w:after="0"/>
              <w:rPr>
                <w:rFonts w:ascii="Arial" w:cs="Arial" w:eastAsia="Arial" w:hAnsi="Arial"/>
                <w:sz w:val="22"/>
                <w:szCs w:val="22"/>
                <w:color w:val="0000EE"/>
              </w:rPr>
            </w:pPr>
            <w:hyperlink w:anchor="page64">
              <w:r>
                <w:rPr>
                  <w:rFonts w:ascii="Arial" w:cs="Arial" w:eastAsia="Arial" w:hAnsi="Arial"/>
                  <w:sz w:val="22"/>
                  <w:szCs w:val="22"/>
                  <w:color w:val="0000EE"/>
                </w:rPr>
                <w:t>R</w:t>
              </w:r>
              <w:r>
                <w:rPr>
                  <w:rFonts w:ascii="Arial" w:cs="Arial" w:eastAsia="Arial" w:hAnsi="Arial"/>
                  <w:sz w:val="18"/>
                  <w:szCs w:val="18"/>
                  <w:color w:val="0000EE"/>
                </w:rPr>
                <w:t>EPRODUCTION OF</w:t>
              </w:r>
              <w:r>
                <w:rPr>
                  <w:rFonts w:ascii="Arial" w:cs="Arial" w:eastAsia="Arial" w:hAnsi="Arial"/>
                  <w:sz w:val="22"/>
                  <w:szCs w:val="22"/>
                  <w:color w:val="0000EE"/>
                </w:rPr>
                <w:t xml:space="preserve"> D</w:t>
              </w:r>
              <w:r>
                <w:rPr>
                  <w:rFonts w:ascii="Arial" w:cs="Arial" w:eastAsia="Arial" w:hAnsi="Arial"/>
                  <w:sz w:val="18"/>
                  <w:szCs w:val="18"/>
                  <w:color w:val="0000EE"/>
                </w:rPr>
                <w:t>OCUMENTS</w:t>
              </w:r>
            </w:hyperlink>
          </w:p>
        </w:tc>
        <w:tc>
          <w:tcPr>
            <w:tcW w:w="156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18.</w:t>
              </w:r>
            </w:hyperlink>
          </w:p>
        </w:tc>
        <w:tc>
          <w:tcPr>
            <w:tcW w:w="5840" w:type="dxa"/>
            <w:vAlign w:val="bottom"/>
            <w:gridSpan w:val="15"/>
          </w:tcPr>
          <w:p>
            <w:pPr>
              <w:ind w:left="300"/>
              <w:spacing w:after="0"/>
              <w:rPr>
                <w:rFonts w:ascii="Arial" w:cs="Arial" w:eastAsia="Arial" w:hAnsi="Arial"/>
                <w:sz w:val="22"/>
                <w:szCs w:val="22"/>
                <w:color w:val="0000EE"/>
              </w:rPr>
            </w:pPr>
            <w:hyperlink w:anchor="page64">
              <w:r>
                <w:rPr>
                  <w:rFonts w:ascii="Arial" w:cs="Arial" w:eastAsia="Arial" w:hAnsi="Arial"/>
                  <w:sz w:val="22"/>
                  <w:szCs w:val="22"/>
                  <w:color w:val="0000EE"/>
                </w:rPr>
                <w:t>C</w:t>
              </w:r>
              <w:r>
                <w:rPr>
                  <w:rFonts w:ascii="Arial" w:cs="Arial" w:eastAsia="Arial" w:hAnsi="Arial"/>
                  <w:sz w:val="18"/>
                  <w:szCs w:val="18"/>
                  <w:color w:val="0000EE"/>
                </w:rPr>
                <w:t>ONFIDENTIAL</w:t>
              </w:r>
              <w:r>
                <w:rPr>
                  <w:rFonts w:ascii="Arial" w:cs="Arial" w:eastAsia="Arial" w:hAnsi="Arial"/>
                  <w:sz w:val="22"/>
                  <w:szCs w:val="22"/>
                  <w:color w:val="0000EE"/>
                </w:rPr>
                <w:t xml:space="preserve"> I</w:t>
              </w:r>
              <w:r>
                <w:rPr>
                  <w:rFonts w:ascii="Arial" w:cs="Arial" w:eastAsia="Arial" w:hAnsi="Arial"/>
                  <w:sz w:val="18"/>
                  <w:szCs w:val="18"/>
                  <w:color w:val="0000EE"/>
                </w:rPr>
                <w:t>NFORMATION</w:t>
              </w:r>
            </w:hyperlink>
          </w:p>
        </w:tc>
        <w:tc>
          <w:tcPr>
            <w:tcW w:w="156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60" w:type="dxa"/>
            <w:vAlign w:val="bottom"/>
            <w:gridSpan w:val="3"/>
          </w:tcPr>
          <w:p>
            <w:pPr>
              <w:spacing w:after="0"/>
              <w:rPr>
                <w:rFonts w:ascii="Arial" w:cs="Arial" w:eastAsia="Arial" w:hAnsi="Arial"/>
                <w:sz w:val="22"/>
                <w:szCs w:val="22"/>
                <w:color w:val="0000EE"/>
              </w:rPr>
            </w:pPr>
            <w:hyperlink w:anchor="page65">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19.</w:t>
              </w:r>
            </w:hyperlink>
          </w:p>
        </w:tc>
        <w:tc>
          <w:tcPr>
            <w:tcW w:w="5840" w:type="dxa"/>
            <w:vAlign w:val="bottom"/>
            <w:gridSpan w:val="15"/>
          </w:tcPr>
          <w:p>
            <w:pPr>
              <w:ind w:left="300"/>
              <w:spacing w:after="0"/>
              <w:rPr>
                <w:rFonts w:ascii="Arial" w:cs="Arial" w:eastAsia="Arial" w:hAnsi="Arial"/>
                <w:sz w:val="22"/>
                <w:szCs w:val="22"/>
                <w:color w:val="0000EE"/>
              </w:rPr>
            </w:pPr>
            <w:hyperlink w:anchor="page65">
              <w:r>
                <w:rPr>
                  <w:rFonts w:ascii="Arial" w:cs="Arial" w:eastAsia="Arial" w:hAnsi="Arial"/>
                  <w:sz w:val="22"/>
                  <w:szCs w:val="22"/>
                  <w:color w:val="0000EE"/>
                </w:rPr>
                <w:t>M</w:t>
              </w:r>
              <w:r>
                <w:rPr>
                  <w:rFonts w:ascii="Arial" w:cs="Arial" w:eastAsia="Arial" w:hAnsi="Arial"/>
                  <w:sz w:val="18"/>
                  <w:szCs w:val="18"/>
                  <w:color w:val="0000EE"/>
                </w:rPr>
                <w:t>ISCELLANEOUS</w:t>
              </w:r>
            </w:hyperlink>
          </w:p>
        </w:tc>
        <w:tc>
          <w:tcPr>
            <w:tcW w:w="156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140" w:type="dxa"/>
            <w:vAlign w:val="bottom"/>
            <w:tcBorders>
              <w:bottom w:val="single" w:sz="8" w:color="0000EE"/>
            </w:tcBorders>
            <w:gridSpan w:val="2"/>
          </w:tcPr>
          <w:p>
            <w:pPr>
              <w:spacing w:after="0"/>
              <w:rPr>
                <w:rFonts w:ascii="Arial" w:cs="Arial" w:eastAsia="Arial" w:hAnsi="Arial"/>
                <w:sz w:val="22"/>
                <w:szCs w:val="22"/>
                <w:color w:val="0000EE"/>
                <w:w w:val="87"/>
              </w:rPr>
            </w:pPr>
            <w:hyperlink w:anchor="page65">
              <w:r>
                <w:rPr>
                  <w:rFonts w:ascii="Arial" w:cs="Arial" w:eastAsia="Arial" w:hAnsi="Arial"/>
                  <w:sz w:val="22"/>
                  <w:szCs w:val="22"/>
                  <w:color w:val="0000EE"/>
                  <w:w w:val="87"/>
                </w:rPr>
                <w:t>Section 19.1.</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22"/>
                <w:szCs w:val="22"/>
                <w:color w:val="0000EE"/>
                <w:w w:val="85"/>
              </w:rPr>
            </w:pPr>
            <w:hyperlink w:anchor="page65">
              <w:r>
                <w:rPr>
                  <w:rFonts w:ascii="Arial" w:cs="Arial" w:eastAsia="Arial" w:hAnsi="Arial"/>
                  <w:sz w:val="22"/>
                  <w:szCs w:val="22"/>
                  <w:color w:val="0000EE"/>
                  <w:w w:val="85"/>
                </w:rPr>
                <w:t>Successors and Assigns</w:t>
              </w:r>
            </w:hyperlink>
          </w:p>
        </w:tc>
        <w:tc>
          <w:tcPr>
            <w:tcW w:w="326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19.2.</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20" w:type="dxa"/>
            <w:vAlign w:val="bottom"/>
            <w:gridSpan w:val="13"/>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Accounting Terms</w:t>
              </w:r>
            </w:hyperlink>
          </w:p>
        </w:tc>
        <w:tc>
          <w:tcPr>
            <w:tcW w:w="1560" w:type="dxa"/>
            <w:vAlign w:val="bottom"/>
          </w:tcPr>
          <w:p>
            <w:pPr>
              <w:jc w:val="right"/>
              <w:spacing w:after="0" w:line="22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top w:val="single" w:sz="8" w:color="0000EE"/>
            </w:tcBorders>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19.3.</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Borders>
              <w:top w:val="single" w:sz="8" w:color="0000EE"/>
            </w:tcBorders>
            <w:gridSpan w:val="7"/>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Severability</w:t>
              </w:r>
            </w:hyperlink>
          </w:p>
        </w:tc>
        <w:tc>
          <w:tcPr>
            <w:tcW w:w="3720" w:type="dxa"/>
            <w:vAlign w:val="bottom"/>
            <w:gridSpan w:val="6"/>
          </w:tcPr>
          <w:p>
            <w:pPr>
              <w:spacing w:after="0"/>
              <w:rPr>
                <w:sz w:val="19"/>
                <w:szCs w:val="19"/>
                <w:color w:val="auto"/>
              </w:rPr>
            </w:pPr>
          </w:p>
        </w:tc>
        <w:tc>
          <w:tcPr>
            <w:tcW w:w="1560" w:type="dxa"/>
            <w:vAlign w:val="bottom"/>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19.4.</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bottom w:val="single" w:sz="8" w:color="0000EE"/>
            </w:tcBorders>
            <w:gridSpan w:val="6"/>
          </w:tcPr>
          <w:p>
            <w:pPr>
              <w:spacing w:after="0" w:line="223" w:lineRule="exact"/>
              <w:rPr>
                <w:rFonts w:ascii="Arial" w:cs="Arial" w:eastAsia="Arial" w:hAnsi="Arial"/>
                <w:sz w:val="22"/>
                <w:szCs w:val="22"/>
                <w:color w:val="0000EE"/>
                <w:w w:val="89"/>
              </w:rPr>
            </w:pPr>
            <w:hyperlink w:anchor="page66">
              <w:r>
                <w:rPr>
                  <w:rFonts w:ascii="Arial" w:cs="Arial" w:eastAsia="Arial" w:hAnsi="Arial"/>
                  <w:sz w:val="22"/>
                  <w:szCs w:val="22"/>
                  <w:color w:val="0000EE"/>
                  <w:w w:val="89"/>
                </w:rPr>
                <w:t>Construction, Etc</w:t>
              </w:r>
            </w:hyperlink>
          </w:p>
        </w:tc>
        <w:tc>
          <w:tcPr>
            <w:tcW w:w="3800" w:type="dxa"/>
            <w:vAlign w:val="bottom"/>
            <w:gridSpan w:val="7"/>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bottom w:val="single" w:sz="8" w:color="0000EE"/>
            </w:tcBorders>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19.5.</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0000EE"/>
            </w:tcBorders>
            <w:gridSpan w:val="3"/>
          </w:tcPr>
          <w:p>
            <w:pPr>
              <w:spacing w:after="0" w:line="223" w:lineRule="exact"/>
              <w:rPr>
                <w:rFonts w:ascii="Arial" w:cs="Arial" w:eastAsia="Arial" w:hAnsi="Arial"/>
                <w:sz w:val="22"/>
                <w:szCs w:val="22"/>
                <w:color w:val="0000EE"/>
                <w:w w:val="86"/>
              </w:rPr>
            </w:pPr>
            <w:hyperlink w:anchor="page66">
              <w:r>
                <w:rPr>
                  <w:rFonts w:ascii="Arial" w:cs="Arial" w:eastAsia="Arial" w:hAnsi="Arial"/>
                  <w:sz w:val="22"/>
                  <w:szCs w:val="22"/>
                  <w:color w:val="0000EE"/>
                  <w:w w:val="86"/>
                </w:rPr>
                <w:t>Counterparts</w:t>
              </w:r>
            </w:hyperlink>
          </w:p>
        </w:tc>
        <w:tc>
          <w:tcPr>
            <w:tcW w:w="4200" w:type="dxa"/>
            <w:vAlign w:val="bottom"/>
            <w:gridSpan w:val="10"/>
          </w:tcPr>
          <w:p>
            <w:pPr>
              <w:spacing w:after="0"/>
              <w:rPr>
                <w:sz w:val="19"/>
                <w:szCs w:val="19"/>
                <w:color w:val="auto"/>
              </w:rPr>
            </w:pPr>
          </w:p>
        </w:tc>
        <w:tc>
          <w:tcPr>
            <w:tcW w:w="1560" w:type="dxa"/>
            <w:vAlign w:val="bottom"/>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19.6.</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20" w:type="dxa"/>
            <w:vAlign w:val="bottom"/>
            <w:gridSpan w:val="13"/>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Governing Law</w:t>
              </w:r>
            </w:hyperlink>
          </w:p>
        </w:tc>
        <w:tc>
          <w:tcPr>
            <w:tcW w:w="1560" w:type="dxa"/>
            <w:vAlign w:val="bottom"/>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gridSpan w:val="2"/>
          </w:tcPr>
          <w:p>
            <w:pPr>
              <w:spacing w:after="0" w:line="223"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19.7.</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20" w:type="dxa"/>
            <w:vAlign w:val="bottom"/>
            <w:gridSpan w:val="13"/>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Jurisdiction and Process; Waiver of Jury Trial</w:t>
              </w:r>
            </w:hyperlink>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87"/>
              </w:rPr>
            </w:pPr>
            <w:hyperlink w:anchor="page67">
              <w:r>
                <w:rPr>
                  <w:rFonts w:ascii="Arial" w:cs="Arial" w:eastAsia="Arial" w:hAnsi="Arial"/>
                  <w:sz w:val="22"/>
                  <w:szCs w:val="22"/>
                  <w:color w:val="0000EE"/>
                  <w:w w:val="87"/>
                </w:rPr>
                <w:t>Section 19.8.</w:t>
              </w:r>
            </w:hyperlink>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Borders>
              <w:top w:val="single" w:sz="8" w:color="0000EE"/>
              <w:bottom w:val="single" w:sz="8" w:color="0000EE"/>
            </w:tcBorders>
            <w:gridSpan w:val="11"/>
          </w:tcPr>
          <w:p>
            <w:pPr>
              <w:spacing w:after="0" w:line="223" w:lineRule="exact"/>
              <w:rPr>
                <w:rFonts w:ascii="Arial" w:cs="Arial" w:eastAsia="Arial" w:hAnsi="Arial"/>
                <w:sz w:val="22"/>
                <w:szCs w:val="22"/>
                <w:color w:val="0000EE"/>
                <w:w w:val="87"/>
              </w:rPr>
            </w:pPr>
            <w:hyperlink w:anchor="page67">
              <w:r>
                <w:rPr>
                  <w:rFonts w:ascii="Arial" w:cs="Arial" w:eastAsia="Arial" w:hAnsi="Arial"/>
                  <w:sz w:val="22"/>
                  <w:szCs w:val="22"/>
                  <w:color w:val="0000EE"/>
                  <w:w w:val="87"/>
                </w:rPr>
                <w:t>Payments Due on Non-Business Days</w:t>
              </w:r>
            </w:hyperlink>
          </w:p>
        </w:tc>
        <w:tc>
          <w:tcPr>
            <w:tcW w:w="640" w:type="dxa"/>
            <w:vAlign w:val="bottom"/>
            <w:tcBorders>
              <w:top w:val="single" w:sz="8" w:color="0000EE"/>
            </w:tcBorders>
          </w:tcPr>
          <w:p>
            <w:pPr>
              <w:spacing w:after="0"/>
              <w:rPr>
                <w:sz w:val="19"/>
                <w:szCs w:val="19"/>
                <w:color w:val="auto"/>
              </w:rPr>
            </w:pPr>
          </w:p>
        </w:tc>
        <w:tc>
          <w:tcPr>
            <w:tcW w:w="1380" w:type="dxa"/>
            <w:vAlign w:val="bottom"/>
          </w:tcPr>
          <w:p>
            <w:pPr>
              <w:spacing w:after="0"/>
              <w:rPr>
                <w:sz w:val="19"/>
                <w:szCs w:val="19"/>
                <w:color w:val="auto"/>
              </w:rPr>
            </w:pPr>
          </w:p>
        </w:tc>
        <w:tc>
          <w:tcPr>
            <w:tcW w:w="1560" w:type="dxa"/>
            <w:vAlign w:val="bottom"/>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509270</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39" w:name="page40"/>
    <w:bookmarkEnd w:id="39"/>
    <w:tbl>
      <w:tblPr>
        <w:tblLayout w:type="fixed"/>
        <w:tblInd w:w="100" w:type="dxa"/>
        <w:tblCellMar>
          <w:top w:w="0" w:type="dxa"/>
          <w:left w:w="0" w:type="dxa"/>
          <w:bottom w:w="0" w:type="dxa"/>
          <w:right w:w="0" w:type="dxa"/>
        </w:tblCellMar>
      </w:tblP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Schedule A</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Information Relating to Purchaser</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Schedule B</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Defined Terms</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Schedule 5.5</w:t>
            </w:r>
          </w:p>
        </w:tc>
        <w:tc>
          <w:tcPr>
            <w:tcW w:w="660" w:type="dxa"/>
            <w:vAlign w:val="bottom"/>
          </w:tcPr>
          <w:p>
            <w:pPr>
              <w:ind w:left="30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Financial Statements</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Schedule 5.15(a)</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Existing Debt</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Schedule 5.15(b)</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Debt Instruments Which Limit/Restrict Incurrence of Debt</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Exhibit A</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Form of Supplemental Indenture Y</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Exhibit 4.4(a)</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Form of Opinion of Counsel for the Company</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Exhibit 4.4(b)</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Form of Opinion of Special Counsel for the Company</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Exhibit 4.4 (c)</w:t>
            </w:r>
          </w:p>
        </w:tc>
        <w:tc>
          <w:tcPr>
            <w:tcW w:w="660" w:type="dxa"/>
            <w:vAlign w:val="bottom"/>
          </w:tcPr>
          <w:p>
            <w:pPr>
              <w:ind w:left="340"/>
              <w:spacing w:after="0"/>
              <w:rPr>
                <w:sz w:val="20"/>
                <w:szCs w:val="20"/>
                <w:color w:val="auto"/>
              </w:rPr>
            </w:pPr>
            <w:r>
              <w:rPr>
                <w:rFonts w:ascii="Arial" w:cs="Arial" w:eastAsia="Arial" w:hAnsi="Arial"/>
                <w:sz w:val="22"/>
                <w:szCs w:val="22"/>
                <w:color w:val="auto"/>
              </w:rPr>
              <w:t>—</w:t>
            </w:r>
          </w:p>
        </w:tc>
        <w:tc>
          <w:tcPr>
            <w:tcW w:w="6420" w:type="dxa"/>
            <w:vAlign w:val="bottom"/>
          </w:tcPr>
          <w:p>
            <w:pPr>
              <w:ind w:left="100"/>
              <w:spacing w:after="0"/>
              <w:rPr>
                <w:sz w:val="20"/>
                <w:szCs w:val="20"/>
                <w:color w:val="auto"/>
              </w:rPr>
            </w:pPr>
            <w:r>
              <w:rPr>
                <w:rFonts w:ascii="Arial" w:cs="Arial" w:eastAsia="Arial" w:hAnsi="Arial"/>
                <w:sz w:val="22"/>
                <w:szCs w:val="22"/>
                <w:color w:val="auto"/>
              </w:rPr>
              <w:t>Form of Opinion of Special Counsel for the Purchaser</w:t>
            </w:r>
          </w:p>
        </w:tc>
      </w:tr>
      <w:tr>
        <w:trPr>
          <w:trHeight w:val="513"/>
        </w:trPr>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tcPr>
          <w:p>
            <w:pPr>
              <w:ind w:left="1820"/>
              <w:spacing w:after="0"/>
              <w:rPr>
                <w:sz w:val="20"/>
                <w:szCs w:val="20"/>
                <w:color w:val="auto"/>
              </w:rPr>
            </w:pPr>
            <w:r>
              <w:rPr>
                <w:rFonts w:ascii="Arial" w:cs="Arial" w:eastAsia="Arial" w:hAnsi="Arial"/>
                <w:sz w:val="22"/>
                <w:szCs w:val="22"/>
                <w:color w:val="auto"/>
              </w:rPr>
              <w:t>-iv-</w:t>
            </w:r>
          </w:p>
        </w:tc>
      </w:tr>
      <w:tr>
        <w:trPr>
          <w:trHeight w:val="1043"/>
        </w:trPr>
        <w:tc>
          <w:tcPr>
            <w:tcW w:w="1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r>
        <w:trPr>
          <w:trHeight w:val="20"/>
        </w:trPr>
        <w:tc>
          <w:tcPr>
            <w:tcW w:w="17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429"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LLINOIS</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 S. Schuyler Avenue</w:t>
      </w:r>
    </w:p>
    <w:p>
      <w:pPr>
        <w:jc w:val="center"/>
        <w:spacing w:after="0" w:line="230" w:lineRule="auto"/>
        <w:rPr>
          <w:sz w:val="20"/>
          <w:szCs w:val="20"/>
          <w:color w:val="auto"/>
        </w:rPr>
      </w:pPr>
      <w:r>
        <w:rPr>
          <w:rFonts w:ascii="Arial" w:cs="Arial" w:eastAsia="Arial" w:hAnsi="Arial"/>
          <w:sz w:val="22"/>
          <w:szCs w:val="22"/>
          <w:color w:val="auto"/>
        </w:rPr>
        <w:t>P.O. Box 152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Kankakee, Illinois 60901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233" w:lineRule="exact"/>
        <w:rPr>
          <w:sz w:val="20"/>
          <w:szCs w:val="20"/>
          <w:color w:val="auto"/>
        </w:rPr>
      </w:pPr>
    </w:p>
    <w:p>
      <w:pPr>
        <w:jc w:val="center"/>
        <w:ind w:left="1560" w:right="1100"/>
        <w:spacing w:after="0" w:line="279" w:lineRule="auto"/>
        <w:rPr>
          <w:sz w:val="20"/>
          <w:szCs w:val="20"/>
          <w:color w:val="auto"/>
        </w:rPr>
      </w:pPr>
      <w:r>
        <w:rPr>
          <w:rFonts w:ascii="Arial" w:cs="Arial" w:eastAsia="Arial" w:hAnsi="Arial"/>
          <w:sz w:val="19"/>
          <w:szCs w:val="19"/>
          <w:color w:val="auto"/>
        </w:rPr>
        <w:t>$25,000,000 First Mortgage Bonds, Series Y, 3.64% due July 15, 2032 $6,000,000 First Mortgage Bonds, Series Z, 3.89% due July 15, 2037 $15,000,000 First Mortgage Bonds, Series AA, 3.90% due January 15, 2038 $10,000,000 First Mortgage Bonds, Series BB, 4.18% due July 15, 2047 $22,000,000 First Mortgage Bonds, Series CC, 4.22% due July 15, 2049 $22,000,000 First Mortgage Bonds, Series DD, 4.24% due July 15, 2050</w:t>
      </w:r>
    </w:p>
    <w:p>
      <w:pPr>
        <w:spacing w:after="0" w:line="191"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As of July 10, 2017</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 the Purchaser Listed in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Schedule A Hereto:</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color w:val="auto"/>
        </w:rPr>
        <w:t xml:space="preserve">Aqua Illinois, Inc. (successor to Consumers Illinois Water Company and formerly known as Kankakee Water Company), a corporation organized under the laws of the State of Illinois (the </w:t>
      </w:r>
      <w:r>
        <w:rPr>
          <w:rFonts w:ascii="Arial" w:cs="Arial" w:eastAsia="Arial" w:hAnsi="Arial"/>
          <w:sz w:val="22"/>
          <w:szCs w:val="22"/>
          <w:i w:val="1"/>
          <w:iCs w:val="1"/>
          <w:color w:val="auto"/>
        </w:rPr>
        <w:t>“Company”</w:t>
      </w:r>
      <w:r>
        <w:rPr>
          <w:rFonts w:ascii="Arial" w:cs="Arial" w:eastAsia="Arial" w:hAnsi="Arial"/>
          <w:sz w:val="22"/>
          <w:szCs w:val="22"/>
          <w:color w:val="auto"/>
        </w:rPr>
        <w:t>), agrees with the Purchaser whose name appears at the end hereof (the</w:t>
      </w:r>
      <w:r>
        <w:rPr>
          <w:rFonts w:ascii="Arial" w:cs="Arial" w:eastAsia="Arial" w:hAnsi="Arial"/>
          <w:sz w:val="22"/>
          <w:szCs w:val="22"/>
          <w:i w:val="1"/>
          <w:iCs w:val="1"/>
          <w:color w:val="auto"/>
        </w:rPr>
        <w:t xml:space="preserve"> “Purchaser”</w:t>
      </w:r>
      <w:r>
        <w:rPr>
          <w:rFonts w:ascii="Arial" w:cs="Arial" w:eastAsia="Arial" w:hAnsi="Arial"/>
          <w:sz w:val="22"/>
          <w:szCs w:val="22"/>
          <w:color w:val="auto"/>
        </w:rPr>
        <w:t>) as</w:t>
      </w:r>
      <w:r>
        <w:rPr>
          <w:rFonts w:ascii="Arial" w:cs="Arial" w:eastAsia="Arial" w:hAnsi="Arial"/>
          <w:sz w:val="22"/>
          <w:szCs w:val="22"/>
          <w:i w:val="1"/>
          <w:iCs w:val="1"/>
          <w:color w:val="auto"/>
        </w:rPr>
        <w:t xml:space="preserve"> </w:t>
      </w:r>
      <w:r>
        <w:rPr>
          <w:rFonts w:ascii="Arial" w:cs="Arial" w:eastAsia="Arial" w:hAnsi="Arial"/>
          <w:sz w:val="22"/>
          <w:szCs w:val="22"/>
          <w:color w:val="auto"/>
        </w:rPr>
        <w:t>follows:</w:t>
      </w:r>
    </w:p>
    <w:p>
      <w:pPr>
        <w:spacing w:after="0" w:line="253"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UTHORIZATION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9"/>
          <w:szCs w:val="19"/>
          <w:color w:val="auto"/>
        </w:rPr>
        <w:t xml:space="preserve">The Company will authorize the issuance and sale of (i) First Mortgage Bonds, Series Y, 3.64% due July 15, 2032 (herein referred to as the </w:t>
      </w:r>
      <w:r>
        <w:rPr>
          <w:rFonts w:ascii="Arial" w:cs="Arial" w:eastAsia="Arial" w:hAnsi="Arial"/>
          <w:sz w:val="19"/>
          <w:szCs w:val="19"/>
          <w:i w:val="1"/>
          <w:iCs w:val="1"/>
          <w:color w:val="auto"/>
        </w:rPr>
        <w:t>“Series Y Bonds”</w:t>
      </w:r>
      <w:r>
        <w:rPr>
          <w:rFonts w:ascii="Arial" w:cs="Arial" w:eastAsia="Arial" w:hAnsi="Arial"/>
          <w:sz w:val="19"/>
          <w:szCs w:val="19"/>
          <w:color w:val="auto"/>
        </w:rPr>
        <w:t xml:space="preserve">) in an aggregate principal amount of $25,000,000, (ii) First Mortgage Bonds, Series Z, 3.89% due July 15, 2037 (herein referred to as the </w:t>
      </w:r>
      <w:r>
        <w:rPr>
          <w:rFonts w:ascii="Arial" w:cs="Arial" w:eastAsia="Arial" w:hAnsi="Arial"/>
          <w:sz w:val="19"/>
          <w:szCs w:val="19"/>
          <w:i w:val="1"/>
          <w:iCs w:val="1"/>
          <w:color w:val="auto"/>
        </w:rPr>
        <w:t>“Series Z Bonds”</w:t>
      </w:r>
      <w:r>
        <w:rPr>
          <w:rFonts w:ascii="Arial" w:cs="Arial" w:eastAsia="Arial" w:hAnsi="Arial"/>
          <w:sz w:val="19"/>
          <w:szCs w:val="19"/>
          <w:color w:val="auto"/>
        </w:rPr>
        <w:t xml:space="preserve">) in an aggregate principal amount of $6,000,000, (iii) First Mortgage Bonds, Series AA, 3.90% due January 15, 2038 (herein referred to as the </w:t>
      </w:r>
      <w:r>
        <w:rPr>
          <w:rFonts w:ascii="Arial" w:cs="Arial" w:eastAsia="Arial" w:hAnsi="Arial"/>
          <w:sz w:val="19"/>
          <w:szCs w:val="19"/>
          <w:i w:val="1"/>
          <w:iCs w:val="1"/>
          <w:color w:val="auto"/>
        </w:rPr>
        <w:t>“Series AA</w:t>
      </w:r>
      <w:r>
        <w:rPr>
          <w:rFonts w:ascii="Arial" w:cs="Arial" w:eastAsia="Arial" w:hAnsi="Arial"/>
          <w:sz w:val="19"/>
          <w:szCs w:val="19"/>
          <w:color w:val="auto"/>
        </w:rPr>
        <w:t xml:space="preserve"> </w:t>
      </w:r>
      <w:r>
        <w:rPr>
          <w:rFonts w:ascii="Arial" w:cs="Arial" w:eastAsia="Arial" w:hAnsi="Arial"/>
          <w:sz w:val="19"/>
          <w:szCs w:val="19"/>
          <w:i w:val="1"/>
          <w:iCs w:val="1"/>
          <w:color w:val="auto"/>
        </w:rPr>
        <w:t>Bonds”</w:t>
      </w:r>
      <w:r>
        <w:rPr>
          <w:rFonts w:ascii="Arial" w:cs="Arial" w:eastAsia="Arial" w:hAnsi="Arial"/>
          <w:sz w:val="19"/>
          <w:szCs w:val="19"/>
          <w:color w:val="auto"/>
        </w:rPr>
        <w:t>) in an aggregate principal amount of $15,000,000, (iv) First Mortgage Bonds, Series BB,</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4.18% due July 15, 2047 (herein referred to as the </w:t>
      </w:r>
      <w:r>
        <w:rPr>
          <w:rFonts w:ascii="Arial" w:cs="Arial" w:eastAsia="Arial" w:hAnsi="Arial"/>
          <w:sz w:val="19"/>
          <w:szCs w:val="19"/>
          <w:i w:val="1"/>
          <w:iCs w:val="1"/>
          <w:color w:val="auto"/>
        </w:rPr>
        <w:t>“Series BB Bonds”</w:t>
      </w:r>
      <w:r>
        <w:rPr>
          <w:rFonts w:ascii="Arial" w:cs="Arial" w:eastAsia="Arial" w:hAnsi="Arial"/>
          <w:sz w:val="19"/>
          <w:szCs w:val="19"/>
          <w:color w:val="auto"/>
        </w:rPr>
        <w:t xml:space="preserve">) in an aggregate principal amount of $10,000,000, (v) First Mortgage Bonds, Series CC, 4.22% due July 15, 2049 (herein referred to as the </w:t>
      </w:r>
      <w:r>
        <w:rPr>
          <w:rFonts w:ascii="Arial" w:cs="Arial" w:eastAsia="Arial" w:hAnsi="Arial"/>
          <w:sz w:val="19"/>
          <w:szCs w:val="19"/>
          <w:i w:val="1"/>
          <w:iCs w:val="1"/>
          <w:color w:val="auto"/>
        </w:rPr>
        <w:t>“Series CC Bonds”</w:t>
      </w:r>
      <w:r>
        <w:rPr>
          <w:rFonts w:ascii="Arial" w:cs="Arial" w:eastAsia="Arial" w:hAnsi="Arial"/>
          <w:sz w:val="19"/>
          <w:szCs w:val="19"/>
          <w:color w:val="auto"/>
        </w:rPr>
        <w:t xml:space="preserve">) in an aggregate principal amount of $22,000,000, and (vi) First Mortgage Bonds, Series DD, 4.24% due July 15, 2050 (herein referred to as the </w:t>
      </w:r>
      <w:r>
        <w:rPr>
          <w:rFonts w:ascii="Arial" w:cs="Arial" w:eastAsia="Arial" w:hAnsi="Arial"/>
          <w:sz w:val="19"/>
          <w:szCs w:val="19"/>
          <w:i w:val="1"/>
          <w:iCs w:val="1"/>
          <w:color w:val="auto"/>
        </w:rPr>
        <w:t>“Series DD Bonds”</w:t>
      </w:r>
      <w:r>
        <w:rPr>
          <w:rFonts w:ascii="Arial" w:cs="Arial" w:eastAsia="Arial" w:hAnsi="Arial"/>
          <w:sz w:val="19"/>
          <w:szCs w:val="19"/>
          <w:color w:val="auto"/>
        </w:rPr>
        <w:t>) in an aggregate principal amount of $22,000,000 (the Series Y Bonds, the Series Z Bonds, the Series</w:t>
      </w:r>
    </w:p>
    <w:p>
      <w:pPr>
        <w:spacing w:after="0" w:line="8" w:lineRule="exact"/>
        <w:rPr>
          <w:sz w:val="20"/>
          <w:szCs w:val="20"/>
          <w:color w:val="auto"/>
        </w:rPr>
      </w:pPr>
    </w:p>
    <w:p>
      <w:pPr>
        <w:jc w:val="both"/>
        <w:ind w:left="100" w:right="99" w:firstLine="5"/>
        <w:spacing w:after="0" w:line="275" w:lineRule="auto"/>
        <w:tabs>
          <w:tab w:leader="none" w:pos="4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Bonds, the Series BB Bonds, the Series CC Bonds, and the Series DD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the Mortgage and Deed of Trust dated June 1, 1939, from the Company to The Portland National Bank and Francis W. Dana, as Trustees (the </w:t>
      </w:r>
      <w:r>
        <w:rPr>
          <w:rFonts w:ascii="Arial" w:cs="Arial" w:eastAsia="Arial" w:hAnsi="Arial"/>
          <w:sz w:val="19"/>
          <w:szCs w:val="19"/>
          <w:i w:val="1"/>
          <w:iCs w:val="1"/>
          <w:color w:val="auto"/>
        </w:rPr>
        <w:t>“Original Mortgage and Deed of Trust”</w:t>
      </w:r>
      <w:r>
        <w:rPr>
          <w:rFonts w:ascii="Arial" w:cs="Arial" w:eastAsia="Arial" w:hAnsi="Arial"/>
          <w:sz w:val="19"/>
          <w:szCs w:val="19"/>
          <w:color w:val="auto"/>
        </w:rPr>
        <w:t>), as heretofore supplemented and amended by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A dated June 1, 1942, by Supplemental Indenture B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321945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1" w:name="page42"/>
    <w:bookmarkEnd w:id="41"/>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9"/>
          <w:szCs w:val="19"/>
          <w:color w:val="auto"/>
        </w:rPr>
        <w:t xml:space="preserve">January 1, 1946, by Supplemental Indenture C dated November 1, 1951, by Supplemental Indenture D dated December 1, 1956, by Supplemental Indenture E dated July 14, 1967, by Supplemental Indenture F dated April 1, 1968, by Supplemental Indenture G dated December 21, 1970, by Supplemental Indenture H dated October 1, 1974, by Supplemental Indenture I dated November 1, 1976, by Supplemental Indenture J dated December 1, 1984, by Supplemental Indenture K dated April 30, 1987, by Supplemental Indenture L dated April 30, 1987, by Supplemental Indenture M dated January 5, 1988, by Supplemental Indenture N dated December 1, 1988, by Supplemental Indenture O dated March 1, 1991, by Supplemental Indenture P dated September 1, 1995, by Supplemental Indenture Q dated September 1, 1995, by Supplemental Indenture R dated September 1, 1995, by Supplemental Indenture S dated August 1, 2000, by Supplemental Indenture T dated November 1, 2002, by Supplemental Indenture U dated December 1, 2003, by Supplemental Indenture V dated November 1, 2004, by Supplemental Indenture W dated December 1, 2004, and by Supplemental Indenture X dated December 1, 2007 under which U.S. Bank National Association is now serving as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copies of which have previously been furnished to the Purchaser and which are hereby, by reference, made a part hereof, and as the same is to be further supplemented and amended by an indenture supplemental thereto to be dated July 1, 2017 (hereinafter called </w:t>
      </w:r>
      <w:r>
        <w:rPr>
          <w:rFonts w:ascii="Arial" w:cs="Arial" w:eastAsia="Arial" w:hAnsi="Arial"/>
          <w:sz w:val="19"/>
          <w:szCs w:val="19"/>
          <w:i w:val="1"/>
          <w:iCs w:val="1"/>
          <w:color w:val="auto"/>
        </w:rPr>
        <w:t>“Supplemental Indenture Y”</w:t>
      </w:r>
      <w:r>
        <w:rPr>
          <w:rFonts w:ascii="Arial" w:cs="Arial" w:eastAsia="Arial" w:hAnsi="Arial"/>
          <w:sz w:val="19"/>
          <w:szCs w:val="19"/>
          <w:color w:val="auto"/>
        </w:rPr>
        <w:t xml:space="preserve">), in the form of Exhibit A hereto annexed and hereby made a part hereof, subject, however, to such changes as may be agreed upon by the Purchaser and its counsel, and by the Company and its counsel (the Original Mortgage and Deed of Trust as supplemented and amended by Supplemental Indentures A, B, C, D, E, F, G, H, I, J, K, L, M, N, O, P, Q, R, S, T, U, V, W, X and Supplemental Indenture Y being hereinafter called the </w:t>
      </w:r>
      <w:r>
        <w:rPr>
          <w:rFonts w:ascii="Arial" w:cs="Arial" w:eastAsia="Arial" w:hAnsi="Arial"/>
          <w:sz w:val="19"/>
          <w:szCs w:val="19"/>
          <w:i w:val="1"/>
          <w:iCs w:val="1"/>
          <w:color w:val="auto"/>
        </w:rPr>
        <w:t>“Indenture”</w:t>
      </w:r>
      <w:r>
        <w:rPr>
          <w:rFonts w:ascii="Arial" w:cs="Arial" w:eastAsia="Arial" w:hAnsi="Arial"/>
          <w:sz w:val="19"/>
          <w:szCs w:val="19"/>
          <w:color w:val="auto"/>
        </w:rPr>
        <w:t>).</w:t>
      </w:r>
    </w:p>
    <w:p>
      <w:pPr>
        <w:spacing w:after="0" w:line="227"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ALE AND</w:t>
      </w:r>
      <w:r>
        <w:rPr>
          <w:rFonts w:ascii="Arial" w:cs="Arial" w:eastAsia="Arial" w:hAnsi="Arial"/>
          <w:sz w:val="21"/>
          <w:szCs w:val="21"/>
          <w:color w:val="auto"/>
        </w:rPr>
        <w:t xml:space="preserve"> 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Subject to the terms and conditions of this Agreement, the Company will issue and sell to the Purchaser and the Purchaser will purchase from the Company, at the Closing provided for in Section 3, Bonds in the aggregate principal amount of $100,000,000 and of the six series specified opposite the Purchaser’s name in Schedule A at the purchase price of 100% of the principal amount thereof.</w:t>
      </w:r>
    </w:p>
    <w:p>
      <w:pPr>
        <w:spacing w:after="0" w:line="255"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the Purchaser shall occur at the offices of Chapman and Cutler LLP, 111 West Monroe Street, Chicago, Illinois 60603, at 10:00 a.m., Chicago time, at a closing (the </w:t>
      </w:r>
      <w:r>
        <w:rPr>
          <w:rFonts w:ascii="Arial" w:cs="Arial" w:eastAsia="Arial" w:hAnsi="Arial"/>
          <w:sz w:val="19"/>
          <w:szCs w:val="19"/>
          <w:i w:val="1"/>
          <w:iCs w:val="1"/>
          <w:color w:val="auto"/>
        </w:rPr>
        <w:t>“Closing”</w:t>
      </w:r>
      <w:r>
        <w:rPr>
          <w:rFonts w:ascii="Arial" w:cs="Arial" w:eastAsia="Arial" w:hAnsi="Arial"/>
          <w:sz w:val="19"/>
          <w:szCs w:val="19"/>
          <w:color w:val="auto"/>
        </w:rPr>
        <w:t>) on July 10, 2017. At the Closing the Company will deliver to the Purchaser the Bonds to be purchased by the Purchaser in the form of one or more Bonds in each series to be purchased by the Purchaser, as applicable, in such denominations as the Purchaser may request (with a minimum denomination of $100,000 for each Bond), in the principal amounts as set forth in Schedule A, and substantially in the form contained in Supplemental Indenture Y, dated the date of the Closing and registered in the Purchaser’s name (or in the name of its nominee), against delivery by the Purchaser to the Company or its order of immediately available funds in the amount of the purchase price therefor by wire transfer of immediately available funds for Account Number: 8541854208, Account Name: Aqua America,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000053. If at the Closing the Company shall fail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2" w:name="page43"/>
    <w:bookmarkEnd w:id="42"/>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82" w:lineRule="auto"/>
        <w:rPr>
          <w:sz w:val="20"/>
          <w:szCs w:val="20"/>
          <w:color w:val="auto"/>
        </w:rPr>
      </w:pPr>
      <w:r>
        <w:rPr>
          <w:rFonts w:ascii="Arial" w:cs="Arial" w:eastAsia="Arial" w:hAnsi="Arial"/>
          <w:sz w:val="19"/>
          <w:szCs w:val="19"/>
          <w:color w:val="auto"/>
        </w:rPr>
        <w:t>to tender such Bonds to the Purchaser as provided above in this Section 3, or any of the conditions specified in Section 4 shall not have been fulfilled to the Purchaser’s satisfaction, the Purchaser shall, at its election, be relieved of all further obligations under this Agreement, without thereby waiving any rights the Purchaser may have by reason of such failure by the Company to tender such Bonds or any of the conditions specified in Section 4 not having been fulfilled to the Purchaser’s satisfaction.</w:t>
      </w:r>
    </w:p>
    <w:p>
      <w:pPr>
        <w:spacing w:after="0" w:line="215"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ONDITIONS TO</w:t>
      </w:r>
      <w:r>
        <w:rPr>
          <w:rFonts w:ascii="Arial" w:cs="Arial" w:eastAsia="Arial" w:hAnsi="Arial"/>
          <w:sz w:val="21"/>
          <w:szCs w:val="21"/>
          <w:color w:val="auto"/>
        </w:rPr>
        <w:t xml:space="preserve"> 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The Purchaser’s obligation to execute and deliver this Agreement and to purchase and pay for the Bonds to be sold to the Purchaser at the Closing is subject to the fulfillment to the Purchaser’s satisfaction prior to or at the Closing of the following conditions:</w:t>
      </w:r>
    </w:p>
    <w:p>
      <w:pPr>
        <w:spacing w:after="0" w:line="194"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4.1. Representations and Warranties</w:t>
      </w:r>
      <w:r>
        <w:rPr>
          <w:rFonts w:ascii="Arial" w:cs="Arial" w:eastAsia="Arial" w:hAnsi="Arial"/>
          <w:sz w:val="21"/>
          <w:szCs w:val="21"/>
          <w:color w:val="auto"/>
        </w:rPr>
        <w:t>. The representations and warranties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this Agreement shall be correct when made and at the time of the Closing.</w:t>
      </w:r>
    </w:p>
    <w:p>
      <w:pPr>
        <w:spacing w:after="0" w:line="191"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4.2. Performance; No Default</w:t>
      </w:r>
      <w:r>
        <w:rPr>
          <w:rFonts w:ascii="Arial" w:cs="Arial" w:eastAsia="Arial" w:hAnsi="Arial"/>
          <w:sz w:val="19"/>
          <w:szCs w:val="19"/>
          <w:color w:val="auto"/>
        </w:rPr>
        <w:t>. The Company shall have performed and complied</w:t>
      </w:r>
      <w:r>
        <w:rPr>
          <w:rFonts w:ascii="Arial" w:cs="Arial" w:eastAsia="Arial" w:hAnsi="Arial"/>
          <w:sz w:val="19"/>
          <w:szCs w:val="19"/>
          <w:i w:val="1"/>
          <w:iCs w:val="1"/>
          <w:color w:val="auto"/>
        </w:rPr>
        <w:t xml:space="preserve"> </w:t>
      </w:r>
      <w:r>
        <w:rPr>
          <w:rFonts w:ascii="Arial" w:cs="Arial" w:eastAsia="Arial" w:hAnsi="Arial"/>
          <w:sz w:val="19"/>
          <w:szCs w:val="19"/>
          <w:color w:val="auto"/>
        </w:rPr>
        <w:t>with all agreements and conditions contained in each Financing Agreement required to be performed or complied with by the Company prior to or at the Closing, and after giving effect to the issue and sale of the Bonds (and the application of the proceeds thereof as contemplated by Section 5.14), no Default or completed default under the Indenture shall have occurred and be continuing.</w:t>
      </w:r>
    </w:p>
    <w:p>
      <w:pPr>
        <w:spacing w:after="0" w:line="188"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i w:val="1"/>
          <w:iCs w:val="1"/>
          <w:color w:val="auto"/>
        </w:rPr>
        <w:t>Section 4.3. Compliance Certificates</w:t>
      </w:r>
      <w:r>
        <w:rPr>
          <w:rFonts w:ascii="Arial" w:cs="Arial" w:eastAsia="Arial" w:hAnsi="Arial"/>
          <w:sz w:val="19"/>
          <w:szCs w:val="19"/>
          <w:color w:val="auto"/>
        </w:rPr>
        <w:t>. The Company shall have performed and complied</w:t>
      </w:r>
      <w:r>
        <w:rPr>
          <w:rFonts w:ascii="Arial" w:cs="Arial" w:eastAsia="Arial" w:hAnsi="Arial"/>
          <w:sz w:val="19"/>
          <w:szCs w:val="19"/>
          <w:i w:val="1"/>
          <w:iCs w:val="1"/>
          <w:color w:val="auto"/>
        </w:rPr>
        <w:t xml:space="preserve"> </w:t>
      </w:r>
      <w:r>
        <w:rPr>
          <w:rFonts w:ascii="Arial" w:cs="Arial" w:eastAsia="Arial" w:hAnsi="Arial"/>
          <w:sz w:val="19"/>
          <w:szCs w:val="19"/>
          <w:color w:val="auto"/>
        </w:rPr>
        <w:t>with all agreements and conditions contained in the Indenture (including Supplemental Indenture Y) that are required to be performed or complied with by the Company for the issuance of the Bonds at the Closing. In addition, the Company shall have delivered the following certificates:</w:t>
      </w:r>
    </w:p>
    <w:p>
      <w:pPr>
        <w:spacing w:after="0" w:line="170" w:lineRule="exact"/>
        <w:rPr>
          <w:sz w:val="20"/>
          <w:szCs w:val="20"/>
          <w:color w:val="auto"/>
        </w:rPr>
      </w:pPr>
    </w:p>
    <w:p>
      <w:pPr>
        <w:jc w:val="both"/>
        <w:ind w:left="760" w:right="99" w:firstLine="641"/>
        <w:spacing w:after="0" w:line="248" w:lineRule="auto"/>
        <w:tabs>
          <w:tab w:leader="none" w:pos="20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The Company shall have delivered to the Purchaser (i) an</w:t>
      </w:r>
      <w:r>
        <w:rPr>
          <w:rFonts w:ascii="Arial" w:cs="Arial" w:eastAsia="Arial" w:hAnsi="Arial"/>
          <w:sz w:val="21"/>
          <w:szCs w:val="21"/>
          <w:i w:val="1"/>
          <w:iCs w:val="1"/>
          <w:color w:val="auto"/>
        </w:rPr>
        <w:t xml:space="preserve"> </w:t>
      </w:r>
      <w:r>
        <w:rPr>
          <w:rFonts w:ascii="Arial" w:cs="Arial" w:eastAsia="Arial" w:hAnsi="Arial"/>
          <w:sz w:val="21"/>
          <w:szCs w:val="21"/>
          <w:color w:val="auto"/>
        </w:rPr>
        <w:t>Officer’s Certificate, dated the date of the Closing, certifying that the conditions specified in Section 4 of this Agreement have been fulfilled, and (ii) copies of all certificates and opinions required to be delivered to the Trustee under the Indenture in connection with the issuance of each series of Bonds, as applicable, under the Indenture and Supplemental Indenture Y in each case, dated the date of the Closing.</w:t>
      </w:r>
    </w:p>
    <w:p>
      <w:pPr>
        <w:spacing w:after="0" w:line="217" w:lineRule="exact"/>
        <w:rPr>
          <w:rFonts w:ascii="Arial" w:cs="Arial" w:eastAsia="Arial" w:hAnsi="Arial"/>
          <w:sz w:val="21"/>
          <w:szCs w:val="21"/>
          <w:color w:val="auto"/>
        </w:rPr>
      </w:pPr>
    </w:p>
    <w:p>
      <w:pPr>
        <w:jc w:val="both"/>
        <w:ind w:left="760" w:right="99" w:firstLine="641"/>
        <w:spacing w:after="0" w:line="282" w:lineRule="auto"/>
        <w:tabs>
          <w:tab w:leader="none" w:pos="2106"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Secretary’s Certificate. </w:t>
      </w:r>
      <w:r>
        <w:rPr>
          <w:rFonts w:ascii="Arial" w:cs="Arial" w:eastAsia="Arial" w:hAnsi="Arial"/>
          <w:sz w:val="19"/>
          <w:szCs w:val="19"/>
          <w:color w:val="auto"/>
        </w:rPr>
        <w:t>The Company shall have delivered to the Purchaser a</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its Secretary or Assistant Secretary, dated the date of the Closing, certifying as to the resolutions attached thereto and other corporate proceedings relating to the authorization, execution and delivery of this Agreement, each series of Bonds, as applicable, under the Indenture, and Supplemental Indenture Y.</w:t>
      </w:r>
    </w:p>
    <w:p>
      <w:pPr>
        <w:spacing w:after="0" w:line="188" w:lineRule="exact"/>
        <w:rPr>
          <w:rFonts w:ascii="Arial" w:cs="Arial" w:eastAsia="Arial" w:hAnsi="Arial"/>
          <w:sz w:val="19"/>
          <w:szCs w:val="19"/>
          <w:color w:val="auto"/>
        </w:rPr>
      </w:pPr>
    </w:p>
    <w:p>
      <w:pPr>
        <w:jc w:val="both"/>
        <w:ind w:left="760" w:right="99" w:firstLine="641"/>
        <w:spacing w:after="0" w:line="238" w:lineRule="auto"/>
        <w:tabs>
          <w:tab w:leader="none" w:pos="2026"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The Purchaser shall have received a composite copy</w:t>
      </w:r>
      <w:r>
        <w:rPr>
          <w:rFonts w:ascii="Arial" w:cs="Arial" w:eastAsia="Arial" w:hAnsi="Arial"/>
          <w:sz w:val="22"/>
          <w:szCs w:val="22"/>
          <w:i w:val="1"/>
          <w:iCs w:val="1"/>
          <w:color w:val="auto"/>
        </w:rPr>
        <w:t xml:space="preserve"> </w:t>
      </w:r>
      <w:r>
        <w:rPr>
          <w:rFonts w:ascii="Arial" w:cs="Arial" w:eastAsia="Arial" w:hAnsi="Arial"/>
          <w:sz w:val="22"/>
          <w:szCs w:val="22"/>
          <w:color w:val="auto"/>
        </w:rPr>
        <w:t>of the Indenture (together with all amendments and supplements thereto), certified by the Company as of the date of the Closing, exclusive of property exhibits, recording information and the like.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3" w:name="page44"/>
    <w:bookmarkEnd w:id="43"/>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The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 satisfactory to the Purchaser, dated the date of the Closing (a) from Christopher P. Luning, counsel for the Company, covering the matters set forth in Exhibit 4.4(a) and covering such other matters incident to the transactions contemplated hereby as the Purchaser or its counsel may reasonably request (and the Company hereby instructs its counsel to deliver such opinion to the Purchaser), (b) from Dinsmore &amp; Shohl, LLP, special counsel to the Company, covering the matters set forth in Exhibit 4.4(b) and covering such other matters incident to the transactions contemplated hereby as the Purchaser or the Purchaser’s counsel may reasonably request (and the Company hereby instructs its counsel to deliver such opinion to the Purchaser), and (c) from Chapman and Cutler LLP, the Purchaser’s special counsel in connection with such transactions, substantially in the form set forth in Exhibit 4.4(c) and covering such other matters incident to such transactions as the Purchaser may reasonably request. The Company hereby directs its counsel to deliver the opinions required by this Section 4.4 and understands and agrees that the Purchaser will and hereby is authorized to rely on such opinions.</w:t>
      </w:r>
    </w:p>
    <w:p>
      <w:pPr>
        <w:spacing w:after="0" w:line="200" w:lineRule="exact"/>
        <w:rPr>
          <w:sz w:val="20"/>
          <w:szCs w:val="20"/>
          <w:color w:val="auto"/>
        </w:rPr>
      </w:pPr>
    </w:p>
    <w:p>
      <w:pPr>
        <w:spacing w:after="0" w:line="239"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4.5. Purchase Permitted by Applicable Law, Etc</w:t>
      </w:r>
      <w:r>
        <w:rPr>
          <w:rFonts w:ascii="Arial" w:cs="Arial" w:eastAsia="Arial" w:hAnsi="Arial"/>
          <w:sz w:val="19"/>
          <w:szCs w:val="19"/>
          <w:color w:val="auto"/>
        </w:rPr>
        <w:t>. On the date of the Closing the</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Purchaser’s purchase of Bonds shall (a) be permitted by the laws and regulations of each jurisdiction to which the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the Purchaser to any tax, penalty or liability under or pursuant to any applicable law or regulation, which law or regulation was not in effect on the date of the Closing. If requested by the Purchaser, the Purchaser shall have received an Officer’s Certificate certifying as to such matters of fact as the Purchaser may reasonably specify to enable the Purchaser to determine whether such purchase is so permitted.</w:t>
      </w:r>
    </w:p>
    <w:p>
      <w:pPr>
        <w:spacing w:after="0" w:line="197" w:lineRule="exact"/>
        <w:rPr>
          <w:sz w:val="20"/>
          <w:szCs w:val="20"/>
          <w:color w:val="auto"/>
        </w:rPr>
      </w:pPr>
    </w:p>
    <w:p>
      <w:pPr>
        <w:ind w:left="760"/>
        <w:spacing w:after="0"/>
        <w:tabs>
          <w:tab w:leader="none" w:pos="2120" w:val="left"/>
        </w:tabs>
        <w:rPr>
          <w:sz w:val="20"/>
          <w:szCs w:val="20"/>
          <w:color w:val="auto"/>
        </w:rPr>
      </w:pPr>
      <w:r>
        <w:rPr>
          <w:rFonts w:ascii="Arial" w:cs="Arial" w:eastAsia="Arial" w:hAnsi="Arial"/>
          <w:sz w:val="22"/>
          <w:szCs w:val="22"/>
          <w:i w:val="1"/>
          <w:iCs w:val="1"/>
          <w:color w:val="auto"/>
        </w:rPr>
        <w:t>Section 4.6.</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Section 4.7. 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12.2, the Company shall have paid on or before the Closing the reasonable fees, reasonable charges and reasonable disbursements of the Purchaser’s special counsel referred to in Section 4.4(c) to the extent reflected in a statement of such counsel rendered to the Company at least one Business Day prior to the Closing.</w:t>
      </w:r>
    </w:p>
    <w:p>
      <w:pPr>
        <w:spacing w:after="0" w:line="215"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i w:val="1"/>
          <w:iCs w:val="1"/>
          <w:color w:val="auto"/>
        </w:rPr>
        <w:t>Section 4.8.</w:t>
      </w:r>
      <w:r>
        <w:rPr>
          <w:sz w:val="20"/>
          <w:szCs w:val="20"/>
          <w:color w:val="auto"/>
        </w:rPr>
        <w:tab/>
      </w:r>
      <w:r>
        <w:rPr>
          <w:rFonts w:ascii="Arial" w:cs="Arial" w:eastAsia="Arial" w:hAnsi="Arial"/>
          <w:sz w:val="19"/>
          <w:szCs w:val="19"/>
          <w:i w:val="1"/>
          <w:iCs w:val="1"/>
          <w:color w:val="auto"/>
        </w:rPr>
        <w:t>Private Placement Number</w:t>
      </w:r>
      <w:r>
        <w:rPr>
          <w:rFonts w:ascii="Arial" w:cs="Arial" w:eastAsia="Arial" w:hAnsi="Arial"/>
          <w:sz w:val="19"/>
          <w:szCs w:val="19"/>
          <w:color w:val="auto"/>
        </w:rPr>
        <w:t>. A Private Placement Number issued by Standard</w:t>
      </w:r>
    </w:p>
    <w:p>
      <w:pPr>
        <w:spacing w:after="0" w:line="8" w:lineRule="exact"/>
        <w:rPr>
          <w:sz w:val="20"/>
          <w:szCs w:val="20"/>
          <w:color w:val="auto"/>
        </w:rPr>
      </w:pPr>
    </w:p>
    <w:p>
      <w:pPr>
        <w:ind w:left="100" w:right="99" w:firstLine="5"/>
        <w:spacing w:after="0" w:line="237" w:lineRule="auto"/>
        <w:tabs>
          <w:tab w:leader="none" w:pos="346" w:val="left"/>
        </w:tabs>
        <w:numPr>
          <w:ilvl w:val="0"/>
          <w:numId w:val="12"/>
        </w:numPr>
        <w:rPr>
          <w:rFonts w:ascii="Arial" w:cs="Arial" w:eastAsia="Arial" w:hAnsi="Arial"/>
          <w:sz w:val="22"/>
          <w:szCs w:val="22"/>
          <w:color w:val="auto"/>
        </w:rPr>
      </w:pPr>
      <w:r>
        <w:rPr>
          <w:rFonts w:ascii="Arial" w:cs="Arial" w:eastAsia="Arial" w:hAnsi="Arial"/>
          <w:sz w:val="22"/>
          <w:szCs w:val="22"/>
          <w:color w:val="auto"/>
        </w:rPr>
        <w:t>Poor’s CUSIP Service Bureau (in cooperation with the SVO) shall have been obtained for each series of Bonds issued at the Closing.</w:t>
      </w:r>
    </w:p>
    <w:p>
      <w:pPr>
        <w:spacing w:after="0" w:line="225" w:lineRule="exact"/>
        <w:rPr>
          <w:sz w:val="20"/>
          <w:szCs w:val="20"/>
          <w:color w:val="auto"/>
        </w:rPr>
      </w:pPr>
    </w:p>
    <w:p>
      <w:pPr>
        <w:jc w:val="both"/>
        <w:ind w:left="100" w:right="99" w:firstLine="648"/>
        <w:spacing w:after="0" w:line="252" w:lineRule="auto"/>
        <w:rPr>
          <w:sz w:val="20"/>
          <w:szCs w:val="20"/>
          <w:color w:val="auto"/>
        </w:rPr>
      </w:pPr>
      <w:r>
        <w:rPr>
          <w:rFonts w:ascii="Arial" w:cs="Arial" w:eastAsia="Arial" w:hAnsi="Arial"/>
          <w:sz w:val="21"/>
          <w:szCs w:val="21"/>
          <w:i w:val="1"/>
          <w:iCs w:val="1"/>
          <w:color w:val="auto"/>
        </w:rPr>
        <w:t>Section 4.9. Changes in Corporate Structure</w:t>
      </w:r>
      <w:r>
        <w:rPr>
          <w:rFonts w:ascii="Arial" w:cs="Arial" w:eastAsia="Arial" w:hAnsi="Arial"/>
          <w:sz w:val="21"/>
          <w:szCs w:val="21"/>
          <w:color w:val="auto"/>
        </w:rPr>
        <w:t>. The Company shall not have changed its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15"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4.10. Funding Instructions</w:t>
      </w:r>
      <w:r>
        <w:rPr>
          <w:rFonts w:ascii="Arial" w:cs="Arial" w:eastAsia="Arial" w:hAnsi="Arial"/>
          <w:sz w:val="21"/>
          <w:szCs w:val="21"/>
          <w:color w:val="auto"/>
        </w:rPr>
        <w:t>. At least three Business Days prior to the date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Closing, the Purchaser shall have received written instructions signed by a Responsible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4" w:name="page45"/>
    <w:bookmarkEnd w:id="44"/>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Officer on letterhead of the Company confirming the information specified in Section 3 including</w:t>
      </w:r>
    </w:p>
    <w:p>
      <w:pPr>
        <w:spacing w:after="0" w:line="43" w:lineRule="exact"/>
        <w:rPr>
          <w:sz w:val="20"/>
          <w:szCs w:val="20"/>
          <w:color w:val="auto"/>
        </w:rPr>
      </w:pPr>
    </w:p>
    <w:p>
      <w:pPr>
        <w:ind w:left="100" w:right="99" w:firstLine="5"/>
        <w:spacing w:after="0" w:line="308" w:lineRule="auto"/>
        <w:tabs>
          <w:tab w:leader="none" w:pos="4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name and address of the transferee bank, (b) such transferee bank’s ABA number and (c) the account name and number into which the purchase price for the Bonds is to be deposited.</w:t>
      </w:r>
    </w:p>
    <w:p>
      <w:pPr>
        <w:spacing w:after="0" w:line="150"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transactions contemplated by this Agreement and all documents and instruments incident to the issuance and sale of the Bonds shall be reasonably satisfactory to the Purchaser and its special counsel, and the Purchaser and its special counsel shall have received all such counterpart originals or certified or other copies of such documents as the Purchaser or such special counsel may reasonably request.</w:t>
      </w:r>
    </w:p>
    <w:p>
      <w:pPr>
        <w:spacing w:after="0" w:line="229"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Section 4.12. Execution and Delivery and Filing and Recording of Supplemental Indenture Y</w:t>
      </w:r>
      <w:r>
        <w:rPr>
          <w:rFonts w:ascii="Arial" w:cs="Arial" w:eastAsia="Arial" w:hAnsi="Arial"/>
          <w:sz w:val="21"/>
          <w:szCs w:val="21"/>
          <w:color w:val="auto"/>
        </w:rPr>
        <w:t>. Prior to or at the Closing, Supplemental Indenture Y shall have been duly executed and delivered</w:t>
      </w:r>
      <w:r>
        <w:rPr>
          <w:rFonts w:ascii="Arial" w:cs="Arial" w:eastAsia="Arial" w:hAnsi="Arial"/>
          <w:sz w:val="21"/>
          <w:szCs w:val="21"/>
          <w:i w:val="1"/>
          <w:iCs w:val="1"/>
          <w:color w:val="auto"/>
        </w:rPr>
        <w:t xml:space="preserve"> </w:t>
      </w:r>
      <w:r>
        <w:rPr>
          <w:rFonts w:ascii="Arial" w:cs="Arial" w:eastAsia="Arial" w:hAnsi="Arial"/>
          <w:sz w:val="21"/>
          <w:szCs w:val="21"/>
          <w:color w:val="auto"/>
        </w:rPr>
        <w:t>by the Company, and the Company shall have filed, or delivered for recordation, Supplemental Indenture Y in all applicable locations in Illinois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263" w:lineRule="exact"/>
        <w:rPr>
          <w:sz w:val="20"/>
          <w:szCs w:val="20"/>
          <w:color w:val="auto"/>
        </w:rPr>
      </w:pPr>
    </w:p>
    <w:p>
      <w:pPr>
        <w:jc w:val="both"/>
        <w:ind w:left="100" w:right="99" w:firstLine="648"/>
        <w:spacing w:after="0" w:line="246" w:lineRule="auto"/>
        <w:rPr>
          <w:sz w:val="20"/>
          <w:szCs w:val="20"/>
          <w:color w:val="auto"/>
        </w:rPr>
      </w:pPr>
      <w:r>
        <w:rPr>
          <w:rFonts w:ascii="Arial" w:cs="Arial" w:eastAsia="Arial" w:hAnsi="Arial"/>
          <w:sz w:val="21"/>
          <w:szCs w:val="21"/>
          <w:i w:val="1"/>
          <w:iCs w:val="1"/>
          <w:color w:val="auto"/>
        </w:rPr>
        <w:t>Section 4.13. Regulatory Approvals.</w:t>
      </w:r>
      <w:r>
        <w:rPr>
          <w:rFonts w:ascii="Arial" w:cs="Arial" w:eastAsia="Arial" w:hAnsi="Arial"/>
          <w:sz w:val="10"/>
          <w:szCs w:val="10"/>
          <w:i w:val="1"/>
          <w:iCs w:val="1"/>
          <w:color w:val="auto"/>
        </w:rPr>
        <w:t>1</w:t>
      </w:r>
      <w:r>
        <w:rPr>
          <w:rFonts w:ascii="Arial" w:cs="Arial" w:eastAsia="Arial" w:hAnsi="Arial"/>
          <w:sz w:val="21"/>
          <w:szCs w:val="21"/>
          <w:i w:val="1"/>
          <w:iCs w:val="1"/>
          <w:color w:val="auto"/>
        </w:rPr>
        <w:t xml:space="preserve"> </w:t>
      </w:r>
      <w:r>
        <w:rPr>
          <w:rFonts w:ascii="Arial" w:cs="Arial" w:eastAsia="Arial" w:hAnsi="Arial"/>
          <w:sz w:val="21"/>
          <w:szCs w:val="21"/>
          <w:color w:val="auto"/>
        </w:rPr>
        <w:t>The issue and sale of each series of Bonds, as</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shall have been duly authorized and approved by an order of the Illinois Commerce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Illinois Commerce Commission or that the Illinois Commerce Commission shall have waived jurisdiction thereof and such approval or waiver shall not be contested or subject to review, or that the Illinois Commerce Commission does not have jurisdiction.</w:t>
      </w:r>
    </w:p>
    <w:p>
      <w:pPr>
        <w:spacing w:after="0" w:line="208"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 OF THE</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represents and warrants to the Purchaser at the Closing that:</w:t>
      </w:r>
    </w:p>
    <w:p>
      <w:pPr>
        <w:spacing w:after="0" w:line="247"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organized, validly existing and subsisting under the laws of the State of Illinois, with corporate powers adequate for carrying on the business now conducted by it which is the supplying of water for public and private purposes and the operation of wastewater treatment facilities and collection systems in the State of Illinois, and the Company is not doing business in any other state. The Company has lawful authority for the conduct of its business and has the corporate power and authority to own or hold under lease the properties it purports to own or hold under lease, to transact the business it transacts and proposes to transact, to execute and deliver this Agreement,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________________________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5" w:name="page46"/>
    <w:bookmarkEnd w:id="45"/>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366" w:lineRule="exact"/>
        <w:rPr>
          <w:sz w:val="20"/>
          <w:szCs w:val="20"/>
          <w:color w:val="auto"/>
        </w:rPr>
      </w:pPr>
    </w:p>
    <w:p>
      <w:pPr>
        <w:ind w:left="220" w:hanging="115"/>
        <w:spacing w:after="0"/>
        <w:tabs>
          <w:tab w:leader="none" w:pos="22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Company to confirm Regulatory Approvals.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6" w:name="page47"/>
    <w:bookmarkEnd w:id="46"/>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rPr>
          <w:sz w:val="20"/>
          <w:szCs w:val="20"/>
          <w:color w:val="auto"/>
        </w:rPr>
      </w:pPr>
      <w:r>
        <w:rPr>
          <w:rFonts w:ascii="Arial" w:cs="Arial" w:eastAsia="Arial" w:hAnsi="Arial"/>
          <w:sz w:val="22"/>
          <w:szCs w:val="22"/>
          <w:color w:val="auto"/>
        </w:rPr>
        <w:t>the Bonds and Supplemental Indenture Y (and had the corporate power and authority to execute and deliver the Indenture at the time of execution and delivery thereof) and to perform the provisions of the Financing Agreements.</w:t>
      </w:r>
    </w:p>
    <w:p>
      <w:pPr>
        <w:spacing w:after="0" w:line="213"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i w:val="1"/>
          <w:iCs w:val="1"/>
          <w:color w:val="auto"/>
        </w:rPr>
        <w:t>Section 5.2. Authorization, Etc</w:t>
      </w:r>
      <w:r>
        <w:rPr>
          <w:rFonts w:ascii="Arial" w:cs="Arial" w:eastAsia="Arial" w:hAnsi="Arial"/>
          <w:sz w:val="19"/>
          <w:szCs w:val="19"/>
          <w:color w:val="auto"/>
        </w:rPr>
        <w:t>. At the Closing, each Financing Agreement has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by all necessary corporate action on the part of the Company, and each Financing Agreement (other than the Bonds) constitutes, and each Series of Bonds is executed and delivered by the Company and the Trustee and paid for by the Purchaser, each Series of Bonds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99"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5.3. Disclosure</w:t>
      </w:r>
      <w:r>
        <w:rPr>
          <w:rFonts w:ascii="Arial" w:cs="Arial" w:eastAsia="Arial" w:hAnsi="Arial"/>
          <w:sz w:val="19"/>
          <w:szCs w:val="19"/>
          <w:color w:val="auto"/>
        </w:rPr>
        <w:t>. 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 by or on behalf of the Company in connection with the transactions contemplated hereby, including the financial statements listed in Schedule 5.5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w:t>
      </w:r>
      <w:r>
        <w:rPr>
          <w:rFonts w:ascii="Arial" w:cs="Arial" w:eastAsia="Arial" w:hAnsi="Arial"/>
          <w:sz w:val="19"/>
          <w:szCs w:val="19"/>
          <w:i w:val="1"/>
          <w:iCs w:val="1"/>
          <w:color w:val="auto"/>
        </w:rPr>
        <w:t xml:space="preserve"> </w:t>
      </w:r>
      <w:r>
        <w:rPr>
          <w:rFonts w:ascii="Arial" w:cs="Arial" w:eastAsia="Arial" w:hAnsi="Arial"/>
          <w:sz w:val="19"/>
          <w:szCs w:val="19"/>
          <w:color w:val="auto"/>
        </w:rPr>
        <w:t>omit to state any material fact necessary to make the statements therein not misleading in light of the circumstances under which they were made. Since December 31, 2016, there has been no change in the financial condition, operations, business or properties of the Company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02"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Section 5.4. Ownership; Investments</w:t>
      </w:r>
      <w:r>
        <w:rPr>
          <w:rFonts w:ascii="Arial" w:cs="Arial" w:eastAsia="Arial" w:hAnsi="Arial"/>
          <w:sz w:val="22"/>
          <w:szCs w:val="22"/>
          <w:color w:val="auto"/>
        </w:rPr>
        <w:t>. The Company is a wholly-owned subsidiary of</w:t>
      </w:r>
      <w:r>
        <w:rPr>
          <w:rFonts w:ascii="Arial" w:cs="Arial" w:eastAsia="Arial" w:hAnsi="Arial"/>
          <w:sz w:val="22"/>
          <w:szCs w:val="22"/>
          <w:i w:val="1"/>
          <w:iCs w:val="1"/>
          <w:color w:val="auto"/>
        </w:rPr>
        <w:t xml:space="preserve"> </w:t>
      </w:r>
      <w:r>
        <w:rPr>
          <w:rFonts w:ascii="Arial" w:cs="Arial" w:eastAsia="Arial" w:hAnsi="Arial"/>
          <w:sz w:val="22"/>
          <w:szCs w:val="22"/>
          <w:color w:val="auto"/>
        </w:rPr>
        <w:t>Aqua America, Inc., and owns no shares of stock or securities of, or any interest in, any other corporation, firm, partnership or association.</w:t>
      </w:r>
    </w:p>
    <w:p>
      <w:pPr>
        <w:spacing w:after="0" w:line="213"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21"/>
          <w:szCs w:val="21"/>
          <w:i w:val="1"/>
          <w:iCs w:val="1"/>
          <w:color w:val="auto"/>
        </w:rPr>
        <w:t>Section 5.5. Financial Statements; Material Liabilities</w:t>
      </w:r>
      <w:r>
        <w:rPr>
          <w:rFonts w:ascii="Arial" w:cs="Arial" w:eastAsia="Arial" w:hAnsi="Arial"/>
          <w:sz w:val="21"/>
          <w:szCs w:val="21"/>
          <w:color w:val="auto"/>
        </w:rPr>
        <w:t>. The Company has delivered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Purchaser copies of the financial statements of the Company listed on Schedule 5.5. All of said financial statements (including in each case the related schedules and notes) fairly present in all material respects the financial position of the Company as of the respective dates specified in such financial statements and the results of its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The Company does not have any Material liabilities that are not disclosed on such financial statements or otherwise disclosed in the Disclosure Documents.</w:t>
      </w:r>
    </w:p>
    <w:p>
      <w:pPr>
        <w:spacing w:after="0" w:line="232"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i w:val="1"/>
          <w:iCs w:val="1"/>
          <w:color w:val="auto"/>
        </w:rPr>
        <w:t>Section 5.6. Compliance with Laws, Other Instruments, Etc</w:t>
      </w:r>
      <w:r>
        <w:rPr>
          <w:rFonts w:ascii="Arial" w:cs="Arial" w:eastAsia="Arial" w:hAnsi="Arial"/>
          <w:sz w:val="21"/>
          <w:szCs w:val="21"/>
          <w:color w:val="auto"/>
        </w:rPr>
        <w:t>. The execution, delivery and</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 by the Company of each Financing Agreement (including the prior execution and delivery of the Indenture), will not (a) contravene, result in any breach of, or constitute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7" w:name="page48"/>
    <w:bookmarkEnd w:id="47"/>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45" w:lineRule="auto"/>
        <w:rPr>
          <w:sz w:val="20"/>
          <w:szCs w:val="20"/>
          <w:color w:val="auto"/>
        </w:rPr>
      </w:pPr>
      <w:r>
        <w:rPr>
          <w:rFonts w:ascii="Arial" w:cs="Arial" w:eastAsia="Arial" w:hAnsi="Arial"/>
          <w:sz w:val="21"/>
          <w:szCs w:val="21"/>
          <w:color w:val="auto"/>
        </w:rPr>
        <w:t>default under, or result in the creation of any Lien, other than the Lien created under the Indenture, in respect of any property of the Company under, any indenture, mortgage, deed of trust, loan, purchase or credit agreement, lease, corporate charter, regulations or by-laws, or any other Material agreement or instrument to which the Company is bound or by which the Company or any of its properties may be bound or affected, (b) conflict with or result in a breach of any of the terms, conditions or provisions of any order, judgment, decree, or ruling of any court, arbitrator or Governmental Authority applicable to the Company or (c) violate any provision of any statute or other rule or regulation of any Governmental Authority applicable to the Company, except for any such default, breach, contravention or violation which would not reasonably be expected to have a Material Adverse Effect.</w:t>
      </w:r>
    </w:p>
    <w:p>
      <w:pPr>
        <w:spacing w:after="0" w:line="209"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Section 5.7. Governmental Authorizations, Etc</w:t>
      </w:r>
      <w:r>
        <w:rPr>
          <w:rFonts w:ascii="Arial" w:cs="Arial" w:eastAsia="Arial" w:hAnsi="Arial"/>
          <w:sz w:val="21"/>
          <w:szCs w:val="21"/>
          <w:color w:val="auto"/>
        </w:rPr>
        <w:t>. Other than approval of the Illinois</w:t>
      </w:r>
      <w:r>
        <w:rPr>
          <w:rFonts w:ascii="Arial" w:cs="Arial" w:eastAsia="Arial" w:hAnsi="Arial"/>
          <w:sz w:val="21"/>
          <w:szCs w:val="21"/>
          <w:i w:val="1"/>
          <w:iCs w:val="1"/>
          <w:color w:val="auto"/>
        </w:rPr>
        <w:t xml:space="preserve"> </w:t>
      </w:r>
      <w:r>
        <w:rPr>
          <w:rFonts w:ascii="Arial" w:cs="Arial" w:eastAsia="Arial" w:hAnsi="Arial"/>
          <w:sz w:val="21"/>
          <w:szCs w:val="21"/>
          <w:color w:val="auto"/>
        </w:rPr>
        <w:t>Commerce Commission, which has been obtained and is in full force and effect and final and is non-appealable, no consent, approval or authorization of, or registration, filing or declaration with, any Governmental Authority is required in connection with the execution, delivery or performance by the Company of this Agreement, the Bonds and Supplemental Indenture Y.</w:t>
      </w:r>
    </w:p>
    <w:p>
      <w:pPr>
        <w:spacing w:after="0" w:line="219"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Section 5.8. Litigation; Observance of Statutes and Orders</w:t>
      </w:r>
      <w:r>
        <w:rPr>
          <w:rFonts w:ascii="Arial" w:cs="Arial" w:eastAsia="Arial" w:hAnsi="Arial"/>
          <w:sz w:val="21"/>
          <w:szCs w:val="21"/>
          <w:color w:val="auto"/>
        </w:rPr>
        <w:t>. (a) There are no actions,</w:t>
      </w:r>
      <w:r>
        <w:rPr>
          <w:rFonts w:ascii="Arial" w:cs="Arial" w:eastAsia="Arial" w:hAnsi="Arial"/>
          <w:sz w:val="21"/>
          <w:szCs w:val="21"/>
          <w:i w:val="1"/>
          <w:iCs w:val="1"/>
          <w:color w:val="auto"/>
        </w:rPr>
        <w:t xml:space="preserve"> </w:t>
      </w:r>
      <w:r>
        <w:rPr>
          <w:rFonts w:ascii="Arial" w:cs="Arial" w:eastAsia="Arial" w:hAnsi="Arial"/>
          <w:sz w:val="21"/>
          <w:szCs w:val="21"/>
          <w:color w:val="auto"/>
        </w:rPr>
        <w:t>suits, investigations or proceedings pending or, to the knowledge of the Company, threatened against or affecting the Company or any property of the Company in any court or before any arbitrator of any kind or before or by any Governmental Authority that, individually or in the aggregate, would reasonably be expected to have a Material Adverse Effect.</w:t>
      </w:r>
    </w:p>
    <w:p>
      <w:pPr>
        <w:spacing w:after="0" w:line="219" w:lineRule="exact"/>
        <w:rPr>
          <w:sz w:val="20"/>
          <w:szCs w:val="20"/>
          <w:color w:val="auto"/>
        </w:rPr>
      </w:pPr>
    </w:p>
    <w:p>
      <w:pPr>
        <w:jc w:val="both"/>
        <w:ind w:left="100" w:right="99" w:firstLine="653"/>
        <w:spacing w:after="0" w:line="246" w:lineRule="auto"/>
        <w:tabs>
          <w:tab w:leader="none" w:pos="1473"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Company is not (i) in default under any term of any agreement or instrument to which it is a party or by which it is bound, (ii) in violation of any order, judgment, decree or ruling of any court, any arbitrator of any kind or any Governmental Authority naming or referring to the Company or (iii) in violation of any applicable law, or, to the knowledge of the Company, any ordinance, rule or regulation of any Governmental Authority (including, without limitation, Environmental Laws, the USA Patriot Act or any of the other laws and regulations that are referred to in Section 5.16), which default or violation, individually or in the aggregate, could reasonably be expected to have a Material Adverse Effect.</w:t>
      </w:r>
    </w:p>
    <w:p>
      <w:pPr>
        <w:spacing w:after="0" w:line="208"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has filed or caused to be filed all income tax returns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w:t>
      </w:r>
    </w:p>
    <w:p>
      <w:pPr>
        <w:spacing w:after="0" w:line="4" w:lineRule="exact"/>
        <w:rPr>
          <w:sz w:val="20"/>
          <w:szCs w:val="20"/>
          <w:color w:val="auto"/>
        </w:rPr>
      </w:pPr>
    </w:p>
    <w:p>
      <w:pPr>
        <w:jc w:val="both"/>
        <w:ind w:left="100" w:right="99" w:firstLine="5"/>
        <w:spacing w:after="0" w:line="273" w:lineRule="auto"/>
        <w:tabs>
          <w:tab w:leader="none" w:pos="46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amount, applicability, or validity of which is currently being contested in good faith by appropriate proceedings and with respect to which the Company has established adequate reserves in accordance with GAAP. The charges, accruals, and reserves on the books of the Company in respect of federal, state or other taxes for all fiscal periods are adequate. The Federal income tax liabilities of the Company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8" w:name="page49"/>
    <w:bookmarkEnd w:id="48"/>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5.10. Title to Property; Leases</w:t>
      </w:r>
      <w:r>
        <w:rPr>
          <w:rFonts w:ascii="Arial" w:cs="Arial" w:eastAsia="Arial" w:hAnsi="Arial"/>
          <w:sz w:val="19"/>
          <w:szCs w:val="19"/>
          <w:color w:val="auto"/>
        </w:rPr>
        <w:t>. The Company has good and sufficient title to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Material properties, including all such properties reflected in the most recent financial statements referred to in Section 5.5 or purported to have been acquired by the Company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180"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Section 5.11. Licenses, Permits, Etc</w:t>
      </w:r>
      <w:r>
        <w:rPr>
          <w:rFonts w:ascii="Arial" w:cs="Arial" w:eastAsia="Arial" w:hAnsi="Arial"/>
          <w:sz w:val="22"/>
          <w:szCs w:val="22"/>
          <w:color w:val="auto"/>
        </w:rPr>
        <w:t>. The Company owns or possesses all licenses,</w:t>
      </w:r>
      <w:r>
        <w:rPr>
          <w:rFonts w:ascii="Arial" w:cs="Arial" w:eastAsia="Arial" w:hAnsi="Arial"/>
          <w:sz w:val="22"/>
          <w:szCs w:val="22"/>
          <w:i w:val="1"/>
          <w:iCs w:val="1"/>
          <w:color w:val="auto"/>
        </w:rPr>
        <w:t xml:space="preserve"> </w:t>
      </w:r>
      <w:r>
        <w:rPr>
          <w:rFonts w:ascii="Arial" w:cs="Arial" w:eastAsia="Arial" w:hAnsi="Arial"/>
          <w:sz w:val="22"/>
          <w:szCs w:val="22"/>
          <w:color w:val="auto"/>
        </w:rPr>
        <w:t>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228"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w:t>
      </w:r>
      <w:r>
        <w:rPr>
          <w:rFonts w:ascii="Arial" w:cs="Arial" w:eastAsia="Arial" w:hAnsi="Arial"/>
          <w:sz w:val="19"/>
          <w:szCs w:val="19"/>
          <w:i w:val="1"/>
          <w:iCs w:val="1"/>
          <w:color w:val="auto"/>
        </w:rPr>
        <w:t xml:space="preserve"> </w:t>
      </w:r>
      <w:r>
        <w:rPr>
          <w:rFonts w:ascii="Arial" w:cs="Arial" w:eastAsia="Arial" w:hAnsi="Arial"/>
          <w:sz w:val="19"/>
          <w:szCs w:val="19"/>
          <w:color w:val="auto"/>
        </w:rPr>
        <w:t>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00" w:lineRule="exact"/>
        <w:rPr>
          <w:sz w:val="20"/>
          <w:szCs w:val="20"/>
          <w:color w:val="auto"/>
        </w:rPr>
      </w:pPr>
    </w:p>
    <w:p>
      <w:pPr>
        <w:spacing w:after="0" w:line="250" w:lineRule="exact"/>
        <w:rPr>
          <w:sz w:val="20"/>
          <w:szCs w:val="20"/>
          <w:color w:val="auto"/>
        </w:rPr>
      </w:pPr>
    </w:p>
    <w:p>
      <w:pPr>
        <w:jc w:val="both"/>
        <w:ind w:left="100" w:right="99" w:firstLine="653"/>
        <w:spacing w:after="0" w:line="275" w:lineRule="auto"/>
        <w:tabs>
          <w:tab w:leader="none" w:pos="140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present value of the aggregate benefit liabilities under each of the Plans subject to section 412 of the Code (other than Multiemployer Plans), determined as of January 1, 2016 based on such Plan’s actuarial assumptions as of that date for funding purposes as documented in such Plan’s actuarial valuation reports dated [September 2016]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19"/>
          <w:szCs w:val="19"/>
          <w:i w:val="1"/>
          <w:iCs w:val="1"/>
          <w:color w:val="auto"/>
        </w:rPr>
        <w:t>benefit liabilities</w:t>
      </w:r>
      <w:r>
        <w:rPr>
          <w:rFonts w:ascii="Arial" w:cs="Arial" w:eastAsia="Arial" w:hAnsi="Arial"/>
          <w:sz w:val="19"/>
          <w:szCs w:val="19"/>
          <w:color w:val="auto"/>
        </w:rPr>
        <w:t>” has the meaning specified in section 4001 of ERISA and the terms “current value” and “</w:t>
      </w:r>
      <w:r>
        <w:rPr>
          <w:rFonts w:ascii="Arial" w:cs="Arial" w:eastAsia="Arial" w:hAnsi="Arial"/>
          <w:sz w:val="19"/>
          <w:szCs w:val="19"/>
          <w:i w:val="1"/>
          <w:iCs w:val="1"/>
          <w:color w:val="auto"/>
        </w:rPr>
        <w:t>present</w:t>
      </w:r>
      <w:r>
        <w:rPr>
          <w:rFonts w:ascii="Arial" w:cs="Arial" w:eastAsia="Arial" w:hAnsi="Arial"/>
          <w:sz w:val="19"/>
          <w:szCs w:val="19"/>
          <w:color w:val="auto"/>
        </w:rPr>
        <w:t xml:space="preserve"> </w:t>
      </w:r>
      <w:r>
        <w:rPr>
          <w:rFonts w:ascii="Arial" w:cs="Arial" w:eastAsia="Arial" w:hAnsi="Arial"/>
          <w:sz w:val="19"/>
          <w:szCs w:val="19"/>
          <w:i w:val="1"/>
          <w:iCs w:val="1"/>
          <w:color w:val="auto"/>
        </w:rPr>
        <w:t>value</w:t>
      </w:r>
      <w:r>
        <w:rPr>
          <w:rFonts w:ascii="Arial" w:cs="Arial" w:eastAsia="Arial" w:hAnsi="Arial"/>
          <w:sz w:val="19"/>
          <w:szCs w:val="19"/>
          <w:color w:val="auto"/>
        </w:rPr>
        <w:t>” have the meaning specified in section 3 of ERISA.</w:t>
      </w:r>
    </w:p>
    <w:p>
      <w:pPr>
        <w:spacing w:after="0" w:line="185" w:lineRule="exact"/>
        <w:rPr>
          <w:rFonts w:ascii="Arial" w:cs="Arial" w:eastAsia="Arial" w:hAnsi="Arial"/>
          <w:sz w:val="19"/>
          <w:szCs w:val="19"/>
          <w:color w:val="auto"/>
        </w:rPr>
      </w:pPr>
    </w:p>
    <w:p>
      <w:pPr>
        <w:jc w:val="both"/>
        <w:ind w:left="100" w:right="99" w:firstLine="653"/>
        <w:spacing w:after="0"/>
        <w:tabs>
          <w:tab w:leader="none" w:pos="1461"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6" w:lineRule="exact"/>
        <w:rPr>
          <w:rFonts w:ascii="Arial" w:cs="Arial" w:eastAsia="Arial" w:hAnsi="Arial"/>
          <w:sz w:val="22"/>
          <w:szCs w:val="22"/>
          <w:color w:val="auto"/>
        </w:rPr>
      </w:pPr>
    </w:p>
    <w:p>
      <w:pPr>
        <w:jc w:val="both"/>
        <w:ind w:left="100" w:right="99" w:firstLine="653"/>
        <w:spacing w:after="0" w:line="251" w:lineRule="exact"/>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9"/>
          <w:szCs w:val="19"/>
          <w:color w:val="auto"/>
        </w:rPr>
        <w:t>‑</w:t>
      </w:r>
      <w:r>
        <w:rPr>
          <w:rFonts w:ascii="Arial" w:cs="Arial" w:eastAsia="Arial" w:hAnsi="Arial"/>
          <w:sz w:val="19"/>
          <w:szCs w:val="19"/>
          <w:color w:val="auto"/>
        </w:rPr>
        <w:t>60, without regard to liabilities attributable to continuation coverage mandated by section 4980B of the Code) of the Company is not Material.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9" w:name="page50"/>
    <w:bookmarkEnd w:id="49"/>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53"/>
        <w:spacing w:after="0" w:line="247" w:lineRule="exact"/>
        <w:tabs>
          <w:tab w:leader="none" w:pos="14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Arial" w:cs="Arial" w:eastAsia="Arial" w:hAnsi="Arial"/>
          <w:sz w:val="22"/>
          <w:szCs w:val="22"/>
          <w:color w:val="auto"/>
        </w:rPr>
        <w:t>(D) of the Code. The representation by the Company to the Purchaser in the first sentence of this Section 5.12(e) is made in reliance upon and subject to the accuracy of the Purchaser’s representation in Section 6.2 as to the sources of the funds used to pay the purchase price of the Bonds to be purchased by the Purchaser.</w:t>
      </w:r>
    </w:p>
    <w:p>
      <w:pPr>
        <w:spacing w:after="0" w:line="218" w:lineRule="exact"/>
        <w:rPr>
          <w:rFonts w:ascii="Arial" w:cs="Arial" w:eastAsia="Arial" w:hAnsi="Arial"/>
          <w:sz w:val="22"/>
          <w:szCs w:val="22"/>
          <w:color w:val="auto"/>
        </w:rPr>
      </w:pPr>
    </w:p>
    <w:p>
      <w:pPr>
        <w:ind w:left="1340" w:hanging="587"/>
        <w:spacing w:after="0" w:line="253" w:lineRule="exact"/>
        <w:tabs>
          <w:tab w:leader="none" w:pos="1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does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5.13. Private Offering by the Company</w:t>
      </w:r>
      <w:r>
        <w:rPr>
          <w:rFonts w:ascii="Arial" w:cs="Arial" w:eastAsia="Arial" w:hAnsi="Arial"/>
          <w:sz w:val="19"/>
          <w:szCs w:val="19"/>
          <w:color w:val="auto"/>
        </w:rPr>
        <w:t>. Neither the Company nor anyone acting</w:t>
      </w:r>
      <w:r>
        <w:rPr>
          <w:rFonts w:ascii="Arial" w:cs="Arial" w:eastAsia="Arial" w:hAnsi="Arial"/>
          <w:sz w:val="19"/>
          <w:szCs w:val="19"/>
          <w:i w:val="1"/>
          <w:iCs w:val="1"/>
          <w:color w:val="auto"/>
        </w:rPr>
        <w:t xml:space="preserve"> </w:t>
      </w:r>
      <w:r>
        <w:rPr>
          <w:rFonts w:ascii="Arial" w:cs="Arial" w:eastAsia="Arial" w:hAnsi="Arial"/>
          <w:sz w:val="19"/>
          <w:szCs w:val="19"/>
          <w:color w:val="auto"/>
        </w:rPr>
        <w:t>on the Company’s behalf has offered the Bonds or any similar securities for sale to, or solicited any offer to buy any of the same from, or otherwise approached or negotiated in respect thereof with, any Person other than the Purchaser and not more than ten (10)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w:t>
      </w:r>
    </w:p>
    <w:p>
      <w:pPr>
        <w:spacing w:after="0" w:line="193"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 proceeds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sale of the Bonds to repay existing indebtedness and for general corporate purposes and in compliance with all laws referenced in Section 5.16.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the Company does not have any present intention that margin stock will constitute more than 2% of the value of such assets. As used in this Section, the terms “margin stock” and “purpose of buying or carrying” shall have the meanings assigned to them in said Regulation U.</w:t>
      </w:r>
    </w:p>
    <w:p>
      <w:pPr>
        <w:spacing w:after="0" w:line="189"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i w:val="1"/>
          <w:iCs w:val="1"/>
          <w:color w:val="auto"/>
        </w:rPr>
        <w:t>Section 5.15. Existing Debt</w:t>
      </w:r>
      <w:r>
        <w:rPr>
          <w:rFonts w:ascii="Arial" w:cs="Arial" w:eastAsia="Arial" w:hAnsi="Arial"/>
          <w:sz w:val="19"/>
          <w:szCs w:val="19"/>
          <w:color w:val="auto"/>
        </w:rPr>
        <w:t>. Except as described therein, Schedule 5.15(a) sets forth a</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and correct list of all outstanding Debt of the Company as of March 31, 2017, since which date except as described therein there has been no Material change in the amounts, interest rates, sinking funds, installment payments or maturities of the Debt of the Company. The Company is not in default and no waiver of default is currently in effect, in the payment of any principal or interest on any Debt of the Company and no event or condition exists with respect to any Debt of the Company,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199" w:lineRule="exact"/>
        <w:rPr>
          <w:sz w:val="20"/>
          <w:szCs w:val="20"/>
          <w:color w:val="auto"/>
        </w:rPr>
      </w:pPr>
    </w:p>
    <w:p>
      <w:pPr>
        <w:ind w:left="100" w:right="99" w:firstLine="653"/>
        <w:spacing w:after="0" w:line="274" w:lineRule="auto"/>
        <w:tabs>
          <w:tab w:leader="none" w:pos="1473" w:val="left"/>
        </w:tabs>
        <w:numPr>
          <w:ilvl w:val="0"/>
          <w:numId w:val="19"/>
        </w:numPr>
        <w:rPr>
          <w:rFonts w:ascii="Arial" w:cs="Arial" w:eastAsia="Arial" w:hAnsi="Arial"/>
          <w:sz w:val="21"/>
          <w:szCs w:val="21"/>
          <w:color w:val="auto"/>
        </w:rPr>
      </w:pPr>
      <w:r>
        <w:rPr>
          <w:rFonts w:ascii="Arial" w:cs="Arial" w:eastAsia="Arial" w:hAnsi="Arial"/>
          <w:sz w:val="21"/>
          <w:szCs w:val="21"/>
          <w:color w:val="auto"/>
        </w:rPr>
        <w:t>Without limiting the representation in Section 5.6, the Company is not a party to, or otherwise subject to any provision contained in, any instrument evidencing Debt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0" w:name="page51"/>
    <w:bookmarkEnd w:id="50"/>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Company, any agreement relating thereto or any other agreement (including, but not limited to, its charter or other organizational document) which limits the amount of, or otherwise imposes restrictions on the incurring of, Debt evidenced by the Bonds, except as specifically indicated in Schedule 5.15(b).</w:t>
      </w:r>
    </w:p>
    <w:p>
      <w:pPr>
        <w:spacing w:after="0" w:line="212"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5.16. 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26" w:lineRule="exact"/>
        <w:rPr>
          <w:sz w:val="20"/>
          <w:szCs w:val="20"/>
          <w:color w:val="auto"/>
        </w:rPr>
      </w:pPr>
    </w:p>
    <w:p>
      <w:pPr>
        <w:jc w:val="both"/>
        <w:ind w:left="100" w:right="99" w:firstLine="653"/>
        <w:spacing w:after="0" w:line="249" w:lineRule="exact"/>
        <w:tabs>
          <w:tab w:leader="none" w:pos="1648" w:val="left"/>
        </w:tabs>
        <w:numPr>
          <w:ilvl w:val="0"/>
          <w:numId w:val="20"/>
        </w:numPr>
        <w:rPr>
          <w:rFonts w:ascii="Arial" w:cs="Arial" w:eastAsia="Arial" w:hAnsi="Arial"/>
          <w:sz w:val="21"/>
          <w:szCs w:val="21"/>
          <w:color w:val="auto"/>
        </w:rPr>
      </w:pPr>
      <w:r>
        <w:rPr>
          <w:rFonts w:ascii="Arial" w:cs="Arial" w:eastAsia="Arial" w:hAnsi="Arial"/>
          <w:sz w:val="21"/>
          <w:szCs w:val="21"/>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9" w:lineRule="exact"/>
        <w:rPr>
          <w:rFonts w:ascii="Arial" w:cs="Arial" w:eastAsia="Arial" w:hAnsi="Arial"/>
          <w:sz w:val="21"/>
          <w:szCs w:val="21"/>
          <w:color w:val="auto"/>
        </w:rPr>
      </w:pPr>
    </w:p>
    <w:p>
      <w:pPr>
        <w:ind w:left="1380" w:hanging="627"/>
        <w:spacing w:after="0"/>
        <w:tabs>
          <w:tab w:leader="none" w:pos="13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33" w:lineRule="exact"/>
        <w:rPr>
          <w:rFonts w:ascii="Arial" w:cs="Arial" w:eastAsia="Arial" w:hAnsi="Arial"/>
          <w:sz w:val="22"/>
          <w:szCs w:val="22"/>
          <w:color w:val="auto"/>
        </w:rPr>
      </w:pPr>
    </w:p>
    <w:p>
      <w:pPr>
        <w:jc w:val="both"/>
        <w:ind w:left="760" w:right="99" w:firstLine="479"/>
        <w:spacing w:after="0" w:line="273" w:lineRule="auto"/>
        <w:tabs>
          <w:tab w:leader="none" w:pos="1936" w:val="left"/>
        </w:tabs>
        <w:numPr>
          <w:ilvl w:val="1"/>
          <w:numId w:val="2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spacing w:after="0" w:line="1" w:lineRule="exact"/>
        <w:rPr>
          <w:rFonts w:ascii="Arial" w:cs="Arial" w:eastAsia="Arial" w:hAnsi="Arial"/>
          <w:sz w:val="19"/>
          <w:szCs w:val="19"/>
          <w:color w:val="auto"/>
        </w:rPr>
      </w:pPr>
    </w:p>
    <w:p>
      <w:pPr>
        <w:ind w:left="760" w:right="99"/>
        <w:spacing w:after="0" w:line="308" w:lineRule="auto"/>
        <w:rPr>
          <w:rFonts w:ascii="Arial" w:cs="Arial" w:eastAsia="Arial" w:hAnsi="Arial"/>
          <w:sz w:val="19"/>
          <w:szCs w:val="19"/>
          <w:color w:val="auto"/>
        </w:rPr>
      </w:pPr>
      <w:r>
        <w:rPr>
          <w:rFonts w:ascii="Arial" w:cs="Arial" w:eastAsia="Arial" w:hAnsi="Arial"/>
          <w:sz w:val="19"/>
          <w:szCs w:val="19"/>
          <w:color w:val="auto"/>
        </w:rPr>
        <w:t>(B) for any purpose that would cause the Purchaser to be in violation of any U.S. Economic Sanctions Laws or (C) otherwise in violation of any U.S. Economic Sanctions Laws;</w:t>
      </w:r>
    </w:p>
    <w:p>
      <w:pPr>
        <w:spacing w:after="0" w:line="164" w:lineRule="exact"/>
        <w:rPr>
          <w:rFonts w:ascii="Arial" w:cs="Arial" w:eastAsia="Arial" w:hAnsi="Arial"/>
          <w:sz w:val="19"/>
          <w:szCs w:val="19"/>
          <w:color w:val="auto"/>
        </w:rPr>
      </w:pPr>
    </w:p>
    <w:p>
      <w:pPr>
        <w:ind w:left="760" w:right="99" w:firstLine="479"/>
        <w:spacing w:after="0" w:line="259" w:lineRule="exact"/>
        <w:tabs>
          <w:tab w:leader="none" w:pos="1902" w:val="left"/>
        </w:tabs>
        <w:numPr>
          <w:ilvl w:val="1"/>
          <w:numId w:val="20"/>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the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26" w:lineRule="exact"/>
        <w:rPr>
          <w:rFonts w:ascii="Arial" w:cs="Arial" w:eastAsia="Arial" w:hAnsi="Arial"/>
          <w:sz w:val="22"/>
          <w:szCs w:val="22"/>
          <w:color w:val="auto"/>
        </w:rPr>
      </w:pPr>
    </w:p>
    <w:p>
      <w:pPr>
        <w:jc w:val="both"/>
        <w:ind w:left="760" w:right="99" w:firstLine="479"/>
        <w:spacing w:after="0" w:line="249" w:lineRule="exact"/>
        <w:tabs>
          <w:tab w:leader="none" w:pos="2070" w:val="left"/>
        </w:tabs>
        <w:numPr>
          <w:ilvl w:val="1"/>
          <w:numId w:val="20"/>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the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14" w:lineRule="exact"/>
        <w:rPr>
          <w:rFonts w:ascii="Arial" w:cs="Arial" w:eastAsia="Arial" w:hAnsi="Arial"/>
          <w:sz w:val="22"/>
          <w:szCs w:val="22"/>
          <w:color w:val="auto"/>
        </w:rPr>
      </w:pPr>
    </w:p>
    <w:p>
      <w:pPr>
        <w:jc w:val="both"/>
        <w:ind w:left="100" w:right="99" w:firstLine="653"/>
        <w:spacing w:after="0" w:line="251" w:lineRule="exact"/>
        <w:tabs>
          <w:tab w:leader="none" w:pos="137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and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7"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5.17. Status under Certain Statutes</w:t>
      </w:r>
      <w:r>
        <w:rPr>
          <w:rFonts w:ascii="Arial" w:cs="Arial" w:eastAsia="Arial" w:hAnsi="Arial"/>
          <w:sz w:val="22"/>
          <w:szCs w:val="22"/>
          <w:color w:val="auto"/>
        </w:rPr>
        <w:t>. The Company is not subject to regulation</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Investment Company Act of 1940, as amended, the Public Utility Holding Company Act of 2005, as amended, the ICC Termination Act of 1995, as amended, or subject to rate regulation under the Federal Power Act, as amended.</w:t>
      </w:r>
    </w:p>
    <w:p>
      <w:pPr>
        <w:spacing w:after="0" w:line="226"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5.18. Environmental Matters</w:t>
      </w:r>
      <w:r>
        <w:rPr>
          <w:rFonts w:ascii="Arial" w:cs="Arial" w:eastAsia="Arial" w:hAnsi="Arial"/>
          <w:sz w:val="21"/>
          <w:szCs w:val="21"/>
          <w:color w:val="auto"/>
        </w:rPr>
        <w:t>. The Company has no knowledge of any claim or has</w:t>
      </w:r>
      <w:r>
        <w:rPr>
          <w:rFonts w:ascii="Arial" w:cs="Arial" w:eastAsia="Arial" w:hAnsi="Arial"/>
          <w:sz w:val="21"/>
          <w:szCs w:val="21"/>
          <w:i w:val="1"/>
          <w:iCs w:val="1"/>
          <w:color w:val="auto"/>
        </w:rPr>
        <w:t xml:space="preserve"> </w:t>
      </w:r>
      <w:r>
        <w:rPr>
          <w:rFonts w:ascii="Arial" w:cs="Arial" w:eastAsia="Arial" w:hAnsi="Arial"/>
          <w:sz w:val="21"/>
          <w:szCs w:val="21"/>
          <w:color w:val="auto"/>
        </w:rPr>
        <w:t>received any notice of any claim, and no proceeding has been instituted of which it has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1" w:name="page52"/>
    <w:bookmarkEnd w:id="51"/>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87" w:lineRule="auto"/>
        <w:rPr>
          <w:sz w:val="20"/>
          <w:szCs w:val="20"/>
          <w:color w:val="auto"/>
        </w:rPr>
      </w:pPr>
      <w:r>
        <w:rPr>
          <w:rFonts w:ascii="Arial" w:cs="Arial" w:eastAsia="Arial" w:hAnsi="Arial"/>
          <w:sz w:val="19"/>
          <w:szCs w:val="19"/>
          <w:color w:val="auto"/>
        </w:rPr>
        <w:t>received notice, raising any claim against the Company or any of its real properties now or formerly owned, leased or operated by it, or other assets, alleging damage to the environment or any violation of any Environmental Laws, except, in each case, such as could not reasonably be expected to result in a Material Adverse Effect. Except as otherwise disclosed to the Purchaser in writing:</w:t>
      </w:r>
    </w:p>
    <w:p>
      <w:pPr>
        <w:spacing w:after="0" w:line="170" w:lineRule="exact"/>
        <w:rPr>
          <w:sz w:val="20"/>
          <w:szCs w:val="20"/>
          <w:color w:val="auto"/>
        </w:rPr>
      </w:pPr>
    </w:p>
    <w:p>
      <w:pPr>
        <w:jc w:val="both"/>
        <w:ind w:left="760" w:right="99" w:firstLine="641"/>
        <w:spacing w:after="0" w:line="282" w:lineRule="auto"/>
        <w:tabs>
          <w:tab w:leader="none" w:pos="220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has no knowledge of any facts which would give rise to any claim, public or private, for violation of Environmental Laws or damage to the environment emanating from, occurring on or in any way related to real properties or to other assets now or formerly owned, leased or operated by it or their use, except, in each case, such as could not reasonably be expected to result in a Material Adverse Effect;</w:t>
      </w:r>
    </w:p>
    <w:p>
      <w:pPr>
        <w:spacing w:after="0" w:line="188" w:lineRule="exact"/>
        <w:rPr>
          <w:rFonts w:ascii="Arial" w:cs="Arial" w:eastAsia="Arial" w:hAnsi="Arial"/>
          <w:sz w:val="19"/>
          <w:szCs w:val="19"/>
          <w:color w:val="auto"/>
        </w:rPr>
      </w:pPr>
    </w:p>
    <w:p>
      <w:pPr>
        <w:jc w:val="both"/>
        <w:ind w:left="760" w:right="99" w:firstLine="641"/>
        <w:spacing w:after="0" w:line="252" w:lineRule="auto"/>
        <w:tabs>
          <w:tab w:leader="none" w:pos="2052"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 has not stored any Hazardous Materials on real properties now or formerly owned, leased or operated by it or has disposed of any Hazardous Materials in each case in a manner contrary to any Environmental Laws and in any manner that could reasonably be expected to result in a Material Adverse Effect; and</w:t>
      </w:r>
    </w:p>
    <w:p>
      <w:pPr>
        <w:spacing w:after="0" w:line="214" w:lineRule="exact"/>
        <w:rPr>
          <w:rFonts w:ascii="Arial" w:cs="Arial" w:eastAsia="Arial" w:hAnsi="Arial"/>
          <w:sz w:val="21"/>
          <w:szCs w:val="21"/>
          <w:color w:val="auto"/>
        </w:rPr>
      </w:pPr>
    </w:p>
    <w:p>
      <w:pPr>
        <w:jc w:val="both"/>
        <w:ind w:left="760" w:right="99" w:firstLine="641"/>
        <w:spacing w:after="0" w:line="297" w:lineRule="auto"/>
        <w:tabs>
          <w:tab w:leader="none" w:pos="2269"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buildings on all real properties now owned, leased or operated by the Company are in compliance with applicable Environmental Laws, except where failure to comply could not reasonably be expected to result in a Material Adverse Effect.</w:t>
      </w:r>
    </w:p>
    <w:p>
      <w:pPr>
        <w:spacing w:after="0" w:line="161"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Supplemental Indenture Y) constitutes a direct and valid Lien upon the Trust Estate, subject only to the exceptions referred to in the Indenture, and will create a similar Lien upon all properties and assets acquired by the Company after the date hereof which are required to be subjected to the Lien of the Indenture, when acquired by the Company, subject only to the exceptions referred to in the Indenture,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6" w:lineRule="exact"/>
        <w:rPr>
          <w:sz w:val="20"/>
          <w:szCs w:val="20"/>
          <w:color w:val="auto"/>
        </w:rPr>
      </w:pPr>
    </w:p>
    <w:p>
      <w:pPr>
        <w:jc w:val="both"/>
        <w:ind w:left="100" w:right="99" w:firstLine="648"/>
        <w:spacing w:after="0" w:line="275" w:lineRule="auto"/>
        <w:rPr>
          <w:sz w:val="20"/>
          <w:szCs w:val="20"/>
          <w:color w:val="auto"/>
        </w:rPr>
      </w:pPr>
      <w:r>
        <w:rPr>
          <w:rFonts w:ascii="Arial" w:cs="Arial" w:eastAsia="Arial" w:hAnsi="Arial"/>
          <w:sz w:val="19"/>
          <w:szCs w:val="19"/>
          <w:i w:val="1"/>
          <w:iCs w:val="1"/>
          <w:color w:val="auto"/>
        </w:rPr>
        <w:t>Section 5.20. Filings</w:t>
      </w:r>
      <w:r>
        <w:rPr>
          <w:rFonts w:ascii="Arial" w:cs="Arial" w:eastAsia="Arial" w:hAnsi="Arial"/>
          <w:sz w:val="19"/>
          <w:szCs w:val="19"/>
          <w:color w:val="auto"/>
        </w:rPr>
        <w:t>. No action, including any filings, registration or notice, is necessary</w:t>
      </w:r>
      <w:r>
        <w:rPr>
          <w:rFonts w:ascii="Arial" w:cs="Arial" w:eastAsia="Arial" w:hAnsi="Arial"/>
          <w:sz w:val="19"/>
          <w:szCs w:val="19"/>
          <w:i w:val="1"/>
          <w:iCs w:val="1"/>
          <w:color w:val="auto"/>
        </w:rPr>
        <w:t xml:space="preserve"> </w:t>
      </w:r>
      <w:r>
        <w:rPr>
          <w:rFonts w:ascii="Arial" w:cs="Arial" w:eastAsia="Arial" w:hAnsi="Arial"/>
          <w:sz w:val="19"/>
          <w:szCs w:val="19"/>
          <w:color w:val="auto"/>
        </w:rPr>
        <w:t>or advisable in Illinois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Illinois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2" w:name="page53"/>
    <w:bookmarkEnd w:id="52"/>
    <w:tbl>
      <w:tblPr>
        <w:tblLayout w:type="fixed"/>
        <w:tblInd w:w="100" w:type="dxa"/>
        <w:tblCellMar>
          <w:top w:w="0" w:type="dxa"/>
          <w:left w:w="0" w:type="dxa"/>
          <w:bottom w:w="0" w:type="dxa"/>
          <w:right w:w="0" w:type="dxa"/>
        </w:tblCellMar>
      </w:tblPr>
      <w:tr>
        <w:trPr>
          <w:trHeight w:val="288"/>
        </w:trPr>
        <w:tc>
          <w:tcPr>
            <w:tcW w:w="5720" w:type="dxa"/>
            <w:vAlign w:val="bottom"/>
            <w:gridSpan w:val="2"/>
          </w:tcPr>
          <w:p>
            <w:pPr>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tc>
        <w:tc>
          <w:tcPr>
            <w:tcW w:w="3100" w:type="dxa"/>
            <w:vAlign w:val="bottom"/>
          </w:tcPr>
          <w:p>
            <w:pPr>
              <w:ind w:left="780"/>
              <w:spacing w:after="0"/>
              <w:rPr>
                <w:sz w:val="20"/>
                <w:szCs w:val="20"/>
                <w:color w:val="auto"/>
              </w:rPr>
            </w:pPr>
            <w:r>
              <w:rPr>
                <w:rFonts w:ascii="Arial" w:cs="Arial" w:eastAsia="Arial" w:hAnsi="Arial"/>
                <w:sz w:val="22"/>
                <w:szCs w:val="22"/>
                <w:color w:val="auto"/>
                <w:w w:val="87"/>
              </w:rPr>
              <w:t>Bond Purchase Agreement</w:t>
            </w:r>
          </w:p>
        </w:tc>
      </w:tr>
      <w:tr>
        <w:trPr>
          <w:trHeight w:val="770"/>
        </w:trPr>
        <w:tc>
          <w:tcPr>
            <w:tcW w:w="118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6.</w:t>
            </w:r>
          </w:p>
        </w:tc>
        <w:tc>
          <w:tcPr>
            <w:tcW w:w="4540" w:type="dxa"/>
            <w:vAlign w:val="bottom"/>
          </w:tcPr>
          <w:p>
            <w:pPr>
              <w:ind w:left="200"/>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EPRESENTATIONS OF THE</w:t>
            </w:r>
            <w:r>
              <w:rPr>
                <w:rFonts w:ascii="Arial" w:cs="Arial" w:eastAsia="Arial" w:hAnsi="Arial"/>
                <w:sz w:val="22"/>
                <w:szCs w:val="22"/>
                <w:color w:val="auto"/>
              </w:rPr>
              <w:t xml:space="preserve"> P</w:t>
            </w:r>
            <w:r>
              <w:rPr>
                <w:rFonts w:ascii="Arial" w:cs="Arial" w:eastAsia="Arial" w:hAnsi="Arial"/>
                <w:sz w:val="18"/>
                <w:szCs w:val="18"/>
                <w:color w:val="auto"/>
              </w:rPr>
              <w:t>URCHASER</w:t>
            </w:r>
            <w:r>
              <w:rPr>
                <w:rFonts w:ascii="Arial" w:cs="Arial" w:eastAsia="Arial" w:hAnsi="Arial"/>
                <w:sz w:val="22"/>
                <w:szCs w:val="22"/>
                <w:color w:val="auto"/>
              </w:rPr>
              <w:t>.</w:t>
            </w:r>
          </w:p>
        </w:tc>
        <w:tc>
          <w:tcPr>
            <w:tcW w:w="3100" w:type="dxa"/>
            <w:vAlign w:val="bottom"/>
          </w:tcPr>
          <w:p>
            <w:pPr>
              <w:spacing w:after="0"/>
              <w:rPr>
                <w:sz w:val="24"/>
                <w:szCs w:val="24"/>
                <w:color w:val="auto"/>
              </w:rPr>
            </w:pPr>
          </w:p>
        </w:tc>
      </w:tr>
    </w:tbl>
    <w:p>
      <w:pPr>
        <w:spacing w:after="0" w:line="239"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The Purchaser represents that it is purchasing the</w:t>
      </w:r>
      <w:r>
        <w:rPr>
          <w:rFonts w:ascii="Arial" w:cs="Arial" w:eastAsia="Arial" w:hAnsi="Arial"/>
          <w:sz w:val="21"/>
          <w:szCs w:val="21"/>
          <w:i w:val="1"/>
          <w:iCs w:val="1"/>
          <w:color w:val="auto"/>
        </w:rPr>
        <w:t xml:space="preserve"> </w:t>
      </w:r>
      <w:r>
        <w:rPr>
          <w:rFonts w:ascii="Arial" w:cs="Arial" w:eastAsia="Arial" w:hAnsi="Arial"/>
          <w:sz w:val="21"/>
          <w:szCs w:val="21"/>
          <w:color w:val="auto"/>
        </w:rPr>
        <w:t>Bonds for its own account or for one or more separate accounts maintained by the Purchaser or for the account of one or more pension or trust funds and not with a view to the distribution thereof, provided that the disposition of the Purchaser’s or their property shall at all times be within the Purchaser’s or their control. The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226"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9"/>
          <w:szCs w:val="19"/>
          <w:i w:val="1"/>
          <w:iCs w:val="1"/>
          <w:color w:val="auto"/>
        </w:rPr>
        <w:t>Section 6.2. Source of Funds</w:t>
      </w:r>
      <w:r>
        <w:rPr>
          <w:rFonts w:ascii="Arial" w:cs="Arial" w:eastAsia="Arial" w:hAnsi="Arial"/>
          <w:sz w:val="19"/>
          <w:szCs w:val="19"/>
          <w:color w:val="auto"/>
        </w:rPr>
        <w:t>. The Purchaser represents that at least one of the following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statements is an accurate representation as to each source of funds (a </w:t>
      </w:r>
      <w:r>
        <w:rPr>
          <w:rFonts w:ascii="Arial" w:cs="Arial" w:eastAsia="Arial" w:hAnsi="Arial"/>
          <w:sz w:val="19"/>
          <w:szCs w:val="19"/>
          <w:i w:val="1"/>
          <w:iCs w:val="1"/>
          <w:color w:val="auto"/>
        </w:rPr>
        <w:t>“Source”</w:t>
      </w:r>
      <w:r>
        <w:rPr>
          <w:rFonts w:ascii="Arial" w:cs="Arial" w:eastAsia="Arial" w:hAnsi="Arial"/>
          <w:sz w:val="19"/>
          <w:szCs w:val="19"/>
          <w:color w:val="auto"/>
        </w:rPr>
        <w:t>) to be used by the Purchaser to pay the purchase price of the Bonds to be purchased by the Purchaser hereunder:</w:t>
      </w:r>
    </w:p>
    <w:p>
      <w:pPr>
        <w:spacing w:after="0" w:line="161" w:lineRule="exact"/>
        <w:rPr>
          <w:sz w:val="20"/>
          <w:szCs w:val="20"/>
          <w:color w:val="auto"/>
        </w:rPr>
      </w:pPr>
    </w:p>
    <w:p>
      <w:pPr>
        <w:jc w:val="both"/>
        <w:ind w:left="760" w:right="99" w:firstLine="641"/>
        <w:spacing w:after="0" w:line="249" w:lineRule="exact"/>
        <w:tabs>
          <w:tab w:leader="none" w:pos="21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Source is an “insurance company general account” (as the term is defined in the United States Department of Labor’s Prohibited Transaction Exemption (</w:t>
      </w:r>
      <w:r>
        <w:rPr>
          <w:rFonts w:ascii="Arial" w:cs="Arial" w:eastAsia="Arial" w:hAnsi="Arial"/>
          <w:sz w:val="19"/>
          <w:szCs w:val="19"/>
          <w:i w:val="1"/>
          <w:i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i w:val="1"/>
          <w:iCs w:val="1"/>
          <w:color w:val="auto"/>
        </w:rPr>
        <w:t>“NAIC Annual Statement”</w:t>
      </w:r>
      <w:r>
        <w:rPr>
          <w:rFonts w:ascii="Arial" w:cs="Arial" w:eastAsia="Arial" w:hAnsi="Arial"/>
          <w:sz w:val="19"/>
          <w:szCs w:val="19"/>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the Purchaser’s state of domicile; or</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left="760" w:right="99" w:firstLine="641"/>
        <w:spacing w:after="0" w:line="282" w:lineRule="auto"/>
        <w:tabs>
          <w:tab w:leader="none" w:pos="2146"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the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8" w:lineRule="exact"/>
        <w:rPr>
          <w:rFonts w:ascii="Arial" w:cs="Arial" w:eastAsia="Arial" w:hAnsi="Arial"/>
          <w:sz w:val="19"/>
          <w:szCs w:val="19"/>
          <w:color w:val="auto"/>
        </w:rPr>
      </w:pPr>
    </w:p>
    <w:p>
      <w:pPr>
        <w:jc w:val="both"/>
        <w:ind w:left="760" w:right="99" w:firstLine="641"/>
        <w:spacing w:after="0" w:line="248" w:lineRule="exact"/>
        <w:tabs>
          <w:tab w:leader="none" w:pos="21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the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15" w:lineRule="exact"/>
        <w:rPr>
          <w:rFonts w:ascii="Arial" w:cs="Arial" w:eastAsia="Arial" w:hAnsi="Arial"/>
          <w:sz w:val="19"/>
          <w:szCs w:val="19"/>
          <w:color w:val="auto"/>
        </w:rPr>
      </w:pPr>
    </w:p>
    <w:p>
      <w:pPr>
        <w:jc w:val="both"/>
        <w:ind w:left="760" w:right="99" w:firstLine="641"/>
        <w:spacing w:after="0" w:line="253" w:lineRule="exact"/>
        <w:tabs>
          <w:tab w:leader="none" w:pos="21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Source constitutes assets of an “investment fund” (within the meaning of Part VI of PTE 84</w:t>
      </w:r>
      <w:r>
        <w:rPr>
          <w:rFonts w:ascii="MS PGothic" w:cs="MS PGothic" w:eastAsia="MS PGothic" w:hAnsi="MS PGothic"/>
          <w:sz w:val="22"/>
          <w:szCs w:val="22"/>
          <w:color w:val="auto"/>
        </w:rPr>
        <w:t>‑</w:t>
      </w:r>
      <w:r>
        <w:rPr>
          <w:rFonts w:ascii="Arial" w:cs="Arial" w:eastAsia="Arial" w:hAnsi="Arial"/>
          <w:sz w:val="22"/>
          <w:szCs w:val="22"/>
          <w:color w:val="auto"/>
        </w:rPr>
        <w:t xml:space="preserve">14 (the </w:t>
      </w:r>
      <w:r>
        <w:rPr>
          <w:rFonts w:ascii="Arial" w:cs="Arial" w:eastAsia="Arial" w:hAnsi="Arial"/>
          <w:sz w:val="22"/>
          <w:szCs w:val="22"/>
          <w:i w:val="1"/>
          <w:iCs w:val="1"/>
          <w:color w:val="auto"/>
        </w:rPr>
        <w:t>“QPAM Exemption”</w:t>
      </w:r>
      <w:r>
        <w:rPr>
          <w:rFonts w:ascii="Arial" w:cs="Arial" w:eastAsia="Arial" w:hAnsi="Arial"/>
          <w:sz w:val="22"/>
          <w:szCs w:val="22"/>
          <w:color w:val="auto"/>
        </w:rPr>
        <w:t>)) managed by a “qualified professional asset manager” or “QPAM” (within the meaning of Part VI of the QPAM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3" w:name="page54"/>
    <w:bookmarkEnd w:id="53"/>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760" w:right="99"/>
        <w:spacing w:after="0" w:line="271" w:lineRule="auto"/>
        <w:rPr>
          <w:sz w:val="20"/>
          <w:szCs w:val="20"/>
          <w:color w:val="auto"/>
        </w:rPr>
      </w:pPr>
      <w:r>
        <w:rPr>
          <w:rFonts w:ascii="Arial" w:cs="Arial" w:eastAsia="Arial" w:hAnsi="Arial"/>
          <w:sz w:val="19"/>
          <w:szCs w:val="19"/>
          <w:color w:val="auto"/>
        </w:rPr>
        <w:t>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0" w:lineRule="exact"/>
        <w:rPr>
          <w:sz w:val="20"/>
          <w:szCs w:val="20"/>
          <w:color w:val="auto"/>
        </w:rPr>
      </w:pPr>
    </w:p>
    <w:p>
      <w:pPr>
        <w:spacing w:after="0" w:line="236" w:lineRule="exact"/>
        <w:rPr>
          <w:sz w:val="20"/>
          <w:szCs w:val="20"/>
          <w:color w:val="auto"/>
        </w:rPr>
      </w:pPr>
    </w:p>
    <w:p>
      <w:pPr>
        <w:jc w:val="both"/>
        <w:ind w:left="760" w:right="99" w:firstLine="641"/>
        <w:spacing w:after="0" w:line="247" w:lineRule="exact"/>
        <w:tabs>
          <w:tab w:leader="none" w:pos="202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Source constitutes assets of a “plan(s)”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27" w:lineRule="exact"/>
        <w:rPr>
          <w:rFonts w:ascii="Arial" w:cs="Arial" w:eastAsia="Arial" w:hAnsi="Arial"/>
          <w:sz w:val="19"/>
          <w:szCs w:val="19"/>
          <w:color w:val="auto"/>
        </w:rPr>
      </w:pPr>
    </w:p>
    <w:p>
      <w:pPr>
        <w:ind w:left="2000" w:hanging="599"/>
        <w:spacing w:after="0"/>
        <w:tabs>
          <w:tab w:leader="none" w:pos="20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46" w:lineRule="exact"/>
        <w:rPr>
          <w:rFonts w:ascii="Arial" w:cs="Arial" w:eastAsia="Arial" w:hAnsi="Arial"/>
          <w:sz w:val="22"/>
          <w:szCs w:val="22"/>
          <w:color w:val="auto"/>
        </w:rPr>
      </w:pPr>
    </w:p>
    <w:p>
      <w:pPr>
        <w:jc w:val="both"/>
        <w:ind w:left="760" w:right="99" w:firstLine="641"/>
        <w:spacing w:after="0"/>
        <w:tabs>
          <w:tab w:leader="none" w:pos="203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13" w:lineRule="exact"/>
        <w:rPr>
          <w:rFonts w:ascii="Arial" w:cs="Arial" w:eastAsia="Arial" w:hAnsi="Arial"/>
          <w:sz w:val="22"/>
          <w:szCs w:val="22"/>
          <w:color w:val="auto"/>
        </w:rPr>
      </w:pPr>
    </w:p>
    <w:p>
      <w:pPr>
        <w:ind w:left="760" w:right="99" w:firstLine="641"/>
        <w:spacing w:after="0" w:line="251" w:lineRule="auto"/>
        <w:tabs>
          <w:tab w:leader="none" w:pos="211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14" w:lineRule="exact"/>
        <w:rPr>
          <w:sz w:val="20"/>
          <w:szCs w:val="20"/>
          <w:color w:val="auto"/>
        </w:rPr>
      </w:pPr>
    </w:p>
    <w:p>
      <w:pPr>
        <w:ind w:left="100" w:right="99"/>
        <w:spacing w:after="0" w:line="328" w:lineRule="auto"/>
        <w:rPr>
          <w:sz w:val="20"/>
          <w:szCs w:val="20"/>
          <w:color w:val="auto"/>
        </w:rPr>
      </w:pPr>
      <w:r>
        <w:rPr>
          <w:rFonts w:ascii="Arial" w:cs="Arial" w:eastAsia="Arial" w:hAnsi="Arial"/>
          <w:sz w:val="19"/>
          <w:szCs w:val="19"/>
          <w:color w:val="auto"/>
        </w:rPr>
        <w:t xml:space="preserve">As used in this Section 6.2, the terms </w:t>
      </w:r>
      <w:r>
        <w:rPr>
          <w:rFonts w:ascii="Arial" w:cs="Arial" w:eastAsia="Arial" w:hAnsi="Arial"/>
          <w:sz w:val="19"/>
          <w:szCs w:val="19"/>
          <w:i w:val="1"/>
          <w:iCs w:val="1"/>
          <w:color w:val="auto"/>
        </w:rPr>
        <w:t>“employee benefit plan,” “governmental plan,”</w:t>
      </w:r>
      <w:r>
        <w:rPr>
          <w:rFonts w:ascii="Arial" w:cs="Arial" w:eastAsia="Arial" w:hAnsi="Arial"/>
          <w:sz w:val="19"/>
          <w:szCs w:val="19"/>
          <w:color w:val="auto"/>
        </w:rPr>
        <w:t xml:space="preserve"> and </w:t>
      </w:r>
      <w:r>
        <w:rPr>
          <w:rFonts w:ascii="Arial" w:cs="Arial" w:eastAsia="Arial" w:hAnsi="Arial"/>
          <w:sz w:val="19"/>
          <w:szCs w:val="19"/>
          <w:i w:val="1"/>
          <w:iCs w:val="1"/>
          <w:color w:val="auto"/>
        </w:rPr>
        <w:t>“separate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 </w:t>
      </w:r>
      <w:r>
        <w:rPr>
          <w:rFonts w:ascii="Arial" w:cs="Arial" w:eastAsia="Arial" w:hAnsi="Arial"/>
          <w:sz w:val="19"/>
          <w:szCs w:val="19"/>
          <w:color w:val="auto"/>
        </w:rPr>
        <w:t>shall have the respective meanings assigned to such terms in section 3 of ERISA.</w:t>
      </w:r>
    </w:p>
    <w:p>
      <w:pPr>
        <w:spacing w:after="0" w:line="173"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60" w:lineRule="exact"/>
        <w:rPr>
          <w:sz w:val="20"/>
          <w:szCs w:val="20"/>
          <w:color w:val="auto"/>
        </w:rPr>
      </w:pPr>
    </w:p>
    <w:p>
      <w:pPr>
        <w:ind w:left="760"/>
        <w:spacing w:after="0"/>
        <w:tabs>
          <w:tab w:leader="none" w:pos="2400" w:val="left"/>
          <w:tab w:leader="none" w:pos="5840" w:val="left"/>
        </w:tabs>
        <w:rPr>
          <w:sz w:val="20"/>
          <w:szCs w:val="20"/>
          <w:color w:val="auto"/>
        </w:rPr>
      </w:pPr>
      <w:r>
        <w:rPr>
          <w:rFonts w:ascii="Arial" w:cs="Arial" w:eastAsia="Arial" w:hAnsi="Arial"/>
          <w:sz w:val="22"/>
          <w:szCs w:val="22"/>
          <w:i w:val="1"/>
          <w:iCs w:val="1"/>
          <w:color w:val="auto"/>
        </w:rPr>
        <w:t>Section 7.1.</w:t>
      </w:r>
      <w:r>
        <w:rPr>
          <w:sz w:val="20"/>
          <w:szCs w:val="20"/>
          <w:color w:val="auto"/>
        </w:rPr>
        <w:tab/>
      </w:r>
      <w:r>
        <w:rPr>
          <w:rFonts w:ascii="Arial" w:cs="Arial" w:eastAsia="Arial" w:hAnsi="Arial"/>
          <w:sz w:val="22"/>
          <w:szCs w:val="22"/>
          <w:i w:val="1"/>
          <w:iCs w:val="1"/>
          <w:color w:val="auto"/>
        </w:rPr>
        <w:t>Financial and Business Information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Company shall deliver to the</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Purchaser and each holder of Bonds that is an Institutional Investor: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4" w:name="page55"/>
    <w:bookmarkEnd w:id="54"/>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ectPr>
          <w:pgSz w:w="11900" w:h="16838" w:orient="portrait"/>
          <w:cols w:equalWidth="0" w:num="1">
            <w:col w:w="9019"/>
          </w:cols>
          <w:pgMar w:left="1440" w:top="13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both"/>
        <w:ind w:left="760" w:right="99" w:firstLine="641"/>
        <w:spacing w:after="0"/>
        <w:tabs>
          <w:tab w:leader="none" w:pos="2121"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each fiscal year of the Company (other than the last quarterly fiscal period of each such fiscal year), duplicate copies of:</w:t>
      </w:r>
    </w:p>
    <w:p>
      <w:pPr>
        <w:spacing w:after="0" w:line="213" w:lineRule="exact"/>
        <w:rPr>
          <w:rFonts w:ascii="Arial" w:cs="Arial" w:eastAsia="Arial" w:hAnsi="Arial"/>
          <w:sz w:val="22"/>
          <w:szCs w:val="22"/>
          <w:color w:val="auto"/>
        </w:rPr>
      </w:pPr>
    </w:p>
    <w:p>
      <w:pPr>
        <w:ind w:left="1400" w:right="99" w:firstLine="649"/>
        <w:spacing w:after="0" w:line="251" w:lineRule="auto"/>
        <w:tabs>
          <w:tab w:leader="none" w:pos="2711"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at the end of such quarter, and</w:t>
      </w:r>
    </w:p>
    <w:p>
      <w:pPr>
        <w:spacing w:after="0" w:line="213" w:lineRule="exact"/>
        <w:rPr>
          <w:rFonts w:ascii="Arial" w:cs="Arial" w:eastAsia="Arial" w:hAnsi="Arial"/>
          <w:sz w:val="22"/>
          <w:szCs w:val="22"/>
          <w:color w:val="auto"/>
        </w:rPr>
      </w:pPr>
    </w:p>
    <w:p>
      <w:pPr>
        <w:jc w:val="both"/>
        <w:ind w:left="1400" w:right="99" w:firstLine="649"/>
        <w:spacing w:after="0" w:line="238" w:lineRule="auto"/>
        <w:tabs>
          <w:tab w:leader="none" w:pos="2704" w:val="left"/>
        </w:tabs>
        <w:numPr>
          <w:ilvl w:val="1"/>
          <w:numId w:val="24"/>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26" w:lineRule="exact"/>
        <w:rPr>
          <w:sz w:val="20"/>
          <w:szCs w:val="20"/>
          <w:color w:val="auto"/>
        </w:rPr>
      </w:pPr>
    </w:p>
    <w:p>
      <w:pPr>
        <w:jc w:val="both"/>
        <w:ind w:left="1400" w:right="99"/>
        <w:spacing w:after="0" w:line="248"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end adjustments;</w:t>
      </w:r>
    </w:p>
    <w:p>
      <w:pPr>
        <w:spacing w:after="0" w:line="216" w:lineRule="exact"/>
        <w:rPr>
          <w:sz w:val="20"/>
          <w:szCs w:val="20"/>
          <w:color w:val="auto"/>
        </w:rPr>
      </w:pPr>
    </w:p>
    <w:p>
      <w:pPr>
        <w:ind w:left="760" w:right="99" w:firstLine="641"/>
        <w:spacing w:after="0" w:line="251" w:lineRule="auto"/>
        <w:tabs>
          <w:tab w:leader="none" w:pos="2119"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13" w:lineRule="exact"/>
        <w:rPr>
          <w:rFonts w:ascii="Arial" w:cs="Arial" w:eastAsia="Arial" w:hAnsi="Arial"/>
          <w:sz w:val="22"/>
          <w:szCs w:val="22"/>
          <w:color w:val="auto"/>
        </w:rPr>
      </w:pPr>
    </w:p>
    <w:p>
      <w:pPr>
        <w:ind w:left="1400" w:right="99" w:firstLine="649"/>
        <w:spacing w:after="0" w:line="251" w:lineRule="auto"/>
        <w:tabs>
          <w:tab w:leader="none" w:pos="2725"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13" w:lineRule="exact"/>
        <w:rPr>
          <w:rFonts w:ascii="Arial" w:cs="Arial" w:eastAsia="Arial" w:hAnsi="Arial"/>
          <w:sz w:val="22"/>
          <w:szCs w:val="22"/>
          <w:color w:val="auto"/>
        </w:rPr>
      </w:pPr>
    </w:p>
    <w:p>
      <w:pPr>
        <w:ind w:left="1400" w:right="99" w:firstLine="649"/>
        <w:spacing w:after="0" w:line="251" w:lineRule="auto"/>
        <w:tabs>
          <w:tab w:leader="none" w:pos="2704" w:val="left"/>
        </w:tabs>
        <w:numPr>
          <w:ilvl w:val="1"/>
          <w:numId w:val="25"/>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00" w:lineRule="exact"/>
        <w:rPr>
          <w:sz w:val="20"/>
          <w:szCs w:val="20"/>
          <w:color w:val="auto"/>
        </w:rPr>
      </w:pPr>
    </w:p>
    <w:p>
      <w:pPr>
        <w:jc w:val="both"/>
        <w:ind w:left="1400" w:right="99"/>
        <w:spacing w:after="0" w:line="273" w:lineRule="auto"/>
        <w:rPr>
          <w:sz w:val="20"/>
          <w:szCs w:val="20"/>
          <w:color w:val="auto"/>
        </w:rPr>
      </w:pPr>
      <w:r>
        <w:rPr>
          <w:rFonts w:ascii="Arial" w:cs="Arial" w:eastAsia="Arial" w:hAnsi="Arial"/>
          <w:sz w:val="19"/>
          <w:szCs w:val="19"/>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pacing w:after="0" w:line="197" w:lineRule="exact"/>
        <w:rPr>
          <w:sz w:val="20"/>
          <w:szCs w:val="20"/>
          <w:color w:val="auto"/>
        </w:rPr>
      </w:pPr>
    </w:p>
    <w:p>
      <w:pPr>
        <w:jc w:val="both"/>
        <w:ind w:left="760" w:right="99" w:firstLine="641"/>
        <w:spacing w:after="0" w:line="287" w:lineRule="auto"/>
        <w:tabs>
          <w:tab w:leader="none" w:pos="2080"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w:t>
      </w:r>
      <w:r>
        <w:rPr>
          <w:rFonts w:ascii="Arial" w:cs="Arial" w:eastAsia="Arial" w:hAnsi="Arial"/>
          <w:sz w:val="19"/>
          <w:szCs w:val="19"/>
          <w:i w:val="1"/>
          <w:iCs w:val="1"/>
          <w:color w:val="auto"/>
        </w:rPr>
        <w:t xml:space="preserve"> </w:t>
      </w:r>
      <w:r>
        <w:rPr>
          <w:rFonts w:ascii="Arial" w:cs="Arial" w:eastAsia="Arial" w:hAnsi="Arial"/>
          <w:sz w:val="19"/>
          <w:szCs w:val="19"/>
          <w:color w:val="auto"/>
        </w:rPr>
        <w:t>of (i) each financial statement, report, notice, or proxy statement sent by the Company or any Subsidiary to its public securities holders generally, and (ii) each regular or periodic report, each registration statement that shall have become effective (without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type w:val="continuous"/>
        </w:sectPr>
      </w:pPr>
    </w:p>
    <w:bookmarkStart w:id="55" w:name="page56"/>
    <w:bookmarkEnd w:id="55"/>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ectPr>
          <w:pgSz w:w="11900" w:h="16838" w:orient="portrait"/>
          <w:cols w:equalWidth="0" w:num="1">
            <w:col w:w="9019"/>
          </w:cols>
          <w:pgMar w:left="1440" w:top="13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760" w:right="99"/>
        <w:spacing w:after="0" w:line="328" w:lineRule="auto"/>
        <w:rPr>
          <w:sz w:val="20"/>
          <w:szCs w:val="20"/>
          <w:color w:val="auto"/>
        </w:rPr>
      </w:pPr>
      <w:r>
        <w:rPr>
          <w:rFonts w:ascii="Arial" w:cs="Arial" w:eastAsia="Arial" w:hAnsi="Arial"/>
          <w:sz w:val="19"/>
          <w:szCs w:val="19"/>
          <w:color w:val="auto"/>
        </w:rPr>
        <w:t>exhibits except as expressly requested by the Purchaser or holder), and each final prospectus and all amendments thereto filed by the Company or any Subsidiary with the SEC;</w:t>
      </w:r>
    </w:p>
    <w:p>
      <w:pPr>
        <w:spacing w:after="0" w:line="132" w:lineRule="exact"/>
        <w:rPr>
          <w:sz w:val="20"/>
          <w:szCs w:val="20"/>
          <w:color w:val="auto"/>
        </w:rPr>
      </w:pPr>
    </w:p>
    <w:p>
      <w:pPr>
        <w:jc w:val="both"/>
        <w:ind w:left="760" w:right="99" w:firstLine="641"/>
        <w:spacing w:after="0" w:line="287" w:lineRule="auto"/>
        <w:tabs>
          <w:tab w:leader="none" w:pos="2281"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Notice of Default </w:t>
      </w:r>
      <w:r>
        <w:rPr>
          <w:rFonts w:ascii="Arial" w:cs="Arial" w:eastAsia="Arial" w:hAnsi="Arial"/>
          <w:sz w:val="19"/>
          <w:szCs w:val="19"/>
          <w:color w:val="auto"/>
        </w:rPr>
        <w:t>— promptly, and in any event within five days after a</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Responsible Officer becomes aware of the existence of any Default or completed default under the Indenture, a written notice specifying the nature and period of existence thereof and what action the Company is taking or proposes to take with respect thereto;</w:t>
      </w:r>
    </w:p>
    <w:p>
      <w:pPr>
        <w:spacing w:after="0" w:line="183" w:lineRule="exact"/>
        <w:rPr>
          <w:rFonts w:ascii="Arial" w:cs="Arial" w:eastAsia="Arial" w:hAnsi="Arial"/>
          <w:sz w:val="19"/>
          <w:szCs w:val="19"/>
          <w:color w:val="auto"/>
        </w:rPr>
      </w:pPr>
    </w:p>
    <w:p>
      <w:pPr>
        <w:jc w:val="both"/>
        <w:ind w:left="760" w:right="99" w:firstLine="641"/>
        <w:spacing w:after="0" w:line="238" w:lineRule="auto"/>
        <w:tabs>
          <w:tab w:leader="none" w:pos="2040"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a Responsible Officer becomes aware of any of the following, a written notice setting forth the nature thereof and the action, if any, that the Company or an ERISA Affiliate proposes to take with respect thereto:</w:t>
      </w:r>
    </w:p>
    <w:p>
      <w:pPr>
        <w:spacing w:after="0" w:line="225" w:lineRule="exact"/>
        <w:rPr>
          <w:rFonts w:ascii="Arial" w:cs="Arial" w:eastAsia="Arial" w:hAnsi="Arial"/>
          <w:sz w:val="22"/>
          <w:szCs w:val="22"/>
          <w:color w:val="auto"/>
        </w:rPr>
      </w:pPr>
    </w:p>
    <w:p>
      <w:pPr>
        <w:jc w:val="both"/>
        <w:ind w:left="1400" w:right="99" w:firstLine="649"/>
        <w:spacing w:after="0" w:line="236" w:lineRule="auto"/>
        <w:tabs>
          <w:tab w:leader="none" w:pos="2833"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and on the date of the Closing; or</w:t>
      </w:r>
    </w:p>
    <w:p>
      <w:pPr>
        <w:spacing w:after="0" w:line="214" w:lineRule="exact"/>
        <w:rPr>
          <w:rFonts w:ascii="Arial" w:cs="Arial" w:eastAsia="Arial" w:hAnsi="Arial"/>
          <w:sz w:val="22"/>
          <w:szCs w:val="22"/>
          <w:color w:val="auto"/>
        </w:rPr>
      </w:pPr>
    </w:p>
    <w:p>
      <w:pPr>
        <w:jc w:val="both"/>
        <w:ind w:left="1400" w:right="99" w:firstLine="649"/>
        <w:spacing w:after="0" w:line="235" w:lineRule="auto"/>
        <w:tabs>
          <w:tab w:leader="none" w:pos="2771"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228" w:lineRule="exact"/>
        <w:rPr>
          <w:rFonts w:ascii="Arial" w:cs="Arial" w:eastAsia="Arial" w:hAnsi="Arial"/>
          <w:sz w:val="22"/>
          <w:szCs w:val="22"/>
          <w:color w:val="auto"/>
        </w:rPr>
      </w:pPr>
    </w:p>
    <w:p>
      <w:pPr>
        <w:jc w:val="both"/>
        <w:ind w:left="1400" w:right="99" w:firstLine="649"/>
        <w:spacing w:after="0" w:line="246" w:lineRule="auto"/>
        <w:tabs>
          <w:tab w:leader="none" w:pos="2710" w:val="left"/>
        </w:tabs>
        <w:numPr>
          <w:ilvl w:val="1"/>
          <w:numId w:val="27"/>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21" w:lineRule="exact"/>
        <w:rPr>
          <w:rFonts w:ascii="Arial" w:cs="Arial" w:eastAsia="Arial" w:hAnsi="Arial"/>
          <w:sz w:val="21"/>
          <w:szCs w:val="21"/>
          <w:color w:val="auto"/>
        </w:rPr>
      </w:pPr>
    </w:p>
    <w:p>
      <w:pPr>
        <w:jc w:val="both"/>
        <w:ind w:left="760" w:right="99" w:firstLine="641"/>
        <w:spacing w:after="0" w:line="252" w:lineRule="auto"/>
        <w:tabs>
          <w:tab w:leader="none" w:pos="2056" w:val="left"/>
        </w:tabs>
        <w:numPr>
          <w:ilvl w:val="0"/>
          <w:numId w:val="27"/>
        </w:numPr>
        <w:rPr>
          <w:rFonts w:ascii="Arial" w:cs="Arial" w:eastAsia="Arial" w:hAnsi="Arial"/>
          <w:sz w:val="21"/>
          <w:szCs w:val="21"/>
          <w:color w:val="auto"/>
        </w:rPr>
      </w:pPr>
      <w:r>
        <w:rPr>
          <w:rFonts w:ascii="Arial" w:cs="Arial" w:eastAsia="Arial" w:hAnsi="Arial"/>
          <w:sz w:val="21"/>
          <w:szCs w:val="21"/>
          <w:i w:val="1"/>
          <w:iCs w:val="1"/>
          <w:color w:val="auto"/>
        </w:rPr>
        <w:t xml:space="preserve">Notices from Governmental Authority </w:t>
      </w:r>
      <w:r>
        <w:rPr>
          <w:rFonts w:ascii="Arial" w:cs="Arial" w:eastAsia="Arial" w:hAnsi="Arial"/>
          <w:sz w:val="21"/>
          <w:szCs w:val="21"/>
          <w:color w:val="auto"/>
        </w:rPr>
        <w:t>— promptly, and in any event within 30</w:t>
      </w:r>
      <w:r>
        <w:rPr>
          <w:rFonts w:ascii="Arial" w:cs="Arial" w:eastAsia="Arial" w:hAnsi="Arial"/>
          <w:sz w:val="21"/>
          <w:szCs w:val="21"/>
          <w:i w:val="1"/>
          <w:iCs w:val="1"/>
          <w:color w:val="auto"/>
        </w:rPr>
        <w:t xml:space="preserve"> </w:t>
      </w:r>
      <w:r>
        <w:rPr>
          <w:rFonts w:ascii="Arial" w:cs="Arial" w:eastAsia="Arial" w:hAnsi="Arial"/>
          <w:sz w:val="21"/>
          <w:szCs w:val="21"/>
          <w:color w:val="auto"/>
        </w:rPr>
        <w:t>days of receipt thereof, copies of any notice to the Company from any federal or state Governmental Authority relating to any order, ruling, statute or other law or regulation that could reasonably be expected to have a Material Adverse Effect;</w:t>
      </w:r>
    </w:p>
    <w:p>
      <w:pPr>
        <w:spacing w:after="0" w:line="201" w:lineRule="exact"/>
        <w:rPr>
          <w:rFonts w:ascii="Arial" w:cs="Arial" w:eastAsia="Arial" w:hAnsi="Arial"/>
          <w:sz w:val="21"/>
          <w:szCs w:val="21"/>
          <w:color w:val="auto"/>
        </w:rPr>
      </w:pPr>
    </w:p>
    <w:p>
      <w:pPr>
        <w:jc w:val="both"/>
        <w:ind w:left="760" w:right="99" w:firstLine="641"/>
        <w:spacing w:after="0" w:line="282" w:lineRule="auto"/>
        <w:tabs>
          <w:tab w:leader="none" w:pos="2038"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following the receipt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type w:val="continuous"/>
        </w:sectPr>
      </w:pPr>
    </w:p>
    <w:bookmarkStart w:id="56" w:name="page57"/>
    <w:bookmarkEnd w:id="56"/>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760" w:right="99"/>
        <w:spacing w:after="0" w:line="279" w:lineRule="auto"/>
        <w:rPr>
          <w:sz w:val="20"/>
          <w:szCs w:val="20"/>
          <w:color w:val="auto"/>
        </w:rPr>
      </w:pPr>
      <w:r>
        <w:rPr>
          <w:rFonts w:ascii="Arial" w:cs="Arial" w:eastAsia="Arial" w:hAnsi="Arial"/>
          <w:sz w:val="19"/>
          <w:szCs w:val="19"/>
          <w:color w:val="auto"/>
        </w:rPr>
        <w:t>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the Purchaser or holder of Bonds; and</w:t>
      </w:r>
    </w:p>
    <w:p>
      <w:pPr>
        <w:spacing w:after="0" w:line="178" w:lineRule="exact"/>
        <w:rPr>
          <w:sz w:val="20"/>
          <w:szCs w:val="20"/>
          <w:color w:val="auto"/>
        </w:rPr>
      </w:pPr>
    </w:p>
    <w:p>
      <w:pPr>
        <w:ind w:left="760" w:right="99" w:firstLine="641"/>
        <w:spacing w:after="0" w:line="274" w:lineRule="auto"/>
        <w:tabs>
          <w:tab w:leader="none" w:pos="2241"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 xml:space="preserve">Deliveries to Trustee </w:t>
      </w:r>
      <w:r>
        <w:rPr>
          <w:rFonts w:ascii="Arial" w:cs="Arial" w:eastAsia="Arial" w:hAnsi="Arial"/>
          <w:sz w:val="21"/>
          <w:szCs w:val="21"/>
          <w:color w:val="auto"/>
        </w:rPr>
        <w:t>— promptly, and in any event within five days after</w:t>
      </w:r>
      <w:r>
        <w:rPr>
          <w:rFonts w:ascii="Arial" w:cs="Arial" w:eastAsia="Arial" w:hAnsi="Arial"/>
          <w:sz w:val="21"/>
          <w:szCs w:val="21"/>
          <w:i w:val="1"/>
          <w:iCs w:val="1"/>
          <w:color w:val="auto"/>
        </w:rPr>
        <w:t xml:space="preserve"> </w:t>
      </w:r>
      <w:r>
        <w:rPr>
          <w:rFonts w:ascii="Arial" w:cs="Arial" w:eastAsia="Arial" w:hAnsi="Arial"/>
          <w:sz w:val="21"/>
          <w:szCs w:val="21"/>
          <w:color w:val="auto"/>
        </w:rPr>
        <w:t>delivery to the Trustee, a copy of any deliveries made by the Company to the Trustee.</w:t>
      </w:r>
    </w:p>
    <w:p>
      <w:pPr>
        <w:spacing w:after="0" w:line="191"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 or holder of Bonds pursuant to Section 7.1(a) or Section 7.1(b) shall be accompanied by a certificate of a Senior Financial Officer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completed default under the Indenture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Section 7.3. Visitation</w:t>
      </w:r>
      <w:r>
        <w:rPr>
          <w:rFonts w:ascii="Arial" w:cs="Arial" w:eastAsia="Arial" w:hAnsi="Arial"/>
          <w:sz w:val="22"/>
          <w:szCs w:val="22"/>
          <w:color w:val="auto"/>
        </w:rPr>
        <w:t>. The Company shall permit the representatives of the Purchaser</w:t>
      </w:r>
      <w:r>
        <w:rPr>
          <w:rFonts w:ascii="Arial" w:cs="Arial" w:eastAsia="Arial" w:hAnsi="Arial"/>
          <w:sz w:val="22"/>
          <w:szCs w:val="22"/>
          <w:i w:val="1"/>
          <w:iCs w:val="1"/>
          <w:color w:val="auto"/>
        </w:rPr>
        <w:t xml:space="preserve"> </w:t>
      </w:r>
      <w:r>
        <w:rPr>
          <w:rFonts w:ascii="Arial" w:cs="Arial" w:eastAsia="Arial" w:hAnsi="Arial"/>
          <w:sz w:val="22"/>
          <w:szCs w:val="22"/>
          <w:color w:val="auto"/>
        </w:rPr>
        <w:t>and each holder of Bonds that is an Institutional Investor:</w:t>
      </w:r>
    </w:p>
    <w:p>
      <w:pPr>
        <w:spacing w:after="0" w:line="200" w:lineRule="exact"/>
        <w:rPr>
          <w:sz w:val="20"/>
          <w:szCs w:val="20"/>
          <w:color w:val="auto"/>
        </w:rPr>
      </w:pPr>
    </w:p>
    <w:p>
      <w:pPr>
        <w:jc w:val="both"/>
        <w:ind w:left="760" w:right="99" w:firstLine="641"/>
        <w:spacing w:after="0" w:line="234" w:lineRule="auto"/>
        <w:tabs>
          <w:tab w:leader="none" w:pos="2202"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No Default </w:t>
      </w:r>
      <w:r>
        <w:rPr>
          <w:rFonts w:ascii="Arial" w:cs="Arial" w:eastAsia="Arial" w:hAnsi="Arial"/>
          <w:sz w:val="22"/>
          <w:szCs w:val="22"/>
          <w:color w:val="auto"/>
        </w:rPr>
        <w:t>— if no Default or completed default under the Indenture then</w:t>
      </w:r>
      <w:r>
        <w:rPr>
          <w:rFonts w:ascii="Arial" w:cs="Arial" w:eastAsia="Arial" w:hAnsi="Arial"/>
          <w:sz w:val="22"/>
          <w:szCs w:val="22"/>
          <w:i w:val="1"/>
          <w:iCs w:val="1"/>
          <w:color w:val="auto"/>
        </w:rPr>
        <w:t xml:space="preserve"> </w:t>
      </w:r>
      <w:r>
        <w:rPr>
          <w:rFonts w:ascii="Arial" w:cs="Arial" w:eastAsia="Arial" w:hAnsi="Arial"/>
          <w:sz w:val="22"/>
          <w:szCs w:val="22"/>
          <w:color w:val="auto"/>
        </w:rPr>
        <w:t>exists, at the expense of the Purchaser or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228" w:lineRule="exact"/>
        <w:rPr>
          <w:rFonts w:ascii="Arial" w:cs="Arial" w:eastAsia="Arial" w:hAnsi="Arial"/>
          <w:sz w:val="22"/>
          <w:szCs w:val="22"/>
          <w:color w:val="auto"/>
        </w:rPr>
      </w:pPr>
    </w:p>
    <w:p>
      <w:pPr>
        <w:jc w:val="both"/>
        <w:ind w:left="760" w:right="99" w:firstLine="641"/>
        <w:spacing w:after="0" w:line="246" w:lineRule="auto"/>
        <w:tabs>
          <w:tab w:leader="none" w:pos="2065" w:val="left"/>
        </w:tabs>
        <w:numPr>
          <w:ilvl w:val="0"/>
          <w:numId w:val="29"/>
        </w:numPr>
        <w:rPr>
          <w:rFonts w:ascii="Arial" w:cs="Arial" w:eastAsia="Arial" w:hAnsi="Arial"/>
          <w:sz w:val="21"/>
          <w:szCs w:val="21"/>
          <w:color w:val="auto"/>
        </w:rPr>
      </w:pPr>
      <w:r>
        <w:rPr>
          <w:rFonts w:ascii="Arial" w:cs="Arial" w:eastAsia="Arial" w:hAnsi="Arial"/>
          <w:sz w:val="21"/>
          <w:szCs w:val="21"/>
          <w:i w:val="1"/>
          <w:iCs w:val="1"/>
          <w:color w:val="auto"/>
        </w:rPr>
        <w:t xml:space="preserve">Default </w:t>
      </w:r>
      <w:r>
        <w:rPr>
          <w:rFonts w:ascii="Arial" w:cs="Arial" w:eastAsia="Arial" w:hAnsi="Arial"/>
          <w:sz w:val="21"/>
          <w:szCs w:val="21"/>
          <w:color w:val="auto"/>
        </w:rPr>
        <w:t>— if a Default or completed default under the Indenture then exists, at</w:t>
      </w:r>
      <w:r>
        <w:rPr>
          <w:rFonts w:ascii="Arial" w:cs="Arial" w:eastAsia="Arial" w:hAnsi="Arial"/>
          <w:sz w:val="21"/>
          <w:szCs w:val="21"/>
          <w:i w:val="1"/>
          <w:iCs w:val="1"/>
          <w:color w:val="auto"/>
        </w:rPr>
        <w:t xml:space="preserve"> </w:t>
      </w:r>
      <w:r>
        <w:rPr>
          <w:rFonts w:ascii="Arial" w:cs="Arial" w:eastAsia="Arial" w:hAnsi="Arial"/>
          <w:sz w:val="21"/>
          <w:szCs w:val="21"/>
          <w:color w:val="auto"/>
        </w:rPr>
        <w:t>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7" w:name="page58"/>
    <w:bookmarkEnd w:id="57"/>
    <w:tbl>
      <w:tblPr>
        <w:tblLayout w:type="fixed"/>
        <w:tblInd w:w="100" w:type="dxa"/>
        <w:tblCellMar>
          <w:top w:w="0" w:type="dxa"/>
          <w:left w:w="0" w:type="dxa"/>
          <w:bottom w:w="0" w:type="dxa"/>
          <w:right w:w="0" w:type="dxa"/>
        </w:tblCellMar>
      </w:tblPr>
      <w:tr>
        <w:trPr>
          <w:trHeight w:val="288"/>
        </w:trPr>
        <w:tc>
          <w:tcPr>
            <w:tcW w:w="4940" w:type="dxa"/>
            <w:vAlign w:val="bottom"/>
            <w:gridSpan w:val="2"/>
          </w:tcPr>
          <w:p>
            <w:pPr>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tc>
        <w:tc>
          <w:tcPr>
            <w:tcW w:w="3880" w:type="dxa"/>
            <w:vAlign w:val="bottom"/>
          </w:tcPr>
          <w:p>
            <w:pPr>
              <w:ind w:left="1560"/>
              <w:spacing w:after="0"/>
              <w:rPr>
                <w:sz w:val="20"/>
                <w:szCs w:val="20"/>
                <w:color w:val="auto"/>
              </w:rPr>
            </w:pPr>
            <w:r>
              <w:rPr>
                <w:rFonts w:ascii="Arial" w:cs="Arial" w:eastAsia="Arial" w:hAnsi="Arial"/>
                <w:sz w:val="22"/>
                <w:szCs w:val="22"/>
                <w:color w:val="auto"/>
                <w:w w:val="87"/>
              </w:rPr>
              <w:t>Bond Purchase Agreement</w:t>
            </w:r>
          </w:p>
        </w:tc>
      </w:tr>
      <w:tr>
        <w:trPr>
          <w:trHeight w:val="770"/>
        </w:trPr>
        <w:tc>
          <w:tcPr>
            <w:tcW w:w="118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p>
        </w:tc>
        <w:tc>
          <w:tcPr>
            <w:tcW w:w="3760" w:type="dxa"/>
            <w:vAlign w:val="bottom"/>
          </w:tcPr>
          <w:p>
            <w:pPr>
              <w:ind w:left="200"/>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URCHASE OF</w:t>
            </w:r>
            <w:r>
              <w:rPr>
                <w:rFonts w:ascii="Arial" w:cs="Arial" w:eastAsia="Arial" w:hAnsi="Arial"/>
                <w:sz w:val="22"/>
                <w:szCs w:val="22"/>
                <w:color w:val="auto"/>
              </w:rPr>
              <w:t xml:space="preserve"> B</w:t>
            </w:r>
            <w:r>
              <w:rPr>
                <w:rFonts w:ascii="Arial" w:cs="Arial" w:eastAsia="Arial" w:hAnsi="Arial"/>
                <w:sz w:val="18"/>
                <w:szCs w:val="18"/>
                <w:color w:val="auto"/>
              </w:rPr>
              <w:t>ONDS</w:t>
            </w:r>
          </w:p>
        </w:tc>
        <w:tc>
          <w:tcPr>
            <w:tcW w:w="3880" w:type="dxa"/>
            <w:vAlign w:val="bottom"/>
          </w:tcPr>
          <w:p>
            <w:pPr>
              <w:spacing w:after="0"/>
              <w:rPr>
                <w:sz w:val="24"/>
                <w:szCs w:val="24"/>
                <w:color w:val="auto"/>
              </w:rPr>
            </w:pPr>
          </w:p>
        </w:tc>
      </w:tr>
    </w:tbl>
    <w:p>
      <w:pPr>
        <w:spacing w:after="0" w:line="239"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00" w:lineRule="exact"/>
        <w:rPr>
          <w:sz w:val="20"/>
          <w:szCs w:val="20"/>
          <w:color w:val="auto"/>
        </w:rPr>
      </w:pPr>
    </w:p>
    <w:p>
      <w:pPr>
        <w:spacing w:after="0" w:line="280"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FFIRMATIVE</w:t>
      </w:r>
      <w:r>
        <w:rPr>
          <w:rFonts w:ascii="Arial" w:cs="Arial" w:eastAsia="Arial" w:hAnsi="Arial"/>
          <w:sz w:val="22"/>
          <w:szCs w:val="22"/>
          <w:color w:val="auto"/>
        </w:rPr>
        <w:t xml:space="preserve"> C</w:t>
      </w:r>
      <w:r>
        <w:rPr>
          <w:rFonts w:ascii="Arial" w:cs="Arial" w:eastAsia="Arial" w:hAnsi="Arial"/>
          <w:sz w:val="18"/>
          <w:szCs w:val="18"/>
          <w:color w:val="auto"/>
        </w:rPr>
        <w:t>OVENANTS</w:t>
      </w:r>
      <w:r>
        <w:rPr>
          <w:rFonts w:ascii="Arial" w:cs="Arial" w:eastAsia="Arial" w:hAnsi="Arial"/>
          <w:sz w:val="22"/>
          <w:szCs w:val="22"/>
          <w:color w:val="auto"/>
        </w:rPr>
        <w: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covenants that so long as any of the Bonds are outstanding:</w:t>
      </w:r>
    </w:p>
    <w:p>
      <w:pPr>
        <w:spacing w:after="0" w:line="247"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 Section 10.4, the Company will,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cause each 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16"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i w:val="1"/>
          <w:iCs w:val="1"/>
          <w:color w:val="auto"/>
        </w:rPr>
        <w:t>Section 9.2. Insurance</w:t>
      </w:r>
      <w:r>
        <w:rPr>
          <w:rFonts w:ascii="Arial" w:cs="Arial" w:eastAsia="Arial" w:hAnsi="Arial"/>
          <w:sz w:val="21"/>
          <w:szCs w:val="21"/>
          <w:color w:val="auto"/>
        </w:rPr>
        <w:t>. The Company will cause each of its Subsidiaries to maintain, with</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8"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9.3 shall not prevent any Subsidiary from discontinuing the operation and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8" w:name="page59"/>
    <w:bookmarkEnd w:id="58"/>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9"/>
          <w:szCs w:val="19"/>
          <w:color w:val="auto"/>
        </w:rPr>
        <w:t>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61"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202"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Section 9.5. Corporate Existence, Etc</w:t>
      </w:r>
      <w:r>
        <w:rPr>
          <w:rFonts w:ascii="Arial" w:cs="Arial" w:eastAsia="Arial" w:hAnsi="Arial"/>
          <w:sz w:val="21"/>
          <w:szCs w:val="21"/>
          <w:color w:val="auto"/>
        </w:rPr>
        <w:t>. The Company will at all times preserve and keep</w:t>
      </w:r>
      <w:r>
        <w:rPr>
          <w:rFonts w:ascii="Arial" w:cs="Arial" w:eastAsia="Arial" w:hAnsi="Arial"/>
          <w:sz w:val="21"/>
          <w:szCs w:val="21"/>
          <w:i w:val="1"/>
          <w:iCs w:val="1"/>
          <w:color w:val="auto"/>
        </w:rPr>
        <w:t xml:space="preserve"> </w:t>
      </w:r>
      <w:r>
        <w:rPr>
          <w:rFonts w:ascii="Arial" w:cs="Arial" w:eastAsia="Arial" w:hAnsi="Arial"/>
          <w:sz w:val="21"/>
          <w:szCs w:val="21"/>
          <w:color w:val="auto"/>
        </w:rPr>
        <w:t>in full force and effect the corporate existence of each of its Subsidiaries (unless merged into the Company or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30"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9.6. Books and Records</w:t>
      </w:r>
      <w:r>
        <w:rPr>
          <w:rFonts w:ascii="Arial" w:cs="Arial" w:eastAsia="Arial" w:hAnsi="Arial"/>
          <w:sz w:val="22"/>
          <w:szCs w:val="22"/>
          <w:color w:val="auto"/>
        </w:rPr>
        <w:t>. The Company will, and will cause each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to, maintain proper books of record and account in conformity with GAAP and all applicable requirements of any Governmental Authority having legal or regulatory jurisdiction over the Company or such Subsidiary.</w:t>
      </w:r>
    </w:p>
    <w:p>
      <w:pPr>
        <w:spacing w:after="0" w:line="253"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covenants that so long as any of the Bonds are outstanding:</w:t>
      </w:r>
    </w:p>
    <w:p>
      <w:pPr>
        <w:spacing w:after="0" w:line="233"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29"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w:t>
      </w:r>
      <w:r>
        <w:rPr>
          <w:rFonts w:ascii="Arial" w:cs="Arial" w:eastAsia="Arial" w:hAnsi="Arial"/>
          <w:sz w:val="22"/>
          <w:szCs w:val="22"/>
          <w:i w:val="1"/>
          <w:iCs w:val="1"/>
          <w:color w:val="auto"/>
        </w:rPr>
        <w:t xml:space="preserve"> </w:t>
      </w:r>
      <w:r>
        <w:rPr>
          <w:rFonts w:ascii="Arial" w:cs="Arial" w:eastAsia="Arial" w:hAnsi="Arial"/>
          <w:sz w:val="22"/>
          <w:szCs w:val="22"/>
          <w:color w:val="auto"/>
        </w:rPr>
        <w:t>merge with 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760" w:right="99" w:firstLine="641"/>
        <w:spacing w:after="0" w:line="297" w:lineRule="auto"/>
        <w:tabs>
          <w:tab w:leader="none" w:pos="2107"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9" w:name="page60"/>
    <w:bookmarkEnd w:id="59"/>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760" w:right="99"/>
        <w:spacing w:after="0" w:line="273" w:lineRule="auto"/>
        <w:rPr>
          <w:sz w:val="20"/>
          <w:szCs w:val="20"/>
          <w:color w:val="auto"/>
        </w:rPr>
      </w:pPr>
      <w:r>
        <w:rPr>
          <w:rFonts w:ascii="Arial" w:cs="Arial" w:eastAsia="Arial" w:hAnsi="Arial"/>
          <w:sz w:val="19"/>
          <w:szCs w:val="19"/>
          <w:color w:val="auto"/>
        </w:rPr>
        <w:t>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89" w:lineRule="exact"/>
        <w:rPr>
          <w:sz w:val="20"/>
          <w:szCs w:val="20"/>
          <w:color w:val="auto"/>
        </w:rPr>
      </w:pPr>
    </w:p>
    <w:p>
      <w:pPr>
        <w:ind w:left="760" w:right="99" w:firstLine="641"/>
        <w:spacing w:after="0" w:line="328" w:lineRule="auto"/>
        <w:tabs>
          <w:tab w:leader="none" w:pos="207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immediately before and immediately after giving effect to such transaction, no Default or completed default under the Indenture shall have occurred and be continuing.</w:t>
      </w:r>
    </w:p>
    <w:p>
      <w:pPr>
        <w:spacing w:after="0" w:line="14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226" w:lineRule="exact"/>
        <w:rPr>
          <w:sz w:val="20"/>
          <w:szCs w:val="20"/>
          <w:color w:val="auto"/>
        </w:rPr>
      </w:pPr>
    </w:p>
    <w:p>
      <w:pPr>
        <w:jc w:val="both"/>
        <w:ind w:left="100" w:right="99" w:firstLine="648"/>
        <w:spacing w:after="0" w:line="252" w:lineRule="auto"/>
        <w:rPr>
          <w:sz w:val="20"/>
          <w:szCs w:val="20"/>
          <w:color w:val="auto"/>
        </w:rPr>
      </w:pPr>
      <w:r>
        <w:rPr>
          <w:rFonts w:ascii="Arial" w:cs="Arial" w:eastAsia="Arial" w:hAnsi="Arial"/>
          <w:sz w:val="21"/>
          <w:szCs w:val="21"/>
          <w:i w:val="1"/>
          <w:iCs w:val="1"/>
          <w:color w:val="auto"/>
        </w:rPr>
        <w:t>Section 10.3. Line of Business</w:t>
      </w:r>
      <w:r>
        <w:rPr>
          <w:rFonts w:ascii="Arial" w:cs="Arial" w:eastAsia="Arial" w:hAnsi="Arial"/>
          <w:sz w:val="21"/>
          <w:szCs w:val="21"/>
          <w:color w:val="auto"/>
        </w:rPr>
        <w:t>. The Company will not engage in any business if, as a</w:t>
      </w:r>
      <w:r>
        <w:rPr>
          <w:rFonts w:ascii="Arial" w:cs="Arial" w:eastAsia="Arial" w:hAnsi="Arial"/>
          <w:sz w:val="21"/>
          <w:szCs w:val="21"/>
          <w:i w:val="1"/>
          <w:iCs w:val="1"/>
          <w:color w:val="auto"/>
        </w:rPr>
        <w:t xml:space="preserve"> </w:t>
      </w:r>
      <w:r>
        <w:rPr>
          <w:rFonts w:ascii="Arial" w:cs="Arial" w:eastAsia="Arial" w:hAnsi="Arial"/>
          <w:sz w:val="21"/>
          <w:szCs w:val="21"/>
          <w:color w:val="auto"/>
        </w:rPr>
        <w:t>result, the general nature of the business in which the Company and its Subsidiaries, taken as a whole, would then be engaged would be substantially changed from the general nature of the business in which the Company is engaged on the date of this Agreement.</w:t>
      </w:r>
    </w:p>
    <w:p>
      <w:pPr>
        <w:spacing w:after="0" w:line="201" w:lineRule="exact"/>
        <w:rPr>
          <w:sz w:val="20"/>
          <w:szCs w:val="20"/>
          <w:color w:val="auto"/>
        </w:rPr>
      </w:pPr>
    </w:p>
    <w:p>
      <w:pPr>
        <w:jc w:val="both"/>
        <w:ind w:left="100" w:right="99" w:firstLine="648"/>
        <w:spacing w:after="0" w:line="234" w:lineRule="auto"/>
        <w:rPr>
          <w:sz w:val="20"/>
          <w:szCs w:val="20"/>
          <w:color w:val="auto"/>
        </w:rPr>
      </w:pPr>
      <w:r>
        <w:rPr>
          <w:rFonts w:ascii="Arial" w:cs="Arial" w:eastAsia="Arial" w:hAnsi="Arial"/>
          <w:sz w:val="22"/>
          <w:szCs w:val="22"/>
          <w:i w:val="1"/>
          <w:iCs w:val="1"/>
          <w:color w:val="auto"/>
        </w:rPr>
        <w:t xml:space="preserve">Section 10.4. Economic Sanctions, Etc.. </w:t>
      </w:r>
      <w:r>
        <w:rPr>
          <w:rFonts w:ascii="Arial" w:cs="Arial" w:eastAsia="Arial" w:hAnsi="Arial"/>
          <w:sz w:val="22"/>
          <w:szCs w:val="22"/>
          <w:color w:val="auto"/>
        </w:rPr>
        <w:t>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69" w:lineRule="exact"/>
        <w:rPr>
          <w:sz w:val="20"/>
          <w:szCs w:val="20"/>
          <w:color w:val="auto"/>
        </w:rPr>
      </w:pPr>
    </w:p>
    <w:p>
      <w:pPr>
        <w:ind w:left="100"/>
        <w:spacing w:after="0"/>
        <w:tabs>
          <w:tab w:leader="none" w:pos="15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color w:val="auto"/>
        </w:rPr>
        <w:t>So long as the Purchaser or its nominee shall be the 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Whole Amount or premium, if any, and interest by the method and at the address specified for such purpose below the Purchaser’s name in Schedule A, or by such other method or at such other address as the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the Purchaser shall surrender such Bond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0" w:name="page61"/>
    <w:bookmarkEnd w:id="60"/>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74" w:lineRule="auto"/>
        <w:rPr>
          <w:sz w:val="20"/>
          <w:szCs w:val="20"/>
          <w:color w:val="auto"/>
        </w:rPr>
      </w:pPr>
      <w:r>
        <w:rPr>
          <w:rFonts w:ascii="Arial" w:cs="Arial" w:eastAsia="Arial" w:hAnsi="Arial"/>
          <w:sz w:val="19"/>
          <w:szCs w:val="19"/>
          <w:color w:val="auto"/>
        </w:rPr>
        <w:t>cancellation, reasonably promptly after any such request, to the Company at its principal executive office or at the place of payment most recently designated by the Company pursuant to Article II of the Indenture. Prior to any sale or other disposition of any Bond held by the Purchaser or its nominee, the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Section 11 to any Institutional Investor that is the direct or indirect transferee of any Bond purchased by the Purchaser under this Agreement and that has made the same agreement relating to such Bond as the Purchaser has made in this Section 11.</w:t>
      </w:r>
    </w:p>
    <w:p>
      <w:pPr>
        <w:spacing w:after="0" w:line="227"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EGISTRATION</w:t>
      </w:r>
      <w:r>
        <w:rPr>
          <w:rFonts w:ascii="Arial" w:cs="Arial" w:eastAsia="Arial" w:hAnsi="Arial"/>
          <w:sz w:val="19"/>
          <w:szCs w:val="19"/>
          <w:color w:val="auto"/>
        </w:rPr>
        <w:t>; E</w:t>
      </w:r>
      <w:r>
        <w:rPr>
          <w:rFonts w:ascii="Arial" w:cs="Arial" w:eastAsia="Arial" w:hAnsi="Arial"/>
          <w:sz w:val="16"/>
          <w:szCs w:val="16"/>
          <w:color w:val="auto"/>
        </w:rPr>
        <w:t>XCHANGE</w:t>
      </w:r>
      <w:r>
        <w:rPr>
          <w:rFonts w:ascii="Arial" w:cs="Arial" w:eastAsia="Arial" w:hAnsi="Arial"/>
          <w:sz w:val="19"/>
          <w:szCs w:val="19"/>
          <w:color w:val="auto"/>
        </w:rPr>
        <w:t>; E</w:t>
      </w:r>
      <w:r>
        <w:rPr>
          <w:rFonts w:ascii="Arial" w:cs="Arial" w:eastAsia="Arial" w:hAnsi="Arial"/>
          <w:sz w:val="16"/>
          <w:szCs w:val="16"/>
          <w:color w:val="auto"/>
        </w:rPr>
        <w:t>XPENSES</w:t>
      </w:r>
      <w:r>
        <w:rPr>
          <w:rFonts w:ascii="Arial" w:cs="Arial" w:eastAsia="Arial" w:hAnsi="Arial"/>
          <w:sz w:val="19"/>
          <w:szCs w:val="19"/>
          <w:color w:val="auto"/>
        </w:rPr>
        <w:t>, E</w:t>
      </w:r>
      <w:r>
        <w:rPr>
          <w:rFonts w:ascii="Arial" w:cs="Arial" w:eastAsia="Arial" w:hAnsi="Arial"/>
          <w:sz w:val="16"/>
          <w:szCs w:val="16"/>
          <w:color w:val="auto"/>
        </w:rPr>
        <w:t>TC</w:t>
      </w:r>
      <w:r>
        <w:rPr>
          <w:rFonts w:ascii="Arial" w:cs="Arial" w:eastAsia="Arial" w:hAnsi="Arial"/>
          <w:sz w:val="19"/>
          <w:szCs w:val="19"/>
          <w:color w:val="auto"/>
        </w:rPr>
        <w:t>.</w:t>
      </w:r>
    </w:p>
    <w:p>
      <w:pPr>
        <w:spacing w:after="0" w:line="260"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Section 12.1. Registration of Bonds</w:t>
      </w:r>
      <w:r>
        <w:rPr>
          <w:rFonts w:ascii="Arial" w:cs="Arial" w:eastAsia="Arial" w:hAnsi="Arial"/>
          <w:sz w:val="22"/>
          <w:szCs w:val="22"/>
          <w:color w:val="auto"/>
        </w:rPr>
        <w:t>. The Company shall cause the Trustee to keep a</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 for the registration and registration of transfers of Bonds in accordance with Article II of the Indenture.</w:t>
      </w:r>
    </w:p>
    <w:p>
      <w:pPr>
        <w:spacing w:after="0" w:line="213"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w:t>
      </w:r>
      <w:r>
        <w:rPr>
          <w:rFonts w:ascii="Arial" w:cs="Arial" w:eastAsia="Arial" w:hAnsi="Arial"/>
          <w:sz w:val="19"/>
          <w:szCs w:val="19"/>
          <w:i w:val="1"/>
          <w:iCs w:val="1"/>
          <w:color w:val="auto"/>
        </w:rPr>
        <w:t xml:space="preserve"> </w:t>
      </w:r>
      <w:r>
        <w:rPr>
          <w:rFonts w:ascii="Arial" w:cs="Arial" w:eastAsia="Arial" w:hAnsi="Arial"/>
          <w:sz w:val="19"/>
          <w:szCs w:val="19"/>
          <w:color w:val="auto"/>
        </w:rPr>
        <w:t>are consummated, the Company will pay all reasonable costs and expenses (including reasonable attorneys’ fees of a special counsel and, if reasonably required by the Required Holders, local or other counsel) incurred by the Purchaser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the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$9,000 for the Bonds. The Company will pay, and will save the Purchaser and each other holder of a Bond harmless from, all claims in respect of any fees, costs or expenses if any, of brokers and finders (other than those, if any, retained by the Purchaser or other holder in connection with its purchase of the Bonds).</w:t>
      </w:r>
    </w:p>
    <w:p>
      <w:pPr>
        <w:spacing w:after="0" w:line="200" w:lineRule="exact"/>
        <w:rPr>
          <w:sz w:val="20"/>
          <w:szCs w:val="20"/>
          <w:color w:val="auto"/>
        </w:rPr>
      </w:pPr>
    </w:p>
    <w:p>
      <w:pPr>
        <w:spacing w:after="0" w:line="251"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i w:val="1"/>
          <w:iCs w:val="1"/>
          <w:color w:val="auto"/>
        </w:rPr>
        <w:t>Section 12.3. Survival</w:t>
      </w:r>
      <w:r>
        <w:rPr>
          <w:rFonts w:ascii="Arial" w:cs="Arial" w:eastAsia="Arial" w:hAnsi="Arial"/>
          <w:sz w:val="21"/>
          <w:szCs w:val="21"/>
          <w:color w:val="auto"/>
        </w:rPr>
        <w:t>. The obligations of the Company under this Section 12 will survive</w:t>
      </w:r>
      <w:r>
        <w:rPr>
          <w:rFonts w:ascii="Arial" w:cs="Arial" w:eastAsia="Arial" w:hAnsi="Arial"/>
          <w:sz w:val="21"/>
          <w:szCs w:val="21"/>
          <w:i w:val="1"/>
          <w:iCs w:val="1"/>
          <w:color w:val="auto"/>
        </w:rPr>
        <w:t xml:space="preserve"> </w:t>
      </w:r>
      <w:r>
        <w:rPr>
          <w:rFonts w:ascii="Arial" w:cs="Arial" w:eastAsia="Arial" w:hAnsi="Arial"/>
          <w:sz w:val="21"/>
          <w:szCs w:val="21"/>
          <w:color w:val="auto"/>
        </w:rPr>
        <w:t>the payment or transfer of any Bond, the enforcement, amendment or waiver of any provision of any Financing Agreement, and the termination of any Financing Agreement.</w:t>
      </w:r>
    </w:p>
    <w:p>
      <w:pPr>
        <w:spacing w:after="0" w:line="234"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color w:val="auto"/>
        </w:rPr>
        <w:t>All representations and warranties contained herein shall survive the execution and delivery of this Agreement, the purchase or transfer by the Purchaser of any Bond or portion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1" w:name="page62"/>
    <w:bookmarkEnd w:id="61"/>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9"/>
          <w:szCs w:val="19"/>
          <w:color w:val="auto"/>
        </w:rPr>
        <w:t>thereof or interest therein and the payment of any Bond, and may be relied upon by any subsequent holder of a Bond, regardless of any investigation made at any time by or on behalf of the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the Purchaser and the Company and supersede all prior agreements and understandings relating to the subject matter hereof.</w:t>
      </w:r>
    </w:p>
    <w:p>
      <w:pPr>
        <w:spacing w:after="0" w:line="220"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r>
        <w:rPr>
          <w:rFonts w:ascii="Arial" w:cs="Arial" w:eastAsia="Arial" w:hAnsi="Arial"/>
          <w:sz w:val="22"/>
          <w:szCs w:val="22"/>
          <w:color w:val="auto"/>
        </w:rPr>
        <w:t>.</w:t>
      </w:r>
    </w:p>
    <w:p>
      <w:pPr>
        <w:spacing w:after="0" w:line="260"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i w:val="1"/>
          <w:iCs w:val="1"/>
          <w:color w:val="auto"/>
        </w:rPr>
        <w:t>Section 14.1. Requirements</w:t>
      </w:r>
      <w:r>
        <w:rPr>
          <w:rFonts w:ascii="Arial" w:cs="Arial" w:eastAsia="Arial" w:hAnsi="Arial"/>
          <w:sz w:val="19"/>
          <w:szCs w:val="19"/>
          <w:color w:val="auto"/>
        </w:rPr>
        <w:t>. This Agreement and the Bonds may be amended,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observance of any term hereof or of the Bonds may be waived (either retroactively or prospectively), with (and only with) the written consent of the Company and the Required Holders, except that (i) no amendment or waiver of any of the provisions of Section 1, 2, 3, 4, 5, 6 or 19 hereof, or any defined term, will be effective as to any holder of Bonds unless consented to by such holder of Bonds in writing, and (ii) no such amendment or waiver may, without the written consent of the Purchaser and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w:t>
      </w:r>
    </w:p>
    <w:p>
      <w:pPr>
        <w:ind w:left="100" w:right="99" w:firstLine="5"/>
        <w:spacing w:after="0" w:line="308" w:lineRule="auto"/>
        <w:tabs>
          <w:tab w:leader="none" w:pos="443" w:val="left"/>
        </w:tabs>
        <w:numPr>
          <w:ilvl w:val="0"/>
          <w:numId w:val="32"/>
        </w:numPr>
        <w:rPr>
          <w:rFonts w:ascii="Arial" w:cs="Arial" w:eastAsia="Arial" w:hAnsi="Arial"/>
          <w:sz w:val="19"/>
          <w:szCs w:val="19"/>
          <w:color w:val="auto"/>
        </w:rPr>
      </w:pPr>
      <w:r>
        <w:rPr>
          <w:rFonts w:ascii="Arial" w:cs="Arial" w:eastAsia="Arial" w:hAnsi="Arial"/>
          <w:sz w:val="19"/>
          <w:szCs w:val="19"/>
          <w:color w:val="auto"/>
        </w:rPr>
        <w:t>change the percentage of the principal amount of the Bonds the Purchaser or holders of which are required to consent to any such amendment or waiver, or (C) amend any of Sections 8, 14 or 18.</w:t>
      </w:r>
    </w:p>
    <w:p>
      <w:pPr>
        <w:spacing w:after="0" w:line="150"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653"/>
        <w:spacing w:after="0" w:line="245" w:lineRule="auto"/>
        <w:tabs>
          <w:tab w:leader="none" w:pos="1623"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Solicitation. </w:t>
      </w:r>
      <w:r>
        <w:rPr>
          <w:rFonts w:ascii="Arial" w:cs="Arial" w:eastAsia="Arial" w:hAnsi="Arial"/>
          <w:sz w:val="21"/>
          <w:szCs w:val="21"/>
          <w:color w:val="auto"/>
        </w:rPr>
        <w:t>The Company will provide the Purchaser and holder of the Bonds</w:t>
      </w:r>
      <w:r>
        <w:rPr>
          <w:rFonts w:ascii="Arial" w:cs="Arial" w:eastAsia="Arial" w:hAnsi="Arial"/>
          <w:sz w:val="21"/>
          <w:szCs w:val="21"/>
          <w:i w:val="1"/>
          <w:iCs w:val="1"/>
          <w:color w:val="auto"/>
        </w:rPr>
        <w:t xml:space="preserve"> </w:t>
      </w:r>
      <w:r>
        <w:rPr>
          <w:rFonts w:ascii="Arial" w:cs="Arial" w:eastAsia="Arial" w:hAnsi="Arial"/>
          <w:sz w:val="21"/>
          <w:szCs w:val="21"/>
          <w:color w:val="auto"/>
        </w:rPr>
        <w:t>(irrespective of the amount of Bonds then owned by it) with sufficient information, sufficiently far in advance of the date a decision is required, to enable the Purchaser or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Section 14 to the Purchaser and each holder of outstanding Bonds promptly following the date on which it is executed and delivered by, or receives the consent or approval of, the Purchaser or the requisite holders of Bonds.</w:t>
      </w:r>
    </w:p>
    <w:p>
      <w:pPr>
        <w:spacing w:after="0" w:line="225" w:lineRule="exact"/>
        <w:rPr>
          <w:rFonts w:ascii="Arial" w:cs="Arial" w:eastAsia="Arial" w:hAnsi="Arial"/>
          <w:sz w:val="21"/>
          <w:szCs w:val="21"/>
          <w:color w:val="auto"/>
        </w:rPr>
      </w:pPr>
    </w:p>
    <w:p>
      <w:pPr>
        <w:jc w:val="both"/>
        <w:ind w:left="100" w:right="99" w:firstLine="653"/>
        <w:spacing w:after="0" w:line="245" w:lineRule="auto"/>
        <w:tabs>
          <w:tab w:leader="none" w:pos="1513"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Payment. </w:t>
      </w:r>
      <w:r>
        <w:rPr>
          <w:rFonts w:ascii="Arial" w:cs="Arial" w:eastAsia="Arial" w:hAnsi="Arial"/>
          <w:sz w:val="21"/>
          <w:szCs w:val="21"/>
          <w:color w:val="auto"/>
        </w:rPr>
        <w:t>The Company will not directly or indirectly pay or cause to be paid any</w:t>
      </w:r>
      <w:r>
        <w:rPr>
          <w:rFonts w:ascii="Arial" w:cs="Arial" w:eastAsia="Arial" w:hAnsi="Arial"/>
          <w:sz w:val="21"/>
          <w:szCs w:val="21"/>
          <w:i w:val="1"/>
          <w:iCs w:val="1"/>
          <w:color w:val="auto"/>
        </w:rPr>
        <w:t xml:space="preserve"> </w:t>
      </w:r>
      <w:r>
        <w:rPr>
          <w:rFonts w:ascii="Arial" w:cs="Arial" w:eastAsia="Arial" w:hAnsi="Arial"/>
          <w:sz w:val="21"/>
          <w:szCs w:val="21"/>
          <w:color w:val="auto"/>
        </w:rPr>
        <w:t>remuneration, whether by way of supplemental or additional interest, fee or otherwise (other than legal fees or other related expenses), or grant any security or provide other credit support, to the Purchaser or holder of Bonds as consideration for or as an inducement to the entering into by the Purchaser or any holder of Bonds of any waiver or amendment of any of the terms and provisions hereof or of the Bonds unless such remuneration is concurrently paid, or security is concurrently granted or other credit support concurrently provided, on the same terms, ratably to the Purchaser and each holder of Bonds then outstanding even if the Purchaser or holder did not consent to such waiver or amendment.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2" w:name="page63"/>
    <w:bookmarkEnd w:id="62"/>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53"/>
        <w:spacing w:after="0" w:line="276" w:lineRule="auto"/>
        <w:tabs>
          <w:tab w:leader="none" w:pos="1420" w:val="left"/>
        </w:tabs>
        <w:numPr>
          <w:ilvl w:val="1"/>
          <w:numId w:val="34"/>
        </w:numPr>
        <w:rPr>
          <w:rFonts w:ascii="Arial" w:cs="Arial" w:eastAsia="Arial" w:hAnsi="Arial"/>
          <w:sz w:val="19"/>
          <w:szCs w:val="19"/>
          <w:color w:val="auto"/>
        </w:rPr>
      </w:pPr>
      <w:r>
        <w:rPr>
          <w:rFonts w:ascii="Arial" w:cs="Arial" w:eastAsia="Arial" w:hAnsi="Arial"/>
          <w:sz w:val="19"/>
          <w:szCs w:val="19"/>
          <w:i w:val="1"/>
          <w:iCs w:val="1"/>
          <w:color w:val="auto"/>
        </w:rPr>
        <w:t>Consent in Contemplation of Transfer</w:t>
      </w:r>
      <w:r>
        <w:rPr>
          <w:rFonts w:ascii="Arial" w:cs="Arial" w:eastAsia="Arial" w:hAnsi="Arial"/>
          <w:sz w:val="19"/>
          <w:szCs w:val="19"/>
          <w:color w:val="auto"/>
        </w:rPr>
        <w:t>. Any consent made pursuant to this Section 14</w:t>
      </w:r>
      <w:r>
        <w:rPr>
          <w:rFonts w:ascii="Arial" w:cs="Arial" w:eastAsia="Arial" w:hAnsi="Arial"/>
          <w:sz w:val="19"/>
          <w:szCs w:val="19"/>
          <w:i w:val="1"/>
          <w:iCs w:val="1"/>
          <w:color w:val="auto"/>
        </w:rPr>
        <w:t xml:space="preserve"> </w:t>
      </w:r>
      <w:r>
        <w:rPr>
          <w:rFonts w:ascii="Arial" w:cs="Arial" w:eastAsia="Arial" w:hAnsi="Arial"/>
          <w:sz w:val="19"/>
          <w:szCs w:val="19"/>
          <w:color w:val="auto"/>
        </w:rPr>
        <w:t>by a holder of Bonds that has transferred or has agreed to transfer its Bonds to (i) the Company,</w:t>
      </w:r>
    </w:p>
    <w:p>
      <w:pPr>
        <w:spacing w:after="0" w:line="1" w:lineRule="exact"/>
        <w:rPr>
          <w:rFonts w:ascii="Arial" w:cs="Arial" w:eastAsia="Arial" w:hAnsi="Arial"/>
          <w:sz w:val="19"/>
          <w:szCs w:val="19"/>
          <w:color w:val="auto"/>
        </w:rPr>
      </w:pPr>
    </w:p>
    <w:p>
      <w:pPr>
        <w:jc w:val="both"/>
        <w:ind w:left="100" w:right="99" w:firstLine="5"/>
        <w:spacing w:after="0" w:line="243" w:lineRule="auto"/>
        <w:tabs>
          <w:tab w:leader="none" w:pos="482"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14"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Section 14.3. Binding Effect, Etc</w:t>
      </w:r>
      <w:r>
        <w:rPr>
          <w:rFonts w:ascii="Arial" w:cs="Arial" w:eastAsia="Arial" w:hAnsi="Arial"/>
          <w:sz w:val="21"/>
          <w:szCs w:val="21"/>
          <w:color w:val="auto"/>
        </w:rPr>
        <w:t>. Any amendment or waiver consented to as provided in</w:t>
      </w:r>
      <w:r>
        <w:rPr>
          <w:rFonts w:ascii="Arial" w:cs="Arial" w:eastAsia="Arial" w:hAnsi="Arial"/>
          <w:sz w:val="21"/>
          <w:szCs w:val="21"/>
          <w:i w:val="1"/>
          <w:iCs w:val="1"/>
          <w:color w:val="auto"/>
        </w:rPr>
        <w:t xml:space="preserve"> </w:t>
      </w:r>
      <w:r>
        <w:rPr>
          <w:rFonts w:ascii="Arial" w:cs="Arial" w:eastAsia="Arial" w:hAnsi="Arial"/>
          <w:sz w:val="21"/>
          <w:szCs w:val="21"/>
          <w:color w:val="auto"/>
        </w:rPr>
        <w:t>this Section 14 applies equally to the Purchaser and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completed default under the Indenture not expressly amended or waived or impair any right consequent thereon. No course of dealing between the Company and Purchaser and any holder of any Bond nor any delay in exercising any rights hereunder or under any Bond shall operate as a waiver of any rights of the Purchaser or any holder of such Bond.</w:t>
      </w:r>
    </w:p>
    <w:p>
      <w:pPr>
        <w:spacing w:after="0" w:line="226"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w:t>
      </w:r>
      <w:r>
        <w:rPr>
          <w:rFonts w:ascii="Arial" w:cs="Arial" w:eastAsia="Arial" w:hAnsi="Arial"/>
          <w:sz w:val="21"/>
          <w:szCs w:val="21"/>
          <w:i w:val="1"/>
          <w:iCs w:val="1"/>
          <w:color w:val="auto"/>
        </w:rPr>
        <w:t xml:space="preserve"> </w:t>
      </w:r>
      <w:r>
        <w:rPr>
          <w:rFonts w:ascii="Arial" w:cs="Arial" w:eastAsia="Arial" w:hAnsi="Arial"/>
          <w:sz w:val="21"/>
          <w:szCs w:val="21"/>
          <w:color w:val="auto"/>
        </w:rPr>
        <w:t>the 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46"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p>
    <w:p>
      <w:pPr>
        <w:spacing w:after="0" w:line="260"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28" w:lineRule="exact"/>
        <w:rPr>
          <w:sz w:val="20"/>
          <w:szCs w:val="20"/>
          <w:color w:val="auto"/>
        </w:rPr>
      </w:pPr>
    </w:p>
    <w:p>
      <w:pPr>
        <w:jc w:val="both"/>
        <w:ind w:left="760" w:right="99" w:firstLine="641"/>
        <w:spacing w:after="0"/>
        <w:tabs>
          <w:tab w:leader="none" w:pos="212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to the Purchaser or its nominee, to the Purchaser or nominee at the address specified for such communications in Schedule A, or at such other address as the Purchaser or nominee shall have specified to the Company in writing,</w:t>
      </w:r>
    </w:p>
    <w:p>
      <w:pPr>
        <w:spacing w:after="0" w:line="213" w:lineRule="exact"/>
        <w:rPr>
          <w:rFonts w:ascii="Arial" w:cs="Arial" w:eastAsia="Arial" w:hAnsi="Arial"/>
          <w:sz w:val="22"/>
          <w:szCs w:val="22"/>
          <w:color w:val="auto"/>
        </w:rPr>
      </w:pPr>
    </w:p>
    <w:p>
      <w:pPr>
        <w:ind w:left="760" w:right="99" w:firstLine="641"/>
        <w:spacing w:after="0" w:line="251" w:lineRule="auto"/>
        <w:tabs>
          <w:tab w:leader="none" w:pos="2064"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13" w:lineRule="exact"/>
        <w:rPr>
          <w:rFonts w:ascii="Arial" w:cs="Arial" w:eastAsia="Arial" w:hAnsi="Arial"/>
          <w:sz w:val="22"/>
          <w:szCs w:val="22"/>
          <w:color w:val="auto"/>
        </w:rPr>
      </w:pPr>
    </w:p>
    <w:p>
      <w:pPr>
        <w:ind w:left="760" w:right="99" w:firstLine="641"/>
        <w:spacing w:after="0" w:line="328" w:lineRule="auto"/>
        <w:tabs>
          <w:tab w:leader="none" w:pos="21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to the Company, to the Company at its address set forth at the beginning hereof to the attention of 1000 S. Schuyler Avenue, P.O. Box 152, Kankakee, Illinois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3" w:name="page64"/>
    <w:bookmarkEnd w:id="63"/>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ind w:left="760" w:right="99"/>
        <w:spacing w:after="0" w:line="251" w:lineRule="auto"/>
        <w:rPr>
          <w:sz w:val="20"/>
          <w:szCs w:val="20"/>
          <w:color w:val="auto"/>
        </w:rPr>
      </w:pPr>
      <w:r>
        <w:rPr>
          <w:rFonts w:ascii="Arial" w:cs="Arial" w:eastAsia="Arial" w:hAnsi="Arial"/>
          <w:sz w:val="22"/>
          <w:szCs w:val="22"/>
          <w:color w:val="auto"/>
        </w:rPr>
        <w:t>60901, or at such other address as the Company shall have specified to the holder of each Bond in writing.</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Notices under this Section 15 will be deemed given only when actually received.</w:t>
      </w:r>
    </w:p>
    <w:p>
      <w:pPr>
        <w:spacing w:after="0" w:line="287"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NDEMNIFICATION</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The Company hereby agrees to indemnify and hold the Purchaser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 and the consummation of the transactions contemplated herein.</w:t>
      </w:r>
    </w:p>
    <w:p>
      <w:pPr>
        <w:spacing w:after="0" w:line="258"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EPRODUCTION OF</w:t>
      </w:r>
      <w:r>
        <w:rPr>
          <w:rFonts w:ascii="Arial" w:cs="Arial" w:eastAsia="Arial" w:hAnsi="Arial"/>
          <w:sz w:val="19"/>
          <w:szCs w:val="19"/>
          <w:color w:val="auto"/>
        </w:rPr>
        <w:t xml:space="preserve"> D</w:t>
      </w:r>
      <w:r>
        <w:rPr>
          <w:rFonts w:ascii="Arial" w:cs="Arial" w:eastAsia="Arial" w:hAnsi="Arial"/>
          <w:sz w:val="16"/>
          <w:szCs w:val="16"/>
          <w:color w:val="auto"/>
        </w:rPr>
        <w:t>OCUMENTS</w:t>
      </w:r>
      <w:r>
        <w:rPr>
          <w:rFonts w:ascii="Arial" w:cs="Arial" w:eastAsia="Arial" w:hAnsi="Arial"/>
          <w:sz w:val="19"/>
          <w:szCs w:val="19"/>
          <w:color w:val="auto"/>
        </w:rPr>
        <w:t>.</w:t>
      </w:r>
    </w:p>
    <w:p>
      <w:pPr>
        <w:spacing w:after="0" w:line="247" w:lineRule="exact"/>
        <w:rPr>
          <w:sz w:val="20"/>
          <w:szCs w:val="20"/>
          <w:color w:val="auto"/>
        </w:rPr>
      </w:pPr>
    </w:p>
    <w:p>
      <w:pPr>
        <w:ind w:left="760"/>
        <w:spacing w:after="0"/>
        <w:tabs>
          <w:tab w:leader="none" w:pos="1300" w:val="left"/>
          <w:tab w:leader="none" w:pos="2440" w:val="left"/>
          <w:tab w:leader="none" w:pos="2920" w:val="left"/>
          <w:tab w:leader="none" w:pos="3320" w:val="left"/>
          <w:tab w:leader="none" w:pos="4440" w:val="left"/>
          <w:tab w:leader="none" w:pos="5280" w:val="left"/>
          <w:tab w:leader="none" w:pos="6120" w:val="left"/>
          <w:tab w:leader="none" w:pos="7160" w:val="left"/>
          <w:tab w:leader="none" w:pos="8000" w:val="left"/>
        </w:tabs>
        <w:rPr>
          <w:sz w:val="20"/>
          <w:szCs w:val="20"/>
          <w:color w:val="auto"/>
        </w:rPr>
      </w:pPr>
      <w:r>
        <w:rPr>
          <w:rFonts w:ascii="Arial" w:cs="Arial" w:eastAsia="Arial" w:hAnsi="Arial"/>
          <w:sz w:val="22"/>
          <w:szCs w:val="22"/>
          <w:color w:val="auto"/>
        </w:rPr>
        <w:t>This</w:t>
        <w:tab/>
        <w:t>Agreement</w:t>
        <w:tab/>
        <w:t>and</w:t>
        <w:tab/>
        <w:t>all</w:t>
        <w:tab/>
        <w:t>documents</w:t>
        <w:tab/>
        <w:t>relating</w:t>
        <w:tab/>
        <w:t>thereto,</w:t>
        <w:tab/>
        <w:t>including,</w:t>
        <w:tab/>
        <w:t>without</w:t>
      </w:r>
      <w:r>
        <w:rPr>
          <w:sz w:val="20"/>
          <w:szCs w:val="20"/>
          <w:color w:val="auto"/>
        </w:rPr>
        <w:tab/>
      </w:r>
      <w:r>
        <w:rPr>
          <w:rFonts w:ascii="Arial" w:cs="Arial" w:eastAsia="Arial" w:hAnsi="Arial"/>
          <w:sz w:val="21"/>
          <w:szCs w:val="21"/>
          <w:color w:val="auto"/>
        </w:rPr>
        <w:t>limitation,</w:t>
      </w:r>
    </w:p>
    <w:p>
      <w:pPr>
        <w:spacing w:after="0" w:line="8" w:lineRule="exact"/>
        <w:rPr>
          <w:sz w:val="20"/>
          <w:szCs w:val="20"/>
          <w:color w:val="auto"/>
        </w:rPr>
      </w:pPr>
    </w:p>
    <w:p>
      <w:pPr>
        <w:jc w:val="both"/>
        <w:ind w:left="100" w:right="99" w:firstLine="5"/>
        <w:spacing w:after="0" w:line="270" w:lineRule="auto"/>
        <w:tabs>
          <w:tab w:leader="none" w:pos="4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consents, waivers and modifications that may hereafter be executed, (b) documents received by the Purchaser at the Closing (except the Bonds themselves), and (c) financial statements, certificates and other information previously or hereafter furnished to the Purchaser, may be reproduced by the Purchaser by any photographic, photostatic, electronic, digital, or other similar process and the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the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 extent that it could contest the original, or from introducing evidence to demonstrate the inaccuracy of any such reproduction.</w:t>
      </w:r>
    </w:p>
    <w:p>
      <w:pPr>
        <w:spacing w:after="0" w:line="247"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r>
      <w:r>
        <w:rPr>
          <w:sz w:val="20"/>
          <w:szCs w:val="20"/>
          <w:color w:val="auto"/>
        </w:rPr>
        <w:tab/>
      </w:r>
      <w:r>
        <w:rPr>
          <w:rFonts w:ascii="Arial" w:cs="Arial" w:eastAsia="Arial" w:hAnsi="Arial"/>
          <w:sz w:val="22"/>
          <w:szCs w:val="22"/>
          <w:color w:val="auto"/>
        </w:rPr>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r>
        <w:rPr>
          <w:rFonts w:ascii="Arial" w:cs="Arial" w:eastAsia="Arial" w:hAnsi="Arial"/>
          <w:sz w:val="22"/>
          <w:szCs w:val="22"/>
          <w:color w:val="auto"/>
        </w:rPr>
        <w:t>.</w:t>
      </w:r>
    </w:p>
    <w:p>
      <w:pPr>
        <w:spacing w:after="0" w:line="247"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color w:val="auto"/>
        </w:rPr>
        <w:t xml:space="preserve">For the purposes of this Section 18,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the Purchaser by or on behalf of the Company or any Subsidiary in connection with the transactions contemplated by or otherwise pursuant to this Agreement that is proprietary in nature and that was clearly marked or labeled or otherwise adequately identified when received by the Purchaser as being confidential information of the Company or such Subsidiary, provided that such term does not include information that (a) was publicly known or otherwise known to the Purchaser prior to the time of such disclosure, (b) subsequently becomes publicly known through no act or omission by the Purchaser or any person acting on the Purchaser’s behalf, (c) otherwise becomes known to the Purchaser other than through disclosure by the Company or any Subsidiary or</w:t>
      </w:r>
    </w:p>
    <w:p>
      <w:pPr>
        <w:spacing w:after="0" w:line="2" w:lineRule="exact"/>
        <w:rPr>
          <w:sz w:val="20"/>
          <w:szCs w:val="20"/>
          <w:color w:val="auto"/>
        </w:rPr>
      </w:pPr>
    </w:p>
    <w:p>
      <w:pPr>
        <w:jc w:val="both"/>
        <w:ind w:left="100" w:right="99" w:firstLine="5"/>
        <w:spacing w:after="0" w:line="234" w:lineRule="auto"/>
        <w:tabs>
          <w:tab w:leader="none" w:pos="41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constitutes financial statements delivered to the Purchaser under Section 7.1 of this Agreement or under the Indenture that are otherwise publicly available. The Purchaser will maintain the confidentiality of such Confidential Information in accordance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4" w:name="page65"/>
    <w:bookmarkEnd w:id="64"/>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69" w:lineRule="auto"/>
        <w:rPr>
          <w:sz w:val="20"/>
          <w:szCs w:val="20"/>
          <w:color w:val="auto"/>
        </w:rPr>
      </w:pPr>
      <w:r>
        <w:rPr>
          <w:rFonts w:ascii="Arial" w:cs="Arial" w:eastAsia="Arial" w:hAnsi="Arial"/>
          <w:sz w:val="19"/>
          <w:szCs w:val="19"/>
          <w:color w:val="auto"/>
        </w:rPr>
        <w:t>procedures adopted by the Purchaser in good faith to protect confidential information of third parties delivered to the Purchaser, provided that the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Section 18),</w:t>
      </w:r>
    </w:p>
    <w:p>
      <w:pPr>
        <w:spacing w:after="0" w:line="2" w:lineRule="exact"/>
        <w:rPr>
          <w:sz w:val="20"/>
          <w:szCs w:val="20"/>
          <w:color w:val="auto"/>
        </w:rPr>
      </w:pPr>
    </w:p>
    <w:p>
      <w:pPr>
        <w:jc w:val="both"/>
        <w:ind w:left="100" w:right="99" w:firstLine="5"/>
        <w:spacing w:after="0" w:line="269" w:lineRule="auto"/>
        <w:tabs>
          <w:tab w:leader="none" w:pos="43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Person from which it offers to purchase any security of the Company (if such Person has agreed in writing prior to its receipt of such Confidential Information to be bound by the provisions of this Section 18), (vi) any federal or state or provincial regulatory authority having jurisdiction over the Purchaser, (vii) the NAIC or the SVO or, in each case, any similar organization, or any nationally recognized rating agency that requires access to information about the Purchaser’s investment portfolio, or (viii) any other Person to which such delivery or disclosure may be necessary or appropriate (w) to effect compliance with any law, rule, regulation or order applicable to the Purchaser, (x) in response to any subpoena or other legal process, (y) in connection with any litigation to which the Purchaser is a party or (z) if a Default or completed default under the Indenture has occurred and is continuing, to the extent the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Section 18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200" w:lineRule="exact"/>
        <w:rPr>
          <w:sz w:val="20"/>
          <w:szCs w:val="20"/>
          <w:color w:val="auto"/>
        </w:rPr>
      </w:pPr>
    </w:p>
    <w:p>
      <w:pPr>
        <w:spacing w:after="0" w:line="238"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color w:val="auto"/>
        </w:rPr>
        <w:t>In the event that as a condition to receiving access to information relating to the Company or its Subsidiaries in connection with the transactions contemplated by or otherwise pursuant to this Agreement, the Purchaser or holder of a Bond is required to agree to a confidentiality undertaking (whether through a secure website, a secure virtual workspace or otherwise) which is different from this Section 18, this Section 18 shall not be amended thereby and, as between the Purchaser or such holder and the Company, this Section 18 shall supersede any such other confidentiality undertaking.</w:t>
      </w:r>
    </w:p>
    <w:p>
      <w:pPr>
        <w:spacing w:after="0" w:line="232"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by or on behalf of any of the parties hereto bind and inure to the benefit of their respective successors and assigns (including, without limitation, any subsequent holder of a Bond) whether so expressed or not, except that, subject to Section 10.2,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5" w:name="page66"/>
    <w:bookmarkEnd w:id="65"/>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51" w:lineRule="auto"/>
        <w:rPr>
          <w:sz w:val="20"/>
          <w:szCs w:val="20"/>
          <w:color w:val="auto"/>
        </w:rPr>
      </w:pPr>
      <w:r>
        <w:rPr>
          <w:rFonts w:ascii="Arial" w:cs="Arial" w:eastAsia="Arial" w:hAnsi="Arial"/>
          <w:sz w:val="22"/>
          <w:szCs w:val="22"/>
          <w:color w:val="auto"/>
        </w:rPr>
        <w:t>successors and assigns permitted hereby) any legal or equitable right, remedy or claim under or by reason of this Agreement.</w:t>
      </w:r>
    </w:p>
    <w:p>
      <w:pPr>
        <w:spacing w:after="0" w:line="200"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19.2. Accounting Terms</w:t>
      </w:r>
      <w:r>
        <w:rPr>
          <w:rFonts w:ascii="Arial" w:cs="Arial" w:eastAsia="Arial" w:hAnsi="Arial"/>
          <w:sz w:val="19"/>
          <w:szCs w:val="19"/>
          <w:color w:val="auto"/>
        </w:rPr>
        <w:t>. All accounting terms used herein which are not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19"/>
          <w:szCs w:val="19"/>
          <w:color w:val="auto"/>
        </w:rPr>
        <w:t>‑</w:t>
      </w:r>
      <w:r>
        <w:rPr>
          <w:rFonts w:ascii="Arial" w:cs="Arial" w:eastAsia="Arial" w:hAnsi="Arial"/>
          <w:sz w:val="19"/>
          <w:szCs w:val="19"/>
          <w:color w:val="auto"/>
        </w:rPr>
        <w:t>10</w:t>
      </w:r>
      <w:r>
        <w:rPr>
          <w:rFonts w:ascii="MS PGothic" w:cs="MS PGothic" w:eastAsia="MS PGothic" w:hAnsi="MS PGothic"/>
          <w:sz w:val="19"/>
          <w:szCs w:val="19"/>
          <w:color w:val="auto"/>
        </w:rPr>
        <w:t>‑</w:t>
      </w:r>
      <w:r>
        <w:rPr>
          <w:rFonts w:ascii="Arial" w:cs="Arial" w:eastAsia="Arial" w:hAnsi="Arial"/>
          <w:sz w:val="19"/>
          <w:szCs w:val="19"/>
          <w:color w:val="auto"/>
        </w:rPr>
        <w:t xml:space="preserve">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Instruments: Recognition and Measurement </w:t>
      </w:r>
      <w:r>
        <w:rPr>
          <w:rFonts w:ascii="Arial" w:cs="Arial" w:eastAsia="Arial" w:hAnsi="Arial"/>
          <w:sz w:val="19"/>
          <w:szCs w:val="19"/>
          <w:color w:val="auto"/>
        </w:rPr>
        <w:t>or any similar accounting standard) shall be disregarded</w:t>
      </w:r>
      <w:r>
        <w:rPr>
          <w:rFonts w:ascii="Arial" w:cs="Arial" w:eastAsia="Arial" w:hAnsi="Arial"/>
          <w:sz w:val="19"/>
          <w:szCs w:val="19"/>
          <w:i w:val="1"/>
          <w:iCs w:val="1"/>
          <w:color w:val="auto"/>
        </w:rPr>
        <w:t xml:space="preserve"> </w:t>
      </w:r>
      <w:r>
        <w:rPr>
          <w:rFonts w:ascii="Arial" w:cs="Arial" w:eastAsia="Arial" w:hAnsi="Arial"/>
          <w:sz w:val="19"/>
          <w:szCs w:val="19"/>
          <w:color w:val="auto"/>
        </w:rPr>
        <w:t>and such determination shall be made as if such election had not been made and such Debt shall be valued at not less than 100% of the principal amount thereof.</w:t>
      </w:r>
    </w:p>
    <w:p>
      <w:pPr>
        <w:spacing w:after="0" w:line="227"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Section 19.3. Severability</w:t>
      </w:r>
      <w:r>
        <w:rPr>
          <w:rFonts w:ascii="Arial" w:cs="Arial" w:eastAsia="Arial" w:hAnsi="Arial"/>
          <w:sz w:val="21"/>
          <w:szCs w:val="21"/>
          <w:color w:val="auto"/>
        </w:rPr>
        <w:t>. Any provision of this Agreement that is prohibited or</w:t>
      </w:r>
      <w:r>
        <w:rPr>
          <w:rFonts w:ascii="Arial" w:cs="Arial" w:eastAsia="Arial" w:hAnsi="Arial"/>
          <w:sz w:val="21"/>
          <w:szCs w:val="21"/>
          <w:i w:val="1"/>
          <w:iCs w:val="1"/>
          <w:color w:val="auto"/>
        </w:rPr>
        <w:t xml:space="preserve"> </w:t>
      </w:r>
      <w:r>
        <w:rPr>
          <w:rFonts w:ascii="Arial" w:cs="Arial" w:eastAsia="Arial" w:hAnsi="Arial"/>
          <w:sz w:val="21"/>
          <w:szCs w:val="21"/>
          <w:color w:val="auto"/>
        </w:rPr>
        <w:t>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9"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Section 19.4. Construction, Etc</w:t>
      </w:r>
      <w:r>
        <w:rPr>
          <w:rFonts w:ascii="Arial" w:cs="Arial" w:eastAsia="Arial" w:hAnsi="Arial"/>
          <w:sz w:val="19"/>
          <w:szCs w:val="19"/>
          <w:color w:val="auto"/>
        </w:rPr>
        <w:t>. Each covenant contained herein shall be construed</w:t>
      </w:r>
      <w:r>
        <w:rPr>
          <w:rFonts w:ascii="Arial" w:cs="Arial" w:eastAsia="Arial" w:hAnsi="Arial"/>
          <w:sz w:val="19"/>
          <w:szCs w:val="19"/>
          <w:i w:val="1"/>
          <w:iCs w:val="1"/>
          <w:color w:val="auto"/>
        </w:rPr>
        <w:t xml:space="preserve"> </w:t>
      </w:r>
      <w:r>
        <w:rPr>
          <w:rFonts w:ascii="Arial" w:cs="Arial" w:eastAsia="Arial" w:hAnsi="Arial"/>
          <w:sz w:val="19"/>
          <w:szCs w:val="19"/>
          <w:color w:val="auto"/>
        </w:rPr>
        <w:t>(absent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8"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14"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This Agreement may be executed in any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26"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and the rights of the parties shall be governed by, the law of the State of Illinois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12"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i w:val="1"/>
          <w:iCs w:val="1"/>
          <w:color w:val="auto"/>
        </w:rPr>
        <w:t>Section 19.7. Jurisdiction and Process; Waiver of Jury Trial</w:t>
      </w:r>
      <w:r>
        <w:rPr>
          <w:rFonts w:ascii="Arial" w:cs="Arial" w:eastAsia="Arial" w:hAnsi="Arial"/>
          <w:sz w:val="21"/>
          <w:szCs w:val="21"/>
          <w:color w:val="auto"/>
        </w:rPr>
        <w:t>. (a)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irrevocably submits to the non-exclusive jurisdiction of any Illinois State or federal court sitting in Chicago, Illinois, over any suit, action or proceeding arising out of or relating to this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6" w:name="page67"/>
    <w:bookmarkEnd w:id="66"/>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22"/>
          <w:szCs w:val="22"/>
          <w:color w:val="auto"/>
        </w:rPr>
        <w:t>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15" w:lineRule="exact"/>
        <w:rPr>
          <w:sz w:val="20"/>
          <w:szCs w:val="20"/>
          <w:color w:val="auto"/>
        </w:rPr>
      </w:pPr>
    </w:p>
    <w:p>
      <w:pPr>
        <w:jc w:val="both"/>
        <w:ind w:left="100" w:right="99" w:firstLine="653"/>
        <w:spacing w:after="0" w:line="273" w:lineRule="auto"/>
        <w:tabs>
          <w:tab w:leader="none" w:pos="1378"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Bonds in any suit, action or proceeding of the nature referred to in Section 19.7(a) by mailing a copy thereof by registered or certified mail (or any substantially similar form of mail), postage 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02" w:lineRule="exact"/>
        <w:rPr>
          <w:rFonts w:ascii="Arial" w:cs="Arial" w:eastAsia="Arial" w:hAnsi="Arial"/>
          <w:sz w:val="19"/>
          <w:szCs w:val="19"/>
          <w:color w:val="auto"/>
        </w:rPr>
      </w:pPr>
    </w:p>
    <w:p>
      <w:pPr>
        <w:jc w:val="both"/>
        <w:ind w:left="100" w:right="99" w:firstLine="653"/>
        <w:spacing w:after="0" w:line="287" w:lineRule="auto"/>
        <w:tabs>
          <w:tab w:leader="none" w:pos="15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Nothing in this Section 19.7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83" w:lineRule="exact"/>
        <w:rPr>
          <w:rFonts w:ascii="Arial" w:cs="Arial" w:eastAsia="Arial" w:hAnsi="Arial"/>
          <w:sz w:val="19"/>
          <w:szCs w:val="19"/>
          <w:color w:val="auto"/>
        </w:rPr>
      </w:pPr>
    </w:p>
    <w:p>
      <w:pPr>
        <w:ind w:left="100" w:right="99" w:firstLine="653"/>
        <w:spacing w:after="0" w:line="328" w:lineRule="auto"/>
        <w:tabs>
          <w:tab w:leader="none" w:pos="1432"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parties hereto hereby waive trial by jury in any action brought on or with respect to this Agreement, the Bonds or any other document executed in connection herewith or therewith.</w:t>
      </w:r>
    </w:p>
    <w:p>
      <w:pPr>
        <w:spacing w:after="0" w:line="132" w:lineRule="exact"/>
        <w:rPr>
          <w:sz w:val="20"/>
          <w:szCs w:val="20"/>
          <w:color w:val="auto"/>
        </w:rPr>
      </w:pPr>
    </w:p>
    <w:p>
      <w:pPr>
        <w:jc w:val="both"/>
        <w:ind w:left="100" w:right="99" w:firstLine="648"/>
        <w:spacing w:after="0" w:line="275"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Bonds 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7" w:name="page68"/>
    <w:bookmarkEnd w:id="67"/>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22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p>
    <w:p>
      <w:pPr>
        <w:spacing w:after="0" w:line="223" w:lineRule="exact"/>
        <w:rPr>
          <w:sz w:val="20"/>
          <w:szCs w:val="20"/>
          <w:color w:val="auto"/>
        </w:rPr>
      </w:pPr>
    </w:p>
    <w:tbl>
      <w:tblPr>
        <w:tblLayout w:type="fixed"/>
        <w:tblInd w:w="432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Pr>
          <w:p>
            <w:pPr>
              <w:spacing w:after="0"/>
              <w:rPr>
                <w:sz w:val="20"/>
                <w:szCs w:val="20"/>
                <w:color w:val="auto"/>
              </w:rPr>
            </w:pPr>
            <w:r>
              <w:rPr>
                <w:rFonts w:ascii="Arial" w:cs="Arial" w:eastAsia="Arial" w:hAnsi="Arial"/>
                <w:sz w:val="22"/>
                <w:szCs w:val="22"/>
                <w:color w:val="auto"/>
              </w:rPr>
              <w:t>/s/ David P. Smeltzer</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3720" w:type="dxa"/>
            <w:vAlign w:val="bottom"/>
          </w:tcPr>
          <w:p>
            <w:pPr>
              <w:spacing w:after="0" w:line="216" w:lineRule="exact"/>
              <w:rPr>
                <w:sz w:val="20"/>
                <w:szCs w:val="20"/>
                <w:color w:val="auto"/>
              </w:rPr>
            </w:pPr>
            <w:r>
              <w:rPr>
                <w:rFonts w:ascii="Arial" w:cs="Arial" w:eastAsia="Arial" w:hAnsi="Arial"/>
                <w:sz w:val="22"/>
                <w:szCs w:val="22"/>
                <w:color w:val="auto"/>
              </w:rPr>
              <w:t>David P. Smeltzer</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Its:</w:t>
            </w:r>
          </w:p>
        </w:tc>
        <w:tc>
          <w:tcPr>
            <w:tcW w:w="3720" w:type="dxa"/>
            <w:vAlign w:val="bottom"/>
          </w:tcPr>
          <w:p>
            <w:pPr>
              <w:spacing w:after="0"/>
              <w:rPr>
                <w:sz w:val="20"/>
                <w:szCs w:val="20"/>
                <w:color w:val="auto"/>
              </w:rPr>
            </w:pPr>
            <w:r>
              <w:rPr>
                <w:rFonts w:ascii="Arial" w:cs="Arial" w:eastAsia="Arial" w:hAnsi="Arial"/>
                <w:sz w:val="22"/>
                <w:szCs w:val="22"/>
                <w:color w:val="auto"/>
              </w:rPr>
              <w:t>Executive Vice President and CFO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8" w:name="page69"/>
    <w:bookmarkEnd w:id="68"/>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EACHERS</w:t>
      </w:r>
      <w:r>
        <w:rPr>
          <w:rFonts w:ascii="Arial" w:cs="Arial" w:eastAsia="Arial" w:hAnsi="Arial"/>
          <w:sz w:val="22"/>
          <w:szCs w:val="22"/>
          <w:color w:val="auto"/>
        </w:rPr>
        <w:t xml:space="preserve"> I</w:t>
      </w:r>
      <w:r>
        <w:rPr>
          <w:rFonts w:ascii="Arial" w:cs="Arial" w:eastAsia="Arial" w:hAnsi="Arial"/>
          <w:sz w:val="18"/>
          <w:szCs w:val="18"/>
          <w:color w:val="auto"/>
        </w:rPr>
        <w:t>NSURANCE AND</w:t>
      </w:r>
      <w:r>
        <w:rPr>
          <w:rFonts w:ascii="Arial" w:cs="Arial" w:eastAsia="Arial" w:hAnsi="Arial"/>
          <w:sz w:val="22"/>
          <w:szCs w:val="22"/>
          <w:color w:val="auto"/>
        </w:rPr>
        <w:t xml:space="preserve"> A</w:t>
      </w:r>
      <w:r>
        <w:rPr>
          <w:rFonts w:ascii="Arial" w:cs="Arial" w:eastAsia="Arial" w:hAnsi="Arial"/>
          <w:sz w:val="18"/>
          <w:szCs w:val="18"/>
          <w:color w:val="auto"/>
        </w:rPr>
        <w:t>NNUITY</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SSOCIATION OF</w:t>
      </w:r>
      <w:r>
        <w:rPr>
          <w:rFonts w:ascii="Arial" w:cs="Arial" w:eastAsia="Arial" w:hAnsi="Arial"/>
          <w:sz w:val="22"/>
          <w:szCs w:val="22"/>
          <w:color w:val="auto"/>
        </w:rPr>
        <w:t xml:space="preserve"> A</w:t>
      </w:r>
      <w:r>
        <w:rPr>
          <w:rFonts w:ascii="Arial" w:cs="Arial" w:eastAsia="Arial" w:hAnsi="Arial"/>
          <w:sz w:val="18"/>
          <w:szCs w:val="18"/>
          <w:color w:val="auto"/>
        </w:rPr>
        <w:t>MERICA</w:t>
      </w:r>
    </w:p>
    <w:p>
      <w:pPr>
        <w:spacing w:after="0" w:line="205" w:lineRule="exact"/>
        <w:rPr>
          <w:sz w:val="20"/>
          <w:szCs w:val="20"/>
          <w:color w:val="auto"/>
        </w:rPr>
      </w:pPr>
    </w:p>
    <w:tbl>
      <w:tblPr>
        <w:tblLayout w:type="fixed"/>
        <w:tblInd w:w="432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Pr>
          <w:p>
            <w:pPr>
              <w:spacing w:after="0"/>
              <w:rPr>
                <w:sz w:val="20"/>
                <w:szCs w:val="20"/>
                <w:color w:val="auto"/>
              </w:rPr>
            </w:pPr>
            <w:r>
              <w:rPr>
                <w:rFonts w:ascii="Arial" w:cs="Arial" w:eastAsia="Arial" w:hAnsi="Arial"/>
                <w:sz w:val="22"/>
                <w:szCs w:val="22"/>
                <w:color w:val="auto"/>
              </w:rPr>
              <w:t>/s/ Matthew W. Smith</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3720" w:type="dxa"/>
            <w:vAlign w:val="bottom"/>
          </w:tcPr>
          <w:p>
            <w:pPr>
              <w:spacing w:after="0" w:line="216" w:lineRule="exact"/>
              <w:rPr>
                <w:sz w:val="20"/>
                <w:szCs w:val="20"/>
                <w:color w:val="auto"/>
              </w:rPr>
            </w:pPr>
            <w:r>
              <w:rPr>
                <w:rFonts w:ascii="Arial" w:cs="Arial" w:eastAsia="Arial" w:hAnsi="Arial"/>
                <w:sz w:val="22"/>
                <w:szCs w:val="22"/>
                <w:color w:val="auto"/>
              </w:rPr>
              <w:t>Matthew W. Smith</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3720" w:type="dxa"/>
            <w:vAlign w:val="bottom"/>
          </w:tcPr>
          <w:p>
            <w:pPr>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EFINED</w:t>
      </w:r>
      <w:r>
        <w:rPr>
          <w:rFonts w:ascii="Arial" w:cs="Arial" w:eastAsia="Arial" w:hAnsi="Arial"/>
          <w:sz w:val="22"/>
          <w:szCs w:val="22"/>
          <w:b w:val="1"/>
          <w:bCs w:val="1"/>
          <w:color w:val="auto"/>
        </w:rPr>
        <w:t xml:space="preserve"> T</w:t>
      </w:r>
      <w:r>
        <w:rPr>
          <w:rFonts w:ascii="Arial" w:cs="Arial" w:eastAsia="Arial" w:hAnsi="Arial"/>
          <w:sz w:val="18"/>
          <w:szCs w:val="18"/>
          <w:b w:val="1"/>
          <w:bCs w:val="1"/>
          <w:color w:val="auto"/>
        </w:rPr>
        <w:t>ERMS</w:t>
      </w:r>
    </w:p>
    <w:p>
      <w:pPr>
        <w:spacing w:after="0" w:line="266"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200"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219"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4" w:lineRule="exact"/>
        <w:rPr>
          <w:sz w:val="20"/>
          <w:szCs w:val="20"/>
          <w:color w:val="auto"/>
        </w:rPr>
      </w:pPr>
    </w:p>
    <w:p>
      <w:pPr>
        <w:jc w:val="both"/>
        <w:ind w:left="100" w:right="99" w:firstLine="648"/>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13"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27"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 Section 1.</w:t>
      </w:r>
    </w:p>
    <w:p>
      <w:pPr>
        <w:spacing w:after="0" w:line="23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a Saturday, a Sunday or a day on which commercial banks in New York, New York or Chicago, Illinois are required or authorized to be closed.</w:t>
      </w:r>
    </w:p>
    <w:p>
      <w:pPr>
        <w:spacing w:after="0" w:line="227"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70" w:name="page71"/>
    <w:bookmarkEnd w:id="70"/>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obligation of such Person as the lessee under such Capital Lease which would, in accordance with GAAP, appear as a liability on a balance sheet of such Person.</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Illinois, Inc., a corporation existing under the laws of the State of</w:t>
      </w:r>
      <w:r>
        <w:rPr>
          <w:rFonts w:ascii="Arial" w:cs="Arial" w:eastAsia="Arial" w:hAnsi="Arial"/>
          <w:sz w:val="22"/>
          <w:szCs w:val="22"/>
          <w:i w:val="1"/>
          <w:iCs w:val="1"/>
          <w:color w:val="auto"/>
        </w:rPr>
        <w:t xml:space="preserve"> </w:t>
      </w:r>
      <w:r>
        <w:rPr>
          <w:rFonts w:ascii="Arial" w:cs="Arial" w:eastAsia="Arial" w:hAnsi="Arial"/>
          <w:sz w:val="22"/>
          <w:szCs w:val="22"/>
          <w:color w:val="auto"/>
        </w:rPr>
        <w:t>Illinois.</w:t>
      </w:r>
    </w:p>
    <w:p>
      <w:pPr>
        <w:spacing w:after="0" w:line="200"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Controlled Entity</w:t>
      </w:r>
      <w:r>
        <w:rPr>
          <w:rFonts w:ascii="Arial" w:cs="Arial" w:eastAsia="Arial" w:hAnsi="Arial"/>
          <w:sz w:val="19"/>
          <w:szCs w:val="19"/>
          <w:color w:val="auto"/>
        </w:rPr>
        <w:t>” means any of the Subsidiaries of the Company and any of their or the Company’s respective Controlled Affiliates. As used in this definition, “Control” means the possession, directly or indirectly,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47" w:lineRule="exact"/>
        <w:rPr>
          <w:sz w:val="20"/>
          <w:szCs w:val="20"/>
          <w:color w:val="auto"/>
        </w:rPr>
      </w:pPr>
    </w:p>
    <w:p>
      <w:pPr>
        <w:ind w:left="2020" w:hanging="619"/>
        <w:spacing w:after="0"/>
        <w:tabs>
          <w:tab w:leader="none" w:pos="20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33" w:lineRule="exact"/>
        <w:rPr>
          <w:rFonts w:ascii="Arial" w:cs="Arial" w:eastAsia="Arial" w:hAnsi="Arial"/>
          <w:sz w:val="22"/>
          <w:szCs w:val="22"/>
          <w:color w:val="auto"/>
        </w:rPr>
      </w:pPr>
    </w:p>
    <w:p>
      <w:pPr>
        <w:jc w:val="both"/>
        <w:ind w:left="760" w:right="99" w:firstLine="641"/>
        <w:spacing w:after="0" w:line="287" w:lineRule="auto"/>
        <w:tabs>
          <w:tab w:leader="none" w:pos="2254" w:val="left"/>
        </w:tabs>
        <w:numPr>
          <w:ilvl w:val="0"/>
          <w:numId w:val="41"/>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83" w:lineRule="exact"/>
        <w:rPr>
          <w:rFonts w:ascii="Arial" w:cs="Arial" w:eastAsia="Arial" w:hAnsi="Arial"/>
          <w:sz w:val="19"/>
          <w:szCs w:val="19"/>
          <w:color w:val="auto"/>
        </w:rPr>
      </w:pPr>
    </w:p>
    <w:p>
      <w:pPr>
        <w:ind w:left="2020" w:hanging="619"/>
        <w:spacing w:after="0"/>
        <w:tabs>
          <w:tab w:leader="none" w:pos="20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46" w:lineRule="exact"/>
        <w:rPr>
          <w:rFonts w:ascii="Arial" w:cs="Arial" w:eastAsia="Arial" w:hAnsi="Arial"/>
          <w:sz w:val="22"/>
          <w:szCs w:val="22"/>
          <w:color w:val="auto"/>
        </w:rPr>
      </w:pPr>
    </w:p>
    <w:p>
      <w:pPr>
        <w:jc w:val="both"/>
        <w:ind w:left="760" w:right="99" w:firstLine="641"/>
        <w:spacing w:after="0"/>
        <w:tabs>
          <w:tab w:leader="none" w:pos="22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13" w:lineRule="exact"/>
        <w:rPr>
          <w:rFonts w:ascii="Arial" w:cs="Arial" w:eastAsia="Arial" w:hAnsi="Arial"/>
          <w:sz w:val="22"/>
          <w:szCs w:val="22"/>
          <w:color w:val="auto"/>
        </w:rPr>
      </w:pPr>
    </w:p>
    <w:p>
      <w:pPr>
        <w:jc w:val="both"/>
        <w:ind w:left="760" w:right="99" w:firstLine="641"/>
        <w:spacing w:after="0"/>
        <w:tabs>
          <w:tab w:leader="none" w:pos="2053"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26" w:lineRule="exact"/>
        <w:rPr>
          <w:rFonts w:ascii="Arial" w:cs="Arial" w:eastAsia="Arial" w:hAnsi="Arial"/>
          <w:sz w:val="22"/>
          <w:szCs w:val="22"/>
          <w:color w:val="auto"/>
        </w:rPr>
      </w:pPr>
    </w:p>
    <w:p>
      <w:pPr>
        <w:ind w:left="2000" w:hanging="599"/>
        <w:spacing w:after="0"/>
        <w:tabs>
          <w:tab w:leader="none" w:pos="20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46" w:lineRule="exact"/>
        <w:rPr>
          <w:rFonts w:ascii="Arial" w:cs="Arial" w:eastAsia="Arial" w:hAnsi="Arial"/>
          <w:sz w:val="22"/>
          <w:szCs w:val="22"/>
          <w:color w:val="auto"/>
        </w:rPr>
      </w:pPr>
    </w:p>
    <w:p>
      <w:pPr>
        <w:ind w:left="760" w:right="99" w:firstLine="641"/>
        <w:spacing w:after="0" w:line="251" w:lineRule="auto"/>
        <w:tabs>
          <w:tab w:leader="none" w:pos="20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0"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1" w:name="page72"/>
    <w:bookmarkEnd w:id="71"/>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“Default” </w:t>
      </w:r>
      <w:r>
        <w:rPr>
          <w:rFonts w:ascii="Arial" w:cs="Arial" w:eastAsia="Arial" w:hAnsi="Arial"/>
          <w:sz w:val="19"/>
          <w:szCs w:val="19"/>
          <w:color w:val="auto"/>
        </w:rPr>
        <w:t>means an event or condition the occurrence or existence of which would,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lapse of time or the giving of notice or both, become a completed default under the Indenture.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 Section 5.3.</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28"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3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w:t>
      </w:r>
      <w:r>
        <w:rPr>
          <w:rFonts w:ascii="Arial" w:cs="Arial" w:eastAsia="Arial" w:hAnsi="Arial"/>
          <w:sz w:val="22"/>
          <w:szCs w:val="22"/>
          <w:i w:val="1"/>
          <w:iCs w:val="1"/>
          <w:color w:val="auto"/>
        </w:rPr>
        <w:t xml:space="preserve"> </w:t>
      </w:r>
      <w:r>
        <w:rPr>
          <w:rFonts w:ascii="Arial" w:cs="Arial" w:eastAsia="Arial" w:hAnsi="Arial"/>
          <w:sz w:val="22"/>
          <w:szCs w:val="22"/>
          <w:color w:val="auto"/>
        </w:rPr>
        <w:t>a single employer together with the Company under section 414 of the Code.</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Supplemental Indenture Y), and the Bonds.</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47" w:lineRule="exact"/>
        <w:rPr>
          <w:sz w:val="20"/>
          <w:szCs w:val="20"/>
          <w:color w:val="auto"/>
        </w:rPr>
      </w:pPr>
    </w:p>
    <w:p>
      <w:pPr>
        <w:ind w:left="2020" w:hanging="619"/>
        <w:spacing w:after="0"/>
        <w:tabs>
          <w:tab w:leader="none" w:pos="20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46" w:lineRule="exact"/>
        <w:rPr>
          <w:rFonts w:ascii="Arial" w:cs="Arial" w:eastAsia="Arial" w:hAnsi="Arial"/>
          <w:sz w:val="22"/>
          <w:szCs w:val="22"/>
          <w:color w:val="auto"/>
        </w:rPr>
      </w:pPr>
    </w:p>
    <w:p>
      <w:pPr>
        <w:ind w:left="2720" w:hanging="671"/>
        <w:spacing w:after="0"/>
        <w:tabs>
          <w:tab w:leader="none" w:pos="27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 subdivision</w:t>
      </w:r>
    </w:p>
    <w:p>
      <w:pPr>
        <w:spacing w:after="0" w:line="42"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thereof, or</w:t>
      </w:r>
    </w:p>
    <w:p>
      <w:pPr>
        <w:spacing w:after="0" w:line="215" w:lineRule="exact"/>
        <w:rPr>
          <w:rFonts w:ascii="Arial" w:cs="Arial" w:eastAsia="Arial" w:hAnsi="Arial"/>
          <w:sz w:val="19"/>
          <w:szCs w:val="19"/>
          <w:color w:val="auto"/>
        </w:rPr>
      </w:pPr>
    </w:p>
    <w:p>
      <w:pPr>
        <w:jc w:val="both"/>
        <w:ind w:left="1400" w:right="99" w:firstLine="649"/>
        <w:spacing w:after="0"/>
        <w:tabs>
          <w:tab w:leader="none" w:pos="3028"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26" w:lineRule="exact"/>
        <w:rPr>
          <w:rFonts w:ascii="Arial" w:cs="Arial" w:eastAsia="Arial" w:hAnsi="Arial"/>
          <w:sz w:val="22"/>
          <w:szCs w:val="22"/>
          <w:color w:val="auto"/>
        </w:rPr>
      </w:pPr>
    </w:p>
    <w:p>
      <w:pPr>
        <w:ind w:left="760" w:right="99" w:firstLine="641"/>
        <w:spacing w:after="0" w:line="251" w:lineRule="auto"/>
        <w:tabs>
          <w:tab w:leader="none" w:pos="264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14"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12"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9"/>
          <w:szCs w:val="19"/>
          <w:i w:val="1"/>
          <w:iCs w:val="1"/>
          <w:color w:val="auto"/>
        </w:rPr>
        <w:t xml:space="preserve">“Guaranty” </w:t>
      </w:r>
      <w:r>
        <w:rPr>
          <w:rFonts w:ascii="Arial" w:cs="Arial" w:eastAsia="Arial" w:hAnsi="Arial"/>
          <w:sz w:val="19"/>
          <w:szCs w:val="19"/>
          <w:color w:val="auto"/>
        </w:rPr>
        <w:t>means, with respect to any Person, any obligation (except the endorsement in the</w:t>
      </w:r>
      <w:r>
        <w:rPr>
          <w:rFonts w:ascii="Arial" w:cs="Arial" w:eastAsia="Arial" w:hAnsi="Arial"/>
          <w:sz w:val="19"/>
          <w:szCs w:val="19"/>
          <w:i w:val="1"/>
          <w:iCs w:val="1"/>
          <w:color w:val="auto"/>
        </w:rPr>
        <w:t xml:space="preserve"> </w:t>
      </w:r>
      <w:r>
        <w:rPr>
          <w:rFonts w:ascii="Arial" w:cs="Arial" w:eastAsia="Arial" w:hAnsi="Arial"/>
          <w:sz w:val="19"/>
          <w:szCs w:val="19"/>
          <w:color w:val="auto"/>
        </w:rPr>
        <w:t>ordinary course of business of negotiable instruments for deposit or collection) of such Person guaranteeing or in effect guaranteeing any Debt, dividend or other obligation of any other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2" w:name="page73"/>
    <w:bookmarkEnd w:id="72"/>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ind w:left="100" w:right="99"/>
        <w:spacing w:after="0" w:line="251" w:lineRule="auto"/>
        <w:rPr>
          <w:sz w:val="20"/>
          <w:szCs w:val="20"/>
          <w:color w:val="auto"/>
        </w:rPr>
      </w:pPr>
      <w:r>
        <w:rPr>
          <w:rFonts w:ascii="Arial" w:cs="Arial" w:eastAsia="Arial" w:hAnsi="Arial"/>
          <w:sz w:val="22"/>
          <w:szCs w:val="22"/>
          <w:color w:val="auto"/>
        </w:rPr>
        <w:t>Person in any manner, whether directly or indirectly, including (without limitation) obligations incurred through an agreement, contingent or otherwise, by such Person:</w:t>
      </w:r>
    </w:p>
    <w:p>
      <w:pPr>
        <w:spacing w:after="0" w:line="200" w:lineRule="exact"/>
        <w:rPr>
          <w:sz w:val="20"/>
          <w:szCs w:val="20"/>
          <w:color w:val="auto"/>
        </w:rPr>
      </w:pPr>
    </w:p>
    <w:p>
      <w:pPr>
        <w:jc w:val="both"/>
        <w:ind w:left="760" w:right="99" w:firstLine="641"/>
        <w:spacing w:after="0" w:line="258" w:lineRule="auto"/>
        <w:tabs>
          <w:tab w:leader="none" w:pos="2283" w:val="left"/>
        </w:tabs>
        <w:numPr>
          <w:ilvl w:val="0"/>
          <w:numId w:val="43"/>
        </w:numPr>
        <w:rPr>
          <w:rFonts w:ascii="Arial" w:cs="Arial" w:eastAsia="Arial" w:hAnsi="Arial"/>
          <w:sz w:val="21"/>
          <w:szCs w:val="21"/>
          <w:color w:val="auto"/>
        </w:rPr>
      </w:pPr>
      <w:r>
        <w:rPr>
          <w:rFonts w:ascii="Arial" w:cs="Arial" w:eastAsia="Arial" w:hAnsi="Arial"/>
          <w:sz w:val="21"/>
          <w:szCs w:val="21"/>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07" w:lineRule="exact"/>
        <w:rPr>
          <w:rFonts w:ascii="Arial" w:cs="Arial" w:eastAsia="Arial" w:hAnsi="Arial"/>
          <w:sz w:val="21"/>
          <w:szCs w:val="21"/>
          <w:color w:val="auto"/>
        </w:rPr>
      </w:pPr>
    </w:p>
    <w:p>
      <w:pPr>
        <w:jc w:val="both"/>
        <w:ind w:left="760" w:right="99" w:firstLine="641"/>
        <w:spacing w:after="0" w:line="252" w:lineRule="auto"/>
        <w:tabs>
          <w:tab w:leader="none" w:pos="2173" w:val="left"/>
        </w:tabs>
        <w:numPr>
          <w:ilvl w:val="0"/>
          <w:numId w:val="43"/>
        </w:numPr>
        <w:rPr>
          <w:rFonts w:ascii="Arial" w:cs="Arial" w:eastAsia="Arial" w:hAnsi="Arial"/>
          <w:sz w:val="21"/>
          <w:szCs w:val="21"/>
          <w:color w:val="auto"/>
        </w:rPr>
      </w:pPr>
      <w:r>
        <w:rPr>
          <w:rFonts w:ascii="Arial" w:cs="Arial" w:eastAsia="Arial" w:hAnsi="Arial"/>
          <w:sz w:val="21"/>
          <w:szCs w:val="21"/>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14" w:lineRule="exact"/>
        <w:rPr>
          <w:rFonts w:ascii="Arial" w:cs="Arial" w:eastAsia="Arial" w:hAnsi="Arial"/>
          <w:sz w:val="21"/>
          <w:szCs w:val="21"/>
          <w:color w:val="auto"/>
        </w:rPr>
      </w:pPr>
    </w:p>
    <w:p>
      <w:pPr>
        <w:jc w:val="both"/>
        <w:ind w:left="760" w:right="99" w:firstLine="641"/>
        <w:spacing w:after="0"/>
        <w:tabs>
          <w:tab w:leader="none" w:pos="2283"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13" w:lineRule="exact"/>
        <w:rPr>
          <w:rFonts w:ascii="Arial" w:cs="Arial" w:eastAsia="Arial" w:hAnsi="Arial"/>
          <w:sz w:val="22"/>
          <w:szCs w:val="22"/>
          <w:color w:val="auto"/>
        </w:rPr>
      </w:pPr>
    </w:p>
    <w:p>
      <w:pPr>
        <w:ind w:left="2040" w:hanging="639"/>
        <w:spacing w:after="0"/>
        <w:tabs>
          <w:tab w:leader="none" w:pos="2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 in respect</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29"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Debt outstanding for purposes of this Agreement shall not exceed the maximum amount of Debt that is the subject of such Guaranty.</w:t>
      </w:r>
    </w:p>
    <w:p>
      <w:pPr>
        <w:spacing w:after="0" w:line="184"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“Institutional Investor” </w:t>
      </w:r>
      <w:r>
        <w:rPr>
          <w:rFonts w:ascii="Arial" w:cs="Arial" w:eastAsia="Arial" w:hAnsi="Arial"/>
          <w:sz w:val="22"/>
          <w:szCs w:val="22"/>
          <w:color w:val="auto"/>
        </w:rPr>
        <w:t>means (a) the Purchaser, (b) any holder of a Bond holding (together</w:t>
      </w:r>
      <w:r>
        <w:rPr>
          <w:rFonts w:ascii="Arial" w:cs="Arial" w:eastAsia="Arial" w:hAnsi="Arial"/>
          <w:sz w:val="22"/>
          <w:szCs w:val="22"/>
          <w:i w:val="1"/>
          <w:iCs w:val="1"/>
          <w:color w:val="auto"/>
        </w:rPr>
        <w:t xml:space="preserve"> </w:t>
      </w:r>
      <w:r>
        <w:rPr>
          <w:rFonts w:ascii="Arial" w:cs="Arial" w:eastAsia="Arial" w:hAnsi="Arial"/>
          <w:sz w:val="22"/>
          <w:szCs w:val="22"/>
          <w:color w:val="auto"/>
        </w:rPr>
        <w:t>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3" w:name="page74"/>
    <w:bookmarkEnd w:id="73"/>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“Lien” </w:t>
      </w:r>
      <w:r>
        <w:rPr>
          <w:rFonts w:ascii="Arial" w:cs="Arial" w:eastAsia="Arial" w:hAnsi="Arial"/>
          <w:sz w:val="21"/>
          <w:szCs w:val="21"/>
          <w:color w:val="auto"/>
        </w:rPr>
        <w:t>means, with respect to any Person, any mortgage, lien, pledge, charge,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Supplemental Indenture Y.</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w:t>
      </w:r>
      <w:r>
        <w:rPr>
          <w:rFonts w:ascii="Arial" w:cs="Arial" w:eastAsia="Arial" w:hAnsi="Arial"/>
          <w:sz w:val="22"/>
          <w:szCs w:val="22"/>
          <w:i w:val="1"/>
          <w:iCs w:val="1"/>
          <w:color w:val="auto"/>
        </w:rPr>
        <w:t xml:space="preserve"> </w:t>
      </w:r>
      <w:r>
        <w:rPr>
          <w:rFonts w:ascii="Arial" w:cs="Arial" w:eastAsia="Arial" w:hAnsi="Arial"/>
          <w:sz w:val="22"/>
          <w:szCs w:val="22"/>
          <w:color w:val="auto"/>
        </w:rPr>
        <w:t>assets or properties of the Company and its Subsidiaries taken as a whole.</w:t>
      </w:r>
    </w:p>
    <w:p>
      <w:pPr>
        <w:spacing w:after="0" w:line="214"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w:t>
      </w:r>
    </w:p>
    <w:p>
      <w:pPr>
        <w:spacing w:after="0" w:line="2" w:lineRule="exact"/>
        <w:rPr>
          <w:sz w:val="20"/>
          <w:szCs w:val="20"/>
          <w:color w:val="auto"/>
        </w:rPr>
      </w:pPr>
    </w:p>
    <w:p>
      <w:pPr>
        <w:ind w:left="100" w:right="99" w:firstLine="5"/>
        <w:spacing w:after="0" w:line="237" w:lineRule="auto"/>
        <w:tabs>
          <w:tab w:leader="none" w:pos="4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ability of the Company to perform its obligations under this Agreement, the Bonds or the Indenture or (c) the validity or enforceability of any Financing Agreement.</w:t>
      </w:r>
    </w:p>
    <w:p>
      <w:pPr>
        <w:spacing w:after="0" w:line="21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“multiemployer plan” (as such term is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4001(a)(3) of ERISA).</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14"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U.S. Plan” </w:t>
      </w:r>
      <w:r>
        <w:rPr>
          <w:rFonts w:ascii="Arial" w:cs="Arial" w:eastAsia="Arial" w:hAnsi="Arial"/>
          <w:sz w:val="21"/>
          <w:szCs w:val="21"/>
          <w:color w:val="auto"/>
        </w:rPr>
        <w:t>means any plan, fund or other similar program that (a) is established or</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4"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OFAC Sanctions Program</w:t>
      </w:r>
      <w:r>
        <w:rPr>
          <w:rFonts w:ascii="Arial" w:cs="Arial" w:eastAsia="Arial" w:hAnsi="Arial"/>
          <w:sz w:val="21"/>
          <w:szCs w:val="21"/>
          <w:color w:val="auto"/>
        </w:rPr>
        <w:t xml:space="preserve">” means any economic or trade sanction that OFAC is responsible for administering and enforcing. A list of OFAC Sanctions Programs may be found at </w:t>
      </w:r>
      <w:r>
        <w:rPr>
          <w:rFonts w:ascii="Arial" w:cs="Arial" w:eastAsia="Arial" w:hAnsi="Arial"/>
          <w:sz w:val="21"/>
          <w:szCs w:val="21"/>
          <w:u w:val="single" w:color="auto"/>
          <w:color w:val="auto"/>
        </w:rPr>
        <w:t>http://www.treasury.gov/resource-center/sanctions/Programs/Pages/Programs.aspx</w:t>
      </w:r>
      <w:r>
        <w:rPr>
          <w:rFonts w:ascii="Arial" w:cs="Arial" w:eastAsia="Arial" w:hAnsi="Arial"/>
          <w:sz w:val="21"/>
          <w:szCs w:val="21"/>
          <w:color w:val="auto"/>
        </w:rPr>
        <w:t>.</w:t>
      </w:r>
    </w:p>
    <w:p>
      <w:pPr>
        <w:spacing w:after="0" w:line="207"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 officer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whose responsibilities extend to the subject matter of such certificate.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“Original Mortgage and Deed of Trust”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thereto.</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trust, unincorporated organization, business entity or Governmental Authority.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4" w:name="page75"/>
    <w:bookmarkEnd w:id="74"/>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“employee benefit plan” (as defined in section 3(2) of ERISA)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 Section 6.2(a).</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00" w:right="99" w:firstLine="5"/>
        <w:spacing w:after="0" w:line="256" w:lineRule="auto"/>
        <w:tabs>
          <w:tab w:leader="none" w:pos="399"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invests in Securities or bank loans, and (ii) is advised or managed by such holder, the same investment advisor as such holder or by an affiliate of such holder or such investment advisor.</w:t>
      </w:r>
    </w:p>
    <w:p>
      <w:pPr>
        <w:spacing w:after="0" w:line="210" w:lineRule="exact"/>
        <w:rPr>
          <w:sz w:val="20"/>
          <w:szCs w:val="20"/>
          <w:color w:val="auto"/>
        </w:rPr>
      </w:pPr>
    </w:p>
    <w:p>
      <w:pPr>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the holders of at least 51% in principal amount of the Bonds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outstanding (exclusive of Bonds then owned by the Company or any of its Affiliates).</w:t>
      </w:r>
    </w:p>
    <w:p>
      <w:pPr>
        <w:spacing w:after="0" w:line="146" w:lineRule="exact"/>
        <w:rPr>
          <w:sz w:val="20"/>
          <w:szCs w:val="20"/>
          <w:color w:val="auto"/>
        </w:rPr>
      </w:pPr>
    </w:p>
    <w:p>
      <w:pPr>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 responsibility for the administration of the relevant portion of this Agreement.</w:t>
      </w:r>
    </w:p>
    <w:p>
      <w:pPr>
        <w:spacing w:after="0" w:line="178"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14"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214"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00"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treasurer or comptroller of the Company.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AA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BB Bonds” </w:t>
      </w:r>
      <w:r>
        <w:rPr>
          <w:rFonts w:ascii="Arial" w:cs="Arial" w:eastAsia="Arial" w:hAnsi="Arial"/>
          <w:sz w:val="22"/>
          <w:szCs w:val="22"/>
          <w:color w:val="auto"/>
        </w:rPr>
        <w:t>is defined in Section 1.</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CC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DD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Y Bonds” </w:t>
      </w:r>
      <w:r>
        <w:rPr>
          <w:rFonts w:ascii="Arial" w:cs="Arial" w:eastAsia="Arial" w:hAnsi="Arial"/>
          <w:sz w:val="22"/>
          <w:szCs w:val="22"/>
          <w:color w:val="auto"/>
        </w:rPr>
        <w:t>is defined in Section 1.</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“Series Z Bonds” </w:t>
      </w:r>
      <w:r>
        <w:rPr>
          <w:rFonts w:ascii="Arial" w:cs="Arial" w:eastAsia="Arial" w:hAnsi="Arial"/>
          <w:sz w:val="22"/>
          <w:szCs w:val="22"/>
          <w:color w:val="auto"/>
        </w:rPr>
        <w:t>is defined in Section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5" w:name="page76"/>
    <w:bookmarkEnd w:id="75"/>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 Section 6.2.</w:t>
      </w:r>
    </w:p>
    <w:p>
      <w:pPr>
        <w:spacing w:after="0" w:line="233"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26"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“Supplemental Indenture Y” </w:t>
      </w:r>
      <w:r>
        <w:rPr>
          <w:rFonts w:ascii="Arial" w:cs="Arial" w:eastAsia="Arial" w:hAnsi="Arial"/>
          <w:sz w:val="22"/>
          <w:szCs w:val="22"/>
          <w:color w:val="auto"/>
        </w:rPr>
        <w:t>is defined in Section 1.</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81"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w:t>
      </w:r>
      <w:r>
        <w:rPr>
          <w:rFonts w:ascii="Arial" w:cs="Arial" w:eastAsia="Arial" w:hAnsi="Arial"/>
          <w:sz w:val="19"/>
          <w:szCs w:val="19"/>
          <w:i w:val="1"/>
          <w:iCs w:val="1"/>
          <w:color w:val="auto"/>
        </w:rPr>
        <w:t xml:space="preserve"> </w:t>
      </w:r>
      <w:r>
        <w:rPr>
          <w:rFonts w:ascii="Arial" w:cs="Arial" w:eastAsia="Arial" w:hAnsi="Arial"/>
          <w:sz w:val="19"/>
          <w:szCs w:val="19"/>
          <w:color w:val="auto"/>
        </w:rPr>
        <w:t>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99"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means the properties mortgaged, pledged and conveyed to the Trustee</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the Indenture.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26"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“U.S. Economic Sanctions Laws” </w:t>
      </w:r>
      <w:r>
        <w:rPr>
          <w:rFonts w:ascii="Arial" w:cs="Arial" w:eastAsia="Arial" w:hAnsi="Arial"/>
          <w:sz w:val="21"/>
          <w:szCs w:val="21"/>
          <w:color w:val="auto"/>
        </w:rPr>
        <w:t>means those laws, executive orders, enabling legislation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regulations administered and enforced by the United States pursuant to which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6" w:name="page77"/>
    <w:bookmarkEnd w:id="76"/>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00" w:lineRule="exact"/>
        <w:rPr>
          <w:sz w:val="20"/>
          <w:szCs w:val="20"/>
          <w:color w:val="auto"/>
        </w:rPr>
      </w:pPr>
    </w:p>
    <w:p>
      <w:pPr>
        <w:spacing w:after="0" w:line="30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INANCIAL</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TATEMENTS</w:t>
      </w:r>
    </w:p>
    <w:p>
      <w:pPr>
        <w:spacing w:after="0" w:line="200" w:lineRule="exact"/>
        <w:rPr>
          <w:sz w:val="20"/>
          <w:szCs w:val="20"/>
          <w:color w:val="auto"/>
        </w:rPr>
      </w:pPr>
    </w:p>
    <w:p>
      <w:pPr>
        <w:spacing w:after="0" w:line="309" w:lineRule="exact"/>
        <w:rPr>
          <w:sz w:val="20"/>
          <w:szCs w:val="20"/>
          <w:color w:val="auto"/>
        </w:rPr>
      </w:pPr>
    </w:p>
    <w:p>
      <w:pPr>
        <w:ind w:left="740" w:right="179" w:hanging="635"/>
        <w:spacing w:after="0" w:line="251" w:lineRule="auto"/>
        <w:tabs>
          <w:tab w:leader="none" w:pos="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Aqua Illinois, Inc. Consolidated Financial Statements as of and for the years ended December 31, 2016, 2015 and 2014 (audited).</w:t>
      </w:r>
    </w:p>
    <w:p>
      <w:pPr>
        <w:spacing w:after="0" w:line="200" w:lineRule="exact"/>
        <w:rPr>
          <w:rFonts w:ascii="Arial" w:cs="Arial" w:eastAsia="Arial" w:hAnsi="Arial"/>
          <w:sz w:val="22"/>
          <w:szCs w:val="22"/>
          <w:color w:val="auto"/>
        </w:rPr>
      </w:pPr>
    </w:p>
    <w:p>
      <w:pPr>
        <w:ind w:left="740" w:hanging="635"/>
        <w:spacing w:after="0"/>
        <w:tabs>
          <w:tab w:leader="none" w:pos="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Aqua Illinois, Inc. Report for Quarter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22"/>
          <w:szCs w:val="22"/>
          <w:b w:val="1"/>
          <w:bCs w:val="1"/>
          <w:color w:val="auto"/>
        </w:rPr>
        <w:t>SCHEDULE 5.15(a)</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XISTING</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EBT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8"/>
          <w:szCs w:val="18"/>
          <w:b w:val="1"/>
          <w:bCs w:val="1"/>
          <w:color w:val="auto"/>
        </w:rPr>
        <w:t>ARCH</w:t>
      </w:r>
      <w:r>
        <w:rPr>
          <w:rFonts w:ascii="Arial" w:cs="Arial" w:eastAsia="Arial" w:hAnsi="Arial"/>
          <w:sz w:val="22"/>
          <w:szCs w:val="22"/>
          <w:b w:val="1"/>
          <w:bCs w:val="1"/>
          <w:color w:val="auto"/>
        </w:rPr>
        <w:t xml:space="preserve">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LLINOIS</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ectPr>
          <w:pgSz w:w="11900" w:h="16838" w:orient="portrait"/>
          <w:cols w:equalWidth="0" w:num="1">
            <w:col w:w="9019"/>
          </w:cols>
          <w:pgMar w:left="1440" w:top="355"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70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22"/>
                <w:szCs w:val="22"/>
                <w:b w:val="1"/>
                <w:bCs w:val="1"/>
                <w:color w:val="auto"/>
              </w:rPr>
              <w:t>Interest Rate</w:t>
            </w:r>
          </w:p>
        </w:tc>
        <w:tc>
          <w:tcPr>
            <w:tcW w:w="222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auto"/>
                <w:w w:val="86"/>
              </w:rPr>
              <w:t>Outstanding Balance</w:t>
            </w:r>
          </w:p>
        </w:tc>
      </w:tr>
      <w:tr>
        <w:trPr>
          <w:trHeight w:val="20"/>
        </w:trPr>
        <w:tc>
          <w:tcPr>
            <w:tcW w:w="3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3700" w:type="dxa"/>
            <w:vAlign w:val="bottom"/>
          </w:tcPr>
          <w:p>
            <w:pPr>
              <w:spacing w:after="0"/>
              <w:rPr>
                <w:sz w:val="20"/>
                <w:szCs w:val="20"/>
                <w:color w:val="auto"/>
              </w:rPr>
            </w:pPr>
            <w:r>
              <w:rPr>
                <w:rFonts w:ascii="Arial" w:cs="Arial" w:eastAsia="Arial" w:hAnsi="Arial"/>
                <w:sz w:val="22"/>
                <w:szCs w:val="22"/>
                <w:color w:val="auto"/>
              </w:rPr>
              <w:t>Unsecured Affiliate Note</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5.22%</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$5,515,450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Unsecured Affiliate Note</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3.57%</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17,559,550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Unsecured Affiliate Note</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3.59%</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23,000,000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Unsecured Note</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8.00%</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1,000,000</w:t>
            </w:r>
          </w:p>
        </w:tc>
      </w:tr>
      <w:tr>
        <w:trPr>
          <w:trHeight w:val="567"/>
        </w:trPr>
        <w:tc>
          <w:tcPr>
            <w:tcW w:w="3700" w:type="dxa"/>
            <w:vAlign w:val="bottom"/>
          </w:tcPr>
          <w:p>
            <w:pPr>
              <w:spacing w:after="0"/>
              <w:rPr>
                <w:sz w:val="20"/>
                <w:szCs w:val="20"/>
                <w:color w:val="auto"/>
              </w:rPr>
            </w:pPr>
            <w:r>
              <w:rPr>
                <w:rFonts w:ascii="Arial" w:cs="Arial" w:eastAsia="Arial" w:hAnsi="Arial"/>
                <w:sz w:val="22"/>
                <w:szCs w:val="22"/>
                <w:b w:val="1"/>
                <w:bCs w:val="1"/>
                <w:color w:val="auto"/>
              </w:rPr>
              <w:t>Total Unsecured</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b w:val="1"/>
                <w:bCs w:val="1"/>
                <w:color w:val="auto"/>
              </w:rPr>
              <w:t>47,075,000</w:t>
            </w:r>
          </w:p>
        </w:tc>
      </w:tr>
      <w:tr>
        <w:trPr>
          <w:trHeight w:val="567"/>
        </w:trPr>
        <w:tc>
          <w:tcPr>
            <w:tcW w:w="3700" w:type="dxa"/>
            <w:vAlign w:val="bottom"/>
          </w:tcPr>
          <w:p>
            <w:pPr>
              <w:spacing w:after="0"/>
              <w:rPr>
                <w:sz w:val="20"/>
                <w:szCs w:val="20"/>
                <w:color w:val="auto"/>
              </w:rPr>
            </w:pPr>
            <w:r>
              <w:rPr>
                <w:rFonts w:ascii="Arial" w:cs="Arial" w:eastAsia="Arial" w:hAnsi="Arial"/>
                <w:sz w:val="22"/>
                <w:szCs w:val="22"/>
                <w:color w:val="auto"/>
              </w:rPr>
              <w:t>Tax Exempt</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4.95%</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16,415,000</w:t>
            </w:r>
          </w:p>
        </w:tc>
      </w:tr>
      <w:tr>
        <w:trPr>
          <w:trHeight w:val="567"/>
        </w:trPr>
        <w:tc>
          <w:tcPr>
            <w:tcW w:w="3700" w:type="dxa"/>
            <w:vAlign w:val="bottom"/>
          </w:tcPr>
          <w:p>
            <w:pPr>
              <w:spacing w:after="0"/>
              <w:rPr>
                <w:sz w:val="20"/>
                <w:szCs w:val="20"/>
                <w:color w:val="auto"/>
              </w:rPr>
            </w:pPr>
            <w:r>
              <w:rPr>
                <w:rFonts w:ascii="Arial" w:cs="Arial" w:eastAsia="Arial" w:hAnsi="Arial"/>
                <w:sz w:val="22"/>
                <w:szCs w:val="22"/>
                <w:b w:val="1"/>
                <w:bCs w:val="1"/>
                <w:color w:val="auto"/>
              </w:rPr>
              <w:t>Total Tax Exempt</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b w:val="1"/>
                <w:bCs w:val="1"/>
                <w:color w:val="auto"/>
              </w:rPr>
              <w:t>16,415,000</w:t>
            </w:r>
          </w:p>
        </w:tc>
      </w:tr>
      <w:tr>
        <w:trPr>
          <w:trHeight w:val="851"/>
        </w:trPr>
        <w:tc>
          <w:tcPr>
            <w:tcW w:w="3700" w:type="dxa"/>
            <w:vAlign w:val="bottom"/>
          </w:tcPr>
          <w:p>
            <w:pPr>
              <w:spacing w:after="0"/>
              <w:rPr>
                <w:sz w:val="20"/>
                <w:szCs w:val="20"/>
                <w:color w:val="auto"/>
              </w:rPr>
            </w:pPr>
            <w:r>
              <w:rPr>
                <w:rFonts w:ascii="Arial" w:cs="Arial" w:eastAsia="Arial" w:hAnsi="Arial"/>
                <w:sz w:val="22"/>
                <w:szCs w:val="22"/>
                <w:color w:val="auto"/>
              </w:rPr>
              <w:t>FMB</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10.40%</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6,000,000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FMB</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9.69%</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4,500,000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FMB</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7.63%</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8,000,000</w:t>
            </w:r>
          </w:p>
        </w:tc>
      </w:tr>
      <w:tr>
        <w:trPr>
          <w:trHeight w:val="284"/>
        </w:trPr>
        <w:tc>
          <w:tcPr>
            <w:tcW w:w="3700" w:type="dxa"/>
            <w:vAlign w:val="bottom"/>
          </w:tcPr>
          <w:p>
            <w:pPr>
              <w:spacing w:after="0"/>
              <w:rPr>
                <w:sz w:val="20"/>
                <w:szCs w:val="20"/>
                <w:color w:val="auto"/>
              </w:rPr>
            </w:pPr>
            <w:r>
              <w:rPr>
                <w:rFonts w:ascii="Arial" w:cs="Arial" w:eastAsia="Arial" w:hAnsi="Arial"/>
                <w:sz w:val="22"/>
                <w:szCs w:val="22"/>
                <w:color w:val="auto"/>
              </w:rPr>
              <w:t>FMB</w:t>
            </w:r>
          </w:p>
        </w:tc>
        <w:tc>
          <w:tcPr>
            <w:tcW w:w="1200" w:type="dxa"/>
            <w:vAlign w:val="bottom"/>
          </w:tcPr>
          <w:p>
            <w:pPr>
              <w:jc w:val="center"/>
              <w:spacing w:after="0"/>
              <w:rPr>
                <w:sz w:val="20"/>
                <w:szCs w:val="20"/>
                <w:color w:val="auto"/>
              </w:rPr>
            </w:pPr>
            <w:r>
              <w:rPr>
                <w:rFonts w:ascii="Arial" w:cs="Arial" w:eastAsia="Arial" w:hAnsi="Arial"/>
                <w:sz w:val="22"/>
                <w:szCs w:val="22"/>
                <w:color w:val="auto"/>
                <w:w w:val="89"/>
              </w:rPr>
              <w:t>5.32%</w:t>
            </w:r>
          </w:p>
        </w:tc>
        <w:tc>
          <w:tcPr>
            <w:tcW w:w="98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10,500,000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562" w:lineRule="exact"/>
        <w:rPr>
          <w:sz w:val="20"/>
          <w:szCs w:val="20"/>
          <w:color w:val="auto"/>
        </w:rPr>
      </w:pPr>
    </w:p>
    <w:p>
      <w:pPr>
        <w:sectPr>
          <w:pgSz w:w="11900" w:h="16838" w:orient="portrait"/>
          <w:cols w:equalWidth="0" w:num="2">
            <w:col w:w="8320" w:space="180"/>
            <w:col w:w="519"/>
          </w:cols>
          <w:pgMar w:left="1440" w:top="355" w:right="1440" w:bottom="1440" w:gutter="0" w:footer="0" w:header="0"/>
          <w:type w:val="continuous"/>
        </w:sectPr>
      </w:pPr>
    </w:p>
    <w:p>
      <w:pPr>
        <w:spacing w:after="0" w:line="87" w:lineRule="exact"/>
        <w:rPr>
          <w:sz w:val="20"/>
          <w:szCs w:val="20"/>
          <w:color w:val="auto"/>
        </w:rPr>
      </w:pPr>
    </w:p>
    <w:tbl>
      <w:tblPr>
        <w:tblLayout w:type="fixed"/>
        <w:tblInd w:w="220" w:type="dxa"/>
        <w:tblCellMar>
          <w:top w:w="0" w:type="dxa"/>
          <w:left w:w="0" w:type="dxa"/>
          <w:bottom w:w="0" w:type="dxa"/>
          <w:right w:w="0" w:type="dxa"/>
        </w:tblCellMar>
      </w:tblPr>
      <w:tr>
        <w:trPr>
          <w:trHeight w:val="281"/>
        </w:trPr>
        <w:tc>
          <w:tcPr>
            <w:tcW w:w="4860" w:type="dxa"/>
            <w:vAlign w:val="bottom"/>
          </w:tcPr>
          <w:p>
            <w:pPr>
              <w:spacing w:after="0"/>
              <w:rPr>
                <w:sz w:val="20"/>
                <w:szCs w:val="20"/>
                <w:color w:val="auto"/>
              </w:rPr>
            </w:pPr>
            <w:r>
              <w:rPr>
                <w:rFonts w:ascii="Arial" w:cs="Arial" w:eastAsia="Arial" w:hAnsi="Arial"/>
                <w:sz w:val="22"/>
                <w:szCs w:val="22"/>
                <w:b w:val="1"/>
                <w:bCs w:val="1"/>
                <w:color w:val="auto"/>
              </w:rPr>
              <w:t>Total FMB</w:t>
            </w:r>
          </w:p>
        </w:tc>
        <w:tc>
          <w:tcPr>
            <w:tcW w:w="3240" w:type="dxa"/>
            <w:vAlign w:val="bottom"/>
          </w:tcPr>
          <w:p>
            <w:pPr>
              <w:jc w:val="right"/>
              <w:spacing w:after="0"/>
              <w:rPr>
                <w:sz w:val="20"/>
                <w:szCs w:val="20"/>
                <w:color w:val="auto"/>
              </w:rPr>
            </w:pPr>
            <w:r>
              <w:rPr>
                <w:rFonts w:ascii="Arial" w:cs="Arial" w:eastAsia="Arial" w:hAnsi="Arial"/>
                <w:sz w:val="22"/>
                <w:szCs w:val="22"/>
                <w:b w:val="1"/>
                <w:bCs w:val="1"/>
                <w:color w:val="auto"/>
              </w:rPr>
              <w:t>29,000,000</w:t>
            </w:r>
          </w:p>
        </w:tc>
      </w:tr>
      <w:tr>
        <w:trPr>
          <w:trHeight w:val="567"/>
        </w:trPr>
        <w:tc>
          <w:tcPr>
            <w:tcW w:w="4860" w:type="dxa"/>
            <w:vAlign w:val="bottom"/>
          </w:tcPr>
          <w:p>
            <w:pPr>
              <w:spacing w:after="0"/>
              <w:rPr>
                <w:sz w:val="20"/>
                <w:szCs w:val="20"/>
                <w:color w:val="auto"/>
              </w:rPr>
            </w:pPr>
            <w:r>
              <w:rPr>
                <w:rFonts w:ascii="Arial" w:cs="Arial" w:eastAsia="Arial" w:hAnsi="Arial"/>
                <w:sz w:val="22"/>
                <w:szCs w:val="22"/>
                <w:b w:val="1"/>
                <w:bCs w:val="1"/>
                <w:color w:val="auto"/>
              </w:rPr>
              <w:t>Total Long Term Debt</w:t>
            </w:r>
          </w:p>
        </w:tc>
        <w:tc>
          <w:tcPr>
            <w:tcW w:w="3240" w:type="dxa"/>
            <w:vAlign w:val="bottom"/>
          </w:tcPr>
          <w:p>
            <w:pPr>
              <w:jc w:val="right"/>
              <w:spacing w:after="0"/>
              <w:rPr>
                <w:sz w:val="20"/>
                <w:szCs w:val="20"/>
                <w:color w:val="auto"/>
              </w:rPr>
            </w:pPr>
            <w:r>
              <w:rPr>
                <w:rFonts w:ascii="Arial" w:cs="Arial" w:eastAsia="Arial" w:hAnsi="Arial"/>
                <w:sz w:val="22"/>
                <w:szCs w:val="22"/>
                <w:b w:val="1"/>
                <w:bCs w:val="1"/>
                <w:color w:val="auto"/>
              </w:rPr>
              <w:t>$92,490,000</w:t>
            </w:r>
          </w:p>
        </w:tc>
      </w:tr>
      <w:tr>
        <w:trPr>
          <w:trHeight w:val="567"/>
        </w:trPr>
        <w:tc>
          <w:tcPr>
            <w:tcW w:w="4860" w:type="dxa"/>
            <w:vAlign w:val="bottom"/>
          </w:tcPr>
          <w:p>
            <w:pPr>
              <w:spacing w:after="0"/>
              <w:rPr>
                <w:sz w:val="20"/>
                <w:szCs w:val="20"/>
                <w:color w:val="auto"/>
              </w:rPr>
            </w:pPr>
            <w:r>
              <w:rPr>
                <w:rFonts w:ascii="Arial" w:cs="Arial" w:eastAsia="Arial" w:hAnsi="Arial"/>
                <w:sz w:val="22"/>
                <w:szCs w:val="22"/>
                <w:color w:val="auto"/>
              </w:rPr>
              <w:t>CoBank Line of Credit</w:t>
            </w:r>
          </w:p>
        </w:tc>
        <w:tc>
          <w:tcPr>
            <w:tcW w:w="32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567"/>
        </w:trPr>
        <w:tc>
          <w:tcPr>
            <w:tcW w:w="4860" w:type="dxa"/>
            <w:vAlign w:val="bottom"/>
          </w:tcPr>
          <w:p>
            <w:pPr>
              <w:spacing w:after="0"/>
              <w:rPr>
                <w:sz w:val="20"/>
                <w:szCs w:val="20"/>
                <w:color w:val="auto"/>
              </w:rPr>
            </w:pPr>
            <w:r>
              <w:rPr>
                <w:rFonts w:ascii="Arial" w:cs="Arial" w:eastAsia="Arial" w:hAnsi="Arial"/>
                <w:sz w:val="22"/>
                <w:szCs w:val="22"/>
                <w:b w:val="1"/>
                <w:bCs w:val="1"/>
                <w:color w:val="auto"/>
              </w:rPr>
              <w:t>Total Short Term Debt</w:t>
            </w:r>
          </w:p>
        </w:tc>
        <w:tc>
          <w:tcPr>
            <w:tcW w:w="324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567"/>
        </w:trPr>
        <w:tc>
          <w:tcPr>
            <w:tcW w:w="4860" w:type="dxa"/>
            <w:vAlign w:val="bottom"/>
          </w:tcPr>
          <w:p>
            <w:pPr>
              <w:spacing w:after="0"/>
              <w:rPr>
                <w:sz w:val="20"/>
                <w:szCs w:val="20"/>
                <w:color w:val="auto"/>
              </w:rPr>
            </w:pPr>
            <w:r>
              <w:rPr>
                <w:rFonts w:ascii="Arial" w:cs="Arial" w:eastAsia="Arial" w:hAnsi="Arial"/>
                <w:sz w:val="22"/>
                <w:szCs w:val="22"/>
                <w:b w:val="1"/>
                <w:bCs w:val="1"/>
                <w:color w:val="auto"/>
              </w:rPr>
              <w:t>Total Aqua Illlinois Inc. Debt</w:t>
            </w:r>
          </w:p>
        </w:tc>
        <w:tc>
          <w:tcPr>
            <w:tcW w:w="3240" w:type="dxa"/>
            <w:vAlign w:val="bottom"/>
          </w:tcPr>
          <w:p>
            <w:pPr>
              <w:jc w:val="right"/>
              <w:spacing w:after="0"/>
              <w:rPr>
                <w:sz w:val="20"/>
                <w:szCs w:val="20"/>
                <w:color w:val="auto"/>
              </w:rPr>
            </w:pPr>
            <w:r>
              <w:rPr>
                <w:rFonts w:ascii="Arial" w:cs="Arial" w:eastAsia="Arial" w:hAnsi="Arial"/>
                <w:sz w:val="22"/>
                <w:szCs w:val="22"/>
                <w:b w:val="1"/>
                <w:bCs w:val="1"/>
                <w:color w:val="auto"/>
              </w:rPr>
              <w:t>$92,490,000</w:t>
            </w:r>
          </w:p>
        </w:tc>
      </w:tr>
    </w:tbl>
    <w:p>
      <w:pPr>
        <w:spacing w:after="0" w:line="77" w:lineRule="exact"/>
        <w:rPr>
          <w:sz w:val="20"/>
          <w:szCs w:val="20"/>
          <w:color w:val="auto"/>
        </w:rPr>
      </w:pPr>
    </w:p>
    <w:p>
      <w:pPr>
        <w:ind w:left="320" w:hanging="99"/>
        <w:spacing w:after="0"/>
        <w:tabs>
          <w:tab w:leader="none" w:pos="320" w:val="left"/>
        </w:tabs>
        <w:numPr>
          <w:ilvl w:val="0"/>
          <w:numId w:val="47"/>
        </w:numPr>
        <w:rPr>
          <w:rFonts w:ascii="Arial" w:cs="Arial" w:eastAsia="Arial" w:hAnsi="Arial"/>
          <w:sz w:val="11"/>
          <w:szCs w:val="11"/>
          <w:color w:val="auto"/>
        </w:rPr>
      </w:pPr>
      <w:r>
        <w:rPr>
          <w:rFonts w:ascii="Arial" w:cs="Arial" w:eastAsia="Arial" w:hAnsi="Arial"/>
          <w:sz w:val="22"/>
          <w:szCs w:val="22"/>
          <w:color w:val="auto"/>
        </w:rPr>
        <w:t>Redeemed on June 1, 2017.</w:t>
      </w:r>
    </w:p>
    <w:p>
      <w:pPr>
        <w:spacing w:after="0" w:line="31" w:lineRule="exact"/>
        <w:rPr>
          <w:sz w:val="20"/>
          <w:szCs w:val="20"/>
          <w:color w:val="auto"/>
        </w:rPr>
      </w:pPr>
    </w:p>
    <w:p>
      <w:pPr>
        <w:ind w:left="220" w:right="6079" w:firstLine="1"/>
        <w:spacing w:after="0" w:line="251" w:lineRule="auto"/>
        <w:tabs>
          <w:tab w:leader="none" w:pos="328" w:val="left"/>
        </w:tabs>
        <w:numPr>
          <w:ilvl w:val="0"/>
          <w:numId w:val="48"/>
        </w:numPr>
        <w:rPr>
          <w:rFonts w:ascii="Arial" w:cs="Arial" w:eastAsia="Arial" w:hAnsi="Arial"/>
          <w:sz w:val="11"/>
          <w:szCs w:val="11"/>
          <w:color w:val="auto"/>
        </w:rPr>
      </w:pPr>
      <w:r>
        <w:rPr>
          <w:rFonts w:ascii="Arial" w:cs="Arial" w:eastAsia="Arial" w:hAnsi="Arial"/>
          <w:sz w:val="22"/>
          <w:szCs w:val="22"/>
          <w:color w:val="auto"/>
        </w:rPr>
        <w:t>To be retired with Series 2017 bond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79" w:name="page80"/>
    <w:bookmarkEnd w:id="79"/>
    <w:p>
      <w:pPr>
        <w:ind w:left="100"/>
        <w:spacing w:after="0"/>
        <w:tabs>
          <w:tab w:leader="none" w:pos="6580" w:val="left"/>
        </w:tabs>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I</w:t>
      </w:r>
      <w:r>
        <w:rPr>
          <w:rFonts w:ascii="Arial" w:cs="Arial" w:eastAsia="Arial" w:hAnsi="Arial"/>
          <w:sz w:val="18"/>
          <w:szCs w:val="18"/>
          <w:color w:val="auto"/>
        </w:rPr>
        <w:t>LLINOIS</w:t>
      </w:r>
      <w:r>
        <w:rPr>
          <w:rFonts w:ascii="Arial" w:cs="Arial" w:eastAsia="Arial" w:hAnsi="Arial"/>
          <w:sz w:val="22"/>
          <w:szCs w:val="22"/>
          <w:color w:val="auto"/>
        </w:rPr>
        <w:t>, I</w:t>
      </w:r>
      <w:r>
        <w:rPr>
          <w:rFonts w:ascii="Arial" w:cs="Arial" w:eastAsia="Arial" w:hAnsi="Arial"/>
          <w:sz w:val="18"/>
          <w:szCs w:val="18"/>
          <w:color w:val="auto"/>
        </w:rPr>
        <w:t>NC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Bond Purchase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EBT</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NSTRUMENTS WHICH</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IMIT</w:t>
      </w:r>
      <w:r>
        <w:rPr>
          <w:rFonts w:ascii="Arial" w:cs="Arial" w:eastAsia="Arial" w:hAnsi="Arial"/>
          <w:sz w:val="22"/>
          <w:szCs w:val="22"/>
          <w:b w:val="1"/>
          <w:bCs w:val="1"/>
          <w:color w:val="auto"/>
        </w:rPr>
        <w:t>/R</w:t>
      </w:r>
      <w:r>
        <w:rPr>
          <w:rFonts w:ascii="Arial" w:cs="Arial" w:eastAsia="Arial" w:hAnsi="Arial"/>
          <w:sz w:val="18"/>
          <w:szCs w:val="18"/>
          <w:b w:val="1"/>
          <w:bCs w:val="1"/>
          <w:color w:val="auto"/>
        </w:rPr>
        <w:t>ESTRICT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HE</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NCURRENCE OF</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EBT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LLINOIS</w:t>
      </w:r>
      <w:r>
        <w:rPr>
          <w:rFonts w:ascii="Arial" w:cs="Arial" w:eastAsia="Arial" w:hAnsi="Arial"/>
          <w:sz w:val="22"/>
          <w:szCs w:val="22"/>
          <w:b w:val="1"/>
          <w:bCs w:val="1"/>
          <w:color w:val="auto"/>
        </w:rPr>
        <w:t>, I</w:t>
      </w:r>
      <w:r>
        <w:rPr>
          <w:rFonts w:ascii="Arial" w:cs="Arial" w:eastAsia="Arial" w:hAnsi="Arial"/>
          <w:sz w:val="18"/>
          <w:szCs w:val="18"/>
          <w:b w:val="1"/>
          <w:bCs w:val="1"/>
          <w:color w:val="auto"/>
        </w:rPr>
        <w:t>NC</w:t>
      </w:r>
      <w:r>
        <w:rPr>
          <w:rFonts w:ascii="Arial" w:cs="Arial" w:eastAsia="Arial" w:hAnsi="Arial"/>
          <w:sz w:val="22"/>
          <w:szCs w:val="22"/>
          <w:b w:val="1"/>
          <w:bCs w:val="1"/>
          <w:color w:val="auto"/>
        </w:rPr>
        <w:t>.</w:t>
      </w:r>
    </w:p>
    <w:p>
      <w:pPr>
        <w:spacing w:after="0" w:line="253" w:lineRule="exact"/>
        <w:rPr>
          <w:sz w:val="20"/>
          <w:szCs w:val="20"/>
          <w:color w:val="auto"/>
        </w:rPr>
      </w:pPr>
    </w:p>
    <w:p>
      <w:pPr>
        <w:ind w:left="740" w:right="99" w:hanging="635"/>
        <w:spacing w:after="0" w:line="251" w:lineRule="auto"/>
        <w:tabs>
          <w:tab w:leader="none" w:pos="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Indenture of Mortgage dated as of June 1, 1939 of Aqua Illinois, Inc. as supplemented and amended.</w:t>
      </w:r>
    </w:p>
    <w:p>
      <w:pPr>
        <w:spacing w:after="0" w:line="200" w:lineRule="exact"/>
        <w:rPr>
          <w:rFonts w:ascii="Arial" w:cs="Arial" w:eastAsia="Arial" w:hAnsi="Arial"/>
          <w:sz w:val="22"/>
          <w:szCs w:val="22"/>
          <w:color w:val="auto"/>
        </w:rPr>
      </w:pPr>
    </w:p>
    <w:p>
      <w:pPr>
        <w:ind w:left="740" w:right="99" w:hanging="635"/>
        <w:spacing w:after="0" w:line="251" w:lineRule="auto"/>
        <w:tabs>
          <w:tab w:leader="none" w:pos="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$8,000,000 Revolving Credit Agreement dated as of June 30, 2009 among Aqua Illinois, Inc. and CoBank,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80" w:name="page81"/>
    <w:bookmarkEnd w:id="80"/>
    <w:p>
      <w:pPr>
        <w:jc w:val="right"/>
        <w:ind w:right="99"/>
        <w:spacing w:after="0"/>
        <w:rPr>
          <w:sz w:val="20"/>
          <w:szCs w:val="20"/>
          <w:color w:val="auto"/>
        </w:rPr>
      </w:pPr>
      <w:r>
        <w:rPr>
          <w:rFonts w:ascii="Arial" w:cs="Arial" w:eastAsia="Arial" w:hAnsi="Arial"/>
          <w:sz w:val="22"/>
          <w:szCs w:val="22"/>
          <w:color w:val="auto"/>
        </w:rPr>
        <w:t>Exhibit 4.2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XECUTION</w:t>
      </w:r>
      <w:r>
        <w:rPr>
          <w:rFonts w:ascii="Arial" w:cs="Arial" w:eastAsia="Arial" w:hAnsi="Arial"/>
          <w:sz w:val="22"/>
          <w:szCs w:val="22"/>
          <w:color w:val="auto"/>
        </w:rPr>
        <w:t xml:space="preserve"> V</w:t>
      </w:r>
      <w:r>
        <w:rPr>
          <w:rFonts w:ascii="Arial" w:cs="Arial" w:eastAsia="Arial" w:hAnsi="Arial"/>
          <w:sz w:val="18"/>
          <w:szCs w:val="18"/>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4445</wp:posOffset>
            </wp:positionV>
            <wp:extent cx="56000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$155,000,000</w:t>
      </w:r>
    </w:p>
    <w:p>
      <w:pPr>
        <w:spacing w:after="0" w:line="314" w:lineRule="exact"/>
        <w:rPr>
          <w:sz w:val="20"/>
          <w:szCs w:val="20"/>
          <w:color w:val="auto"/>
        </w:rPr>
      </w:pPr>
    </w:p>
    <w:p>
      <w:pPr>
        <w:jc w:val="both"/>
        <w:ind w:left="1940" w:right="1939"/>
        <w:spacing w:after="0" w:line="549" w:lineRule="auto"/>
        <w:rPr>
          <w:sz w:val="20"/>
          <w:szCs w:val="20"/>
          <w:color w:val="auto"/>
        </w:rPr>
      </w:pPr>
      <w:r>
        <w:rPr>
          <w:rFonts w:ascii="Arial" w:cs="Arial" w:eastAsia="Arial" w:hAnsi="Arial"/>
          <w:sz w:val="19"/>
          <w:szCs w:val="19"/>
          <w:color w:val="auto"/>
        </w:rPr>
        <w:t>$40,000,000 First Mortgage Bonds, 4.04% Series due 2055 $40,000,000 First Mortgage Bonds, 4.06% Series due 2057 $35,000,000 First Mortgage Bonds, 4.06% Series due 2054 $20,000,000 First Mortgage Bonds, 4.07% Series due 2055 $20,000,000 First Mortgage Bonds, 4.09% Series due 2057</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OND</w:t>
      </w:r>
      <w:r>
        <w:rPr>
          <w:rFonts w:ascii="Arial" w:cs="Arial" w:eastAsia="Arial" w:hAnsi="Arial"/>
          <w:sz w:val="22"/>
          <w:szCs w:val="22"/>
          <w:color w:val="auto"/>
        </w:rPr>
        <w:t xml:space="preserve"> P</w:t>
      </w:r>
      <w:r>
        <w:rPr>
          <w:rFonts w:ascii="Arial" w:cs="Arial" w:eastAsia="Arial" w:hAnsi="Arial"/>
          <w:sz w:val="18"/>
          <w:szCs w:val="18"/>
          <w:color w:val="auto"/>
        </w:rPr>
        <w:t>URCHASE</w:t>
      </w:r>
      <w:r>
        <w:rPr>
          <w:rFonts w:ascii="Arial" w:cs="Arial" w:eastAsia="Arial" w:hAnsi="Arial"/>
          <w:sz w:val="22"/>
          <w:szCs w:val="22"/>
          <w:color w:val="auto"/>
        </w:rPr>
        <w:t xml:space="preserve"> A</w:t>
      </w:r>
      <w:r>
        <w:rPr>
          <w:rFonts w:ascii="Arial" w:cs="Arial" w:eastAsia="Arial" w:hAnsi="Arial"/>
          <w:sz w:val="18"/>
          <w:szCs w:val="18"/>
          <w:color w:val="auto"/>
        </w:rPr>
        <w:t>GREEMENT</w:t>
      </w:r>
    </w:p>
    <w:p>
      <w:pPr>
        <w:spacing w:after="0" w:line="32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July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822325</wp:posOffset>
            </wp:positionV>
            <wp:extent cx="56000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4233714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65405</wp:posOffset>
            </wp:positionV>
            <wp:extent cx="564261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tbl>
      <w:tblPr>
        <w:tblLayout w:type="fixed"/>
        <w:tblInd w:w="100" w:type="dxa"/>
        <w:tblCellMar>
          <w:top w:w="0" w:type="dxa"/>
          <w:left w:w="0" w:type="dxa"/>
          <w:bottom w:w="0" w:type="dxa"/>
          <w:right w:w="0" w:type="dxa"/>
        </w:tblCellMar>
      </w:tblPr>
      <w:tr>
        <w:trPr>
          <w:trHeight w:val="281"/>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26"/>
          </w:tcPr>
          <w:p>
            <w:pPr>
              <w:ind w:left="1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8"/>
                <w:szCs w:val="18"/>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ONTENTS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1420" w:type="dxa"/>
            <w:vAlign w:val="bottom"/>
            <w:gridSpan w:val="7"/>
          </w:tcPr>
          <w:p>
            <w:pP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14"/>
          </w:tcPr>
          <w:p>
            <w:pPr>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EADING</w:t>
            </w:r>
          </w:p>
        </w:tc>
        <w:tc>
          <w:tcPr>
            <w:tcW w:w="860" w:type="dxa"/>
            <w:vAlign w:val="bottom"/>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AGE</w:t>
            </w:r>
          </w:p>
        </w:tc>
        <w:tc>
          <w:tcPr>
            <w:tcW w:w="0" w:type="dxa"/>
            <w:vAlign w:val="bottom"/>
          </w:tcPr>
          <w:p>
            <w:pPr>
              <w:spacing w:after="0"/>
              <w:rPr>
                <w:sz w:val="1"/>
                <w:szCs w:val="1"/>
                <w:color w:val="auto"/>
              </w:rPr>
            </w:pPr>
          </w:p>
        </w:tc>
      </w:tr>
      <w:tr>
        <w:trPr>
          <w:trHeight w:val="436"/>
        </w:trPr>
        <w:tc>
          <w:tcPr>
            <w:tcW w:w="1000" w:type="dxa"/>
            <w:vAlign w:val="bottom"/>
            <w:gridSpan w:val="3"/>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S</w:t>
              </w:r>
              <w:r>
                <w:rPr>
                  <w:rFonts w:ascii="Arial" w:cs="Arial" w:eastAsia="Arial" w:hAnsi="Arial"/>
                  <w:sz w:val="18"/>
                  <w:szCs w:val="18"/>
                  <w:color w:val="0000EE"/>
                  <w:w w:val="89"/>
                </w:rPr>
                <w:t>ECTION</w:t>
              </w:r>
              <w:r>
                <w:rPr>
                  <w:rFonts w:ascii="Arial" w:cs="Arial" w:eastAsia="Arial" w:hAnsi="Arial"/>
                  <w:sz w:val="22"/>
                  <w:szCs w:val="22"/>
                  <w:color w:val="0000EE"/>
                  <w:w w:val="89"/>
                </w:rPr>
                <w:t xml:space="preserve"> 1.</w:t>
              </w:r>
            </w:hyperlink>
          </w:p>
        </w:tc>
        <w:tc>
          <w:tcPr>
            <w:tcW w:w="420" w:type="dxa"/>
            <w:vAlign w:val="bottom"/>
            <w:gridSpan w:val="4"/>
          </w:tcPr>
          <w:p>
            <w:pPr>
              <w:spacing w:after="0"/>
              <w:rPr>
                <w:sz w:val="24"/>
                <w:szCs w:val="24"/>
                <w:color w:val="auto"/>
              </w:rPr>
            </w:pPr>
          </w:p>
        </w:tc>
        <w:tc>
          <w:tcPr>
            <w:tcW w:w="6540" w:type="dxa"/>
            <w:vAlign w:val="bottom"/>
            <w:gridSpan w:val="32"/>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A</w:t>
              </w:r>
              <w:r>
                <w:rPr>
                  <w:rFonts w:ascii="Arial" w:cs="Arial" w:eastAsia="Arial" w:hAnsi="Arial"/>
                  <w:sz w:val="18"/>
                  <w:szCs w:val="18"/>
                  <w:color w:val="0000EE"/>
                </w:rPr>
                <w:t>UTHORIZATION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spacing w:after="0"/>
              <w:rPr>
                <w:rFonts w:ascii="Arial" w:cs="Arial" w:eastAsia="Arial" w:hAnsi="Arial"/>
                <w:sz w:val="22"/>
                <w:szCs w:val="22"/>
                <w:color w:val="0000EE"/>
                <w:w w:val="89"/>
              </w:rPr>
            </w:pPr>
            <w:hyperlink w:anchor="page42">
              <w:r>
                <w:rPr>
                  <w:rFonts w:ascii="Arial" w:cs="Arial" w:eastAsia="Arial" w:hAnsi="Arial"/>
                  <w:sz w:val="22"/>
                  <w:szCs w:val="22"/>
                  <w:color w:val="0000EE"/>
                  <w:w w:val="89"/>
                </w:rPr>
                <w:t>S</w:t>
              </w:r>
              <w:r>
                <w:rPr>
                  <w:rFonts w:ascii="Arial" w:cs="Arial" w:eastAsia="Arial" w:hAnsi="Arial"/>
                  <w:sz w:val="18"/>
                  <w:szCs w:val="18"/>
                  <w:color w:val="0000EE"/>
                  <w:w w:val="89"/>
                </w:rPr>
                <w:t>ECTION</w:t>
              </w:r>
              <w:r>
                <w:rPr>
                  <w:rFonts w:ascii="Arial" w:cs="Arial" w:eastAsia="Arial" w:hAnsi="Arial"/>
                  <w:sz w:val="22"/>
                  <w:szCs w:val="22"/>
                  <w:color w:val="0000EE"/>
                  <w:w w:val="89"/>
                </w:rPr>
                <w:t xml:space="preserve"> 2.</w:t>
              </w:r>
            </w:hyperlink>
          </w:p>
        </w:tc>
        <w:tc>
          <w:tcPr>
            <w:tcW w:w="420" w:type="dxa"/>
            <w:vAlign w:val="bottom"/>
            <w:gridSpan w:val="4"/>
          </w:tcPr>
          <w:p>
            <w:pPr>
              <w:spacing w:after="0"/>
              <w:rPr>
                <w:sz w:val="24"/>
                <w:szCs w:val="24"/>
                <w:color w:val="auto"/>
              </w:rPr>
            </w:pPr>
          </w:p>
        </w:tc>
        <w:tc>
          <w:tcPr>
            <w:tcW w:w="6540" w:type="dxa"/>
            <w:vAlign w:val="bottom"/>
            <w:gridSpan w:val="32"/>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S</w:t>
              </w:r>
              <w:r>
                <w:rPr>
                  <w:rFonts w:ascii="Arial" w:cs="Arial" w:eastAsia="Arial" w:hAnsi="Arial"/>
                  <w:sz w:val="18"/>
                  <w:szCs w:val="18"/>
                  <w:color w:val="0000EE"/>
                </w:rPr>
                <w:t>ALE AND</w:t>
              </w:r>
              <w:r>
                <w:rPr>
                  <w:rFonts w:ascii="Arial" w:cs="Arial" w:eastAsia="Arial" w:hAnsi="Arial"/>
                  <w:sz w:val="22"/>
                  <w:szCs w:val="22"/>
                  <w:color w:val="0000EE"/>
                </w:rPr>
                <w:t xml:space="preserve"> P</w:t>
              </w:r>
              <w:r>
                <w:rPr>
                  <w:rFonts w:ascii="Arial" w:cs="Arial" w:eastAsia="Arial" w:hAnsi="Arial"/>
                  <w:sz w:val="18"/>
                  <w:szCs w:val="18"/>
                  <w:color w:val="0000EE"/>
                </w:rPr>
                <w:t>URCHASE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000" w:type="dxa"/>
            <w:vAlign w:val="bottom"/>
            <w:tcBorders>
              <w:top w:val="single" w:sz="8" w:color="0000EE"/>
            </w:tcBorders>
            <w:gridSpan w:val="3"/>
          </w:tcPr>
          <w:p>
            <w:pPr>
              <w:spacing w:after="0"/>
              <w:rPr>
                <w:rFonts w:ascii="Arial" w:cs="Arial" w:eastAsia="Arial" w:hAnsi="Arial"/>
                <w:sz w:val="22"/>
                <w:szCs w:val="22"/>
                <w:color w:val="0000EE"/>
                <w:w w:val="89"/>
              </w:rPr>
            </w:pPr>
            <w:hyperlink w:anchor="page42">
              <w:r>
                <w:rPr>
                  <w:rFonts w:ascii="Arial" w:cs="Arial" w:eastAsia="Arial" w:hAnsi="Arial"/>
                  <w:sz w:val="22"/>
                  <w:szCs w:val="22"/>
                  <w:color w:val="0000EE"/>
                  <w:w w:val="89"/>
                </w:rPr>
                <w:t>S</w:t>
              </w:r>
              <w:r>
                <w:rPr>
                  <w:rFonts w:ascii="Arial" w:cs="Arial" w:eastAsia="Arial" w:hAnsi="Arial"/>
                  <w:sz w:val="18"/>
                  <w:szCs w:val="18"/>
                  <w:color w:val="0000EE"/>
                  <w:w w:val="89"/>
                </w:rPr>
                <w:t>ECTION</w:t>
              </w:r>
              <w:r>
                <w:rPr>
                  <w:rFonts w:ascii="Arial" w:cs="Arial" w:eastAsia="Arial" w:hAnsi="Arial"/>
                  <w:sz w:val="22"/>
                  <w:szCs w:val="22"/>
                  <w:color w:val="0000EE"/>
                  <w:w w:val="89"/>
                </w:rPr>
                <w:t xml:space="preserve"> 3.</w:t>
              </w:r>
            </w:hyperlink>
          </w:p>
        </w:tc>
        <w:tc>
          <w:tcPr>
            <w:tcW w:w="420" w:type="dxa"/>
            <w:vAlign w:val="bottom"/>
            <w:gridSpan w:val="4"/>
          </w:tcPr>
          <w:p>
            <w:pPr>
              <w:spacing w:after="0"/>
              <w:rPr>
                <w:sz w:val="24"/>
                <w:szCs w:val="24"/>
                <w:color w:val="auto"/>
              </w:rPr>
            </w:pPr>
          </w:p>
        </w:tc>
        <w:tc>
          <w:tcPr>
            <w:tcW w:w="2920" w:type="dxa"/>
            <w:vAlign w:val="bottom"/>
            <w:tcBorders>
              <w:top w:val="single" w:sz="8" w:color="0000EE"/>
            </w:tcBorders>
            <w:gridSpan w:val="17"/>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C</w:t>
              </w:r>
              <w:r>
                <w:rPr>
                  <w:rFonts w:ascii="Arial" w:cs="Arial" w:eastAsia="Arial" w:hAnsi="Arial"/>
                  <w:sz w:val="18"/>
                  <w:szCs w:val="18"/>
                  <w:color w:val="0000EE"/>
                </w:rPr>
                <w:t>LOSINGS</w:t>
              </w:r>
            </w:hyperlink>
          </w:p>
        </w:tc>
        <w:tc>
          <w:tcPr>
            <w:tcW w:w="362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3"/>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4.</w:t>
              </w:r>
            </w:hyperlink>
          </w:p>
        </w:tc>
        <w:tc>
          <w:tcPr>
            <w:tcW w:w="420" w:type="dxa"/>
            <w:vAlign w:val="bottom"/>
            <w:gridSpan w:val="4"/>
          </w:tcPr>
          <w:p>
            <w:pPr>
              <w:spacing w:after="0"/>
              <w:rPr>
                <w:sz w:val="24"/>
                <w:szCs w:val="24"/>
                <w:color w:val="auto"/>
              </w:rPr>
            </w:pPr>
          </w:p>
        </w:tc>
        <w:tc>
          <w:tcPr>
            <w:tcW w:w="6540" w:type="dxa"/>
            <w:vAlign w:val="bottom"/>
            <w:gridSpan w:val="32"/>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C</w:t>
              </w:r>
              <w:r>
                <w:rPr>
                  <w:rFonts w:ascii="Arial" w:cs="Arial" w:eastAsia="Arial" w:hAnsi="Arial"/>
                  <w:sz w:val="18"/>
                  <w:szCs w:val="18"/>
                  <w:color w:val="0000EE"/>
                </w:rPr>
                <w:t>ONDITIONS TO</w:t>
              </w:r>
              <w:r>
                <w:rPr>
                  <w:rFonts w:ascii="Arial" w:cs="Arial" w:eastAsia="Arial" w:hAnsi="Arial"/>
                  <w:sz w:val="22"/>
                  <w:szCs w:val="22"/>
                  <w:color w:val="0000EE"/>
                </w:rPr>
                <w:t xml:space="preserve"> C</w:t>
              </w:r>
              <w:r>
                <w:rPr>
                  <w:rFonts w:ascii="Arial" w:cs="Arial" w:eastAsia="Arial" w:hAnsi="Arial"/>
                  <w:sz w:val="18"/>
                  <w:szCs w:val="18"/>
                  <w:color w:val="0000EE"/>
                </w:rPr>
                <w:t>LOSING</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200" w:type="dxa"/>
            <w:vAlign w:val="bottom"/>
            <w:gridSpan w:val="6"/>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Section 4.1</w:t>
              </w:r>
            </w:hyperlink>
            <w:r>
              <w:rPr>
                <w:rFonts w:ascii="Arial" w:cs="Arial" w:eastAsia="Arial" w:hAnsi="Arial"/>
                <w:sz w:val="22"/>
                <w:szCs w:val="22"/>
                <w:color w:val="000000"/>
              </w:rPr>
              <w:t>.</w:t>
            </w:r>
          </w:p>
        </w:tc>
        <w:tc>
          <w:tcPr>
            <w:tcW w:w="6540" w:type="dxa"/>
            <w:vAlign w:val="bottom"/>
            <w:gridSpan w:val="32"/>
          </w:tcPr>
          <w:p>
            <w:pPr>
              <w:ind w:left="220"/>
              <w:spacing w:after="0"/>
              <w:rPr>
                <w:rFonts w:ascii="Arial" w:cs="Arial" w:eastAsia="Arial" w:hAnsi="Arial"/>
                <w:sz w:val="22"/>
                <w:szCs w:val="22"/>
                <w:color w:val="0000EE"/>
              </w:rPr>
            </w:pPr>
            <w:hyperlink w:anchor="page43">
              <w:r>
                <w:rPr>
                  <w:rFonts w:ascii="Arial" w:cs="Arial" w:eastAsia="Arial" w:hAnsi="Arial"/>
                  <w:sz w:val="22"/>
                  <w:szCs w:val="22"/>
                  <w:color w:val="0000EE"/>
                </w:rPr>
                <w:t>Representations and Warranties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Section 4.2.</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Performance; No Default</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Section 4.3.</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3">
              <w:r>
                <w:rPr>
                  <w:rFonts w:ascii="Arial" w:cs="Arial" w:eastAsia="Arial" w:hAnsi="Arial"/>
                  <w:sz w:val="22"/>
                  <w:szCs w:val="22"/>
                  <w:color w:val="0000EE"/>
                </w:rPr>
                <w:t>Compliance Certificates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4.4.</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Opinions of Counsel</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4.5.</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Purchase Permitted by Applicable Law,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4.6.</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Sale of Bonds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4.7.</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Payment of Special Counsel Fees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4.8.</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Private Placement Number</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Section 4.9.</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Changes in Corporate Structure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4">
              <w:r>
                <w:rPr>
                  <w:rFonts w:ascii="Arial" w:cs="Arial" w:eastAsia="Arial" w:hAnsi="Arial"/>
                  <w:sz w:val="22"/>
                  <w:szCs w:val="22"/>
                  <w:color w:val="0000EE"/>
                  <w:w w:val="84"/>
                </w:rPr>
                <w:t>Section 4.10.</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4">
              <w:r>
                <w:rPr>
                  <w:rFonts w:ascii="Arial" w:cs="Arial" w:eastAsia="Arial" w:hAnsi="Arial"/>
                  <w:sz w:val="22"/>
                  <w:szCs w:val="22"/>
                  <w:color w:val="0000EE"/>
                </w:rPr>
                <w:t>Funding Instructions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4.11.</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Proceedings and Documents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4.12.</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w w:val="95"/>
              </w:rPr>
            </w:pPr>
            <w:hyperlink w:anchor="page45">
              <w:r>
                <w:rPr>
                  <w:rFonts w:ascii="Arial" w:cs="Arial" w:eastAsia="Arial" w:hAnsi="Arial"/>
                  <w:sz w:val="22"/>
                  <w:szCs w:val="22"/>
                  <w:color w:val="0000EE"/>
                  <w:w w:val="95"/>
                </w:rPr>
                <w:t>Execution and Delivery and Filing and Recording of the Supplement</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5">
              <w:r>
                <w:rPr>
                  <w:rFonts w:ascii="Arial" w:cs="Arial" w:eastAsia="Arial" w:hAnsi="Arial"/>
                  <w:sz w:val="22"/>
                  <w:szCs w:val="22"/>
                  <w:color w:val="0000EE"/>
                  <w:w w:val="84"/>
                </w:rPr>
                <w:t>Section 4.13.</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5">
              <w:r>
                <w:rPr>
                  <w:rFonts w:ascii="Arial" w:cs="Arial" w:eastAsia="Arial" w:hAnsi="Arial"/>
                  <w:sz w:val="22"/>
                  <w:szCs w:val="22"/>
                  <w:color w:val="0000EE"/>
                </w:rPr>
                <w:t>Regulatory Approvals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Borders>
              <w:bottom w:val="single" w:sz="8" w:color="0000EE"/>
            </w:tcBorders>
            <w:gridSpan w:val="3"/>
          </w:tcPr>
          <w:p>
            <w:pPr>
              <w:spacing w:after="0"/>
              <w:rPr>
                <w:rFonts w:ascii="Arial" w:cs="Arial" w:eastAsia="Arial" w:hAnsi="Arial"/>
                <w:sz w:val="22"/>
                <w:szCs w:val="22"/>
                <w:color w:val="0000EE"/>
                <w:w w:val="89"/>
              </w:rPr>
            </w:pPr>
            <w:hyperlink w:anchor="page45">
              <w:r>
                <w:rPr>
                  <w:rFonts w:ascii="Arial" w:cs="Arial" w:eastAsia="Arial" w:hAnsi="Arial"/>
                  <w:sz w:val="22"/>
                  <w:szCs w:val="22"/>
                  <w:color w:val="0000EE"/>
                  <w:w w:val="89"/>
                </w:rPr>
                <w:t>S</w:t>
              </w:r>
              <w:r>
                <w:rPr>
                  <w:rFonts w:ascii="Arial" w:cs="Arial" w:eastAsia="Arial" w:hAnsi="Arial"/>
                  <w:sz w:val="18"/>
                  <w:szCs w:val="18"/>
                  <w:color w:val="0000EE"/>
                  <w:w w:val="89"/>
                </w:rPr>
                <w:t>ECTION</w:t>
              </w:r>
              <w:r>
                <w:rPr>
                  <w:rFonts w:ascii="Arial" w:cs="Arial" w:eastAsia="Arial" w:hAnsi="Arial"/>
                  <w:sz w:val="22"/>
                  <w:szCs w:val="22"/>
                  <w:color w:val="0000EE"/>
                  <w:w w:val="89"/>
                </w:rPr>
                <w:t xml:space="preserve"> 5.</w:t>
              </w:r>
            </w:hyperlink>
          </w:p>
        </w:tc>
        <w:tc>
          <w:tcPr>
            <w:tcW w:w="420" w:type="dxa"/>
            <w:vAlign w:val="bottom"/>
            <w:gridSpan w:val="4"/>
          </w:tcPr>
          <w:p>
            <w:pPr>
              <w:spacing w:after="0"/>
              <w:rPr>
                <w:sz w:val="24"/>
                <w:szCs w:val="24"/>
                <w:color w:val="auto"/>
              </w:rPr>
            </w:pPr>
          </w:p>
        </w:tc>
        <w:tc>
          <w:tcPr>
            <w:tcW w:w="4980" w:type="dxa"/>
            <w:vAlign w:val="bottom"/>
            <w:tcBorders>
              <w:bottom w:val="single" w:sz="8" w:color="0000EE"/>
            </w:tcBorders>
            <w:gridSpan w:val="30"/>
          </w:tcPr>
          <w:p>
            <w:pPr>
              <w:spacing w:after="0"/>
              <w:rPr>
                <w:rFonts w:ascii="Arial" w:cs="Arial" w:eastAsia="Arial" w:hAnsi="Arial"/>
                <w:sz w:val="22"/>
                <w:szCs w:val="22"/>
                <w:color w:val="0000EE"/>
                <w:w w:val="94"/>
              </w:rPr>
            </w:pPr>
            <w:hyperlink w:anchor="page45">
              <w:r>
                <w:rPr>
                  <w:rFonts w:ascii="Arial" w:cs="Arial" w:eastAsia="Arial" w:hAnsi="Arial"/>
                  <w:sz w:val="22"/>
                  <w:szCs w:val="22"/>
                  <w:color w:val="0000EE"/>
                  <w:w w:val="94"/>
                </w:rPr>
                <w:t>R</w:t>
              </w:r>
              <w:r>
                <w:rPr>
                  <w:rFonts w:ascii="Arial" w:cs="Arial" w:eastAsia="Arial" w:hAnsi="Arial"/>
                  <w:sz w:val="18"/>
                  <w:szCs w:val="18"/>
                  <w:color w:val="0000EE"/>
                  <w:w w:val="94"/>
                </w:rPr>
                <w:t>EPRESENTATIONS AND</w:t>
              </w:r>
              <w:r>
                <w:rPr>
                  <w:rFonts w:ascii="Arial" w:cs="Arial" w:eastAsia="Arial" w:hAnsi="Arial"/>
                  <w:sz w:val="22"/>
                  <w:szCs w:val="22"/>
                  <w:color w:val="0000EE"/>
                  <w:w w:val="94"/>
                </w:rPr>
                <w:t xml:space="preserve"> W</w:t>
              </w:r>
              <w:r>
                <w:rPr>
                  <w:rFonts w:ascii="Arial" w:cs="Arial" w:eastAsia="Arial" w:hAnsi="Arial"/>
                  <w:sz w:val="18"/>
                  <w:szCs w:val="18"/>
                  <w:color w:val="0000EE"/>
                  <w:w w:val="94"/>
                </w:rPr>
                <w:t>ARRANTIES OF THE</w:t>
              </w:r>
              <w:r>
                <w:rPr>
                  <w:rFonts w:ascii="Arial" w:cs="Arial" w:eastAsia="Arial" w:hAnsi="Arial"/>
                  <w:sz w:val="22"/>
                  <w:szCs w:val="22"/>
                  <w:color w:val="0000EE"/>
                  <w:w w:val="94"/>
                </w:rPr>
                <w:t xml:space="preserve"> C</w:t>
              </w:r>
              <w:r>
                <w:rPr>
                  <w:rFonts w:ascii="Arial" w:cs="Arial" w:eastAsia="Arial" w:hAnsi="Arial"/>
                  <w:sz w:val="18"/>
                  <w:szCs w:val="18"/>
                  <w:color w:val="0000EE"/>
                  <w:w w:val="94"/>
                </w:rPr>
                <w:t>OMPANY</w:t>
              </w:r>
            </w:hyperlink>
          </w:p>
        </w:tc>
        <w:tc>
          <w:tcPr>
            <w:tcW w:w="15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1200" w:type="dxa"/>
            <w:vAlign w:val="bottom"/>
            <w:gridSpan w:val="6"/>
          </w:tcPr>
          <w:p>
            <w:pPr>
              <w:spacing w:after="0"/>
              <w:rPr>
                <w:rFonts w:ascii="Arial" w:cs="Arial" w:eastAsia="Arial" w:hAnsi="Arial"/>
                <w:sz w:val="22"/>
                <w:szCs w:val="22"/>
                <w:color w:val="0000EE"/>
              </w:rPr>
            </w:pPr>
            <w:hyperlink w:anchor="page45">
              <w:r>
                <w:rPr>
                  <w:rFonts w:ascii="Arial" w:cs="Arial" w:eastAsia="Arial" w:hAnsi="Arial"/>
                  <w:sz w:val="22"/>
                  <w:szCs w:val="22"/>
                  <w:color w:val="0000EE"/>
                </w:rPr>
                <w:t>Section 5.1.</w:t>
              </w:r>
            </w:hyperlink>
          </w:p>
        </w:tc>
        <w:tc>
          <w:tcPr>
            <w:tcW w:w="6540" w:type="dxa"/>
            <w:vAlign w:val="bottom"/>
            <w:gridSpan w:val="32"/>
          </w:tcPr>
          <w:p>
            <w:pPr>
              <w:ind w:left="220"/>
              <w:spacing w:after="0"/>
              <w:rPr>
                <w:rFonts w:ascii="Arial" w:cs="Arial" w:eastAsia="Arial" w:hAnsi="Arial"/>
                <w:sz w:val="22"/>
                <w:szCs w:val="22"/>
                <w:color w:val="0000EE"/>
              </w:rPr>
            </w:pPr>
            <w:hyperlink w:anchor="page45">
              <w:r>
                <w:rPr>
                  <w:rFonts w:ascii="Arial" w:cs="Arial" w:eastAsia="Arial" w:hAnsi="Arial"/>
                  <w:sz w:val="22"/>
                  <w:szCs w:val="22"/>
                  <w:color w:val="0000EE"/>
                </w:rPr>
                <w:t>Organization; Power and Authority</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5.2.</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Authorization,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5.3.</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Disclosure</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5.4.</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Organization and Ownership of Shares of Subsidiaries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5.5.</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Financial Statements; Material Liabilities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Section 5.6.</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7">
              <w:r>
                <w:rPr>
                  <w:rFonts w:ascii="Arial" w:cs="Arial" w:eastAsia="Arial" w:hAnsi="Arial"/>
                  <w:sz w:val="22"/>
                  <w:szCs w:val="22"/>
                  <w:color w:val="0000EE"/>
                </w:rPr>
                <w:t>Compliance with Laws, Other Instruments,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5.7.</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Governmental Authorizations,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5.8.</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Litigation; Observance of Statutes and Orders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Section 5.9.</w:t>
              </w:r>
            </w:hyperlink>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Taxes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9">
              <w:r>
                <w:rPr>
                  <w:rFonts w:ascii="Arial" w:cs="Arial" w:eastAsia="Arial" w:hAnsi="Arial"/>
                  <w:sz w:val="22"/>
                  <w:szCs w:val="22"/>
                  <w:color w:val="0000EE"/>
                  <w:w w:val="84"/>
                </w:rPr>
                <w:t>Section 5.10.</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9">
              <w:r>
                <w:rPr>
                  <w:rFonts w:ascii="Arial" w:cs="Arial" w:eastAsia="Arial" w:hAnsi="Arial"/>
                  <w:sz w:val="22"/>
                  <w:szCs w:val="22"/>
                  <w:color w:val="0000EE"/>
                </w:rPr>
                <w:t>Title to Property; Leases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9">
              <w:r>
                <w:rPr>
                  <w:rFonts w:ascii="Arial" w:cs="Arial" w:eastAsia="Arial" w:hAnsi="Arial"/>
                  <w:sz w:val="22"/>
                  <w:szCs w:val="22"/>
                  <w:color w:val="0000EE"/>
                  <w:w w:val="84"/>
                </w:rPr>
                <w:t>Section 5.11.</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9">
              <w:r>
                <w:rPr>
                  <w:rFonts w:ascii="Arial" w:cs="Arial" w:eastAsia="Arial" w:hAnsi="Arial"/>
                  <w:sz w:val="22"/>
                  <w:szCs w:val="22"/>
                  <w:color w:val="0000EE"/>
                </w:rPr>
                <w:t>Licenses, Permits,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49">
              <w:r>
                <w:rPr>
                  <w:rFonts w:ascii="Arial" w:cs="Arial" w:eastAsia="Arial" w:hAnsi="Arial"/>
                  <w:sz w:val="22"/>
                  <w:szCs w:val="22"/>
                  <w:color w:val="0000EE"/>
                  <w:w w:val="84"/>
                </w:rPr>
                <w:t>Section 5.12.</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49">
              <w:r>
                <w:rPr>
                  <w:rFonts w:ascii="Arial" w:cs="Arial" w:eastAsia="Arial" w:hAnsi="Arial"/>
                  <w:sz w:val="22"/>
                  <w:szCs w:val="22"/>
                  <w:color w:val="0000EE"/>
                </w:rPr>
                <w:t>Compliance with Employee Benefit Plans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0">
              <w:r>
                <w:rPr>
                  <w:rFonts w:ascii="Arial" w:cs="Arial" w:eastAsia="Arial" w:hAnsi="Arial"/>
                  <w:sz w:val="22"/>
                  <w:szCs w:val="22"/>
                  <w:color w:val="0000EE"/>
                  <w:w w:val="84"/>
                </w:rPr>
                <w:t>Section 5.13.</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Private Offering by the Company</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0">
              <w:r>
                <w:rPr>
                  <w:rFonts w:ascii="Arial" w:cs="Arial" w:eastAsia="Arial" w:hAnsi="Arial"/>
                  <w:sz w:val="22"/>
                  <w:szCs w:val="22"/>
                  <w:color w:val="0000EE"/>
                  <w:w w:val="84"/>
                </w:rPr>
                <w:t>Section 5.14.</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Use of Proceeds; Margin Regulations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0">
              <w:r>
                <w:rPr>
                  <w:rFonts w:ascii="Arial" w:cs="Arial" w:eastAsia="Arial" w:hAnsi="Arial"/>
                  <w:sz w:val="22"/>
                  <w:szCs w:val="22"/>
                  <w:color w:val="0000EE"/>
                  <w:w w:val="84"/>
                </w:rPr>
                <w:t>Section 5.15.</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Existing Debt</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1">
              <w:r>
                <w:rPr>
                  <w:rFonts w:ascii="Arial" w:cs="Arial" w:eastAsia="Arial" w:hAnsi="Arial"/>
                  <w:sz w:val="22"/>
                  <w:szCs w:val="22"/>
                  <w:color w:val="0000EE"/>
                  <w:w w:val="84"/>
                </w:rPr>
                <w:t>Section 5.16.</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1">
              <w:r>
                <w:rPr>
                  <w:rFonts w:ascii="Arial" w:cs="Arial" w:eastAsia="Arial" w:hAnsi="Arial"/>
                  <w:sz w:val="22"/>
                  <w:szCs w:val="22"/>
                  <w:color w:val="0000EE"/>
                </w:rPr>
                <w:t>Foreign Assets Control Regulations, Etc</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1">
              <w:r>
                <w:rPr>
                  <w:rFonts w:ascii="Arial" w:cs="Arial" w:eastAsia="Arial" w:hAnsi="Arial"/>
                  <w:sz w:val="22"/>
                  <w:szCs w:val="22"/>
                  <w:color w:val="0000EE"/>
                  <w:w w:val="84"/>
                </w:rPr>
                <w:t>Section 5.17.</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1">
              <w:r>
                <w:rPr>
                  <w:rFonts w:ascii="Arial" w:cs="Arial" w:eastAsia="Arial" w:hAnsi="Arial"/>
                  <w:sz w:val="22"/>
                  <w:szCs w:val="22"/>
                  <w:color w:val="0000EE"/>
                </w:rPr>
                <w:t>Status under Certain Statutes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3820" w:type="dxa"/>
            <w:vAlign w:val="bottom"/>
            <w:gridSpan w:val="16"/>
          </w:tcPr>
          <w:p>
            <w:pPr>
              <w:spacing w:after="0" w:line="20" w:lineRule="exact"/>
              <w:rPr>
                <w:sz w:val="1"/>
                <w:szCs w:val="1"/>
                <w:color w:val="auto"/>
              </w:rPr>
            </w:pPr>
          </w:p>
        </w:tc>
        <w:tc>
          <w:tcPr>
            <w:tcW w:w="8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1">
              <w:r>
                <w:rPr>
                  <w:rFonts w:ascii="Arial" w:cs="Arial" w:eastAsia="Arial" w:hAnsi="Arial"/>
                  <w:sz w:val="22"/>
                  <w:szCs w:val="22"/>
                  <w:color w:val="0000EE"/>
                  <w:w w:val="84"/>
                </w:rPr>
                <w:t>Section 5.18.</w:t>
              </w:r>
            </w:hyperlink>
          </w:p>
        </w:tc>
        <w:tc>
          <w:tcPr>
            <w:tcW w:w="80" w:type="dxa"/>
            <w:vAlign w:val="bottom"/>
          </w:tcPr>
          <w:p>
            <w:pPr>
              <w:spacing w:after="0"/>
              <w:rPr>
                <w:sz w:val="19"/>
                <w:szCs w:val="19"/>
                <w:color w:val="auto"/>
              </w:rPr>
            </w:pPr>
          </w:p>
        </w:tc>
        <w:tc>
          <w:tcPr>
            <w:tcW w:w="6540" w:type="dxa"/>
            <w:vAlign w:val="bottom"/>
            <w:gridSpan w:val="32"/>
          </w:tcPr>
          <w:p>
            <w:pPr>
              <w:ind w:left="220"/>
              <w:spacing w:after="0" w:line="223" w:lineRule="exact"/>
              <w:rPr>
                <w:rFonts w:ascii="Arial" w:cs="Arial" w:eastAsia="Arial" w:hAnsi="Arial"/>
                <w:sz w:val="22"/>
                <w:szCs w:val="22"/>
                <w:color w:val="0000EE"/>
              </w:rPr>
            </w:pPr>
            <w:hyperlink w:anchor="page51">
              <w:r>
                <w:rPr>
                  <w:rFonts w:ascii="Arial" w:cs="Arial" w:eastAsia="Arial" w:hAnsi="Arial"/>
                  <w:sz w:val="22"/>
                  <w:szCs w:val="22"/>
                  <w:color w:val="0000EE"/>
                </w:rPr>
                <w:t>Environmental Matters</w:t>
              </w:r>
            </w:hyperlink>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2" w:name="page83"/>
    <w:bookmarkEnd w:id="82"/>
    <w:tbl>
      <w:tblPr>
        <w:tblLayout w:type="fixed"/>
        <w:tblInd w:w="10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8080" w:type="dxa"/>
            <w:vAlign w:val="bottom"/>
            <w:gridSpan w:val="28"/>
          </w:tcPr>
          <w:p>
            <w:pPr>
              <w:spacing w:after="0"/>
              <w:rPr>
                <w:rFonts w:ascii="Arial" w:cs="Arial" w:eastAsia="Arial" w:hAnsi="Arial"/>
                <w:sz w:val="22"/>
                <w:szCs w:val="22"/>
                <w:color w:val="0000EE"/>
              </w:rPr>
            </w:pPr>
            <w:hyperlink w:anchor="page52">
              <w:r>
                <w:rPr>
                  <w:rFonts w:ascii="Arial" w:cs="Arial" w:eastAsia="Arial" w:hAnsi="Arial"/>
                  <w:sz w:val="22"/>
                  <w:szCs w:val="22"/>
                  <w:color w:val="0000EE"/>
                </w:rPr>
                <w:t>Section 5.19</w:t>
              </w:r>
            </w:hyperlink>
            <w:r>
              <w:rPr>
                <w:rFonts w:ascii="Arial" w:cs="Arial" w:eastAsia="Arial" w:hAnsi="Arial"/>
                <w:sz w:val="22"/>
                <w:szCs w:val="22"/>
                <w:color w:val="000000"/>
              </w:rPr>
              <w:t>.</w:t>
            </w:r>
            <w:r>
              <w:rPr>
                <w:rFonts w:ascii="Arial" w:cs="Arial" w:eastAsia="Arial" w:hAnsi="Arial"/>
                <w:sz w:val="22"/>
                <w:szCs w:val="22"/>
                <w:color w:val="0000EE"/>
              </w:rPr>
              <w:t xml:space="preserve">   </w:t>
            </w:r>
            <w:hyperlink w:anchor="page52">
              <w:r>
                <w:rPr>
                  <w:rFonts w:ascii="Arial" w:cs="Arial" w:eastAsia="Arial" w:hAnsi="Arial"/>
                  <w:sz w:val="22"/>
                  <w:szCs w:val="22"/>
                  <w:color w:val="0000EE"/>
                </w:rPr>
                <w:t>Lien of Indenture</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2">
              <w:r>
                <w:rPr>
                  <w:rFonts w:ascii="Arial" w:cs="Arial" w:eastAsia="Arial" w:hAnsi="Arial"/>
                  <w:sz w:val="22"/>
                  <w:szCs w:val="22"/>
                  <w:color w:val="0000EE"/>
                  <w:w w:val="84"/>
                </w:rPr>
                <w:t>Section 5.20.</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2">
              <w:r>
                <w:rPr>
                  <w:rFonts w:ascii="Arial" w:cs="Arial" w:eastAsia="Arial" w:hAnsi="Arial"/>
                  <w:sz w:val="22"/>
                  <w:szCs w:val="22"/>
                  <w:color w:val="0000EE"/>
                </w:rPr>
                <w:t>Filings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6.</w:t>
              </w:r>
            </w:hyperlink>
          </w:p>
        </w:tc>
        <w:tc>
          <w:tcPr>
            <w:tcW w:w="6880" w:type="dxa"/>
            <w:vAlign w:val="bottom"/>
            <w:gridSpan w:val="22"/>
          </w:tcPr>
          <w:p>
            <w:pPr>
              <w:spacing w:after="0"/>
              <w:rPr>
                <w:rFonts w:ascii="Arial" w:cs="Arial" w:eastAsia="Arial" w:hAnsi="Arial"/>
                <w:sz w:val="22"/>
                <w:szCs w:val="22"/>
                <w:color w:val="0000EE"/>
              </w:rPr>
            </w:pPr>
            <w:hyperlink w:anchor="page53">
              <w:r>
                <w:rPr>
                  <w:rFonts w:ascii="Arial" w:cs="Arial" w:eastAsia="Arial" w:hAnsi="Arial"/>
                  <w:sz w:val="22"/>
                  <w:szCs w:val="22"/>
                  <w:color w:val="0000EE"/>
                </w:rPr>
                <w:t>R</w:t>
              </w:r>
              <w:r>
                <w:rPr>
                  <w:rFonts w:ascii="Arial" w:cs="Arial" w:eastAsia="Arial" w:hAnsi="Arial"/>
                  <w:sz w:val="18"/>
                  <w:szCs w:val="18"/>
                  <w:color w:val="0000EE"/>
                </w:rPr>
                <w:t>EPRESENTATIONS OF THE</w:t>
              </w:r>
              <w:r>
                <w:rPr>
                  <w:rFonts w:ascii="Arial" w:cs="Arial" w:eastAsia="Arial" w:hAnsi="Arial"/>
                  <w:sz w:val="22"/>
                  <w:szCs w:val="22"/>
                  <w:color w:val="0000EE"/>
                </w:rPr>
                <w:t xml:space="preserve"> P</w:t>
              </w:r>
              <w:r>
                <w:rPr>
                  <w:rFonts w:ascii="Arial" w:cs="Arial" w:eastAsia="Arial" w:hAnsi="Arial"/>
                  <w:sz w:val="18"/>
                  <w:szCs w:val="18"/>
                  <w:color w:val="0000EE"/>
                </w:rPr>
                <w:t>URCHASERS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22"/>
                <w:szCs w:val="22"/>
                <w:color w:val="0000EE"/>
                <w:w w:val="80"/>
              </w:rPr>
            </w:pPr>
            <w:hyperlink w:anchor="page53">
              <w:r>
                <w:rPr>
                  <w:rFonts w:ascii="Arial" w:cs="Arial" w:eastAsia="Arial" w:hAnsi="Arial"/>
                  <w:sz w:val="22"/>
                  <w:szCs w:val="22"/>
                  <w:color w:val="0000EE"/>
                  <w:w w:val="80"/>
                </w:rPr>
                <w:t>Section 6.1.</w:t>
              </w:r>
            </w:hyperlink>
          </w:p>
        </w:tc>
        <w:tc>
          <w:tcPr>
            <w:tcW w:w="220" w:type="dxa"/>
            <w:vAlign w:val="bottom"/>
            <w:gridSpan w:val="3"/>
          </w:tcPr>
          <w:p>
            <w:pPr>
              <w:spacing w:after="0"/>
              <w:rPr>
                <w:sz w:val="24"/>
                <w:szCs w:val="24"/>
                <w:color w:val="auto"/>
              </w:rPr>
            </w:pPr>
          </w:p>
        </w:tc>
        <w:tc>
          <w:tcPr>
            <w:tcW w:w="6880" w:type="dxa"/>
            <w:vAlign w:val="bottom"/>
            <w:gridSpan w:val="22"/>
          </w:tcPr>
          <w:p>
            <w:pPr>
              <w:ind w:left="220"/>
              <w:spacing w:after="0"/>
              <w:rPr>
                <w:rFonts w:ascii="Arial" w:cs="Arial" w:eastAsia="Arial" w:hAnsi="Arial"/>
                <w:sz w:val="22"/>
                <w:szCs w:val="22"/>
                <w:color w:val="0000EE"/>
              </w:rPr>
            </w:pPr>
            <w:hyperlink w:anchor="page53">
              <w:r>
                <w:rPr>
                  <w:rFonts w:ascii="Arial" w:cs="Arial" w:eastAsia="Arial" w:hAnsi="Arial"/>
                  <w:sz w:val="22"/>
                  <w:szCs w:val="22"/>
                  <w:color w:val="0000EE"/>
                </w:rPr>
                <w:t>Purchase for Investment</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3">
              <w:r>
                <w:rPr>
                  <w:rFonts w:ascii="Arial" w:cs="Arial" w:eastAsia="Arial" w:hAnsi="Arial"/>
                  <w:sz w:val="22"/>
                  <w:szCs w:val="22"/>
                  <w:color w:val="0000EE"/>
                  <w:w w:val="80"/>
                </w:rPr>
                <w:t>Section 6.2.</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3">
              <w:r>
                <w:rPr>
                  <w:rFonts w:ascii="Arial" w:cs="Arial" w:eastAsia="Arial" w:hAnsi="Arial"/>
                  <w:sz w:val="22"/>
                  <w:szCs w:val="22"/>
                  <w:color w:val="0000EE"/>
                </w:rPr>
                <w:t>Source of Funds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7.</w:t>
              </w:r>
            </w:hyperlink>
          </w:p>
        </w:tc>
        <w:tc>
          <w:tcPr>
            <w:tcW w:w="6880" w:type="dxa"/>
            <w:vAlign w:val="bottom"/>
            <w:gridSpan w:val="22"/>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I</w:t>
              </w:r>
              <w:r>
                <w:rPr>
                  <w:rFonts w:ascii="Arial" w:cs="Arial" w:eastAsia="Arial" w:hAnsi="Arial"/>
                  <w:sz w:val="18"/>
                  <w:szCs w:val="18"/>
                  <w:color w:val="0000EE"/>
                </w:rPr>
                <w:t>NFORMATION AS TO</w:t>
              </w:r>
              <w:r>
                <w:rPr>
                  <w:rFonts w:ascii="Arial" w:cs="Arial" w:eastAsia="Arial" w:hAnsi="Arial"/>
                  <w:sz w:val="22"/>
                  <w:szCs w:val="22"/>
                  <w:color w:val="0000EE"/>
                </w:rPr>
                <w:t xml:space="preserve"> C</w:t>
              </w:r>
              <w:r>
                <w:rPr>
                  <w:rFonts w:ascii="Arial" w:cs="Arial" w:eastAsia="Arial" w:hAnsi="Arial"/>
                  <w:sz w:val="18"/>
                  <w:szCs w:val="18"/>
                  <w:color w:val="0000EE"/>
                </w:rPr>
                <w:t>OMPANY</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200" w:type="dxa"/>
            <w:vAlign w:val="bottom"/>
            <w:gridSpan w:val="6"/>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Section 7.1</w:t>
              </w:r>
            </w:hyperlink>
            <w:r>
              <w:rPr>
                <w:rFonts w:ascii="Arial" w:cs="Arial" w:eastAsia="Arial" w:hAnsi="Arial"/>
                <w:sz w:val="22"/>
                <w:szCs w:val="22"/>
                <w:color w:val="000000"/>
              </w:rPr>
              <w:t>.</w:t>
            </w:r>
          </w:p>
        </w:tc>
        <w:tc>
          <w:tcPr>
            <w:tcW w:w="6880" w:type="dxa"/>
            <w:vAlign w:val="bottom"/>
            <w:gridSpan w:val="22"/>
          </w:tcPr>
          <w:p>
            <w:pPr>
              <w:ind w:left="220"/>
              <w:spacing w:after="0"/>
              <w:rPr>
                <w:rFonts w:ascii="Arial" w:cs="Arial" w:eastAsia="Arial" w:hAnsi="Arial"/>
                <w:sz w:val="22"/>
                <w:szCs w:val="22"/>
                <w:color w:val="0000EE"/>
              </w:rPr>
            </w:pPr>
            <w:hyperlink w:anchor="page54">
              <w:r>
                <w:rPr>
                  <w:rFonts w:ascii="Arial" w:cs="Arial" w:eastAsia="Arial" w:hAnsi="Arial"/>
                  <w:sz w:val="22"/>
                  <w:szCs w:val="22"/>
                  <w:color w:val="0000EE"/>
                </w:rPr>
                <w:t>Financial and Business Information</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5"/>
              </w:rPr>
            </w:pPr>
            <w:hyperlink w:anchor="page57">
              <w:r>
                <w:rPr>
                  <w:rFonts w:ascii="Arial" w:cs="Arial" w:eastAsia="Arial" w:hAnsi="Arial"/>
                  <w:sz w:val="22"/>
                  <w:szCs w:val="22"/>
                  <w:color w:val="0000EE"/>
                  <w:w w:val="85"/>
                </w:rPr>
                <w:t>Section 7.2</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7">
              <w:r>
                <w:rPr>
                  <w:rFonts w:ascii="Arial" w:cs="Arial" w:eastAsia="Arial" w:hAnsi="Arial"/>
                  <w:sz w:val="22"/>
                  <w:szCs w:val="22"/>
                  <w:color w:val="0000EE"/>
                </w:rPr>
                <w:t>Officer’s Certificate</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200" w:type="dxa"/>
            <w:vAlign w:val="bottom"/>
            <w:gridSpan w:val="6"/>
          </w:tcPr>
          <w:p>
            <w:pPr>
              <w:spacing w:after="0" w:line="223" w:lineRule="exact"/>
              <w:rPr>
                <w:rFonts w:ascii="Arial" w:cs="Arial" w:eastAsia="Arial" w:hAnsi="Arial"/>
                <w:sz w:val="22"/>
                <w:szCs w:val="22"/>
                <w:color w:val="0000EE"/>
              </w:rPr>
            </w:pPr>
            <w:hyperlink w:anchor="page57">
              <w:r>
                <w:rPr>
                  <w:rFonts w:ascii="Arial" w:cs="Arial" w:eastAsia="Arial" w:hAnsi="Arial"/>
                  <w:sz w:val="22"/>
                  <w:szCs w:val="22"/>
                  <w:color w:val="0000EE"/>
                </w:rPr>
                <w:t>Section 7.3.</w:t>
              </w:r>
            </w:hyperlink>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7">
              <w:r>
                <w:rPr>
                  <w:rFonts w:ascii="Arial" w:cs="Arial" w:eastAsia="Arial" w:hAnsi="Arial"/>
                  <w:sz w:val="22"/>
                  <w:szCs w:val="22"/>
                  <w:color w:val="0000EE"/>
                </w:rPr>
                <w:t>Visitation</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8.</w:t>
              </w:r>
            </w:hyperlink>
          </w:p>
        </w:tc>
        <w:tc>
          <w:tcPr>
            <w:tcW w:w="6880" w:type="dxa"/>
            <w:vAlign w:val="bottom"/>
            <w:gridSpan w:val="22"/>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P</w:t>
              </w:r>
              <w:r>
                <w:rPr>
                  <w:rFonts w:ascii="Arial" w:cs="Arial" w:eastAsia="Arial" w:hAnsi="Arial"/>
                  <w:sz w:val="18"/>
                  <w:szCs w:val="18"/>
                  <w:color w:val="0000EE"/>
                </w:rPr>
                <w:t>URCHASE OF</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9.</w:t>
              </w:r>
            </w:hyperlink>
          </w:p>
        </w:tc>
        <w:tc>
          <w:tcPr>
            <w:tcW w:w="6880" w:type="dxa"/>
            <w:vAlign w:val="bottom"/>
            <w:gridSpan w:val="22"/>
          </w:tcPr>
          <w:p>
            <w:pPr>
              <w:spacing w:after="0"/>
              <w:rPr>
                <w:rFonts w:ascii="Arial" w:cs="Arial" w:eastAsia="Arial" w:hAnsi="Arial"/>
                <w:sz w:val="22"/>
                <w:szCs w:val="22"/>
                <w:color w:val="0000EE"/>
              </w:rPr>
            </w:pPr>
            <w:hyperlink w:anchor="page58">
              <w:r>
                <w:rPr>
                  <w:rFonts w:ascii="Arial" w:cs="Arial" w:eastAsia="Arial" w:hAnsi="Arial"/>
                  <w:sz w:val="22"/>
                  <w:szCs w:val="22"/>
                  <w:color w:val="0000EE"/>
                </w:rPr>
                <w:t>A</w:t>
              </w:r>
              <w:r>
                <w:rPr>
                  <w:rFonts w:ascii="Arial" w:cs="Arial" w:eastAsia="Arial" w:hAnsi="Arial"/>
                  <w:sz w:val="18"/>
                  <w:szCs w:val="18"/>
                  <w:color w:val="0000EE"/>
                </w:rPr>
                <w:t>FFIRMATIVE</w:t>
              </w:r>
              <w:r>
                <w:rPr>
                  <w:rFonts w:ascii="Arial" w:cs="Arial" w:eastAsia="Arial" w:hAnsi="Arial"/>
                  <w:sz w:val="22"/>
                  <w:szCs w:val="22"/>
                  <w:color w:val="0000EE"/>
                </w:rPr>
                <w:t xml:space="preserve"> C</w:t>
              </w:r>
              <w:r>
                <w:rPr>
                  <w:rFonts w:ascii="Arial" w:cs="Arial" w:eastAsia="Arial" w:hAnsi="Arial"/>
                  <w:sz w:val="18"/>
                  <w:szCs w:val="18"/>
                  <w:color w:val="0000EE"/>
                </w:rPr>
                <w:t>OVENANTS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22"/>
                <w:szCs w:val="22"/>
                <w:color w:val="0000EE"/>
                <w:w w:val="80"/>
              </w:rPr>
            </w:pPr>
            <w:hyperlink w:anchor="page58">
              <w:r>
                <w:rPr>
                  <w:rFonts w:ascii="Arial" w:cs="Arial" w:eastAsia="Arial" w:hAnsi="Arial"/>
                  <w:sz w:val="22"/>
                  <w:szCs w:val="22"/>
                  <w:color w:val="0000EE"/>
                  <w:w w:val="80"/>
                </w:rPr>
                <w:t>Section 9.1.</w:t>
              </w:r>
            </w:hyperlink>
          </w:p>
        </w:tc>
        <w:tc>
          <w:tcPr>
            <w:tcW w:w="220" w:type="dxa"/>
            <w:vAlign w:val="bottom"/>
            <w:gridSpan w:val="3"/>
          </w:tcPr>
          <w:p>
            <w:pPr>
              <w:spacing w:after="0"/>
              <w:rPr>
                <w:sz w:val="24"/>
                <w:szCs w:val="24"/>
                <w:color w:val="auto"/>
              </w:rPr>
            </w:pPr>
          </w:p>
        </w:tc>
        <w:tc>
          <w:tcPr>
            <w:tcW w:w="6880" w:type="dxa"/>
            <w:vAlign w:val="bottom"/>
            <w:gridSpan w:val="22"/>
          </w:tcPr>
          <w:p>
            <w:pPr>
              <w:ind w:left="220"/>
              <w:spacing w:after="0"/>
              <w:rPr>
                <w:rFonts w:ascii="Arial" w:cs="Arial" w:eastAsia="Arial" w:hAnsi="Arial"/>
                <w:sz w:val="22"/>
                <w:szCs w:val="22"/>
                <w:color w:val="0000EE"/>
              </w:rPr>
            </w:pPr>
            <w:hyperlink w:anchor="page58">
              <w:r>
                <w:rPr>
                  <w:rFonts w:ascii="Arial" w:cs="Arial" w:eastAsia="Arial" w:hAnsi="Arial"/>
                  <w:sz w:val="22"/>
                  <w:szCs w:val="22"/>
                  <w:color w:val="0000EE"/>
                </w:rPr>
                <w:t>Compliance with Law</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8">
              <w:r>
                <w:rPr>
                  <w:rFonts w:ascii="Arial" w:cs="Arial" w:eastAsia="Arial" w:hAnsi="Arial"/>
                  <w:sz w:val="22"/>
                  <w:szCs w:val="22"/>
                  <w:color w:val="0000EE"/>
                  <w:w w:val="80"/>
                </w:rPr>
                <w:t>Section 9.2.</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8">
              <w:r>
                <w:rPr>
                  <w:rFonts w:ascii="Arial" w:cs="Arial" w:eastAsia="Arial" w:hAnsi="Arial"/>
                  <w:sz w:val="22"/>
                  <w:szCs w:val="22"/>
                  <w:color w:val="0000EE"/>
                </w:rPr>
                <w:t>Insurance</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8">
              <w:r>
                <w:rPr>
                  <w:rFonts w:ascii="Arial" w:cs="Arial" w:eastAsia="Arial" w:hAnsi="Arial"/>
                  <w:sz w:val="22"/>
                  <w:szCs w:val="22"/>
                  <w:color w:val="0000EE"/>
                  <w:w w:val="80"/>
                </w:rPr>
                <w:t>Section 9.3.</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8">
              <w:r>
                <w:rPr>
                  <w:rFonts w:ascii="Arial" w:cs="Arial" w:eastAsia="Arial" w:hAnsi="Arial"/>
                  <w:sz w:val="22"/>
                  <w:szCs w:val="22"/>
                  <w:color w:val="0000EE"/>
                </w:rPr>
                <w:t>Maintenance of Properties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9">
              <w:r>
                <w:rPr>
                  <w:rFonts w:ascii="Arial" w:cs="Arial" w:eastAsia="Arial" w:hAnsi="Arial"/>
                  <w:sz w:val="22"/>
                  <w:szCs w:val="22"/>
                  <w:color w:val="0000EE"/>
                  <w:w w:val="80"/>
                </w:rPr>
                <w:t>Section 9.4.</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Payment of Taxes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9">
              <w:r>
                <w:rPr>
                  <w:rFonts w:ascii="Arial" w:cs="Arial" w:eastAsia="Arial" w:hAnsi="Arial"/>
                  <w:sz w:val="22"/>
                  <w:szCs w:val="22"/>
                  <w:color w:val="0000EE"/>
                  <w:w w:val="80"/>
                </w:rPr>
                <w:t>Section 9.5.</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Corporate Existence, Etc</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980" w:type="dxa"/>
            <w:vAlign w:val="bottom"/>
            <w:gridSpan w:val="3"/>
          </w:tcPr>
          <w:p>
            <w:pPr>
              <w:spacing w:after="0" w:line="223" w:lineRule="exact"/>
              <w:rPr>
                <w:rFonts w:ascii="Arial" w:cs="Arial" w:eastAsia="Arial" w:hAnsi="Arial"/>
                <w:sz w:val="22"/>
                <w:szCs w:val="22"/>
                <w:color w:val="0000EE"/>
                <w:w w:val="80"/>
              </w:rPr>
            </w:pPr>
            <w:hyperlink w:anchor="page59">
              <w:r>
                <w:rPr>
                  <w:rFonts w:ascii="Arial" w:cs="Arial" w:eastAsia="Arial" w:hAnsi="Arial"/>
                  <w:sz w:val="22"/>
                  <w:szCs w:val="22"/>
                  <w:color w:val="0000EE"/>
                  <w:w w:val="80"/>
                </w:rPr>
                <w:t>Section 9.6.</w:t>
              </w:r>
            </w:hyperlink>
          </w:p>
        </w:tc>
        <w:tc>
          <w:tcPr>
            <w:tcW w:w="220" w:type="dxa"/>
            <w:vAlign w:val="bottom"/>
            <w:gridSpan w:val="3"/>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Books and Records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gridSpan w:val="3"/>
          </w:tcPr>
          <w:p>
            <w:pPr>
              <w:spacing w:after="0"/>
              <w:rPr>
                <w:rFonts w:ascii="Arial" w:cs="Arial" w:eastAsia="Arial" w:hAnsi="Arial"/>
                <w:sz w:val="22"/>
                <w:szCs w:val="22"/>
                <w:color w:val="0000EE"/>
                <w:w w:val="88"/>
              </w:rPr>
            </w:pPr>
            <w:hyperlink w:anchor="page59">
              <w:r>
                <w:rPr>
                  <w:rFonts w:ascii="Arial" w:cs="Arial" w:eastAsia="Arial" w:hAnsi="Arial"/>
                  <w:sz w:val="22"/>
                  <w:szCs w:val="22"/>
                  <w:color w:val="0000EE"/>
                  <w:w w:val="88"/>
                </w:rPr>
                <w:t>S</w:t>
              </w:r>
              <w:r>
                <w:rPr>
                  <w:rFonts w:ascii="Arial" w:cs="Arial" w:eastAsia="Arial" w:hAnsi="Arial"/>
                  <w:sz w:val="18"/>
                  <w:szCs w:val="18"/>
                  <w:color w:val="0000EE"/>
                  <w:w w:val="88"/>
                </w:rPr>
                <w:t>ECTION</w:t>
              </w:r>
              <w:r>
                <w:rPr>
                  <w:rFonts w:ascii="Arial" w:cs="Arial" w:eastAsia="Arial" w:hAnsi="Arial"/>
                  <w:sz w:val="22"/>
                  <w:szCs w:val="22"/>
                  <w:color w:val="0000EE"/>
                  <w:w w:val="88"/>
                </w:rPr>
                <w:t xml:space="preserve"> 10.</w:t>
              </w:r>
            </w:hyperlink>
          </w:p>
        </w:tc>
        <w:tc>
          <w:tcPr>
            <w:tcW w:w="320" w:type="dxa"/>
            <w:vAlign w:val="bottom"/>
            <w:gridSpan w:val="4"/>
          </w:tcPr>
          <w:p>
            <w:pPr>
              <w:spacing w:after="0"/>
              <w:rPr>
                <w:sz w:val="24"/>
                <w:szCs w:val="24"/>
                <w:color w:val="auto"/>
              </w:rPr>
            </w:pPr>
          </w:p>
        </w:tc>
        <w:tc>
          <w:tcPr>
            <w:tcW w:w="6880" w:type="dxa"/>
            <w:vAlign w:val="bottom"/>
            <w:gridSpan w:val="22"/>
          </w:tcPr>
          <w:p>
            <w:pPr>
              <w:spacing w:after="0"/>
              <w:rPr>
                <w:rFonts w:ascii="Arial" w:cs="Arial" w:eastAsia="Arial" w:hAnsi="Arial"/>
                <w:sz w:val="22"/>
                <w:szCs w:val="22"/>
                <w:color w:val="0000EE"/>
              </w:rPr>
            </w:pPr>
            <w:hyperlink w:anchor="page59">
              <w:r>
                <w:rPr>
                  <w:rFonts w:ascii="Arial" w:cs="Arial" w:eastAsia="Arial" w:hAnsi="Arial"/>
                  <w:sz w:val="22"/>
                  <w:szCs w:val="22"/>
                  <w:color w:val="0000EE"/>
                </w:rPr>
                <w:t>N</w:t>
              </w:r>
              <w:r>
                <w:rPr>
                  <w:rFonts w:ascii="Arial" w:cs="Arial" w:eastAsia="Arial" w:hAnsi="Arial"/>
                  <w:sz w:val="18"/>
                  <w:szCs w:val="18"/>
                  <w:color w:val="0000EE"/>
                </w:rPr>
                <w:t>EGATIVE</w:t>
              </w:r>
              <w:r>
                <w:rPr>
                  <w:rFonts w:ascii="Arial" w:cs="Arial" w:eastAsia="Arial" w:hAnsi="Arial"/>
                  <w:sz w:val="22"/>
                  <w:szCs w:val="22"/>
                  <w:color w:val="0000EE"/>
                </w:rPr>
                <w:t xml:space="preserve"> C</w:t>
              </w:r>
              <w:r>
                <w:rPr>
                  <w:rFonts w:ascii="Arial" w:cs="Arial" w:eastAsia="Arial" w:hAnsi="Arial"/>
                  <w:sz w:val="18"/>
                  <w:szCs w:val="18"/>
                  <w:color w:val="0000EE"/>
                </w:rPr>
                <w:t>OVENANTS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22"/>
                <w:szCs w:val="22"/>
                <w:color w:val="0000EE"/>
                <w:w w:val="84"/>
              </w:rPr>
            </w:pPr>
            <w:hyperlink w:anchor="page59">
              <w:r>
                <w:rPr>
                  <w:rFonts w:ascii="Arial" w:cs="Arial" w:eastAsia="Arial" w:hAnsi="Arial"/>
                  <w:sz w:val="22"/>
                  <w:szCs w:val="22"/>
                  <w:color w:val="0000EE"/>
                  <w:w w:val="84"/>
                </w:rPr>
                <w:t>Section 10.1.</w:t>
              </w:r>
            </w:hyperlink>
          </w:p>
        </w:tc>
        <w:tc>
          <w:tcPr>
            <w:tcW w:w="80" w:type="dxa"/>
            <w:vAlign w:val="bottom"/>
          </w:tcPr>
          <w:p>
            <w:pPr>
              <w:spacing w:after="0"/>
              <w:rPr>
                <w:sz w:val="24"/>
                <w:szCs w:val="24"/>
                <w:color w:val="auto"/>
              </w:rPr>
            </w:pPr>
          </w:p>
        </w:tc>
        <w:tc>
          <w:tcPr>
            <w:tcW w:w="6880" w:type="dxa"/>
            <w:vAlign w:val="bottom"/>
            <w:gridSpan w:val="22"/>
          </w:tcPr>
          <w:p>
            <w:pPr>
              <w:ind w:left="220"/>
              <w:spacing w:after="0"/>
              <w:rPr>
                <w:rFonts w:ascii="Arial" w:cs="Arial" w:eastAsia="Arial" w:hAnsi="Arial"/>
                <w:sz w:val="22"/>
                <w:szCs w:val="22"/>
                <w:color w:val="0000EE"/>
              </w:rPr>
            </w:pPr>
            <w:hyperlink w:anchor="page59">
              <w:r>
                <w:rPr>
                  <w:rFonts w:ascii="Arial" w:cs="Arial" w:eastAsia="Arial" w:hAnsi="Arial"/>
                  <w:sz w:val="22"/>
                  <w:szCs w:val="22"/>
                  <w:color w:val="0000EE"/>
                </w:rPr>
                <w:t>Transactions with Affiliates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59">
              <w:r>
                <w:rPr>
                  <w:rFonts w:ascii="Arial" w:cs="Arial" w:eastAsia="Arial" w:hAnsi="Arial"/>
                  <w:sz w:val="22"/>
                  <w:szCs w:val="22"/>
                  <w:color w:val="0000EE"/>
                  <w:w w:val="84"/>
                </w:rPr>
                <w:t>Section 10.2.</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Merger, Consolidation, Etc</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0">
              <w:r>
                <w:rPr>
                  <w:rFonts w:ascii="Arial" w:cs="Arial" w:eastAsia="Arial" w:hAnsi="Arial"/>
                  <w:sz w:val="22"/>
                  <w:szCs w:val="22"/>
                  <w:color w:val="0000EE"/>
                  <w:w w:val="84"/>
                </w:rPr>
                <w:t>Section 10.3.</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0">
              <w:r>
                <w:rPr>
                  <w:rFonts w:ascii="Arial" w:cs="Arial" w:eastAsia="Arial" w:hAnsi="Arial"/>
                  <w:sz w:val="22"/>
                  <w:szCs w:val="22"/>
                  <w:color w:val="0000EE"/>
                </w:rPr>
                <w:t>Line of Business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0">
              <w:r>
                <w:rPr>
                  <w:rFonts w:ascii="Arial" w:cs="Arial" w:eastAsia="Arial" w:hAnsi="Arial"/>
                  <w:sz w:val="22"/>
                  <w:szCs w:val="22"/>
                  <w:color w:val="0000EE"/>
                  <w:w w:val="84"/>
                </w:rPr>
                <w:t>Section 10.4.</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0">
              <w:r>
                <w:rPr>
                  <w:rFonts w:ascii="Arial" w:cs="Arial" w:eastAsia="Arial" w:hAnsi="Arial"/>
                  <w:sz w:val="22"/>
                  <w:szCs w:val="22"/>
                  <w:color w:val="0000EE"/>
                </w:rPr>
                <w:t>Economic Sanctions, Etc.</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60">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11.</w:t>
              </w:r>
            </w:hyperlink>
          </w:p>
        </w:tc>
        <w:tc>
          <w:tcPr>
            <w:tcW w:w="6880" w:type="dxa"/>
            <w:vAlign w:val="bottom"/>
            <w:gridSpan w:val="22"/>
          </w:tcPr>
          <w:p>
            <w:pPr>
              <w:spacing w:after="0"/>
              <w:rPr>
                <w:rFonts w:ascii="Arial" w:cs="Arial" w:eastAsia="Arial" w:hAnsi="Arial"/>
                <w:sz w:val="22"/>
                <w:szCs w:val="22"/>
                <w:color w:val="0000EE"/>
              </w:rPr>
            </w:pPr>
            <w:hyperlink w:anchor="page60">
              <w:r>
                <w:rPr>
                  <w:rFonts w:ascii="Arial" w:cs="Arial" w:eastAsia="Arial" w:hAnsi="Arial"/>
                  <w:sz w:val="22"/>
                  <w:szCs w:val="22"/>
                  <w:color w:val="0000EE"/>
                </w:rPr>
                <w:t>P</w:t>
              </w:r>
              <w:r>
                <w:rPr>
                  <w:rFonts w:ascii="Arial" w:cs="Arial" w:eastAsia="Arial" w:hAnsi="Arial"/>
                  <w:sz w:val="18"/>
                  <w:szCs w:val="18"/>
                  <w:color w:val="0000EE"/>
                </w:rPr>
                <w:t>AYMENTS ON</w:t>
              </w:r>
              <w:r>
                <w:rPr>
                  <w:rFonts w:ascii="Arial" w:cs="Arial" w:eastAsia="Arial" w:hAnsi="Arial"/>
                  <w:sz w:val="22"/>
                  <w:szCs w:val="22"/>
                  <w:color w:val="0000EE"/>
                </w:rPr>
                <w:t xml:space="preserve"> B</w:t>
              </w:r>
              <w:r>
                <w:rPr>
                  <w:rFonts w:ascii="Arial" w:cs="Arial" w:eastAsia="Arial" w:hAnsi="Arial"/>
                  <w:sz w:val="18"/>
                  <w:szCs w:val="18"/>
                  <w:color w:val="0000EE"/>
                </w:rPr>
                <w:t>ONDS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200" w:type="dxa"/>
            <w:vAlign w:val="bottom"/>
            <w:gridSpan w:val="6"/>
          </w:tcPr>
          <w:p>
            <w:pPr>
              <w:spacing w:after="0"/>
              <w:rPr>
                <w:rFonts w:ascii="Arial" w:cs="Arial" w:eastAsia="Arial" w:hAnsi="Arial"/>
                <w:sz w:val="22"/>
                <w:szCs w:val="22"/>
                <w:color w:val="0000EE"/>
                <w:w w:val="91"/>
              </w:rPr>
            </w:pPr>
            <w:hyperlink w:anchor="page106">
              <w:r>
                <w:rPr>
                  <w:rFonts w:ascii="Arial" w:cs="Arial" w:eastAsia="Arial" w:hAnsi="Arial"/>
                  <w:sz w:val="22"/>
                  <w:szCs w:val="22"/>
                  <w:color w:val="0000EE"/>
                  <w:w w:val="91"/>
                </w:rPr>
                <w:t>Section 11.1.</w:t>
              </w:r>
            </w:hyperlink>
          </w:p>
        </w:tc>
        <w:tc>
          <w:tcPr>
            <w:tcW w:w="6880" w:type="dxa"/>
            <w:vAlign w:val="bottom"/>
            <w:gridSpan w:val="22"/>
          </w:tcPr>
          <w:p>
            <w:pPr>
              <w:ind w:left="220"/>
              <w:spacing w:after="0"/>
              <w:rPr>
                <w:rFonts w:ascii="Arial" w:cs="Arial" w:eastAsia="Arial" w:hAnsi="Arial"/>
                <w:sz w:val="22"/>
                <w:szCs w:val="22"/>
                <w:color w:val="0000EE"/>
              </w:rPr>
            </w:pPr>
            <w:hyperlink w:anchor="page106">
              <w:r>
                <w:rPr>
                  <w:rFonts w:ascii="Arial" w:cs="Arial" w:eastAsia="Arial" w:hAnsi="Arial"/>
                  <w:sz w:val="22"/>
                  <w:szCs w:val="22"/>
                  <w:color w:val="0000EE"/>
                </w:rPr>
                <w:t>Payment by Wire Transfer</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7"/>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12.</w:t>
              </w:r>
            </w:hyperlink>
          </w:p>
        </w:tc>
        <w:tc>
          <w:tcPr>
            <w:tcW w:w="6880" w:type="dxa"/>
            <w:vAlign w:val="bottom"/>
            <w:gridSpan w:val="22"/>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R</w:t>
              </w:r>
              <w:r>
                <w:rPr>
                  <w:rFonts w:ascii="Arial" w:cs="Arial" w:eastAsia="Arial" w:hAnsi="Arial"/>
                  <w:sz w:val="18"/>
                  <w:szCs w:val="18"/>
                  <w:color w:val="0000EE"/>
                </w:rPr>
                <w:t>EGISTRATION;</w:t>
              </w:r>
              <w:r>
                <w:rPr>
                  <w:rFonts w:ascii="Arial" w:cs="Arial" w:eastAsia="Arial" w:hAnsi="Arial"/>
                  <w:sz w:val="22"/>
                  <w:szCs w:val="22"/>
                  <w:color w:val="0000EE"/>
                </w:rPr>
                <w:t xml:space="preserve"> E</w:t>
              </w:r>
              <w:r>
                <w:rPr>
                  <w:rFonts w:ascii="Arial" w:cs="Arial" w:eastAsia="Arial" w:hAnsi="Arial"/>
                  <w:sz w:val="18"/>
                  <w:szCs w:val="18"/>
                  <w:color w:val="0000EE"/>
                </w:rPr>
                <w:t>XCHANGE;</w:t>
              </w:r>
              <w:r>
                <w:rPr>
                  <w:rFonts w:ascii="Arial" w:cs="Arial" w:eastAsia="Arial" w:hAnsi="Arial"/>
                  <w:sz w:val="22"/>
                  <w:szCs w:val="22"/>
                  <w:color w:val="0000EE"/>
                </w:rPr>
                <w:t xml:space="preserve"> E</w:t>
              </w:r>
              <w:r>
                <w:rPr>
                  <w:rFonts w:ascii="Arial" w:cs="Arial" w:eastAsia="Arial" w:hAnsi="Arial"/>
                  <w:sz w:val="18"/>
                  <w:szCs w:val="18"/>
                  <w:color w:val="0000EE"/>
                </w:rPr>
                <w:t>XPENSES,</w:t>
              </w:r>
              <w:r>
                <w:rPr>
                  <w:rFonts w:ascii="Arial" w:cs="Arial" w:eastAsia="Arial" w:hAnsi="Arial"/>
                  <w:sz w:val="22"/>
                  <w:szCs w:val="22"/>
                  <w:color w:val="0000EE"/>
                </w:rPr>
                <w:t xml:space="preserve"> E</w:t>
              </w:r>
              <w:r>
                <w:rPr>
                  <w:rFonts w:ascii="Arial" w:cs="Arial" w:eastAsia="Arial" w:hAnsi="Arial"/>
                  <w:sz w:val="18"/>
                  <w:szCs w:val="18"/>
                  <w:color w:val="0000EE"/>
                </w:rPr>
                <w:t>TC</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466"/>
        </w:trPr>
        <w:tc>
          <w:tcPr>
            <w:tcW w:w="2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gridSpan w:val="5"/>
          </w:tcPr>
          <w:p>
            <w:pPr>
              <w:spacing w:after="0"/>
              <w:rPr>
                <w:rFonts w:ascii="Arial" w:cs="Arial" w:eastAsia="Arial" w:hAnsi="Arial"/>
                <w:sz w:val="22"/>
                <w:szCs w:val="22"/>
                <w:color w:val="0000EE"/>
                <w:w w:val="84"/>
              </w:rPr>
            </w:pPr>
            <w:hyperlink w:anchor="page61">
              <w:r>
                <w:rPr>
                  <w:rFonts w:ascii="Arial" w:cs="Arial" w:eastAsia="Arial" w:hAnsi="Arial"/>
                  <w:sz w:val="22"/>
                  <w:szCs w:val="22"/>
                  <w:color w:val="0000EE"/>
                  <w:w w:val="84"/>
                </w:rPr>
                <w:t>Section 12.1.</w:t>
              </w:r>
            </w:hyperlink>
          </w:p>
        </w:tc>
        <w:tc>
          <w:tcPr>
            <w:tcW w:w="8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gridSpan w:val="20"/>
          </w:tcPr>
          <w:p>
            <w:pPr>
              <w:ind w:left="220"/>
              <w:spacing w:after="0"/>
              <w:rPr>
                <w:rFonts w:ascii="Arial" w:cs="Arial" w:eastAsia="Arial" w:hAnsi="Arial"/>
                <w:sz w:val="22"/>
                <w:szCs w:val="22"/>
                <w:color w:val="0000EE"/>
              </w:rPr>
            </w:pPr>
            <w:hyperlink w:anchor="page61">
              <w:r>
                <w:rPr>
                  <w:rFonts w:ascii="Arial" w:cs="Arial" w:eastAsia="Arial" w:hAnsi="Arial"/>
                  <w:sz w:val="22"/>
                  <w:szCs w:val="22"/>
                  <w:color w:val="0000EE"/>
                </w:rPr>
                <w:t>Registration of Bonds</w:t>
              </w:r>
            </w:hyperlink>
          </w:p>
        </w:tc>
        <w:tc>
          <w:tcPr>
            <w:tcW w:w="29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1">
              <w:r>
                <w:rPr>
                  <w:rFonts w:ascii="Arial" w:cs="Arial" w:eastAsia="Arial" w:hAnsi="Arial"/>
                  <w:sz w:val="22"/>
                  <w:szCs w:val="22"/>
                  <w:color w:val="0000EE"/>
                  <w:w w:val="84"/>
                </w:rPr>
                <w:t>Section 12.2.</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1">
              <w:r>
                <w:rPr>
                  <w:rFonts w:ascii="Arial" w:cs="Arial" w:eastAsia="Arial" w:hAnsi="Arial"/>
                  <w:sz w:val="22"/>
                  <w:szCs w:val="22"/>
                  <w:color w:val="0000EE"/>
                </w:rPr>
                <w:t>Transaction Expenses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1">
              <w:r>
                <w:rPr>
                  <w:rFonts w:ascii="Arial" w:cs="Arial" w:eastAsia="Arial" w:hAnsi="Arial"/>
                  <w:sz w:val="22"/>
                  <w:szCs w:val="22"/>
                  <w:color w:val="0000EE"/>
                  <w:w w:val="84"/>
                </w:rPr>
                <w:t>Section 12.3.</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1">
              <w:r>
                <w:rPr>
                  <w:rFonts w:ascii="Arial" w:cs="Arial" w:eastAsia="Arial" w:hAnsi="Arial"/>
                  <w:sz w:val="22"/>
                  <w:szCs w:val="22"/>
                  <w:color w:val="0000EE"/>
                </w:rPr>
                <w:t>Survival</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gridSpan w:val="3"/>
          </w:tcPr>
          <w:p>
            <w:pPr>
              <w:spacing w:after="0"/>
              <w:rPr>
                <w:rFonts w:ascii="Arial" w:cs="Arial" w:eastAsia="Arial" w:hAnsi="Arial"/>
                <w:sz w:val="22"/>
                <w:szCs w:val="22"/>
                <w:color w:val="0000EE"/>
                <w:w w:val="88"/>
              </w:rPr>
            </w:pPr>
            <w:hyperlink w:anchor="page61">
              <w:r>
                <w:rPr>
                  <w:rFonts w:ascii="Arial" w:cs="Arial" w:eastAsia="Arial" w:hAnsi="Arial"/>
                  <w:sz w:val="22"/>
                  <w:szCs w:val="22"/>
                  <w:color w:val="0000EE"/>
                  <w:w w:val="88"/>
                </w:rPr>
                <w:t>S</w:t>
              </w:r>
              <w:r>
                <w:rPr>
                  <w:rFonts w:ascii="Arial" w:cs="Arial" w:eastAsia="Arial" w:hAnsi="Arial"/>
                  <w:sz w:val="18"/>
                  <w:szCs w:val="18"/>
                  <w:color w:val="0000EE"/>
                  <w:w w:val="88"/>
                </w:rPr>
                <w:t>ECTION</w:t>
              </w:r>
              <w:r>
                <w:rPr>
                  <w:rFonts w:ascii="Arial" w:cs="Arial" w:eastAsia="Arial" w:hAnsi="Arial"/>
                  <w:sz w:val="22"/>
                  <w:szCs w:val="22"/>
                  <w:color w:val="0000EE"/>
                  <w:w w:val="88"/>
                </w:rPr>
                <w:t xml:space="preserve"> 13.</w:t>
              </w:r>
            </w:hyperlink>
          </w:p>
        </w:tc>
        <w:tc>
          <w:tcPr>
            <w:tcW w:w="320" w:type="dxa"/>
            <w:vAlign w:val="bottom"/>
            <w:gridSpan w:val="4"/>
          </w:tcPr>
          <w:p>
            <w:pPr>
              <w:spacing w:after="0"/>
              <w:rPr>
                <w:sz w:val="24"/>
                <w:szCs w:val="24"/>
                <w:color w:val="auto"/>
              </w:rPr>
            </w:pPr>
          </w:p>
        </w:tc>
        <w:tc>
          <w:tcPr>
            <w:tcW w:w="6880" w:type="dxa"/>
            <w:vAlign w:val="bottom"/>
            <w:gridSpan w:val="22"/>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S</w:t>
              </w:r>
              <w:r>
                <w:rPr>
                  <w:rFonts w:ascii="Arial" w:cs="Arial" w:eastAsia="Arial" w:hAnsi="Arial"/>
                  <w:sz w:val="18"/>
                  <w:szCs w:val="18"/>
                  <w:color w:val="0000EE"/>
                </w:rPr>
                <w:t>URVIVAL OF</w:t>
              </w:r>
              <w:r>
                <w:rPr>
                  <w:rFonts w:ascii="Arial" w:cs="Arial" w:eastAsia="Arial" w:hAnsi="Arial"/>
                  <w:sz w:val="22"/>
                  <w:szCs w:val="22"/>
                  <w:color w:val="0000EE"/>
                </w:rPr>
                <w:t xml:space="preserve"> R</w:t>
              </w:r>
              <w:r>
                <w:rPr>
                  <w:rFonts w:ascii="Arial" w:cs="Arial" w:eastAsia="Arial" w:hAnsi="Arial"/>
                  <w:sz w:val="18"/>
                  <w:szCs w:val="18"/>
                  <w:color w:val="0000EE"/>
                </w:rPr>
                <w:t>EPRESENTATIONS AND</w:t>
              </w:r>
              <w:r>
                <w:rPr>
                  <w:rFonts w:ascii="Arial" w:cs="Arial" w:eastAsia="Arial" w:hAnsi="Arial"/>
                  <w:sz w:val="22"/>
                  <w:szCs w:val="22"/>
                  <w:color w:val="0000EE"/>
                </w:rPr>
                <w:t xml:space="preserve"> W</w:t>
              </w:r>
              <w:r>
                <w:rPr>
                  <w:rFonts w:ascii="Arial" w:cs="Arial" w:eastAsia="Arial" w:hAnsi="Arial"/>
                  <w:sz w:val="18"/>
                  <w:szCs w:val="18"/>
                  <w:color w:val="0000EE"/>
                </w:rPr>
                <w:t>ARRANTIES;</w:t>
              </w:r>
              <w:r>
                <w:rPr>
                  <w:rFonts w:ascii="Arial" w:cs="Arial" w:eastAsia="Arial" w:hAnsi="Arial"/>
                  <w:sz w:val="22"/>
                  <w:szCs w:val="22"/>
                  <w:color w:val="0000EE"/>
                </w:rPr>
                <w:t xml:space="preserve"> E</w:t>
              </w:r>
              <w:r>
                <w:rPr>
                  <w:rFonts w:ascii="Arial" w:cs="Arial" w:eastAsia="Arial" w:hAnsi="Arial"/>
                  <w:sz w:val="18"/>
                  <w:szCs w:val="18"/>
                  <w:color w:val="0000EE"/>
                </w:rPr>
                <w:t>NTIRE</w:t>
              </w:r>
              <w:r>
                <w:rPr>
                  <w:rFonts w:ascii="Arial" w:cs="Arial" w:eastAsia="Arial" w:hAnsi="Arial"/>
                  <w:sz w:val="22"/>
                  <w:szCs w:val="22"/>
                  <w:color w:val="0000EE"/>
                </w:rPr>
                <w:t xml:space="preserve"> A</w:t>
              </w:r>
              <w:r>
                <w:rPr>
                  <w:rFonts w:ascii="Arial" w:cs="Arial" w:eastAsia="Arial" w:hAnsi="Arial"/>
                  <w:sz w:val="18"/>
                  <w:szCs w:val="18"/>
                  <w:color w:val="0000EE"/>
                </w:rPr>
                <w:t>GREEMENT</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466"/>
        </w:trPr>
        <w:tc>
          <w:tcPr>
            <w:tcW w:w="110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88"/>
              </w:rPr>
            </w:pPr>
            <w:hyperlink w:anchor="page62">
              <w:r>
                <w:rPr>
                  <w:rFonts w:ascii="Arial" w:cs="Arial" w:eastAsia="Arial" w:hAnsi="Arial"/>
                  <w:sz w:val="22"/>
                  <w:szCs w:val="22"/>
                  <w:color w:val="0000EE"/>
                  <w:w w:val="88"/>
                </w:rPr>
                <w:t>S</w:t>
              </w:r>
              <w:r>
                <w:rPr>
                  <w:rFonts w:ascii="Arial" w:cs="Arial" w:eastAsia="Arial" w:hAnsi="Arial"/>
                  <w:sz w:val="18"/>
                  <w:szCs w:val="18"/>
                  <w:color w:val="0000EE"/>
                  <w:w w:val="88"/>
                </w:rPr>
                <w:t>ECTION</w:t>
              </w:r>
              <w:r>
                <w:rPr>
                  <w:rFonts w:ascii="Arial" w:cs="Arial" w:eastAsia="Arial" w:hAnsi="Arial"/>
                  <w:sz w:val="22"/>
                  <w:szCs w:val="22"/>
                  <w:color w:val="0000EE"/>
                  <w:w w:val="88"/>
                </w:rPr>
                <w:t xml:space="preserve"> 14.</w:t>
              </w:r>
            </w:hyperlink>
          </w:p>
        </w:tc>
        <w:tc>
          <w:tcPr>
            <w:tcW w:w="320" w:type="dxa"/>
            <w:vAlign w:val="bottom"/>
            <w:gridSpan w:val="4"/>
          </w:tcPr>
          <w:p>
            <w:pPr>
              <w:spacing w:after="0"/>
              <w:rPr>
                <w:sz w:val="24"/>
                <w:szCs w:val="24"/>
                <w:color w:val="auto"/>
              </w:rPr>
            </w:pPr>
          </w:p>
        </w:tc>
        <w:tc>
          <w:tcPr>
            <w:tcW w:w="2460" w:type="dxa"/>
            <w:vAlign w:val="bottom"/>
            <w:tcBorders>
              <w:top w:val="single" w:sz="8" w:color="0000EE"/>
              <w:bottom w:val="single" w:sz="8" w:color="0000EE"/>
            </w:tcBorders>
            <w:gridSpan w:val="14"/>
          </w:tcPr>
          <w:p>
            <w:pPr>
              <w:spacing w:after="0"/>
              <w:rPr>
                <w:rFonts w:ascii="Arial" w:cs="Arial" w:eastAsia="Arial" w:hAnsi="Arial"/>
                <w:sz w:val="22"/>
                <w:szCs w:val="22"/>
                <w:color w:val="0000EE"/>
                <w:w w:val="99"/>
              </w:rPr>
            </w:pPr>
            <w:hyperlink w:anchor="page62">
              <w:r>
                <w:rPr>
                  <w:rFonts w:ascii="Arial" w:cs="Arial" w:eastAsia="Arial" w:hAnsi="Arial"/>
                  <w:sz w:val="22"/>
                  <w:szCs w:val="22"/>
                  <w:color w:val="0000EE"/>
                  <w:w w:val="99"/>
                </w:rPr>
                <w:t>A</w:t>
              </w:r>
              <w:r>
                <w:rPr>
                  <w:rFonts w:ascii="Arial" w:cs="Arial" w:eastAsia="Arial" w:hAnsi="Arial"/>
                  <w:sz w:val="18"/>
                  <w:szCs w:val="18"/>
                  <w:color w:val="0000EE"/>
                  <w:w w:val="99"/>
                </w:rPr>
                <w:t>MENDMENT AND</w:t>
              </w:r>
              <w:r>
                <w:rPr>
                  <w:rFonts w:ascii="Arial" w:cs="Arial" w:eastAsia="Arial" w:hAnsi="Arial"/>
                  <w:sz w:val="22"/>
                  <w:szCs w:val="22"/>
                  <w:color w:val="0000EE"/>
                  <w:w w:val="99"/>
                </w:rPr>
                <w:t xml:space="preserve"> W</w:t>
              </w:r>
              <w:r>
                <w:rPr>
                  <w:rFonts w:ascii="Arial" w:cs="Arial" w:eastAsia="Arial" w:hAnsi="Arial"/>
                  <w:sz w:val="18"/>
                  <w:szCs w:val="18"/>
                  <w:color w:val="0000EE"/>
                  <w:w w:val="99"/>
                </w:rPr>
                <w:t>AIVER</w:t>
              </w:r>
            </w:hyperlink>
          </w:p>
        </w:tc>
        <w:tc>
          <w:tcPr>
            <w:tcW w:w="4160" w:type="dxa"/>
            <w:vAlign w:val="bottom"/>
            <w:tcBorders>
              <w:top w:val="single" w:sz="8" w:color="0000EE"/>
            </w:tcBorders>
            <w:gridSpan w:val="7"/>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22"/>
                <w:szCs w:val="22"/>
                <w:color w:val="0000EE"/>
                <w:w w:val="84"/>
              </w:rPr>
            </w:pPr>
            <w:hyperlink w:anchor="page62">
              <w:r>
                <w:rPr>
                  <w:rFonts w:ascii="Arial" w:cs="Arial" w:eastAsia="Arial" w:hAnsi="Arial"/>
                  <w:sz w:val="22"/>
                  <w:szCs w:val="22"/>
                  <w:color w:val="0000EE"/>
                  <w:w w:val="84"/>
                </w:rPr>
                <w:t>Section 14.1.</w:t>
              </w:r>
            </w:hyperlink>
          </w:p>
        </w:tc>
        <w:tc>
          <w:tcPr>
            <w:tcW w:w="80" w:type="dxa"/>
            <w:vAlign w:val="bottom"/>
          </w:tcPr>
          <w:p>
            <w:pPr>
              <w:spacing w:after="0"/>
              <w:rPr>
                <w:sz w:val="24"/>
                <w:szCs w:val="24"/>
                <w:color w:val="auto"/>
              </w:rPr>
            </w:pPr>
          </w:p>
        </w:tc>
        <w:tc>
          <w:tcPr>
            <w:tcW w:w="6880" w:type="dxa"/>
            <w:vAlign w:val="bottom"/>
            <w:gridSpan w:val="22"/>
          </w:tcPr>
          <w:p>
            <w:pPr>
              <w:ind w:left="220"/>
              <w:spacing w:after="0"/>
              <w:rPr>
                <w:rFonts w:ascii="Arial" w:cs="Arial" w:eastAsia="Arial" w:hAnsi="Arial"/>
                <w:sz w:val="22"/>
                <w:szCs w:val="22"/>
                <w:color w:val="0000EE"/>
              </w:rPr>
            </w:pPr>
            <w:hyperlink w:anchor="page62">
              <w:r>
                <w:rPr>
                  <w:rFonts w:ascii="Arial" w:cs="Arial" w:eastAsia="Arial" w:hAnsi="Arial"/>
                  <w:sz w:val="22"/>
                  <w:szCs w:val="22"/>
                  <w:color w:val="0000EE"/>
                </w:rPr>
                <w:t>Requirements</w:t>
              </w:r>
            </w:hyperlink>
          </w:p>
        </w:tc>
        <w:tc>
          <w:tcPr>
            <w:tcW w:w="46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2">
              <w:r>
                <w:rPr>
                  <w:rFonts w:ascii="Arial" w:cs="Arial" w:eastAsia="Arial" w:hAnsi="Arial"/>
                  <w:sz w:val="22"/>
                  <w:szCs w:val="22"/>
                  <w:color w:val="0000EE"/>
                  <w:w w:val="84"/>
                </w:rPr>
                <w:t>Section 14.2.</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2">
              <w:r>
                <w:rPr>
                  <w:rFonts w:ascii="Arial" w:cs="Arial" w:eastAsia="Arial" w:hAnsi="Arial"/>
                  <w:sz w:val="22"/>
                  <w:szCs w:val="22"/>
                  <w:color w:val="0000EE"/>
                </w:rPr>
                <w:t>Solicitation of Holders of Bonds</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140" w:type="dxa"/>
            <w:vAlign w:val="bottom"/>
            <w:tcBorders>
              <w:left w:val="single" w:sz="8" w:color="0000EE"/>
            </w:tcBorders>
            <w:gridSpan w:val="8"/>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4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120" w:type="dxa"/>
            <w:vAlign w:val="bottom"/>
            <w:gridSpan w:val="5"/>
          </w:tcPr>
          <w:p>
            <w:pPr>
              <w:spacing w:after="0" w:line="223" w:lineRule="exact"/>
              <w:rPr>
                <w:rFonts w:ascii="Arial" w:cs="Arial" w:eastAsia="Arial" w:hAnsi="Arial"/>
                <w:sz w:val="22"/>
                <w:szCs w:val="22"/>
                <w:color w:val="0000EE"/>
                <w:w w:val="84"/>
              </w:rPr>
            </w:pPr>
            <w:hyperlink w:anchor="page63">
              <w:r>
                <w:rPr>
                  <w:rFonts w:ascii="Arial" w:cs="Arial" w:eastAsia="Arial" w:hAnsi="Arial"/>
                  <w:sz w:val="22"/>
                  <w:szCs w:val="22"/>
                  <w:color w:val="0000EE"/>
                  <w:w w:val="84"/>
                </w:rPr>
                <w:t>Section 14.3.</w:t>
              </w:r>
            </w:hyperlink>
          </w:p>
        </w:tc>
        <w:tc>
          <w:tcPr>
            <w:tcW w:w="80" w:type="dxa"/>
            <w:vAlign w:val="bottom"/>
          </w:tcPr>
          <w:p>
            <w:pPr>
              <w:spacing w:after="0"/>
              <w:rPr>
                <w:sz w:val="19"/>
                <w:szCs w:val="19"/>
                <w:color w:val="auto"/>
              </w:rPr>
            </w:pPr>
          </w:p>
        </w:tc>
        <w:tc>
          <w:tcPr>
            <w:tcW w:w="6880" w:type="dxa"/>
            <w:vAlign w:val="bottom"/>
            <w:gridSpan w:val="22"/>
          </w:tcPr>
          <w:p>
            <w:pPr>
              <w:ind w:left="220"/>
              <w:spacing w:after="0" w:line="223" w:lineRule="exact"/>
              <w:rPr>
                <w:rFonts w:ascii="Arial" w:cs="Arial" w:eastAsia="Arial" w:hAnsi="Arial"/>
                <w:sz w:val="22"/>
                <w:szCs w:val="22"/>
                <w:color w:val="0000EE"/>
              </w:rPr>
            </w:pPr>
            <w:hyperlink w:anchor="page63">
              <w:r>
                <w:rPr>
                  <w:rFonts w:ascii="Arial" w:cs="Arial" w:eastAsia="Arial" w:hAnsi="Arial"/>
                  <w:sz w:val="22"/>
                  <w:szCs w:val="22"/>
                  <w:color w:val="0000EE"/>
                </w:rPr>
                <w:t>Binding Effect, Etc</w:t>
              </w:r>
            </w:hyperlink>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83" w:name="page84"/>
    <w:bookmarkEnd w:id="83"/>
    <w:tbl>
      <w:tblPr>
        <w:tblLayout w:type="fixed"/>
        <w:tblInd w:w="10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6200" w:type="dxa"/>
            <w:vAlign w:val="bottom"/>
            <w:gridSpan w:val="16"/>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Section 14.4</w:t>
              </w:r>
            </w:hyperlink>
            <w:r>
              <w:rPr>
                <w:rFonts w:ascii="Arial" w:cs="Arial" w:eastAsia="Arial" w:hAnsi="Arial"/>
                <w:sz w:val="22"/>
                <w:szCs w:val="22"/>
                <w:color w:val="000000"/>
              </w:rPr>
              <w:t>.</w:t>
            </w:r>
            <w:r>
              <w:rPr>
                <w:rFonts w:ascii="Arial" w:cs="Arial" w:eastAsia="Arial" w:hAnsi="Arial"/>
                <w:sz w:val="22"/>
                <w:szCs w:val="22"/>
                <w:color w:val="0000EE"/>
              </w:rPr>
              <w:t xml:space="preserve">   </w:t>
            </w:r>
            <w:hyperlink w:anchor="page63">
              <w:r>
                <w:rPr>
                  <w:rFonts w:ascii="Arial" w:cs="Arial" w:eastAsia="Arial" w:hAnsi="Arial"/>
                  <w:sz w:val="22"/>
                  <w:szCs w:val="22"/>
                  <w:color w:val="0000EE"/>
                </w:rPr>
                <w:t>Bonds Held by Company, Etc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15.</w:t>
              </w:r>
            </w:hyperlink>
          </w:p>
        </w:tc>
        <w:tc>
          <w:tcPr>
            <w:tcW w:w="5000" w:type="dxa"/>
            <w:vAlign w:val="bottom"/>
            <w:gridSpan w:val="13"/>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N</w:t>
              </w:r>
              <w:r>
                <w:rPr>
                  <w:rFonts w:ascii="Arial" w:cs="Arial" w:eastAsia="Arial" w:hAnsi="Arial"/>
                  <w:sz w:val="18"/>
                  <w:szCs w:val="18"/>
                  <w:color w:val="0000EE"/>
                </w:rPr>
                <w:t>OTICES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16.</w:t>
              </w:r>
            </w:hyperlink>
          </w:p>
        </w:tc>
        <w:tc>
          <w:tcPr>
            <w:tcW w:w="5000" w:type="dxa"/>
            <w:vAlign w:val="bottom"/>
            <w:gridSpan w:val="1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I</w:t>
              </w:r>
              <w:r>
                <w:rPr>
                  <w:rFonts w:ascii="Arial" w:cs="Arial" w:eastAsia="Arial" w:hAnsi="Arial"/>
                  <w:sz w:val="18"/>
                  <w:szCs w:val="18"/>
                  <w:color w:val="0000EE"/>
                </w:rPr>
                <w:t>NDEMNIFICATION</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17.</w:t>
              </w:r>
            </w:hyperlink>
          </w:p>
        </w:tc>
        <w:tc>
          <w:tcPr>
            <w:tcW w:w="5000" w:type="dxa"/>
            <w:vAlign w:val="bottom"/>
            <w:gridSpan w:val="1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R</w:t>
              </w:r>
              <w:r>
                <w:rPr>
                  <w:rFonts w:ascii="Arial" w:cs="Arial" w:eastAsia="Arial" w:hAnsi="Arial"/>
                  <w:sz w:val="18"/>
                  <w:szCs w:val="18"/>
                  <w:color w:val="0000EE"/>
                </w:rPr>
                <w:t>EPRODUCTION OF</w:t>
              </w:r>
              <w:r>
                <w:rPr>
                  <w:rFonts w:ascii="Arial" w:cs="Arial" w:eastAsia="Arial" w:hAnsi="Arial"/>
                  <w:sz w:val="22"/>
                  <w:szCs w:val="22"/>
                  <w:color w:val="0000EE"/>
                </w:rPr>
                <w:t xml:space="preserve"> D</w:t>
              </w:r>
              <w:r>
                <w:rPr>
                  <w:rFonts w:ascii="Arial" w:cs="Arial" w:eastAsia="Arial" w:hAnsi="Arial"/>
                  <w:sz w:val="18"/>
                  <w:szCs w:val="18"/>
                  <w:color w:val="0000EE"/>
                </w:rPr>
                <w:t>OCUMENTS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18.</w:t>
              </w:r>
            </w:hyperlink>
          </w:p>
        </w:tc>
        <w:tc>
          <w:tcPr>
            <w:tcW w:w="5000" w:type="dxa"/>
            <w:vAlign w:val="bottom"/>
            <w:gridSpan w:val="13"/>
          </w:tcPr>
          <w:p>
            <w:pPr>
              <w:spacing w:after="0"/>
              <w:rPr>
                <w:rFonts w:ascii="Arial" w:cs="Arial" w:eastAsia="Arial" w:hAnsi="Arial"/>
                <w:sz w:val="22"/>
                <w:szCs w:val="22"/>
                <w:color w:val="0000EE"/>
              </w:rPr>
            </w:pPr>
            <w:hyperlink w:anchor="page64">
              <w:r>
                <w:rPr>
                  <w:rFonts w:ascii="Arial" w:cs="Arial" w:eastAsia="Arial" w:hAnsi="Arial"/>
                  <w:sz w:val="22"/>
                  <w:szCs w:val="22"/>
                  <w:color w:val="0000EE"/>
                </w:rPr>
                <w:t>C</w:t>
              </w:r>
              <w:r>
                <w:rPr>
                  <w:rFonts w:ascii="Arial" w:cs="Arial" w:eastAsia="Arial" w:hAnsi="Arial"/>
                  <w:sz w:val="18"/>
                  <w:szCs w:val="18"/>
                  <w:color w:val="0000EE"/>
                </w:rPr>
                <w:t>ONFIDENTIAL</w:t>
              </w:r>
              <w:r>
                <w:rPr>
                  <w:rFonts w:ascii="Arial" w:cs="Arial" w:eastAsia="Arial" w:hAnsi="Arial"/>
                  <w:sz w:val="22"/>
                  <w:szCs w:val="22"/>
                  <w:color w:val="0000EE"/>
                </w:rPr>
                <w:t xml:space="preserve"> I</w:t>
              </w:r>
              <w:r>
                <w:rPr>
                  <w:rFonts w:ascii="Arial" w:cs="Arial" w:eastAsia="Arial" w:hAnsi="Arial"/>
                  <w:sz w:val="18"/>
                  <w:szCs w:val="18"/>
                  <w:color w:val="0000EE"/>
                </w:rPr>
                <w:t>NFORMATION</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65">
              <w:r>
                <w:rPr>
                  <w:rFonts w:ascii="Arial" w:cs="Arial" w:eastAsia="Arial" w:hAnsi="Arial"/>
                  <w:sz w:val="22"/>
                  <w:szCs w:val="22"/>
                  <w:color w:val="0000EE"/>
                </w:rPr>
                <w:t>S</w:t>
              </w:r>
              <w:r>
                <w:rPr>
                  <w:rFonts w:ascii="Arial" w:cs="Arial" w:eastAsia="Arial" w:hAnsi="Arial"/>
                  <w:sz w:val="18"/>
                  <w:szCs w:val="18"/>
                  <w:color w:val="0000EE"/>
                </w:rPr>
                <w:t>ECTION</w:t>
              </w:r>
              <w:r>
                <w:rPr>
                  <w:rFonts w:ascii="Arial" w:cs="Arial" w:eastAsia="Arial" w:hAnsi="Arial"/>
                  <w:sz w:val="22"/>
                  <w:szCs w:val="22"/>
                  <w:color w:val="0000EE"/>
                </w:rPr>
                <w:t xml:space="preserve"> 19.</w:t>
              </w:r>
            </w:hyperlink>
          </w:p>
        </w:tc>
        <w:tc>
          <w:tcPr>
            <w:tcW w:w="5000" w:type="dxa"/>
            <w:vAlign w:val="bottom"/>
            <w:gridSpan w:val="13"/>
          </w:tcPr>
          <w:p>
            <w:pPr>
              <w:spacing w:after="0"/>
              <w:rPr>
                <w:rFonts w:ascii="Arial" w:cs="Arial" w:eastAsia="Arial" w:hAnsi="Arial"/>
                <w:sz w:val="22"/>
                <w:szCs w:val="22"/>
                <w:color w:val="0000EE"/>
              </w:rPr>
            </w:pPr>
            <w:hyperlink w:anchor="page65">
              <w:r>
                <w:rPr>
                  <w:rFonts w:ascii="Arial" w:cs="Arial" w:eastAsia="Arial" w:hAnsi="Arial"/>
                  <w:sz w:val="22"/>
                  <w:szCs w:val="22"/>
                  <w:color w:val="0000EE"/>
                </w:rPr>
                <w:t>M</w:t>
              </w:r>
              <w:r>
                <w:rPr>
                  <w:rFonts w:ascii="Arial" w:cs="Arial" w:eastAsia="Arial" w:hAnsi="Arial"/>
                  <w:sz w:val="18"/>
                  <w:szCs w:val="18"/>
                  <w:color w:val="0000EE"/>
                </w:rPr>
                <w:t>ISCELLANEOUS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6200" w:type="dxa"/>
            <w:vAlign w:val="bottom"/>
            <w:gridSpan w:val="16"/>
          </w:tcPr>
          <w:p>
            <w:pPr>
              <w:spacing w:after="0"/>
              <w:rPr>
                <w:rFonts w:ascii="Arial" w:cs="Arial" w:eastAsia="Arial" w:hAnsi="Arial"/>
                <w:sz w:val="22"/>
                <w:szCs w:val="22"/>
                <w:color w:val="0000EE"/>
              </w:rPr>
            </w:pPr>
            <w:hyperlink w:anchor="page65">
              <w:r>
                <w:rPr>
                  <w:rFonts w:ascii="Arial" w:cs="Arial" w:eastAsia="Arial" w:hAnsi="Arial"/>
                  <w:sz w:val="22"/>
                  <w:szCs w:val="22"/>
                  <w:color w:val="0000EE"/>
                </w:rPr>
                <w:t>Section 19.1.   Successors and Assigns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80" w:type="dxa"/>
            <w:vAlign w:val="bottom"/>
            <w:gridSpan w:val="2"/>
          </w:tcPr>
          <w:p>
            <w:pPr>
              <w:spacing w:after="0" w:line="223" w:lineRule="exact"/>
              <w:rPr>
                <w:rFonts w:ascii="Arial" w:cs="Arial" w:eastAsia="Arial" w:hAnsi="Arial"/>
                <w:sz w:val="22"/>
                <w:szCs w:val="22"/>
                <w:color w:val="0000EE"/>
                <w:w w:val="80"/>
              </w:rPr>
            </w:pPr>
            <w:hyperlink w:anchor="page66">
              <w:r>
                <w:rPr>
                  <w:rFonts w:ascii="Arial" w:cs="Arial" w:eastAsia="Arial" w:hAnsi="Arial"/>
                  <w:sz w:val="22"/>
                  <w:szCs w:val="22"/>
                  <w:color w:val="0000EE"/>
                  <w:w w:val="80"/>
                </w:rPr>
                <w:t>Section 19.2.</w:t>
              </w:r>
            </w:hyperlink>
          </w:p>
        </w:tc>
        <w:tc>
          <w:tcPr>
            <w:tcW w:w="120" w:type="dxa"/>
            <w:vAlign w:val="bottom"/>
          </w:tcPr>
          <w:p>
            <w:pPr>
              <w:spacing w:after="0"/>
              <w:rPr>
                <w:sz w:val="19"/>
                <w:szCs w:val="19"/>
                <w:color w:val="auto"/>
              </w:rPr>
            </w:pPr>
          </w:p>
        </w:tc>
        <w:tc>
          <w:tcPr>
            <w:tcW w:w="5000" w:type="dxa"/>
            <w:vAlign w:val="bottom"/>
            <w:gridSpan w:val="13"/>
          </w:tcPr>
          <w:p>
            <w:pPr>
              <w:ind w:left="220"/>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Accounting Terms</w:t>
              </w:r>
            </w:hyperlink>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80" w:type="dxa"/>
            <w:vAlign w:val="bottom"/>
            <w:gridSpan w:val="2"/>
          </w:tcPr>
          <w:p>
            <w:pPr>
              <w:spacing w:after="0" w:line="223" w:lineRule="exact"/>
              <w:rPr>
                <w:rFonts w:ascii="Arial" w:cs="Arial" w:eastAsia="Arial" w:hAnsi="Arial"/>
                <w:sz w:val="22"/>
                <w:szCs w:val="22"/>
                <w:color w:val="0000EE"/>
                <w:w w:val="80"/>
              </w:rPr>
            </w:pPr>
            <w:hyperlink w:anchor="page66">
              <w:r>
                <w:rPr>
                  <w:rFonts w:ascii="Arial" w:cs="Arial" w:eastAsia="Arial" w:hAnsi="Arial"/>
                  <w:sz w:val="22"/>
                  <w:szCs w:val="22"/>
                  <w:color w:val="0000EE"/>
                  <w:w w:val="80"/>
                </w:rPr>
                <w:t>Section 19.3.</w:t>
              </w:r>
            </w:hyperlink>
          </w:p>
        </w:tc>
        <w:tc>
          <w:tcPr>
            <w:tcW w:w="120" w:type="dxa"/>
            <w:vAlign w:val="bottom"/>
          </w:tcPr>
          <w:p>
            <w:pPr>
              <w:spacing w:after="0"/>
              <w:rPr>
                <w:sz w:val="19"/>
                <w:szCs w:val="19"/>
                <w:color w:val="auto"/>
              </w:rPr>
            </w:pPr>
          </w:p>
        </w:tc>
        <w:tc>
          <w:tcPr>
            <w:tcW w:w="5000" w:type="dxa"/>
            <w:vAlign w:val="bottom"/>
            <w:gridSpan w:val="13"/>
          </w:tcPr>
          <w:p>
            <w:pPr>
              <w:ind w:left="220"/>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Severability</w:t>
              </w:r>
            </w:hyperlink>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2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80" w:type="dxa"/>
            <w:vAlign w:val="bottom"/>
            <w:gridSpan w:val="2"/>
          </w:tcPr>
          <w:p>
            <w:pPr>
              <w:spacing w:after="0" w:line="223" w:lineRule="exact"/>
              <w:rPr>
                <w:rFonts w:ascii="Arial" w:cs="Arial" w:eastAsia="Arial" w:hAnsi="Arial"/>
                <w:sz w:val="22"/>
                <w:szCs w:val="22"/>
                <w:color w:val="0000EE"/>
                <w:w w:val="80"/>
              </w:rPr>
            </w:pPr>
            <w:hyperlink w:anchor="page66">
              <w:r>
                <w:rPr>
                  <w:rFonts w:ascii="Arial" w:cs="Arial" w:eastAsia="Arial" w:hAnsi="Arial"/>
                  <w:sz w:val="22"/>
                  <w:szCs w:val="22"/>
                  <w:color w:val="0000EE"/>
                  <w:w w:val="80"/>
                </w:rPr>
                <w:t>Section 19.4.</w:t>
              </w:r>
            </w:hyperlink>
          </w:p>
        </w:tc>
        <w:tc>
          <w:tcPr>
            <w:tcW w:w="120" w:type="dxa"/>
            <w:vAlign w:val="bottom"/>
          </w:tcPr>
          <w:p>
            <w:pPr>
              <w:spacing w:after="0"/>
              <w:rPr>
                <w:sz w:val="19"/>
                <w:szCs w:val="19"/>
                <w:color w:val="auto"/>
              </w:rPr>
            </w:pPr>
          </w:p>
        </w:tc>
        <w:tc>
          <w:tcPr>
            <w:tcW w:w="5000" w:type="dxa"/>
            <w:vAlign w:val="bottom"/>
            <w:gridSpan w:val="13"/>
          </w:tcPr>
          <w:p>
            <w:pPr>
              <w:ind w:left="220"/>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Construction, Etc</w:t>
              </w:r>
            </w:hyperlink>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2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80" w:type="dxa"/>
            <w:vAlign w:val="bottom"/>
            <w:gridSpan w:val="2"/>
          </w:tcPr>
          <w:p>
            <w:pPr>
              <w:spacing w:after="0" w:line="223" w:lineRule="exact"/>
              <w:rPr>
                <w:rFonts w:ascii="Arial" w:cs="Arial" w:eastAsia="Arial" w:hAnsi="Arial"/>
                <w:sz w:val="22"/>
                <w:szCs w:val="22"/>
                <w:color w:val="0000EE"/>
                <w:w w:val="80"/>
              </w:rPr>
            </w:pPr>
            <w:hyperlink w:anchor="page66">
              <w:r>
                <w:rPr>
                  <w:rFonts w:ascii="Arial" w:cs="Arial" w:eastAsia="Arial" w:hAnsi="Arial"/>
                  <w:sz w:val="22"/>
                  <w:szCs w:val="22"/>
                  <w:color w:val="0000EE"/>
                  <w:w w:val="80"/>
                </w:rPr>
                <w:t>Section 19.5.</w:t>
              </w:r>
            </w:hyperlink>
          </w:p>
        </w:tc>
        <w:tc>
          <w:tcPr>
            <w:tcW w:w="120" w:type="dxa"/>
            <w:vAlign w:val="bottom"/>
          </w:tcPr>
          <w:p>
            <w:pPr>
              <w:spacing w:after="0"/>
              <w:rPr>
                <w:sz w:val="19"/>
                <w:szCs w:val="19"/>
                <w:color w:val="auto"/>
              </w:rPr>
            </w:pPr>
          </w:p>
        </w:tc>
        <w:tc>
          <w:tcPr>
            <w:tcW w:w="5000" w:type="dxa"/>
            <w:vAlign w:val="bottom"/>
            <w:gridSpan w:val="13"/>
          </w:tcPr>
          <w:p>
            <w:pPr>
              <w:ind w:left="220"/>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Counterparts</w:t>
              </w:r>
            </w:hyperlink>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234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80" w:type="dxa"/>
            <w:vAlign w:val="bottom"/>
            <w:gridSpan w:val="2"/>
          </w:tcPr>
          <w:p>
            <w:pPr>
              <w:spacing w:after="0" w:line="223" w:lineRule="exact"/>
              <w:rPr>
                <w:rFonts w:ascii="Arial" w:cs="Arial" w:eastAsia="Arial" w:hAnsi="Arial"/>
                <w:sz w:val="22"/>
                <w:szCs w:val="22"/>
                <w:color w:val="0000EE"/>
                <w:w w:val="80"/>
              </w:rPr>
            </w:pPr>
            <w:hyperlink w:anchor="page66">
              <w:r>
                <w:rPr>
                  <w:rFonts w:ascii="Arial" w:cs="Arial" w:eastAsia="Arial" w:hAnsi="Arial"/>
                  <w:sz w:val="22"/>
                  <w:szCs w:val="22"/>
                  <w:color w:val="0000EE"/>
                  <w:w w:val="80"/>
                </w:rPr>
                <w:t>Section 19.6.</w:t>
              </w:r>
            </w:hyperlink>
          </w:p>
        </w:tc>
        <w:tc>
          <w:tcPr>
            <w:tcW w:w="120" w:type="dxa"/>
            <w:vAlign w:val="bottom"/>
          </w:tcPr>
          <w:p>
            <w:pPr>
              <w:spacing w:after="0"/>
              <w:rPr>
                <w:sz w:val="19"/>
                <w:szCs w:val="19"/>
                <w:color w:val="auto"/>
              </w:rPr>
            </w:pPr>
          </w:p>
        </w:tc>
        <w:tc>
          <w:tcPr>
            <w:tcW w:w="5000" w:type="dxa"/>
            <w:vAlign w:val="bottom"/>
            <w:gridSpan w:val="13"/>
          </w:tcPr>
          <w:p>
            <w:pPr>
              <w:ind w:left="220"/>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Governing Law</w:t>
              </w:r>
            </w:hyperlink>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140" w:type="dxa"/>
            <w:vAlign w:val="bottom"/>
          </w:tcPr>
          <w:p>
            <w:pPr>
              <w:spacing w:after="0" w:line="229" w:lineRule="exact"/>
              <w:rPr>
                <w:rFonts w:ascii="Arial" w:cs="Arial" w:eastAsia="Arial" w:hAnsi="Arial"/>
                <w:sz w:val="22"/>
                <w:szCs w:val="22"/>
                <w:color w:val="0000EE"/>
                <w:w w:val="87"/>
              </w:rPr>
            </w:pPr>
            <w:hyperlink w:anchor="page66">
              <w:r>
                <w:rPr>
                  <w:rFonts w:ascii="Arial" w:cs="Arial" w:eastAsia="Arial" w:hAnsi="Arial"/>
                  <w:sz w:val="22"/>
                  <w:szCs w:val="22"/>
                  <w:color w:val="0000EE"/>
                  <w:w w:val="87"/>
                </w:rPr>
                <w:t>Section 19.7.</w:t>
              </w:r>
            </w:hyperlink>
          </w:p>
        </w:tc>
        <w:tc>
          <w:tcPr>
            <w:tcW w:w="5700" w:type="dxa"/>
            <w:vAlign w:val="bottom"/>
            <w:gridSpan w:val="4"/>
          </w:tcPr>
          <w:p>
            <w:pPr>
              <w:ind w:left="280"/>
              <w:spacing w:after="0" w:line="229" w:lineRule="exact"/>
              <w:rPr>
                <w:rFonts w:ascii="Arial" w:cs="Arial" w:eastAsia="Arial" w:hAnsi="Arial"/>
                <w:sz w:val="22"/>
                <w:szCs w:val="22"/>
                <w:color w:val="0000EE"/>
              </w:rPr>
            </w:pPr>
            <w:hyperlink w:anchor="page66">
              <w:r>
                <w:rPr>
                  <w:rFonts w:ascii="Arial" w:cs="Arial" w:eastAsia="Arial" w:hAnsi="Arial"/>
                  <w:sz w:val="22"/>
                  <w:szCs w:val="22"/>
                  <w:color w:val="0000EE"/>
                </w:rPr>
                <w:t>Jurisdiction and Process; Waiver of Jury Trial</w:t>
              </w:r>
            </w:hyperlink>
          </w:p>
        </w:tc>
        <w:tc>
          <w:tcPr>
            <w:tcW w:w="1700" w:type="dxa"/>
            <w:vAlign w:val="bottom"/>
          </w:tcPr>
          <w:p>
            <w:pPr>
              <w:jc w:val="right"/>
              <w:spacing w:after="0" w:line="229"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line="223" w:lineRule="exact"/>
              <w:rPr>
                <w:rFonts w:ascii="Arial" w:cs="Arial" w:eastAsia="Arial" w:hAnsi="Arial"/>
                <w:sz w:val="22"/>
                <w:szCs w:val="22"/>
                <w:color w:val="0000EE"/>
                <w:w w:val="87"/>
              </w:rPr>
            </w:pPr>
            <w:hyperlink w:anchor="page67">
              <w:r>
                <w:rPr>
                  <w:rFonts w:ascii="Arial" w:cs="Arial" w:eastAsia="Arial" w:hAnsi="Arial"/>
                  <w:sz w:val="22"/>
                  <w:szCs w:val="22"/>
                  <w:color w:val="0000EE"/>
                  <w:w w:val="87"/>
                </w:rPr>
                <w:t>Section 19.8.</w:t>
              </w:r>
            </w:hyperlink>
          </w:p>
        </w:tc>
        <w:tc>
          <w:tcPr>
            <w:tcW w:w="5700" w:type="dxa"/>
            <w:vAlign w:val="bottom"/>
            <w:gridSpan w:val="4"/>
          </w:tcPr>
          <w:p>
            <w:pPr>
              <w:ind w:left="280"/>
              <w:spacing w:after="0" w:line="223" w:lineRule="exact"/>
              <w:rPr>
                <w:rFonts w:ascii="Arial" w:cs="Arial" w:eastAsia="Arial" w:hAnsi="Arial"/>
                <w:sz w:val="22"/>
                <w:szCs w:val="22"/>
                <w:color w:val="0000EE"/>
              </w:rPr>
            </w:pPr>
            <w:hyperlink w:anchor="page67">
              <w:r>
                <w:rPr>
                  <w:rFonts w:ascii="Arial" w:cs="Arial" w:eastAsia="Arial" w:hAnsi="Arial"/>
                  <w:sz w:val="22"/>
                  <w:szCs w:val="22"/>
                  <w:color w:val="0000EE"/>
                </w:rPr>
                <w:t>Payments Due on Non-Business Days</w:t>
              </w:r>
            </w:hyperlink>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sectPr>
      </w:pPr>
    </w:p>
    <w:bookmarkStart w:id="84" w:name="page85"/>
    <w:bookmarkEnd w:id="84"/>
    <w:tbl>
      <w:tblPr>
        <w:tblLayout w:type="fixed"/>
        <w:tblInd w:w="100" w:type="dxa"/>
        <w:tblCellMar>
          <w:top w:w="0" w:type="dxa"/>
          <w:left w:w="0" w:type="dxa"/>
          <w:bottom w:w="0" w:type="dxa"/>
          <w:right w:w="0" w:type="dxa"/>
        </w:tblCellMar>
      </w:tblP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Schedule A</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Information Relating to Purchasers</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Schedule B</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Defined Terms</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Schedule 5.4</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w w:val="97"/>
              </w:rPr>
              <w:t>Subsidiaries of the Company and Ownership of Subsidiary Stock</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Schedule 5.5</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Financial Statements</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Schedule 5.15(a)</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Existing Debt</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Schedule 5.15(b)</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Debt Instruments</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Exhibit A</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Form of Fifty-second Supplemental Indenture</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Exhibit 4.4(a)</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Form of Opinion of Counsel for the Company</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Exhibit 4.4(b)</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6280" w:type="dxa"/>
            <w:vAlign w:val="bottom"/>
          </w:tcPr>
          <w:p>
            <w:pPr>
              <w:ind w:left="140"/>
              <w:spacing w:after="0"/>
              <w:rPr>
                <w:sz w:val="20"/>
                <w:szCs w:val="20"/>
                <w:color w:val="auto"/>
              </w:rPr>
            </w:pPr>
            <w:r>
              <w:rPr>
                <w:rFonts w:ascii="Arial" w:cs="Arial" w:eastAsia="Arial" w:hAnsi="Arial"/>
                <w:sz w:val="22"/>
                <w:szCs w:val="22"/>
                <w:color w:val="auto"/>
              </w:rPr>
              <w:t>Form of Opinion of Special Counsel for the Company</w:t>
            </w:r>
          </w:p>
        </w:tc>
      </w:tr>
      <w:tr>
        <w:trPr>
          <w:trHeight w:val="284"/>
        </w:trPr>
        <w:tc>
          <w:tcPr>
            <w:tcW w:w="1820" w:type="dxa"/>
            <w:vAlign w:val="bottom"/>
          </w:tcPr>
          <w:p>
            <w:pPr>
              <w:spacing w:after="0"/>
              <w:rPr>
                <w:sz w:val="20"/>
                <w:szCs w:val="20"/>
                <w:color w:val="auto"/>
              </w:rPr>
            </w:pPr>
            <w:r>
              <w:rPr>
                <w:rFonts w:ascii="Arial" w:cs="Arial" w:eastAsia="Arial" w:hAnsi="Arial"/>
                <w:sz w:val="22"/>
                <w:szCs w:val="22"/>
                <w:color w:val="auto"/>
              </w:rPr>
              <w:t>Exhibit 4.4 (c)</w:t>
            </w:r>
          </w:p>
        </w:tc>
        <w:tc>
          <w:tcPr>
            <w:tcW w:w="760" w:type="dxa"/>
            <w:vAlign w:val="bottom"/>
          </w:tcPr>
          <w:p>
            <w:pPr>
              <w:spacing w:after="0"/>
              <w:rPr>
                <w:sz w:val="24"/>
                <w:szCs w:val="24"/>
                <w:color w:val="auto"/>
              </w:rPr>
            </w:pPr>
          </w:p>
        </w:tc>
        <w:tc>
          <w:tcPr>
            <w:tcW w:w="6280" w:type="dxa"/>
            <w:vAlign w:val="bottom"/>
          </w:tcPr>
          <w:p>
            <w:pPr>
              <w:ind w:left="140"/>
              <w:spacing w:after="0"/>
              <w:rPr>
                <w:sz w:val="20"/>
                <w:szCs w:val="20"/>
                <w:color w:val="auto"/>
              </w:rPr>
            </w:pPr>
            <w:r>
              <w:rPr>
                <w:rFonts w:ascii="Arial" w:cs="Arial" w:eastAsia="Arial" w:hAnsi="Arial"/>
                <w:sz w:val="22"/>
                <w:szCs w:val="22"/>
                <w:color w:val="auto"/>
              </w:rPr>
              <w:t>Form of Opinion of Special Counsel for the Purchasers</w:t>
            </w:r>
          </w:p>
        </w:tc>
      </w:tr>
      <w:tr>
        <w:trPr>
          <w:trHeight w:val="513"/>
        </w:trPr>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80" w:type="dxa"/>
            <w:vAlign w:val="bottom"/>
          </w:tcPr>
          <w:p>
            <w:pPr>
              <w:ind w:left="1680"/>
              <w:spacing w:after="0"/>
              <w:rPr>
                <w:sz w:val="20"/>
                <w:szCs w:val="20"/>
                <w:color w:val="auto"/>
              </w:rPr>
            </w:pPr>
            <w:r>
              <w:rPr>
                <w:rFonts w:ascii="Arial" w:cs="Arial" w:eastAsia="Arial" w:hAnsi="Arial"/>
                <w:sz w:val="22"/>
                <w:szCs w:val="22"/>
                <w:color w:val="auto"/>
              </w:rPr>
              <w:t>-iv-</w:t>
            </w:r>
          </w:p>
        </w:tc>
      </w:tr>
      <w:tr>
        <w:trPr>
          <w:trHeight w:val="1043"/>
        </w:trPr>
        <w:tc>
          <w:tcPr>
            <w:tcW w:w="1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r>
        <w:trPr>
          <w:trHeight w:val="20"/>
        </w:trPr>
        <w:tc>
          <w:tcPr>
            <w:tcW w:w="18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762 West Lancaster Avenue</w:t>
      </w:r>
    </w:p>
    <w:p>
      <w:pPr>
        <w:jc w:val="center"/>
        <w:spacing w:after="0"/>
        <w:rPr>
          <w:sz w:val="20"/>
          <w:szCs w:val="20"/>
          <w:color w:val="auto"/>
        </w:rPr>
      </w:pPr>
      <w:r>
        <w:rPr>
          <w:rFonts w:ascii="Arial" w:cs="Arial" w:eastAsia="Arial" w:hAnsi="Arial"/>
          <w:sz w:val="22"/>
          <w:szCs w:val="22"/>
          <w:color w:val="auto"/>
        </w:rPr>
        <w:t>Bryn Mawr, Pennsylvania 19010-3489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$155,000,000</w:t>
      </w:r>
    </w:p>
    <w:p>
      <w:pPr>
        <w:spacing w:after="0" w:line="314" w:lineRule="exact"/>
        <w:rPr>
          <w:sz w:val="20"/>
          <w:szCs w:val="20"/>
          <w:color w:val="auto"/>
        </w:rPr>
      </w:pPr>
    </w:p>
    <w:p>
      <w:pPr>
        <w:jc w:val="both"/>
        <w:ind w:left="1940" w:right="1939"/>
        <w:spacing w:after="0" w:line="282" w:lineRule="auto"/>
        <w:rPr>
          <w:sz w:val="20"/>
          <w:szCs w:val="20"/>
          <w:color w:val="auto"/>
        </w:rPr>
      </w:pPr>
      <w:r>
        <w:rPr>
          <w:rFonts w:ascii="Arial" w:cs="Arial" w:eastAsia="Arial" w:hAnsi="Arial"/>
          <w:sz w:val="19"/>
          <w:szCs w:val="19"/>
          <w:color w:val="auto"/>
        </w:rPr>
        <w:t>$40,000,000 First Mortgage Bonds, 4.04% Series due 2055 $40,000,000 First Mortgage Bonds, 4.06% Series due 2057 $35,000,000 First Mortgage Bonds, 4.06% Series due 2054 $20,000,000 First Mortgage Bonds, 4.07% Series due 2055 $20,000,000 First Mortgage Bonds, 4.09% Series due 2057</w:t>
      </w:r>
    </w:p>
    <w:p>
      <w:pPr>
        <w:spacing w:after="0" w:line="188"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As of July 20, 2017</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 Each of the Purchasers Listed in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Schedule A Hereto:</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 xml:space="preserve">Aqua Pennsylvania, Inc., a corporation organized under the laws of the Commonwealth of Pennsylvania (the </w:t>
      </w:r>
      <w:r>
        <w:rPr>
          <w:rFonts w:ascii="Arial" w:cs="Arial" w:eastAsia="Arial" w:hAnsi="Arial"/>
          <w:sz w:val="21"/>
          <w:szCs w:val="21"/>
          <w:i w:val="1"/>
          <w:iCs w:val="1"/>
          <w:color w:val="auto"/>
        </w:rPr>
        <w:t>“Company”</w:t>
      </w:r>
      <w:r>
        <w:rPr>
          <w:rFonts w:ascii="Arial" w:cs="Arial" w:eastAsia="Arial" w:hAnsi="Arial"/>
          <w:sz w:val="21"/>
          <w:szCs w:val="21"/>
          <w:color w:val="auto"/>
        </w:rPr>
        <w:t xml:space="preserve">), agrees with each of the purchasers whose names appear at the end hereof (each, a </w:t>
      </w:r>
      <w:r>
        <w:rPr>
          <w:rFonts w:ascii="Arial" w:cs="Arial" w:eastAsia="Arial" w:hAnsi="Arial"/>
          <w:sz w:val="21"/>
          <w:szCs w:val="21"/>
          <w:i w:val="1"/>
          <w:iCs w:val="1"/>
          <w:color w:val="auto"/>
        </w:rPr>
        <w:t>“Purchaser”</w:t>
      </w:r>
      <w:r>
        <w:rPr>
          <w:rFonts w:ascii="Arial" w:cs="Arial" w:eastAsia="Arial" w:hAnsi="Arial"/>
          <w:sz w:val="21"/>
          <w:szCs w:val="21"/>
          <w:color w:val="auto"/>
        </w:rPr>
        <w:t xml:space="preserve"> and, collectively, the </w:t>
      </w:r>
      <w:r>
        <w:rPr>
          <w:rFonts w:ascii="Arial" w:cs="Arial" w:eastAsia="Arial" w:hAnsi="Arial"/>
          <w:sz w:val="21"/>
          <w:szCs w:val="21"/>
          <w:i w:val="1"/>
          <w:iCs w:val="1"/>
          <w:color w:val="auto"/>
        </w:rPr>
        <w:t>“Purchasers”</w:t>
      </w:r>
      <w:r>
        <w:rPr>
          <w:rFonts w:ascii="Arial" w:cs="Arial" w:eastAsia="Arial" w:hAnsi="Arial"/>
          <w:sz w:val="21"/>
          <w:szCs w:val="21"/>
          <w:color w:val="auto"/>
        </w:rPr>
        <w:t>) as follows:</w:t>
      </w:r>
    </w:p>
    <w:p>
      <w:pPr>
        <w:spacing w:after="0" w:line="234"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w:t>
      </w:r>
      <w:r>
        <w:rPr>
          <w:sz w:val="20"/>
          <w:szCs w:val="20"/>
          <w:color w:val="auto"/>
        </w:rPr>
        <w:tab/>
      </w:r>
      <w:r>
        <w:rPr>
          <w:rFonts w:ascii="Arial" w:cs="Arial" w:eastAsia="Arial" w:hAnsi="Arial"/>
          <w:sz w:val="21"/>
          <w:szCs w:val="21"/>
          <w:color w:val="auto"/>
        </w:rPr>
        <w:t>A</w:t>
      </w:r>
      <w:r>
        <w:rPr>
          <w:rFonts w:ascii="Arial" w:cs="Arial" w:eastAsia="Arial" w:hAnsi="Arial"/>
          <w:sz w:val="17"/>
          <w:szCs w:val="17"/>
          <w:color w:val="auto"/>
        </w:rPr>
        <w:t>UTHORIZATION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9"/>
          <w:szCs w:val="19"/>
          <w:color w:val="auto"/>
        </w:rPr>
        <w:t xml:space="preserve">The Company will authorize the issue and sale of (i) First Mortgage Bonds, 4.04% Series due 2055 (herein referred to as the </w:t>
      </w:r>
      <w:r>
        <w:rPr>
          <w:rFonts w:ascii="Arial" w:cs="Arial" w:eastAsia="Arial" w:hAnsi="Arial"/>
          <w:sz w:val="19"/>
          <w:szCs w:val="19"/>
          <w:i w:val="1"/>
          <w:iCs w:val="1"/>
          <w:color w:val="auto"/>
        </w:rPr>
        <w:t>“4.04% Series due 2055 Bonds”</w:t>
      </w:r>
      <w:r>
        <w:rPr>
          <w:rFonts w:ascii="Arial" w:cs="Arial" w:eastAsia="Arial" w:hAnsi="Arial"/>
          <w:sz w:val="19"/>
          <w:szCs w:val="19"/>
          <w:color w:val="auto"/>
        </w:rPr>
        <w:t xml:space="preserve">) in an aggregate principal amount of $40,000,000, to bear interest at the rate of 4.04% per annum, and to mature on July 15, 2055, (ii) First Mortgage Bonds, 4.06% Series due 2057 (herein referred to as the </w:t>
      </w:r>
      <w:r>
        <w:rPr>
          <w:rFonts w:ascii="Arial" w:cs="Arial" w:eastAsia="Arial" w:hAnsi="Arial"/>
          <w:sz w:val="19"/>
          <w:szCs w:val="19"/>
          <w:i w:val="1"/>
          <w:iCs w:val="1"/>
          <w:color w:val="auto"/>
        </w:rPr>
        <w:t>“4.06% Series due 2057</w:t>
      </w:r>
      <w:r>
        <w:rPr>
          <w:rFonts w:ascii="Arial" w:cs="Arial" w:eastAsia="Arial" w:hAnsi="Arial"/>
          <w:sz w:val="19"/>
          <w:szCs w:val="19"/>
          <w:color w:val="auto"/>
        </w:rPr>
        <w:t xml:space="preserve"> </w:t>
      </w:r>
      <w:r>
        <w:rPr>
          <w:rFonts w:ascii="Arial" w:cs="Arial" w:eastAsia="Arial" w:hAnsi="Arial"/>
          <w:sz w:val="19"/>
          <w:szCs w:val="19"/>
          <w:i w:val="1"/>
          <w:iCs w:val="1"/>
          <w:color w:val="auto"/>
        </w:rPr>
        <w:t>Bonds”</w:t>
      </w:r>
      <w:r>
        <w:rPr>
          <w:rFonts w:ascii="Arial" w:cs="Arial" w:eastAsia="Arial" w:hAnsi="Arial"/>
          <w:sz w:val="19"/>
          <w:szCs w:val="19"/>
          <w:color w:val="auto"/>
        </w:rPr>
        <w:t>) in an aggregate principal amount of $40,000,000, to bear interest at the rate of 4.06% per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annum, and to mature on July 15, 2057, (iii) First Mortgage Bonds, 4.06% Series due 2054 (herein referred to as the </w:t>
      </w:r>
      <w:r>
        <w:rPr>
          <w:rFonts w:ascii="Arial" w:cs="Arial" w:eastAsia="Arial" w:hAnsi="Arial"/>
          <w:sz w:val="19"/>
          <w:szCs w:val="19"/>
          <w:i w:val="1"/>
          <w:iCs w:val="1"/>
          <w:color w:val="auto"/>
        </w:rPr>
        <w:t>“4.06% Series due 2054 Bonds”</w:t>
      </w:r>
      <w:r>
        <w:rPr>
          <w:rFonts w:ascii="Arial" w:cs="Arial" w:eastAsia="Arial" w:hAnsi="Arial"/>
          <w:sz w:val="19"/>
          <w:szCs w:val="19"/>
          <w:color w:val="auto"/>
        </w:rPr>
        <w:t xml:space="preserve">) in an aggregate principal amount of $35,000,000, to bear interest at the rate of 4.06% per annum, and to mature on October 15, 2054, (iv) First Mortgage Bonds, 4.07% Series due 2055 (herein referred to as the </w:t>
      </w:r>
      <w:r>
        <w:rPr>
          <w:rFonts w:ascii="Arial" w:cs="Arial" w:eastAsia="Arial" w:hAnsi="Arial"/>
          <w:sz w:val="19"/>
          <w:szCs w:val="19"/>
          <w:i w:val="1"/>
          <w:iCs w:val="1"/>
          <w:color w:val="auto"/>
        </w:rPr>
        <w:t>“4.07% Series due 2055 Bonds”</w:t>
      </w:r>
      <w:r>
        <w:rPr>
          <w:rFonts w:ascii="Arial" w:cs="Arial" w:eastAsia="Arial" w:hAnsi="Arial"/>
          <w:sz w:val="19"/>
          <w:szCs w:val="19"/>
          <w:color w:val="auto"/>
        </w:rPr>
        <w:t xml:space="preserve">) in an aggregate principal amount of $20,000,000, to bear interest at the rate of 4.07% per annum, and to mature on October 15, 2055 and (v) First Mortgage Bonds, 4.09% Series due 2057 (herein referred to as the </w:t>
      </w:r>
      <w:r>
        <w:rPr>
          <w:rFonts w:ascii="Arial" w:cs="Arial" w:eastAsia="Arial" w:hAnsi="Arial"/>
          <w:sz w:val="19"/>
          <w:szCs w:val="19"/>
          <w:i w:val="1"/>
          <w:iCs w:val="1"/>
          <w:color w:val="auto"/>
        </w:rPr>
        <w:t>“4.09% Series due 2057 Bonds”</w:t>
      </w:r>
      <w:r>
        <w:rPr>
          <w:rFonts w:ascii="Arial" w:cs="Arial" w:eastAsia="Arial" w:hAnsi="Arial"/>
          <w:sz w:val="19"/>
          <w:szCs w:val="19"/>
          <w:color w:val="auto"/>
        </w:rPr>
        <w:t xml:space="preserve">) in an aggregate principal amount of $20,000,000, to bear interest at the rate of 4.09% per annum, and to mature on October 15, 2057 (the 4.04% Series due 2055 Bonds, the 4.06% Series due 2057 Bonds, the 4.06% Series due 2054 Bonds, the 4.07% Series due 2055 Bonds, and the 4.09% Series due 2057 Bonds are collectively referred to as the </w:t>
      </w:r>
      <w:r>
        <w:rPr>
          <w:rFonts w:ascii="Arial" w:cs="Arial" w:eastAsia="Arial" w:hAnsi="Arial"/>
          <w:sz w:val="19"/>
          <w:szCs w:val="19"/>
          <w:i w:val="1"/>
          <w:iCs w:val="1"/>
          <w:color w:val="auto"/>
        </w:rPr>
        <w:t xml:space="preserve">“Bonds” </w:t>
      </w:r>
      <w:r>
        <w:rPr>
          <w:rFonts w:ascii="Arial" w:cs="Arial" w:eastAsia="Arial" w:hAnsi="Arial"/>
          <w:sz w:val="19"/>
          <w:szCs w:val="19"/>
          <w:color w:val="auto"/>
        </w:rPr>
        <w:t>and such term includes any such bonds issued in substitution therefor). The Bonds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328295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6" w:name="page87"/>
    <w:bookmarkEnd w:id="86"/>
    <w:p>
      <w:pPr>
        <w:jc w:val="both"/>
        <w:ind w:left="100" w:right="99"/>
        <w:spacing w:after="0" w:line="273" w:lineRule="auto"/>
        <w:rPr>
          <w:sz w:val="20"/>
          <w:szCs w:val="20"/>
          <w:color w:val="auto"/>
        </w:rPr>
      </w:pPr>
      <w:r>
        <w:rPr>
          <w:rFonts w:ascii="Arial" w:cs="Arial" w:eastAsia="Arial" w:hAnsi="Arial"/>
          <w:sz w:val="19"/>
          <w:szCs w:val="19"/>
          <w:i w:val="1"/>
          <w:iCs w:val="1"/>
          <w:color w:val="auto"/>
        </w:rPr>
        <w:t>“Original Indenture”</w:t>
      </w:r>
      <w:r>
        <w:rPr>
          <w:rFonts w:ascii="Arial" w:cs="Arial" w:eastAsia="Arial" w:hAnsi="Arial"/>
          <w:sz w:val="19"/>
          <w:szCs w:val="19"/>
          <w:color w:val="auto"/>
        </w:rPr>
        <w:t>), as previously amended and supplemented by fifty-one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indentures and as further supplemented by the Fifty-second Supplemental Indenture dated as of June 15, 2017 (such Fifty-second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which will be substantially in the form attached hereto as Exhibit A, with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changes therein, if any, as shall be approved by the Purchasers and the Company. The Original Indenture, as supplemented and amended by the aforementioned fifty-one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Schedule B; and 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200" w:lineRule="exact"/>
        <w:rPr>
          <w:sz w:val="20"/>
          <w:szCs w:val="20"/>
          <w:color w:val="auto"/>
        </w:rPr>
      </w:pPr>
    </w:p>
    <w:p>
      <w:pPr>
        <w:spacing w:after="0" w:line="272"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ALE AND</w:t>
      </w:r>
      <w:r>
        <w:rPr>
          <w:rFonts w:ascii="Arial" w:cs="Arial" w:eastAsia="Arial" w:hAnsi="Arial"/>
          <w:sz w:val="21"/>
          <w:szCs w:val="21"/>
          <w:color w:val="auto"/>
        </w:rPr>
        <w:t xml:space="preserve"> 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47" w:lineRule="exact"/>
        <w:rPr>
          <w:sz w:val="20"/>
          <w:szCs w:val="20"/>
          <w:color w:val="auto"/>
        </w:rPr>
      </w:pPr>
      <w:r>
        <w:rPr>
          <w:rFonts w:ascii="Arial" w:cs="Arial" w:eastAsia="Arial" w:hAnsi="Arial"/>
          <w:sz w:val="22"/>
          <w:szCs w:val="22"/>
          <w:color w:val="auto"/>
        </w:rPr>
        <w:t>Subject to the terms and conditions of this Agreement, the Company will issue and sell to each Purchaser and each Purchaser will purchase from the Company, at each Closing provided for in Section 3, Bonds in the principal amount and in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59"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19"/>
          <w:szCs w:val="19"/>
          <w:color w:val="auto"/>
        </w:rPr>
        <w:t>C</w:t>
      </w:r>
      <w:r>
        <w:rPr>
          <w:rFonts w:ascii="Arial" w:cs="Arial" w:eastAsia="Arial" w:hAnsi="Arial"/>
          <w:sz w:val="16"/>
          <w:szCs w:val="16"/>
          <w:color w:val="auto"/>
        </w:rPr>
        <w:t>LOSINGS</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111 West Monroe Street, Chicago, Illinois 60603, at 10:00 a.m., Chicago time, at two separate closings (each a </w:t>
      </w:r>
      <w:r>
        <w:rPr>
          <w:rFonts w:ascii="Arial" w:cs="Arial" w:eastAsia="Arial" w:hAnsi="Arial"/>
          <w:sz w:val="19"/>
          <w:szCs w:val="19"/>
          <w:i w:val="1"/>
          <w:iCs w:val="1"/>
          <w:color w:val="auto"/>
        </w:rPr>
        <w:t>“Closing”</w:t>
      </w:r>
      <w:r>
        <w:rPr>
          <w:rFonts w:ascii="Arial" w:cs="Arial" w:eastAsia="Arial" w:hAnsi="Arial"/>
          <w:sz w:val="19"/>
          <w:szCs w:val="19"/>
          <w:color w:val="auto"/>
        </w:rPr>
        <w:t>), the first of which (for the 4.04% Series due 2055 Bonds, and the 4.06% Series due 2057</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Bonds) shall occur on July 20, 2017 or on such other Business Day thereafter on or prior to July 31, 2017 as may be agreed upon by the Company and the Purchasers (the </w:t>
      </w:r>
      <w:r>
        <w:rPr>
          <w:rFonts w:ascii="Arial" w:cs="Arial" w:eastAsia="Arial" w:hAnsi="Arial"/>
          <w:sz w:val="19"/>
          <w:szCs w:val="19"/>
          <w:i w:val="1"/>
          <w:iCs w:val="1"/>
          <w:color w:val="auto"/>
        </w:rPr>
        <w:t>“First Closing”</w:t>
      </w:r>
      <w:r>
        <w:rPr>
          <w:rFonts w:ascii="Arial" w:cs="Arial" w:eastAsia="Arial" w:hAnsi="Arial"/>
          <w:sz w:val="19"/>
          <w:szCs w:val="19"/>
          <w:color w:val="auto"/>
        </w:rPr>
        <w:t xml:space="preserve">), and the second of which (for the 4.06% Series due 2054 Bonds, the 4.07% Series due 2055 Bonds, and the 4.09% Series due 2057 Bonds) will occur on October 26, 2017, or on such other Business Day thereafter on or prior to October 31, 2017 as may be agreed upon by the Company and the Purchasers (the </w:t>
      </w:r>
      <w:r>
        <w:rPr>
          <w:rFonts w:ascii="Arial" w:cs="Arial" w:eastAsia="Arial" w:hAnsi="Arial"/>
          <w:sz w:val="19"/>
          <w:szCs w:val="19"/>
          <w:i w:val="1"/>
          <w:iCs w:val="1"/>
          <w:color w:val="auto"/>
        </w:rPr>
        <w:t>“Second Closing”</w:t>
      </w:r>
      <w:r>
        <w:rPr>
          <w:rFonts w:ascii="Arial" w:cs="Arial" w:eastAsia="Arial" w:hAnsi="Arial"/>
          <w:sz w:val="19"/>
          <w:szCs w:val="19"/>
          <w:color w:val="auto"/>
        </w:rPr>
        <w:t>). At each such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such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000053. If at either Closing the Company shall fail to tender such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7" w:name="page88"/>
    <w:bookmarkEnd w:id="87"/>
    <w:p>
      <w:pPr>
        <w:jc w:val="both"/>
        <w:ind w:left="100" w:right="99"/>
        <w:spacing w:after="0" w:line="251" w:lineRule="auto"/>
        <w:rPr>
          <w:sz w:val="20"/>
          <w:szCs w:val="20"/>
          <w:color w:val="auto"/>
        </w:rPr>
      </w:pPr>
      <w:r>
        <w:rPr>
          <w:rFonts w:ascii="Arial" w:cs="Arial" w:eastAsia="Arial" w:hAnsi="Arial"/>
          <w:sz w:val="22"/>
          <w:szCs w:val="22"/>
          <w:color w:val="auto"/>
        </w:rPr>
        <w:t>Company to tender such Bonds or any of the conditions specified in Section 4 not having been fulfilled to such Purchaser’s satisfaction.</w:t>
      </w:r>
    </w:p>
    <w:p>
      <w:pPr>
        <w:spacing w:after="0" w:line="241"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4.</w:t>
      </w:r>
      <w:r>
        <w:rPr>
          <w:sz w:val="20"/>
          <w:szCs w:val="20"/>
          <w:color w:val="auto"/>
        </w:rPr>
        <w:tab/>
      </w:r>
      <w:r>
        <w:rPr>
          <w:rFonts w:ascii="Arial" w:cs="Arial" w:eastAsia="Arial" w:hAnsi="Arial"/>
          <w:sz w:val="21"/>
          <w:szCs w:val="21"/>
          <w:color w:val="auto"/>
        </w:rPr>
        <w:t>C</w:t>
      </w:r>
      <w:r>
        <w:rPr>
          <w:rFonts w:ascii="Arial" w:cs="Arial" w:eastAsia="Arial" w:hAnsi="Arial"/>
          <w:sz w:val="17"/>
          <w:szCs w:val="17"/>
          <w:color w:val="auto"/>
        </w:rPr>
        <w:t>ONDITIONS TO</w:t>
      </w:r>
      <w:r>
        <w:rPr>
          <w:rFonts w:ascii="Arial" w:cs="Arial" w:eastAsia="Arial" w:hAnsi="Arial"/>
          <w:sz w:val="21"/>
          <w:szCs w:val="21"/>
          <w:color w:val="auto"/>
        </w:rPr>
        <w:t xml:space="preserve"> C</w:t>
      </w:r>
      <w:r>
        <w:rPr>
          <w:rFonts w:ascii="Arial" w:cs="Arial" w:eastAsia="Arial" w:hAnsi="Arial"/>
          <w:sz w:val="17"/>
          <w:szCs w:val="17"/>
          <w:color w:val="auto"/>
        </w:rPr>
        <w:t>LOSING</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9"/>
          <w:szCs w:val="19"/>
          <w:color w:val="auto"/>
        </w:rPr>
        <w:t>Each Purchaser’s obligation to execute and deliver this Agreement and to purchase and pay for the Bonds to be sold to such Purchaser at the applicable Closing is subject to the fulfillment to such Purchaser’s satisfaction prior to or at such Closing of the following conditions:</w:t>
      </w:r>
    </w:p>
    <w:p>
      <w:pPr>
        <w:spacing w:after="0" w:line="175"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4.1. Representations and Warranties</w:t>
      </w:r>
      <w:r>
        <w:rPr>
          <w:rFonts w:ascii="Arial" w:cs="Arial" w:eastAsia="Arial" w:hAnsi="Arial"/>
          <w:sz w:val="21"/>
          <w:szCs w:val="21"/>
          <w:color w:val="auto"/>
        </w:rPr>
        <w:t>. The representations and warranties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this Agreement shall be correct when made and at the time of such Closing.</w:t>
      </w:r>
    </w:p>
    <w:p>
      <w:pPr>
        <w:spacing w:after="0" w:line="178"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4.2. Performance; No Default</w:t>
      </w:r>
      <w:r>
        <w:rPr>
          <w:rFonts w:ascii="Arial" w:cs="Arial" w:eastAsia="Arial" w:hAnsi="Arial"/>
          <w:sz w:val="19"/>
          <w:szCs w:val="19"/>
          <w:color w:val="auto"/>
        </w:rPr>
        <w:t>. The Company shall have performed and complied</w:t>
      </w:r>
      <w:r>
        <w:rPr>
          <w:rFonts w:ascii="Arial" w:cs="Arial" w:eastAsia="Arial" w:hAnsi="Arial"/>
          <w:sz w:val="19"/>
          <w:szCs w:val="19"/>
          <w:i w:val="1"/>
          <w:iCs w:val="1"/>
          <w:color w:val="auto"/>
        </w:rPr>
        <w:t xml:space="preserve"> </w:t>
      </w:r>
      <w:r>
        <w:rPr>
          <w:rFonts w:ascii="Arial" w:cs="Arial" w:eastAsia="Arial" w:hAnsi="Arial"/>
          <w:sz w:val="19"/>
          <w:szCs w:val="19"/>
          <w:color w:val="auto"/>
        </w:rPr>
        <w:t>with all agreements and conditions contained in each Financing Agreement required to be performed or complied with by the Company prior to or at such Closing, and after giving effect to the issue and sale of the 4.04% Series due 2055 Bonds, and the 4.06% Series due 2057 Bonds, or the 4.06% Series due 2054 Bonds, the 4.07% Series due 2055 Bonds, and the 4.09% Series due 2057 Bonds, as applicable, (and the application of the proceeds thereof as contemplated by Section 5.14), no Default or Event of Default shall have occurred and be continuing.</w:t>
      </w:r>
    </w:p>
    <w:p>
      <w:pPr>
        <w:spacing w:after="0" w:line="193"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4.3. Compliance Certificates</w:t>
      </w:r>
      <w:r>
        <w:rPr>
          <w:rFonts w:ascii="Arial" w:cs="Arial" w:eastAsia="Arial" w:hAnsi="Arial"/>
          <w:sz w:val="22"/>
          <w:szCs w:val="22"/>
          <w:color w:val="auto"/>
        </w:rPr>
        <w:t>. The Company shall have performed and complied</w:t>
      </w:r>
      <w:r>
        <w:rPr>
          <w:rFonts w:ascii="Arial" w:cs="Arial" w:eastAsia="Arial" w:hAnsi="Arial"/>
          <w:sz w:val="22"/>
          <w:szCs w:val="22"/>
          <w:i w:val="1"/>
          <w:iCs w:val="1"/>
          <w:color w:val="auto"/>
        </w:rPr>
        <w:t xml:space="preserve"> </w:t>
      </w:r>
      <w:r>
        <w:rPr>
          <w:rFonts w:ascii="Arial" w:cs="Arial" w:eastAsia="Arial" w:hAnsi="Arial"/>
          <w:sz w:val="22"/>
          <w:szCs w:val="22"/>
          <w:color w:val="auto"/>
        </w:rPr>
        <w:t>with all agreements and conditions contained in the Indenture which are required to be performed or complied with by the Company for the issuance of the Bonds at such Closing. In addition the Company shall have delivered the following certificates:</w:t>
      </w:r>
    </w:p>
    <w:p>
      <w:pPr>
        <w:spacing w:after="0" w:line="226" w:lineRule="exact"/>
        <w:rPr>
          <w:sz w:val="20"/>
          <w:szCs w:val="20"/>
          <w:color w:val="auto"/>
        </w:rPr>
      </w:pPr>
    </w:p>
    <w:p>
      <w:pPr>
        <w:ind w:left="2200" w:hanging="799"/>
        <w:spacing w:after="0"/>
        <w:tabs>
          <w:tab w:leader="none" w:pos="2200" w:val="left"/>
        </w:tabs>
        <w:numPr>
          <w:ilvl w:val="1"/>
          <w:numId w:val="50"/>
        </w:numPr>
        <w:rPr>
          <w:rFonts w:ascii="Arial" w:cs="Arial" w:eastAsia="Arial" w:hAnsi="Arial"/>
          <w:sz w:val="19"/>
          <w:szCs w:val="19"/>
          <w:color w:val="auto"/>
        </w:rPr>
      </w:pPr>
      <w:r>
        <w:rPr>
          <w:rFonts w:ascii="Arial" w:cs="Arial" w:eastAsia="Arial" w:hAnsi="Arial"/>
          <w:sz w:val="19"/>
          <w:szCs w:val="19"/>
          <w:i w:val="1"/>
          <w:iCs w:val="1"/>
          <w:color w:val="auto"/>
        </w:rPr>
        <w:t xml:space="preserve">Officer’s Certificate.  </w:t>
      </w:r>
      <w:r>
        <w:rPr>
          <w:rFonts w:ascii="Arial" w:cs="Arial" w:eastAsia="Arial" w:hAnsi="Arial"/>
          <w:sz w:val="19"/>
          <w:szCs w:val="19"/>
          <w:color w:val="auto"/>
        </w:rPr>
        <w:t>The Company shall have delivered to such Purchaser</w:t>
      </w:r>
    </w:p>
    <w:p>
      <w:pPr>
        <w:spacing w:after="0" w:line="42" w:lineRule="exact"/>
        <w:rPr>
          <w:rFonts w:ascii="Arial" w:cs="Arial" w:eastAsia="Arial" w:hAnsi="Arial"/>
          <w:sz w:val="19"/>
          <w:szCs w:val="19"/>
          <w:color w:val="auto"/>
        </w:rPr>
      </w:pPr>
    </w:p>
    <w:p>
      <w:pPr>
        <w:jc w:val="both"/>
        <w:ind w:left="760" w:right="99" w:hanging="7"/>
        <w:spacing w:after="0" w:line="232" w:lineRule="auto"/>
        <w:tabs>
          <w:tab w:leader="none" w:pos="1064"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Officer’s Certificate, dated the date of such Closing, certifying that the conditions specified in Section 4 of this Agreement have been fulfilled, and (ii) copies of all certificates and opinions required to be delivered to the Trustee under the Indenture in connection with the issuance of the 4.04% Series due 2055 Bonds, and the 4.06% Series due 2057 Bonds, or the 4.06% Series due 2054 Bonds, the 4.07% Series due 2055 Bonds, and the 4.09% Series due 2057 Bonds, as applicable, under the Indenture, in each case, dated the date of such Closing.</w:t>
      </w:r>
    </w:p>
    <w:p>
      <w:pPr>
        <w:spacing w:after="0" w:line="215" w:lineRule="exact"/>
        <w:rPr>
          <w:rFonts w:ascii="Arial" w:cs="Arial" w:eastAsia="Arial" w:hAnsi="Arial"/>
          <w:sz w:val="22"/>
          <w:szCs w:val="22"/>
          <w:color w:val="auto"/>
        </w:rPr>
      </w:pPr>
    </w:p>
    <w:p>
      <w:pPr>
        <w:jc w:val="both"/>
        <w:ind w:left="760" w:right="99" w:firstLine="641"/>
        <w:spacing w:after="0" w:line="234" w:lineRule="auto"/>
        <w:tabs>
          <w:tab w:leader="none" w:pos="2052"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 xml:space="preserve">Secretary’s Certificate. </w:t>
      </w:r>
      <w:r>
        <w:rPr>
          <w:rFonts w:ascii="Arial" w:cs="Arial" w:eastAsia="Arial" w:hAnsi="Arial"/>
          <w:sz w:val="22"/>
          <w:szCs w:val="22"/>
          <w:color w:val="auto"/>
        </w:rPr>
        <w:t>The Company shall have delivered to such Purchaser a</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of its Secretary or Assistant Secretary, dated the date of such Closing, certifying as to the resolutions attached thereto and other corporate proceedings relating to the authorization, execution and delivery of this Agreement, the 4.04% Series due 2055 Bonds, and the 4.06% Series due 2057 Bonds, or the 4.06% Series due 2054 Bonds, the 4.07% Series due 2055 Bonds, and the 4.09% Series due 2057 Bonds, as applicable, under the Indenture, and the Supplement.</w:t>
      </w:r>
    </w:p>
    <w:p>
      <w:pPr>
        <w:spacing w:after="0" w:line="231" w:lineRule="exact"/>
        <w:rPr>
          <w:rFonts w:ascii="Arial" w:cs="Arial" w:eastAsia="Arial" w:hAnsi="Arial"/>
          <w:sz w:val="22"/>
          <w:szCs w:val="22"/>
          <w:color w:val="auto"/>
        </w:rPr>
      </w:pPr>
    </w:p>
    <w:p>
      <w:pPr>
        <w:ind w:left="760" w:right="99" w:firstLine="641"/>
        <w:spacing w:after="0" w:line="328" w:lineRule="auto"/>
        <w:tabs>
          <w:tab w:leader="none" w:pos="2175" w:val="left"/>
        </w:tabs>
        <w:numPr>
          <w:ilvl w:val="1"/>
          <w:numId w:val="51"/>
        </w:numPr>
        <w:rPr>
          <w:rFonts w:ascii="Arial" w:cs="Arial" w:eastAsia="Arial" w:hAnsi="Arial"/>
          <w:sz w:val="19"/>
          <w:szCs w:val="19"/>
          <w:color w:val="auto"/>
        </w:rPr>
      </w:pPr>
      <w:r>
        <w:rPr>
          <w:rFonts w:ascii="Arial" w:cs="Arial" w:eastAsia="Arial" w:hAnsi="Arial"/>
          <w:sz w:val="19"/>
          <w:szCs w:val="19"/>
          <w:i w:val="1"/>
          <w:iCs w:val="1"/>
          <w:color w:val="auto"/>
        </w:rPr>
        <w:t xml:space="preserve">Certification of Indenture. </w:t>
      </w:r>
      <w:r>
        <w:rPr>
          <w:rFonts w:ascii="Arial" w:cs="Arial" w:eastAsia="Arial" w:hAnsi="Arial"/>
          <w:sz w:val="19"/>
          <w:szCs w:val="19"/>
          <w:color w:val="auto"/>
        </w:rPr>
        <w:t>Such Purchaser shall have received a composite</w:t>
      </w:r>
      <w:r>
        <w:rPr>
          <w:rFonts w:ascii="Arial" w:cs="Arial" w:eastAsia="Arial" w:hAnsi="Arial"/>
          <w:sz w:val="19"/>
          <w:szCs w:val="19"/>
          <w:i w:val="1"/>
          <w:iCs w:val="1"/>
          <w:color w:val="auto"/>
        </w:rPr>
        <w:t xml:space="preserve"> </w:t>
      </w:r>
      <w:r>
        <w:rPr>
          <w:rFonts w:ascii="Arial" w:cs="Arial" w:eastAsia="Arial" w:hAnsi="Arial"/>
          <w:sz w:val="19"/>
          <w:szCs w:val="19"/>
          <w:color w:val="auto"/>
        </w:rPr>
        <w:t>copy of the Indenture (together with all amendments and supplements thereto),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8" w:name="page89"/>
    <w:bookmarkEnd w:id="88"/>
    <w:p>
      <w:pPr>
        <w:ind w:left="760" w:right="99"/>
        <w:spacing w:after="0" w:line="251" w:lineRule="auto"/>
        <w:rPr>
          <w:sz w:val="20"/>
          <w:szCs w:val="20"/>
          <w:color w:val="auto"/>
        </w:rPr>
      </w:pPr>
      <w:r>
        <w:rPr>
          <w:rFonts w:ascii="Arial" w:cs="Arial" w:eastAsia="Arial" w:hAnsi="Arial"/>
          <w:sz w:val="22"/>
          <w:szCs w:val="22"/>
          <w:color w:val="auto"/>
        </w:rPr>
        <w:t>certified by the Company as of the date of such Closing, exclusive of property exhibits, recording information and the like.</w:t>
      </w:r>
    </w:p>
    <w:p>
      <w:pPr>
        <w:spacing w:after="0" w:line="200"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w:t>
      </w:r>
      <w:r>
        <w:rPr>
          <w:rFonts w:ascii="Arial" w:cs="Arial" w:eastAsia="Arial" w:hAnsi="Arial"/>
          <w:sz w:val="19"/>
          <w:szCs w:val="19"/>
          <w:i w:val="1"/>
          <w:iCs w:val="1"/>
          <w:color w:val="auto"/>
        </w:rPr>
        <w:t xml:space="preserve"> </w:t>
      </w:r>
      <w:r>
        <w:rPr>
          <w:rFonts w:ascii="Arial" w:cs="Arial" w:eastAsia="Arial" w:hAnsi="Arial"/>
          <w:sz w:val="19"/>
          <w:szCs w:val="19"/>
          <w:color w:val="auto"/>
        </w:rPr>
        <w:t>and substance satisfactory to such Purchaser, dated the date of such Closing (a) from Christopher P. Luning, counsel for the Company, covering the matters set forth in Exhibit 4.4(a)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Exhibit 4.4(b)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Exhibit 4.4(c) and covering such other matters incident to such transactions as such Purchaser may reasonably request. The Company hereby directs its counsel to deliver the opinions required by this Section 4.4 and understands and agrees that each Purchaser will and hereby is authorized to rely on such opinions.</w:t>
      </w:r>
    </w:p>
    <w:p>
      <w:pPr>
        <w:spacing w:after="0" w:line="206"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4.5. Purchase Permitted by Applicable Law, Etc</w:t>
      </w:r>
      <w:r>
        <w:rPr>
          <w:rFonts w:ascii="Arial" w:cs="Arial" w:eastAsia="Arial" w:hAnsi="Arial"/>
          <w:sz w:val="19"/>
          <w:szCs w:val="19"/>
          <w:color w:val="auto"/>
        </w:rPr>
        <w:t>. On the date of such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such 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either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9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Section 4.6. Sale of Bonds</w:t>
      </w:r>
      <w:r>
        <w:rPr>
          <w:rFonts w:ascii="Arial" w:cs="Arial" w:eastAsia="Arial" w:hAnsi="Arial"/>
          <w:sz w:val="22"/>
          <w:szCs w:val="22"/>
          <w:color w:val="auto"/>
        </w:rPr>
        <w:t>. Contemporaneously with such Closing, the Company shall</w:t>
      </w:r>
      <w:r>
        <w:rPr>
          <w:rFonts w:ascii="Arial" w:cs="Arial" w:eastAsia="Arial" w:hAnsi="Arial"/>
          <w:sz w:val="22"/>
          <w:szCs w:val="22"/>
          <w:i w:val="1"/>
          <w:iCs w:val="1"/>
          <w:color w:val="auto"/>
        </w:rPr>
        <w:t xml:space="preserve"> </w:t>
      </w:r>
      <w:r>
        <w:rPr>
          <w:rFonts w:ascii="Arial" w:cs="Arial" w:eastAsia="Arial" w:hAnsi="Arial"/>
          <w:sz w:val="22"/>
          <w:szCs w:val="22"/>
          <w:color w:val="auto"/>
        </w:rPr>
        <w:t>sell to each Purchaser and each Purchaser shall purchase the Bonds to be purchased by it at such Closing as specified in Schedule A. In the case of the Second Closing, the transactions contemplated herein with respect to the First Closing shall have been consummated in accordance with the terms hereof.</w:t>
      </w:r>
    </w:p>
    <w:p>
      <w:pPr>
        <w:spacing w:after="0" w:line="215"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Section 4.7. 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12.2, the Company shall have paid on or before such Closing the reasonable fees, reasonable charges and reasonable disbursements of the Purchasers’ special counsel referred to in Section 4.4(c) to the extent reflected in a statement of such counsel rendered to the Company at least one Business Day prior to the Closing.</w:t>
      </w:r>
    </w:p>
    <w:p>
      <w:pPr>
        <w:spacing w:after="0" w:line="228"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i w:val="1"/>
          <w:iCs w:val="1"/>
          <w:color w:val="auto"/>
        </w:rPr>
        <w:t>Section 4.8.</w:t>
      </w:r>
      <w:r>
        <w:rPr>
          <w:sz w:val="20"/>
          <w:szCs w:val="20"/>
          <w:color w:val="auto"/>
        </w:rPr>
        <w:tab/>
      </w:r>
      <w:r>
        <w:rPr>
          <w:rFonts w:ascii="Arial" w:cs="Arial" w:eastAsia="Arial" w:hAnsi="Arial"/>
          <w:sz w:val="19"/>
          <w:szCs w:val="19"/>
          <w:i w:val="1"/>
          <w:iCs w:val="1"/>
          <w:color w:val="auto"/>
        </w:rPr>
        <w:t>Private Placement Number</w:t>
      </w:r>
      <w:r>
        <w:rPr>
          <w:rFonts w:ascii="Arial" w:cs="Arial" w:eastAsia="Arial" w:hAnsi="Arial"/>
          <w:sz w:val="19"/>
          <w:szCs w:val="19"/>
          <w:color w:val="auto"/>
        </w:rPr>
        <w:t>. A Private Placement Number issued by Standard</w:t>
      </w:r>
    </w:p>
    <w:p>
      <w:pPr>
        <w:spacing w:after="0" w:line="8" w:lineRule="exact"/>
        <w:rPr>
          <w:sz w:val="20"/>
          <w:szCs w:val="20"/>
          <w:color w:val="auto"/>
        </w:rPr>
      </w:pPr>
    </w:p>
    <w:p>
      <w:pPr>
        <w:ind w:left="100" w:right="99" w:firstLine="5"/>
        <w:spacing w:after="0" w:line="237" w:lineRule="auto"/>
        <w:tabs>
          <w:tab w:leader="none" w:pos="354" w:val="left"/>
        </w:tabs>
        <w:numPr>
          <w:ilvl w:val="0"/>
          <w:numId w:val="52"/>
        </w:numPr>
        <w:rPr>
          <w:rFonts w:ascii="Arial" w:cs="Arial" w:eastAsia="Arial" w:hAnsi="Arial"/>
          <w:sz w:val="22"/>
          <w:szCs w:val="22"/>
          <w:color w:val="auto"/>
        </w:rPr>
      </w:pPr>
      <w:r>
        <w:rPr>
          <w:rFonts w:ascii="Arial" w:cs="Arial" w:eastAsia="Arial" w:hAnsi="Arial"/>
          <w:sz w:val="22"/>
          <w:szCs w:val="22"/>
          <w:color w:val="auto"/>
        </w:rPr>
        <w:t>Poor’s CUSIP Service Bureau (in cooperation with the SVO) shall have been obtained for the series of Bonds issued at such Closing.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9" w:name="page90"/>
    <w:bookmarkEnd w:id="89"/>
    <w:p>
      <w:pPr>
        <w:jc w:val="both"/>
        <w:ind w:left="100" w:right="99" w:firstLine="648"/>
        <w:spacing w:after="0" w:line="252" w:lineRule="auto"/>
        <w:rPr>
          <w:sz w:val="20"/>
          <w:szCs w:val="20"/>
          <w:color w:val="auto"/>
        </w:rPr>
      </w:pPr>
      <w:r>
        <w:rPr>
          <w:rFonts w:ascii="Arial" w:cs="Arial" w:eastAsia="Arial" w:hAnsi="Arial"/>
          <w:sz w:val="21"/>
          <w:szCs w:val="21"/>
          <w:i w:val="1"/>
          <w:iCs w:val="1"/>
          <w:color w:val="auto"/>
        </w:rPr>
        <w:t>Section 4.9. Changes in Corporate Structure</w:t>
      </w:r>
      <w:r>
        <w:rPr>
          <w:rFonts w:ascii="Arial" w:cs="Arial" w:eastAsia="Arial" w:hAnsi="Arial"/>
          <w:sz w:val="21"/>
          <w:szCs w:val="21"/>
          <w:color w:val="auto"/>
        </w:rPr>
        <w:t>. The Company shall not have changed its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01"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4.10. Funding Instructions</w:t>
      </w:r>
      <w:r>
        <w:rPr>
          <w:rFonts w:ascii="Arial" w:cs="Arial" w:eastAsia="Arial" w:hAnsi="Arial"/>
          <w:sz w:val="19"/>
          <w:szCs w:val="19"/>
          <w:color w:val="auto"/>
        </w:rPr>
        <w:t>. At least three Business Days prior to the date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such Purchaser shall have received written instructions signed by a Responsible Officer on letterhead of the Company confirming the information specified in Section 3 including (a) the name and address of the transferee bank, (b) such transferee bank’s ABA number and (c) the account name and number into which the purchase price for the Bonds is to be deposited.</w:t>
      </w:r>
    </w:p>
    <w:p>
      <w:pPr>
        <w:spacing w:after="0" w:line="188"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29" w:lineRule="exact"/>
        <w:rPr>
          <w:sz w:val="20"/>
          <w:szCs w:val="20"/>
          <w:color w:val="auto"/>
        </w:rPr>
      </w:pPr>
    </w:p>
    <w:p>
      <w:pPr>
        <w:jc w:val="both"/>
        <w:ind w:left="100" w:right="99" w:firstLine="648"/>
        <w:spacing w:after="0" w:line="233" w:lineRule="auto"/>
        <w:rPr>
          <w:sz w:val="20"/>
          <w:szCs w:val="20"/>
          <w:color w:val="auto"/>
        </w:rPr>
      </w:pPr>
      <w:r>
        <w:rPr>
          <w:rFonts w:ascii="Arial" w:cs="Arial" w:eastAsia="Arial" w:hAnsi="Arial"/>
          <w:sz w:val="22"/>
          <w:szCs w:val="22"/>
          <w:i w:val="1"/>
          <w:iCs w:val="1"/>
          <w:color w:val="auto"/>
        </w:rPr>
        <w:t>Section 4.12. Execution and Delivery and Filing and Recording of the Supplement</w:t>
      </w:r>
      <w:r>
        <w:rPr>
          <w:rFonts w:ascii="Arial" w:cs="Arial" w:eastAsia="Arial" w:hAnsi="Arial"/>
          <w:sz w:val="22"/>
          <w:szCs w:val="22"/>
          <w:color w:val="auto"/>
        </w:rPr>
        <w:t>. Prior</w:t>
      </w:r>
      <w:r>
        <w:rPr>
          <w:rFonts w:ascii="Arial" w:cs="Arial" w:eastAsia="Arial" w:hAnsi="Arial"/>
          <w:sz w:val="22"/>
          <w:szCs w:val="22"/>
          <w:i w:val="1"/>
          <w:iCs w:val="1"/>
          <w:color w:val="auto"/>
        </w:rPr>
        <w:t xml:space="preserve"> </w:t>
      </w:r>
      <w:r>
        <w:rPr>
          <w:rFonts w:ascii="Arial" w:cs="Arial" w:eastAsia="Arial" w:hAnsi="Arial"/>
          <w:sz w:val="22"/>
          <w:szCs w:val="22"/>
          <w:color w:val="auto"/>
        </w:rPr>
        <w:t>to or at the First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218"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 xml:space="preserve">Section 4.13. Regulatory Approvals. </w:t>
      </w:r>
      <w:r>
        <w:rPr>
          <w:rFonts w:ascii="Arial" w:cs="Arial" w:eastAsia="Arial" w:hAnsi="Arial"/>
          <w:sz w:val="19"/>
          <w:szCs w:val="19"/>
          <w:color w:val="auto"/>
        </w:rPr>
        <w:t>The issue and sale of the 4.04% Series due 2055</w:t>
      </w:r>
      <w:r>
        <w:rPr>
          <w:rFonts w:ascii="Arial" w:cs="Arial" w:eastAsia="Arial" w:hAnsi="Arial"/>
          <w:sz w:val="19"/>
          <w:szCs w:val="19"/>
          <w:i w:val="1"/>
          <w:iCs w:val="1"/>
          <w:color w:val="auto"/>
        </w:rPr>
        <w:t xml:space="preserve"> </w:t>
      </w:r>
      <w:r>
        <w:rPr>
          <w:rFonts w:ascii="Arial" w:cs="Arial" w:eastAsia="Arial" w:hAnsi="Arial"/>
          <w:sz w:val="19"/>
          <w:szCs w:val="19"/>
          <w:color w:val="auto"/>
        </w:rPr>
        <w:t>Bonds, and the 4.06% Series due 2057 Bonds, or the 4.06% Series due 2054 Bonds, the 4.07% Series due 2055 Bonds, and the 4.09% Series due 2057 Bonds, as applicable, shall have been duly authorized by an order of the Pennsylvania Public Utility Commission and such order shall be in full force and effect on the date of the applicable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0" w:name="page91"/>
    <w:bookmarkEnd w:id="90"/>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5.</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 OF THE</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represents and warrants to each Purchaser at each Closing that:</w:t>
      </w:r>
    </w:p>
    <w:p>
      <w:pPr>
        <w:spacing w:after="0" w:line="24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189" w:lineRule="exact"/>
        <w:rPr>
          <w:sz w:val="20"/>
          <w:szCs w:val="20"/>
          <w:color w:val="auto"/>
        </w:rPr>
      </w:pPr>
    </w:p>
    <w:p>
      <w:pPr>
        <w:jc w:val="both"/>
        <w:ind w:left="100" w:right="99" w:firstLine="648"/>
        <w:spacing w:after="0" w:line="244" w:lineRule="auto"/>
        <w:rPr>
          <w:sz w:val="20"/>
          <w:szCs w:val="20"/>
          <w:color w:val="auto"/>
        </w:rPr>
      </w:pPr>
      <w:r>
        <w:rPr>
          <w:rFonts w:ascii="Arial" w:cs="Arial" w:eastAsia="Arial" w:hAnsi="Arial"/>
          <w:sz w:val="21"/>
          <w:szCs w:val="21"/>
          <w:i w:val="1"/>
          <w:iCs w:val="1"/>
          <w:color w:val="auto"/>
        </w:rPr>
        <w:t>Section 5.2. Authorization, Etc</w:t>
      </w:r>
      <w:r>
        <w:rPr>
          <w:rFonts w:ascii="Arial" w:cs="Arial" w:eastAsia="Arial" w:hAnsi="Arial"/>
          <w:sz w:val="21"/>
          <w:szCs w:val="21"/>
          <w:color w:val="auto"/>
        </w:rPr>
        <w:t>. (a) At the First Closing, each Financing Agreement has</w:t>
      </w:r>
      <w:r>
        <w:rPr>
          <w:rFonts w:ascii="Arial" w:cs="Arial" w:eastAsia="Arial" w:hAnsi="Arial"/>
          <w:sz w:val="21"/>
          <w:szCs w:val="21"/>
          <w:i w:val="1"/>
          <w:iCs w:val="1"/>
          <w:color w:val="auto"/>
        </w:rPr>
        <w:t xml:space="preserve"> </w:t>
      </w:r>
      <w:r>
        <w:rPr>
          <w:rFonts w:ascii="Arial" w:cs="Arial" w:eastAsia="Arial" w:hAnsi="Arial"/>
          <w:sz w:val="21"/>
          <w:szCs w:val="21"/>
          <w:color w:val="auto"/>
        </w:rPr>
        <w:t>been duly authorized by all necessary corporate action on the part of the Company, and each Financing Agreement (other than the Supplement and the Bonds) constitutes, and when the Supplement is executed and delivered by the Company and the Trustee and when the 4.04% Series due 2055 Bonds, and the 4.06% Series due 2057 Bonds are executed, issued and delivered by the Company, authenticated by the Trustee and paid for by the Purchasers, the Supplement and each 4.04% Series due 2055 Bonds, and the 4.06% Series due 2057 Bonds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28" w:lineRule="exact"/>
        <w:rPr>
          <w:sz w:val="20"/>
          <w:szCs w:val="20"/>
          <w:color w:val="auto"/>
        </w:rPr>
      </w:pPr>
    </w:p>
    <w:p>
      <w:pPr>
        <w:jc w:val="both"/>
        <w:ind w:left="100" w:right="99" w:firstLine="653"/>
        <w:spacing w:after="0" w:line="273" w:lineRule="auto"/>
        <w:tabs>
          <w:tab w:leader="none" w:pos="1473" w:val="left"/>
        </w:tabs>
        <w:numPr>
          <w:ilvl w:val="0"/>
          <w:numId w:val="53"/>
        </w:numPr>
        <w:rPr>
          <w:rFonts w:ascii="Arial" w:cs="Arial" w:eastAsia="Arial" w:hAnsi="Arial"/>
          <w:sz w:val="19"/>
          <w:szCs w:val="19"/>
          <w:color w:val="auto"/>
        </w:rPr>
      </w:pPr>
      <w:r>
        <w:rPr>
          <w:rFonts w:ascii="Arial" w:cs="Arial" w:eastAsia="Arial" w:hAnsi="Arial"/>
          <w:sz w:val="19"/>
          <w:szCs w:val="19"/>
          <w:color w:val="auto"/>
        </w:rPr>
        <w:t>At the Second Closing, each Financing Agreement (other than the 4.06% Series due 2054 Bonds, the 4.07% Series due 2055 Bonds, and the 4.09% Series due 2057 Bonds) remains in full force and effect, and when the 4.06% Series due 2054 Bonds, the 4.07% Series due 2055 Bonds, and the 4.09% Series due 2057 Bonds, as applicable, are executed, issued and delivered by the Company, authenticated by the Trustee and paid for by the Purchasers, each 4.06% Series due 2054 Bonds, the 4.07% Series due 2055 Bonds, and the 4.09% Series due 2057 Bonds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97" w:lineRule="exact"/>
        <w:rPr>
          <w:sz w:val="20"/>
          <w:szCs w:val="20"/>
          <w:color w:val="auto"/>
        </w:rPr>
      </w:pPr>
    </w:p>
    <w:p>
      <w:pPr>
        <w:jc w:val="both"/>
        <w:ind w:left="100" w:right="99" w:firstLine="648"/>
        <w:spacing w:after="0" w:line="252" w:lineRule="auto"/>
        <w:rPr>
          <w:sz w:val="20"/>
          <w:szCs w:val="20"/>
          <w:color w:val="auto"/>
        </w:rPr>
      </w:pPr>
      <w:r>
        <w:rPr>
          <w:rFonts w:ascii="Arial" w:cs="Arial" w:eastAsia="Arial" w:hAnsi="Arial"/>
          <w:sz w:val="21"/>
          <w:szCs w:val="21"/>
          <w:i w:val="1"/>
          <w:iCs w:val="1"/>
          <w:color w:val="auto"/>
        </w:rPr>
        <w:t>Section 5.3. Disclosure</w:t>
      </w:r>
      <w:r>
        <w:rPr>
          <w:rFonts w:ascii="Arial" w:cs="Arial" w:eastAsia="Arial" w:hAnsi="Arial"/>
          <w:sz w:val="21"/>
          <w:szCs w:val="21"/>
          <w:color w:val="auto"/>
        </w:rPr>
        <w:t>. This Agreement and the documents, certificates or other writings</w:t>
      </w:r>
      <w:r>
        <w:rPr>
          <w:rFonts w:ascii="Arial" w:cs="Arial" w:eastAsia="Arial" w:hAnsi="Arial"/>
          <w:sz w:val="21"/>
          <w:szCs w:val="21"/>
          <w:i w:val="1"/>
          <w:iCs w:val="1"/>
          <w:color w:val="auto"/>
        </w:rPr>
        <w:t xml:space="preserve"> </w:t>
      </w:r>
      <w:r>
        <w:rPr>
          <w:rFonts w:ascii="Arial" w:cs="Arial" w:eastAsia="Arial" w:hAnsi="Arial"/>
          <w:sz w:val="21"/>
          <w:szCs w:val="21"/>
          <w:color w:val="auto"/>
        </w:rPr>
        <w:t>delivered to the Purchasers by or on behalf of the Company in connection with the transactions contemplated hereby, including the Term Sheet (including the documents incorporated therein by reference) dated March 21, 2017, and the financial statements listed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91" w:name="page92"/>
    <w:bookmarkEnd w:id="91"/>
    <w:p>
      <w:pPr>
        <w:jc w:val="both"/>
        <w:ind w:left="100" w:right="99"/>
        <w:spacing w:after="0" w:line="273" w:lineRule="auto"/>
        <w:rPr>
          <w:sz w:val="20"/>
          <w:szCs w:val="20"/>
          <w:color w:val="auto"/>
        </w:rPr>
      </w:pPr>
      <w:r>
        <w:rPr>
          <w:rFonts w:ascii="Arial" w:cs="Arial" w:eastAsia="Arial" w:hAnsi="Arial"/>
          <w:sz w:val="19"/>
          <w:szCs w:val="19"/>
          <w:color w:val="auto"/>
        </w:rPr>
        <w:t xml:space="preserve">Schedule 5.5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Since December 31, 2016,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189"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Section 5.4. Organization and Ownership of Shares of Subsidiaries</w:t>
      </w:r>
      <w:r>
        <w:rPr>
          <w:rFonts w:ascii="Arial" w:cs="Arial" w:eastAsia="Arial" w:hAnsi="Arial"/>
          <w:sz w:val="22"/>
          <w:szCs w:val="22"/>
          <w:color w:val="auto"/>
        </w:rPr>
        <w:t>. (a) Schedule 5.4</w:t>
      </w:r>
      <w:r>
        <w:rPr>
          <w:rFonts w:ascii="Arial" w:cs="Arial" w:eastAsia="Arial" w:hAnsi="Arial"/>
          <w:sz w:val="22"/>
          <w:szCs w:val="22"/>
          <w:i w:val="1"/>
          <w:iCs w:val="1"/>
          <w:color w:val="auto"/>
        </w:rPr>
        <w:t xml:space="preserve"> </w:t>
      </w:r>
      <w:r>
        <w:rPr>
          <w:rFonts w:ascii="Arial" w:cs="Arial" w:eastAsia="Arial" w:hAnsi="Arial"/>
          <w:sz w:val="22"/>
          <w:szCs w:val="22"/>
          <w:color w:val="auto"/>
        </w:rPr>
        <w:t>contains a 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28" w:lineRule="exact"/>
        <w:rPr>
          <w:sz w:val="20"/>
          <w:szCs w:val="20"/>
          <w:color w:val="auto"/>
        </w:rPr>
      </w:pPr>
    </w:p>
    <w:p>
      <w:pPr>
        <w:jc w:val="both"/>
        <w:ind w:left="100" w:right="99" w:firstLine="653"/>
        <w:spacing w:after="0" w:line="238" w:lineRule="auto"/>
        <w:tabs>
          <w:tab w:leader="none" w:pos="1635"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w:t>
      </w:r>
    </w:p>
    <w:p>
      <w:pPr>
        <w:spacing w:after="0" w:line="225" w:lineRule="exact"/>
        <w:rPr>
          <w:rFonts w:ascii="Arial" w:cs="Arial" w:eastAsia="Arial" w:hAnsi="Arial"/>
          <w:sz w:val="22"/>
          <w:szCs w:val="22"/>
          <w:color w:val="auto"/>
        </w:rPr>
      </w:pPr>
    </w:p>
    <w:p>
      <w:pPr>
        <w:jc w:val="both"/>
        <w:ind w:left="100" w:right="99" w:firstLine="653"/>
        <w:spacing w:after="0" w:line="275" w:lineRule="auto"/>
        <w:tabs>
          <w:tab w:leader="none" w:pos="16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Subsidiary identified in Schedule 5.4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85"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5.5. Financial Statements; Material Liabilities</w:t>
      </w:r>
      <w:r>
        <w:rPr>
          <w:rFonts w:ascii="Arial" w:cs="Arial" w:eastAsia="Arial" w:hAnsi="Arial"/>
          <w:sz w:val="19"/>
          <w:szCs w:val="19"/>
          <w:color w:val="auto"/>
        </w:rPr>
        <w:t>. The Company has delivered to</w:t>
      </w:r>
      <w:r>
        <w:rPr>
          <w:rFonts w:ascii="Arial" w:cs="Arial" w:eastAsia="Arial" w:hAnsi="Arial"/>
          <w:sz w:val="19"/>
          <w:szCs w:val="19"/>
          <w:i w:val="1"/>
          <w:iCs w:val="1"/>
          <w:color w:val="auto"/>
        </w:rPr>
        <w:t xml:space="preserve"> </w:t>
      </w:r>
      <w:r>
        <w:rPr>
          <w:rFonts w:ascii="Arial" w:cs="Arial" w:eastAsia="Arial" w:hAnsi="Arial"/>
          <w:sz w:val="19"/>
          <w:szCs w:val="19"/>
          <w:color w:val="auto"/>
        </w:rPr>
        <w:t>each Purchaser copies of the financial statements of the Company and its Subsidiaries listed on Schedule 5.5.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The Company does not have any Material liabilities that are not disclosed on such financial statements or otherwise disclosed in the Disclosure Documents.</w:t>
      </w:r>
    </w:p>
    <w:p>
      <w:pPr>
        <w:spacing w:after="0" w:line="230"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Section 5.6. Compliance with Laws, Other Instruments, Etc</w:t>
      </w:r>
      <w:r>
        <w:rPr>
          <w:rFonts w:ascii="Arial" w:cs="Arial" w:eastAsia="Arial" w:hAnsi="Arial"/>
          <w:sz w:val="21"/>
          <w:szCs w:val="21"/>
          <w:color w:val="auto"/>
        </w:rPr>
        <w:t>. The execution, delivery and</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 by the Company of each Financing Agreement (including the prior execution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2" w:name="page93"/>
    <w:bookmarkEnd w:id="92"/>
    <w:p>
      <w:pPr>
        <w:jc w:val="both"/>
        <w:ind w:left="100" w:right="99"/>
        <w:spacing w:after="0" w:line="270" w:lineRule="auto"/>
        <w:rPr>
          <w:sz w:val="20"/>
          <w:szCs w:val="20"/>
          <w:color w:val="auto"/>
        </w:rPr>
      </w:pPr>
      <w:r>
        <w:rPr>
          <w:rFonts w:ascii="Arial" w:cs="Arial" w:eastAsia="Arial" w:hAnsi="Arial"/>
          <w:sz w:val="19"/>
          <w:szCs w:val="19"/>
          <w:color w:val="auto"/>
        </w:rPr>
        <w:t>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w:t>
      </w:r>
    </w:p>
    <w:p>
      <w:pPr>
        <w:spacing w:after="0" w:line="2" w:lineRule="exact"/>
        <w:rPr>
          <w:sz w:val="20"/>
          <w:szCs w:val="20"/>
          <w:color w:val="auto"/>
        </w:rPr>
      </w:pPr>
    </w:p>
    <w:p>
      <w:pPr>
        <w:jc w:val="both"/>
        <w:ind w:left="100" w:right="99" w:firstLine="5"/>
        <w:spacing w:after="0" w:line="232" w:lineRule="auto"/>
        <w:tabs>
          <w:tab w:leader="none" w:pos="439"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16"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5.7. Governmental Authorizations, Etc</w:t>
      </w:r>
      <w:r>
        <w:rPr>
          <w:rFonts w:ascii="Arial" w:cs="Arial" w:eastAsia="Arial" w:hAnsi="Arial"/>
          <w:sz w:val="19"/>
          <w:szCs w:val="19"/>
          <w:color w:val="auto"/>
        </w:rPr>
        <w:t>. No consent, approval or authorization of,</w:t>
      </w:r>
      <w:r>
        <w:rPr>
          <w:rFonts w:ascii="Arial" w:cs="Arial" w:eastAsia="Arial" w:hAnsi="Arial"/>
          <w:sz w:val="19"/>
          <w:szCs w:val="19"/>
          <w:i w:val="1"/>
          <w:iCs w:val="1"/>
          <w:color w:val="auto"/>
        </w:rPr>
        <w:t xml:space="preserve"> </w:t>
      </w:r>
      <w:r>
        <w:rPr>
          <w:rFonts w:ascii="Arial" w:cs="Arial" w:eastAsia="Arial" w:hAnsi="Arial"/>
          <w:sz w:val="19"/>
          <w:szCs w:val="19"/>
          <w:color w:val="auto"/>
        </w:rPr>
        <w:t>or 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88"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5.8. Litigation; Observance of Statutes and Orders</w:t>
      </w:r>
      <w:r>
        <w:rPr>
          <w:rFonts w:ascii="Arial" w:cs="Arial" w:eastAsia="Arial" w:hAnsi="Arial"/>
          <w:sz w:val="19"/>
          <w:szCs w:val="19"/>
          <w:color w:val="auto"/>
        </w:rPr>
        <w:t>. (a) There are no actions,</w:t>
      </w:r>
      <w:r>
        <w:rPr>
          <w:rFonts w:ascii="Arial" w:cs="Arial" w:eastAsia="Arial" w:hAnsi="Arial"/>
          <w:sz w:val="19"/>
          <w:szCs w:val="19"/>
          <w:i w:val="1"/>
          <w:iCs w:val="1"/>
          <w:color w:val="auto"/>
        </w:rPr>
        <w:t xml:space="preserve"> </w:t>
      </w:r>
      <w:r>
        <w:rPr>
          <w:rFonts w:ascii="Arial" w:cs="Arial" w:eastAsia="Arial" w:hAnsi="Arial"/>
          <w:sz w:val="19"/>
          <w:szCs w:val="19"/>
          <w:color w:val="auto"/>
        </w:rPr>
        <w:t>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88" w:lineRule="exact"/>
        <w:rPr>
          <w:sz w:val="20"/>
          <w:szCs w:val="20"/>
          <w:color w:val="auto"/>
        </w:rPr>
      </w:pPr>
    </w:p>
    <w:p>
      <w:pPr>
        <w:jc w:val="both"/>
        <w:ind w:left="100" w:right="99" w:firstLine="653"/>
        <w:spacing w:after="0" w:line="275" w:lineRule="auto"/>
        <w:tabs>
          <w:tab w:leader="none" w:pos="1608" w:val="left"/>
        </w:tabs>
        <w:numPr>
          <w:ilvl w:val="0"/>
          <w:numId w:val="56"/>
        </w:numPr>
        <w:rPr>
          <w:rFonts w:ascii="Arial" w:cs="Arial" w:eastAsia="Arial" w:hAnsi="Arial"/>
          <w:sz w:val="19"/>
          <w:szCs w:val="19"/>
          <w:color w:val="auto"/>
        </w:rPr>
      </w:pPr>
      <w:r>
        <w:rPr>
          <w:rFonts w:ascii="Arial" w:cs="Arial" w:eastAsia="Arial" w:hAnsi="Arial"/>
          <w:sz w:val="19"/>
          <w:szCs w:val="19"/>
          <w:color w:val="auto"/>
        </w:rPr>
        <w:t>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Section 5.16), which default or violation, individually or in the aggregate, could reasonably be expected to have a Material Adverse Effect.</w:t>
      </w:r>
    </w:p>
    <w:p>
      <w:pPr>
        <w:spacing w:after="0" w:line="185"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and its Subsidiaries have filed all income tax returns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w:t>
      </w:r>
    </w:p>
    <w:p>
      <w:pPr>
        <w:spacing w:after="0" w:line="4" w:lineRule="exact"/>
        <w:rPr>
          <w:sz w:val="20"/>
          <w:szCs w:val="20"/>
          <w:color w:val="auto"/>
        </w:rPr>
      </w:pPr>
    </w:p>
    <w:p>
      <w:pPr>
        <w:jc w:val="both"/>
        <w:ind w:left="100" w:right="99" w:firstLine="5"/>
        <w:spacing w:after="0" w:line="233" w:lineRule="auto"/>
        <w:tabs>
          <w:tab w:leader="none" w:pos="46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3" w:name="page94"/>
    <w:bookmarkEnd w:id="93"/>
    <w:p>
      <w:pPr>
        <w:jc w:val="both"/>
        <w:ind w:left="100" w:right="99"/>
        <w:spacing w:after="0" w:line="287" w:lineRule="auto"/>
        <w:rPr>
          <w:sz w:val="20"/>
          <w:szCs w:val="20"/>
          <w:color w:val="auto"/>
        </w:rPr>
      </w:pPr>
      <w:r>
        <w:rPr>
          <w:rFonts w:ascii="Arial" w:cs="Arial" w:eastAsia="Arial" w:hAnsi="Arial"/>
          <w:sz w:val="19"/>
          <w:szCs w:val="19"/>
          <w:color w:val="auto"/>
        </w:rPr>
        <w:t>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70" w:lineRule="exact"/>
        <w:rPr>
          <w:sz w:val="20"/>
          <w:szCs w:val="20"/>
          <w:color w:val="auto"/>
        </w:rPr>
      </w:pPr>
    </w:p>
    <w:p>
      <w:pPr>
        <w:jc w:val="both"/>
        <w:ind w:left="100" w:right="99" w:firstLine="648"/>
        <w:spacing w:after="0" w:line="246"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w:t>
      </w:r>
      <w:r>
        <w:rPr>
          <w:rFonts w:ascii="Arial" w:cs="Arial" w:eastAsia="Arial" w:hAnsi="Arial"/>
          <w:sz w:val="21"/>
          <w:szCs w:val="21"/>
          <w:i w:val="1"/>
          <w:iCs w:val="1"/>
          <w:color w:val="auto"/>
        </w:rPr>
        <w:t xml:space="preserve"> </w:t>
      </w:r>
      <w:r>
        <w:rPr>
          <w:rFonts w:ascii="Arial" w:cs="Arial" w:eastAsia="Arial" w:hAnsi="Arial"/>
          <w:sz w:val="21"/>
          <w:szCs w:val="21"/>
          <w:color w:val="auto"/>
        </w:rPr>
        <w:t>sufficient title to their respective Material properties,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21"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5.11. Licenses, Permits, Etc</w:t>
      </w:r>
      <w:r>
        <w:rPr>
          <w:rFonts w:ascii="Arial" w:cs="Arial" w:eastAsia="Arial" w:hAnsi="Arial"/>
          <w:sz w:val="19"/>
          <w:szCs w:val="19"/>
          <w:color w:val="auto"/>
        </w:rPr>
        <w:t>. The Company and its Subsidiaries own or possess all</w:t>
      </w:r>
      <w:r>
        <w:rPr>
          <w:rFonts w:ascii="Arial" w:cs="Arial" w:eastAsia="Arial" w:hAnsi="Arial"/>
          <w:sz w:val="19"/>
          <w:szCs w:val="19"/>
          <w:i w:val="1"/>
          <w:iCs w:val="1"/>
          <w:color w:val="auto"/>
        </w:rPr>
        <w:t xml:space="preserve"> </w:t>
      </w:r>
      <w:r>
        <w:rPr>
          <w:rFonts w:ascii="Arial" w:cs="Arial" w:eastAsia="Arial" w:hAnsi="Arial"/>
          <w:sz w:val="19"/>
          <w:szCs w:val="19"/>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88"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w:t>
      </w:r>
      <w:r>
        <w:rPr>
          <w:rFonts w:ascii="Arial" w:cs="Arial" w:eastAsia="Arial" w:hAnsi="Arial"/>
          <w:sz w:val="19"/>
          <w:szCs w:val="19"/>
          <w:i w:val="1"/>
          <w:iCs w:val="1"/>
          <w:color w:val="auto"/>
        </w:rPr>
        <w:t xml:space="preserve"> </w:t>
      </w:r>
      <w:r>
        <w:rPr>
          <w:rFonts w:ascii="Arial" w:cs="Arial" w:eastAsia="Arial" w:hAnsi="Arial"/>
          <w:sz w:val="19"/>
          <w:szCs w:val="19"/>
          <w:color w:val="auto"/>
        </w:rPr>
        <w:t>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00" w:lineRule="exact"/>
        <w:rPr>
          <w:sz w:val="20"/>
          <w:szCs w:val="20"/>
          <w:color w:val="auto"/>
        </w:rPr>
      </w:pPr>
    </w:p>
    <w:p>
      <w:pPr>
        <w:spacing w:after="0" w:line="236" w:lineRule="exact"/>
        <w:rPr>
          <w:sz w:val="20"/>
          <w:szCs w:val="20"/>
          <w:color w:val="auto"/>
        </w:rPr>
      </w:pPr>
    </w:p>
    <w:p>
      <w:pPr>
        <w:jc w:val="both"/>
        <w:ind w:left="100" w:right="99" w:firstLine="653"/>
        <w:spacing w:after="0" w:line="275" w:lineRule="auto"/>
        <w:tabs>
          <w:tab w:leader="none" w:pos="140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present value of the aggregate benefit liabilities under each of the Plans subject to section 412 of the Code (other than Multiemployer Plans), determined as of January 1, 2016 based on such Plan’s actuarial assumptions as of that date for funding purposes as documented in such Plan’s actuarial valuation reports dated September 2016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19"/>
          <w:szCs w:val="19"/>
          <w:i w:val="1"/>
          <w:iCs w:val="1"/>
          <w:color w:val="auto"/>
        </w:rPr>
        <w:t>benefit liabilities</w:t>
      </w:r>
      <w:r>
        <w:rPr>
          <w:rFonts w:ascii="Arial" w:cs="Arial" w:eastAsia="Arial" w:hAnsi="Arial"/>
          <w:sz w:val="19"/>
          <w:szCs w:val="19"/>
          <w:color w:val="auto"/>
        </w:rPr>
        <w:t>” has the meaning specified in section 4001 of ERISA and the terms “current value” and “</w:t>
      </w:r>
      <w:r>
        <w:rPr>
          <w:rFonts w:ascii="Arial" w:cs="Arial" w:eastAsia="Arial" w:hAnsi="Arial"/>
          <w:sz w:val="19"/>
          <w:szCs w:val="19"/>
          <w:i w:val="1"/>
          <w:iCs w:val="1"/>
          <w:color w:val="auto"/>
        </w:rPr>
        <w:t>present</w:t>
      </w:r>
      <w:r>
        <w:rPr>
          <w:rFonts w:ascii="Arial" w:cs="Arial" w:eastAsia="Arial" w:hAnsi="Arial"/>
          <w:sz w:val="19"/>
          <w:szCs w:val="19"/>
          <w:color w:val="auto"/>
        </w:rPr>
        <w:t xml:space="preserve"> </w:t>
      </w:r>
      <w:r>
        <w:rPr>
          <w:rFonts w:ascii="Arial" w:cs="Arial" w:eastAsia="Arial" w:hAnsi="Arial"/>
          <w:sz w:val="19"/>
          <w:szCs w:val="19"/>
          <w:i w:val="1"/>
          <w:iCs w:val="1"/>
          <w:color w:val="auto"/>
        </w:rPr>
        <w:t>value</w:t>
      </w:r>
      <w:r>
        <w:rPr>
          <w:rFonts w:ascii="Arial" w:cs="Arial" w:eastAsia="Arial" w:hAnsi="Arial"/>
          <w:sz w:val="19"/>
          <w:szCs w:val="19"/>
          <w:color w:val="auto"/>
        </w:rPr>
        <w:t>” have the meaning specified in section 3 of ERISA.</w:t>
      </w:r>
    </w:p>
    <w:p>
      <w:pPr>
        <w:spacing w:after="0" w:line="198" w:lineRule="exact"/>
        <w:rPr>
          <w:rFonts w:ascii="Arial" w:cs="Arial" w:eastAsia="Arial" w:hAnsi="Arial"/>
          <w:sz w:val="19"/>
          <w:szCs w:val="19"/>
          <w:color w:val="auto"/>
        </w:rPr>
      </w:pPr>
    </w:p>
    <w:p>
      <w:pPr>
        <w:jc w:val="both"/>
        <w:ind w:left="100" w:right="99" w:firstLine="653"/>
        <w:spacing w:after="0"/>
        <w:tabs>
          <w:tab w:leader="none" w:pos="146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4" w:name="page95"/>
    <w:bookmarkEnd w:id="94"/>
    <w:p>
      <w:pPr>
        <w:jc w:val="both"/>
        <w:ind w:left="100" w:right="99" w:firstLine="653"/>
        <w:spacing w:after="0" w:line="249" w:lineRule="exact"/>
        <w:tabs>
          <w:tab w:leader="none" w:pos="15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Arial" w:cs="Arial" w:eastAsia="Arial" w:hAnsi="Arial"/>
          <w:sz w:val="22"/>
          <w:szCs w:val="22"/>
          <w:color w:val="auto"/>
        </w:rPr>
        <w:t>60, without regard to liabilities attributable to continuation coverage mandated by section 4980B of the Code) of the Company and its Subsidiaries is not Material.</w:t>
      </w:r>
    </w:p>
    <w:p>
      <w:pPr>
        <w:spacing w:after="0" w:line="214" w:lineRule="exact"/>
        <w:rPr>
          <w:rFonts w:ascii="Arial" w:cs="Arial" w:eastAsia="Arial" w:hAnsi="Arial"/>
          <w:sz w:val="22"/>
          <w:szCs w:val="22"/>
          <w:color w:val="auto"/>
        </w:rPr>
      </w:pPr>
    </w:p>
    <w:p>
      <w:pPr>
        <w:jc w:val="both"/>
        <w:ind w:left="100" w:right="99" w:firstLine="653"/>
        <w:spacing w:after="0" w:line="247" w:lineRule="exact"/>
        <w:tabs>
          <w:tab w:leader="none" w:pos="1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Arial" w:cs="Arial" w:eastAsia="Arial" w:hAnsi="Arial"/>
          <w:sz w:val="22"/>
          <w:szCs w:val="22"/>
          <w:color w:val="auto"/>
        </w:rPr>
        <w:t>(D) of the Code. The representation by the Company to each Purchaser in the first sentence of this Section 5.12(e) is made in reliance upon and subject to the accuracy of such Purchaser’s representation in Section 6.2 as to the sources of the funds used to pay the purchase price of the Bonds to be purchased by such Purchaser.</w:t>
      </w:r>
    </w:p>
    <w:p>
      <w:pPr>
        <w:spacing w:after="0" w:line="231" w:lineRule="exact"/>
        <w:rPr>
          <w:rFonts w:ascii="Arial" w:cs="Arial" w:eastAsia="Arial" w:hAnsi="Arial"/>
          <w:sz w:val="22"/>
          <w:szCs w:val="22"/>
          <w:color w:val="auto"/>
        </w:rPr>
      </w:pPr>
    </w:p>
    <w:p>
      <w:pPr>
        <w:ind w:left="1340" w:hanging="587"/>
        <w:spacing w:after="0" w:line="253" w:lineRule="exact"/>
        <w:tabs>
          <w:tab w:leader="none" w:pos="13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5.13. Private Offering by the Company</w:t>
      </w:r>
      <w:r>
        <w:rPr>
          <w:rFonts w:ascii="Arial" w:cs="Arial" w:eastAsia="Arial" w:hAnsi="Arial"/>
          <w:sz w:val="19"/>
          <w:szCs w:val="19"/>
          <w:color w:val="auto"/>
        </w:rPr>
        <w:t>. Neither the Company nor anyone acting</w:t>
      </w:r>
      <w:r>
        <w:rPr>
          <w:rFonts w:ascii="Arial" w:cs="Arial" w:eastAsia="Arial" w:hAnsi="Arial"/>
          <w:sz w:val="19"/>
          <w:szCs w:val="19"/>
          <w:i w:val="1"/>
          <w:iCs w:val="1"/>
          <w:color w:val="auto"/>
        </w:rPr>
        <w:t xml:space="preserve"> </w:t>
      </w:r>
      <w:r>
        <w:rPr>
          <w:rFonts w:ascii="Arial" w:cs="Arial" w:eastAsia="Arial" w:hAnsi="Arial"/>
          <w:sz w:val="19"/>
          <w:szCs w:val="19"/>
          <w:color w:val="auto"/>
        </w:rPr>
        <w:t>on the Company’s behalf has offered the Bonds or any similar securities for sale to, or solicited any offer to buy any of the same from, or otherwise approached or negotiated in respect thereof with, any Person other than the Purchasers and not more than ten (10)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Section 5 of the Securities Act.</w:t>
      </w:r>
    </w:p>
    <w:p>
      <w:pPr>
        <w:spacing w:after="0" w:line="180"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w:t>
      </w:r>
      <w:r>
        <w:rPr>
          <w:rFonts w:ascii="Arial" w:cs="Arial" w:eastAsia="Arial" w:hAnsi="Arial"/>
          <w:sz w:val="19"/>
          <w:szCs w:val="19"/>
          <w:i w:val="1"/>
          <w:iCs w:val="1"/>
          <w:color w:val="auto"/>
        </w:rPr>
        <w:t xml:space="preserve"> </w:t>
      </w:r>
      <w:r>
        <w:rPr>
          <w:rFonts w:ascii="Arial" w:cs="Arial" w:eastAsia="Arial" w:hAnsi="Arial"/>
          <w:sz w:val="19"/>
          <w:szCs w:val="19"/>
          <w:color w:val="auto"/>
        </w:rPr>
        <w:t>proceeds of the sale of the Bonds to repay existing indebtedness and for general corporate purposes and in compliance with all laws referenced in Section 5.16.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Section, the terms “margin stock” and “purpose of buying or carrying” shall have the meanings assigned to them in said Regulation U.</w:t>
      </w:r>
    </w:p>
    <w:p>
      <w:pPr>
        <w:spacing w:after="0" w:line="202"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5.15. Existing Debt</w:t>
      </w:r>
      <w:r>
        <w:rPr>
          <w:rFonts w:ascii="Arial" w:cs="Arial" w:eastAsia="Arial" w:hAnsi="Arial"/>
          <w:sz w:val="19"/>
          <w:szCs w:val="19"/>
          <w:color w:val="auto"/>
        </w:rPr>
        <w:t>. Except as described therein, Schedule 5.15(a) sets forth a</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and correct list of all outstanding Debt of the Company and its Subsidiaries as of March 31, 2017,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5" w:name="page96"/>
    <w:bookmarkEnd w:id="95"/>
    <w:p>
      <w:pPr>
        <w:jc w:val="both"/>
        <w:ind w:left="100" w:right="99"/>
        <w:spacing w:after="0" w:line="238" w:lineRule="auto"/>
        <w:rPr>
          <w:sz w:val="20"/>
          <w:szCs w:val="20"/>
          <w:color w:val="auto"/>
        </w:rPr>
      </w:pPr>
      <w:r>
        <w:rPr>
          <w:rFonts w:ascii="Arial" w:cs="Arial" w:eastAsia="Arial" w:hAnsi="Arial"/>
          <w:sz w:val="22"/>
          <w:szCs w:val="22"/>
          <w:color w:val="auto"/>
        </w:rPr>
        <w:t>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12" w:lineRule="exact"/>
        <w:rPr>
          <w:sz w:val="20"/>
          <w:szCs w:val="20"/>
          <w:color w:val="auto"/>
        </w:rPr>
      </w:pPr>
    </w:p>
    <w:p>
      <w:pPr>
        <w:jc w:val="both"/>
        <w:ind w:left="100" w:right="99" w:firstLine="653"/>
        <w:spacing w:after="0" w:line="235" w:lineRule="auto"/>
        <w:tabs>
          <w:tab w:leader="none" w:pos="1473" w:val="left"/>
        </w:tabs>
        <w:numPr>
          <w:ilvl w:val="0"/>
          <w:numId w:val="60"/>
        </w:numPr>
        <w:rPr>
          <w:rFonts w:ascii="Arial" w:cs="Arial" w:eastAsia="Arial" w:hAnsi="Arial"/>
          <w:sz w:val="22"/>
          <w:szCs w:val="22"/>
          <w:color w:val="auto"/>
        </w:rPr>
      </w:pPr>
      <w:r>
        <w:rPr>
          <w:rFonts w:ascii="Arial" w:cs="Arial" w:eastAsia="Arial" w:hAnsi="Arial"/>
          <w:sz w:val="22"/>
          <w:szCs w:val="22"/>
          <w:color w:val="auto"/>
        </w:rPr>
        <w:t>Without limiting the representation in Section 5.6,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Schedule 5.15(b).</w:t>
      </w:r>
    </w:p>
    <w:p>
      <w:pPr>
        <w:spacing w:after="0" w:line="229"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5.16. 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26" w:lineRule="exact"/>
        <w:rPr>
          <w:sz w:val="20"/>
          <w:szCs w:val="20"/>
          <w:color w:val="auto"/>
        </w:rPr>
      </w:pPr>
    </w:p>
    <w:p>
      <w:pPr>
        <w:jc w:val="both"/>
        <w:ind w:left="100" w:right="99" w:firstLine="653"/>
        <w:spacing w:after="0" w:line="249" w:lineRule="exact"/>
        <w:tabs>
          <w:tab w:leader="none" w:pos="1648" w:val="left"/>
        </w:tabs>
        <w:numPr>
          <w:ilvl w:val="0"/>
          <w:numId w:val="61"/>
        </w:numPr>
        <w:rPr>
          <w:rFonts w:ascii="Arial" w:cs="Arial" w:eastAsia="Arial" w:hAnsi="Arial"/>
          <w:sz w:val="21"/>
          <w:szCs w:val="21"/>
          <w:color w:val="auto"/>
        </w:rPr>
      </w:pPr>
      <w:r>
        <w:rPr>
          <w:rFonts w:ascii="Arial" w:cs="Arial" w:eastAsia="Arial" w:hAnsi="Arial"/>
          <w:sz w:val="21"/>
          <w:szCs w:val="21"/>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15" w:lineRule="exact"/>
        <w:rPr>
          <w:rFonts w:ascii="Arial" w:cs="Arial" w:eastAsia="Arial" w:hAnsi="Arial"/>
          <w:sz w:val="21"/>
          <w:szCs w:val="21"/>
          <w:color w:val="auto"/>
        </w:rPr>
      </w:pPr>
    </w:p>
    <w:p>
      <w:pPr>
        <w:ind w:left="1380" w:hanging="627"/>
        <w:spacing w:after="0"/>
        <w:tabs>
          <w:tab w:leader="none" w:pos="13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46" w:lineRule="exact"/>
        <w:rPr>
          <w:rFonts w:ascii="Arial" w:cs="Arial" w:eastAsia="Arial" w:hAnsi="Arial"/>
          <w:sz w:val="22"/>
          <w:szCs w:val="22"/>
          <w:color w:val="auto"/>
        </w:rPr>
      </w:pPr>
    </w:p>
    <w:p>
      <w:pPr>
        <w:jc w:val="both"/>
        <w:ind w:left="760" w:right="99" w:firstLine="479"/>
        <w:spacing w:after="0" w:line="273" w:lineRule="auto"/>
        <w:tabs>
          <w:tab w:leader="none" w:pos="1896" w:val="left"/>
        </w:tabs>
        <w:numPr>
          <w:ilvl w:val="1"/>
          <w:numId w:val="61"/>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spacing w:after="0" w:line="1" w:lineRule="exact"/>
        <w:rPr>
          <w:rFonts w:ascii="Arial" w:cs="Arial" w:eastAsia="Arial" w:hAnsi="Arial"/>
          <w:sz w:val="19"/>
          <w:szCs w:val="19"/>
          <w:color w:val="auto"/>
        </w:rPr>
      </w:pPr>
    </w:p>
    <w:p>
      <w:pPr>
        <w:ind w:left="760" w:right="99"/>
        <w:spacing w:after="0" w:line="308" w:lineRule="auto"/>
        <w:rPr>
          <w:rFonts w:ascii="Arial" w:cs="Arial" w:eastAsia="Arial" w:hAnsi="Arial"/>
          <w:sz w:val="19"/>
          <w:szCs w:val="19"/>
          <w:color w:val="auto"/>
        </w:rPr>
      </w:pPr>
      <w:r>
        <w:rPr>
          <w:rFonts w:ascii="Arial" w:cs="Arial" w:eastAsia="Arial" w:hAnsi="Arial"/>
          <w:sz w:val="19"/>
          <w:szCs w:val="19"/>
          <w:color w:val="auto"/>
        </w:rPr>
        <w:t>(B) for any purpose that would cause any Purchaser to be in violation of any U.S. Economic Sanctions Laws or (C) otherwise in violation of any U.S. Economic Sanctions Laws;</w:t>
      </w:r>
    </w:p>
    <w:p>
      <w:pPr>
        <w:spacing w:after="0" w:line="164" w:lineRule="exact"/>
        <w:rPr>
          <w:rFonts w:ascii="Arial" w:cs="Arial" w:eastAsia="Arial" w:hAnsi="Arial"/>
          <w:sz w:val="19"/>
          <w:szCs w:val="19"/>
          <w:color w:val="auto"/>
        </w:rPr>
      </w:pPr>
    </w:p>
    <w:p>
      <w:pPr>
        <w:ind w:left="760" w:right="99" w:firstLine="479"/>
        <w:spacing w:after="0" w:line="259" w:lineRule="exact"/>
        <w:tabs>
          <w:tab w:leader="none" w:pos="1834" w:val="left"/>
        </w:tabs>
        <w:numPr>
          <w:ilvl w:val="1"/>
          <w:numId w:val="61"/>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12" w:lineRule="exact"/>
        <w:rPr>
          <w:rFonts w:ascii="Arial" w:cs="Arial" w:eastAsia="Arial" w:hAnsi="Arial"/>
          <w:sz w:val="22"/>
          <w:szCs w:val="22"/>
          <w:color w:val="auto"/>
        </w:rPr>
      </w:pPr>
    </w:p>
    <w:p>
      <w:pPr>
        <w:jc w:val="both"/>
        <w:ind w:left="760" w:right="99" w:firstLine="479"/>
        <w:spacing w:after="0" w:line="249" w:lineRule="exact"/>
        <w:tabs>
          <w:tab w:leader="none" w:pos="2002" w:val="left"/>
        </w:tabs>
        <w:numPr>
          <w:ilvl w:val="1"/>
          <w:numId w:val="61"/>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28" w:lineRule="exact"/>
        <w:rPr>
          <w:rFonts w:ascii="Arial" w:cs="Arial" w:eastAsia="Arial" w:hAnsi="Arial"/>
          <w:sz w:val="22"/>
          <w:szCs w:val="22"/>
          <w:color w:val="auto"/>
        </w:rPr>
      </w:pPr>
    </w:p>
    <w:p>
      <w:pPr>
        <w:jc w:val="both"/>
        <w:ind w:left="100" w:right="99" w:firstLine="653"/>
        <w:spacing w:after="0" w:line="251" w:lineRule="exact"/>
        <w:tabs>
          <w:tab w:leader="none" w:pos="1378"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and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6" w:name="page97"/>
    <w:bookmarkEnd w:id="96"/>
    <w:p>
      <w:pPr>
        <w:jc w:val="both"/>
        <w:ind w:left="100" w:right="99" w:firstLine="648"/>
        <w:spacing w:after="0" w:line="252" w:lineRule="auto"/>
        <w:rPr>
          <w:sz w:val="20"/>
          <w:szCs w:val="20"/>
          <w:color w:val="auto"/>
        </w:rPr>
      </w:pPr>
      <w:r>
        <w:rPr>
          <w:rFonts w:ascii="Arial" w:cs="Arial" w:eastAsia="Arial" w:hAnsi="Arial"/>
          <w:sz w:val="21"/>
          <w:szCs w:val="21"/>
          <w:i w:val="1"/>
          <w:iCs w:val="1"/>
          <w:color w:val="auto"/>
        </w:rPr>
        <w:t>Section 5.17. Status under Certain Statutes</w:t>
      </w:r>
      <w:r>
        <w:rPr>
          <w:rFonts w:ascii="Arial" w:cs="Arial" w:eastAsia="Arial" w:hAnsi="Arial"/>
          <w:sz w:val="21"/>
          <w:szCs w:val="21"/>
          <w:color w:val="auto"/>
        </w:rPr>
        <w:t>. Neither the Company nor any Subsidiary is</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regulation under the Investment Company Act of 1940, as amended, the Public Utility Holding Company Act of 2005, as amended, the ICC Termination Act of 1995, as amended, or subject to rate regulation under the Federal Power Act, as amended.</w:t>
      </w:r>
    </w:p>
    <w:p>
      <w:pPr>
        <w:spacing w:after="0" w:line="201"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Section 5.18. Environmental Matters</w:t>
      </w:r>
      <w:r>
        <w:rPr>
          <w:rFonts w:ascii="Arial" w:cs="Arial" w:eastAsia="Arial" w:hAnsi="Arial"/>
          <w:sz w:val="19"/>
          <w:szCs w:val="19"/>
          <w:color w:val="auto"/>
        </w:rPr>
        <w:t>. Neither the Company nor any Subsidiary has</w:t>
      </w:r>
      <w:r>
        <w:rPr>
          <w:rFonts w:ascii="Arial" w:cs="Arial" w:eastAsia="Arial" w:hAnsi="Arial"/>
          <w:sz w:val="19"/>
          <w:szCs w:val="19"/>
          <w:i w:val="1"/>
          <w:iCs w:val="1"/>
          <w:color w:val="auto"/>
        </w:rPr>
        <w:t xml:space="preserve"> </w:t>
      </w:r>
      <w:r>
        <w:rPr>
          <w:rFonts w:ascii="Arial" w:cs="Arial" w:eastAsia="Arial" w:hAnsi="Arial"/>
          <w:sz w:val="19"/>
          <w:szCs w:val="19"/>
          <w:color w:val="auto"/>
        </w:rPr>
        <w:t>knowledge 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93" w:lineRule="exact"/>
        <w:rPr>
          <w:sz w:val="20"/>
          <w:szCs w:val="20"/>
          <w:color w:val="auto"/>
        </w:rPr>
      </w:pPr>
    </w:p>
    <w:p>
      <w:pPr>
        <w:jc w:val="both"/>
        <w:ind w:left="760" w:right="99" w:firstLine="641"/>
        <w:spacing w:after="0" w:line="235" w:lineRule="auto"/>
        <w:tabs>
          <w:tab w:leader="none" w:pos="21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228" w:lineRule="exact"/>
        <w:rPr>
          <w:rFonts w:ascii="Arial" w:cs="Arial" w:eastAsia="Arial" w:hAnsi="Arial"/>
          <w:sz w:val="22"/>
          <w:szCs w:val="22"/>
          <w:color w:val="auto"/>
        </w:rPr>
      </w:pPr>
    </w:p>
    <w:p>
      <w:pPr>
        <w:jc w:val="both"/>
        <w:ind w:left="760" w:right="99" w:firstLine="641"/>
        <w:spacing w:after="0" w:line="236" w:lineRule="auto"/>
        <w:tabs>
          <w:tab w:leader="none" w:pos="2227"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14" w:lineRule="exact"/>
        <w:rPr>
          <w:rFonts w:ascii="Arial" w:cs="Arial" w:eastAsia="Arial" w:hAnsi="Arial"/>
          <w:sz w:val="22"/>
          <w:szCs w:val="22"/>
          <w:color w:val="auto"/>
        </w:rPr>
      </w:pPr>
    </w:p>
    <w:p>
      <w:pPr>
        <w:jc w:val="both"/>
        <w:ind w:left="760" w:right="99" w:firstLine="641"/>
        <w:spacing w:after="0" w:line="238" w:lineRule="auto"/>
        <w:tabs>
          <w:tab w:leader="none" w:pos="22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26"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7" w:name="page98"/>
    <w:bookmarkEnd w:id="97"/>
    <w:p>
      <w:pPr>
        <w:jc w:val="both"/>
        <w:ind w:left="100" w:right="99" w:firstLine="648"/>
        <w:spacing w:after="0" w:line="275" w:lineRule="auto"/>
        <w:rPr>
          <w:sz w:val="20"/>
          <w:szCs w:val="20"/>
          <w:color w:val="auto"/>
        </w:rPr>
      </w:pPr>
      <w:r>
        <w:rPr>
          <w:rFonts w:ascii="Arial" w:cs="Arial" w:eastAsia="Arial" w:hAnsi="Arial"/>
          <w:sz w:val="19"/>
          <w:szCs w:val="19"/>
          <w:i w:val="1"/>
          <w:iCs w:val="1"/>
          <w:color w:val="auto"/>
        </w:rPr>
        <w:t>Section 5.20. Filings</w:t>
      </w:r>
      <w:r>
        <w:rPr>
          <w:rFonts w:ascii="Arial" w:cs="Arial" w:eastAsia="Arial" w:hAnsi="Arial"/>
          <w:sz w:val="19"/>
          <w:szCs w:val="19"/>
          <w:color w:val="auto"/>
        </w:rPr>
        <w:t>. No action, including any filings, registration or notice, is necessary</w:t>
      </w:r>
      <w:r>
        <w:rPr>
          <w:rFonts w:ascii="Arial" w:cs="Arial" w:eastAsia="Arial" w:hAnsi="Arial"/>
          <w:sz w:val="19"/>
          <w:szCs w:val="19"/>
          <w:i w:val="1"/>
          <w:iCs w:val="1"/>
          <w:color w:val="auto"/>
        </w:rPr>
        <w:t xml:space="preserve"> </w:t>
      </w:r>
      <w:r>
        <w:rPr>
          <w:rFonts w:ascii="Arial" w:cs="Arial" w:eastAsia="Arial" w:hAnsi="Arial"/>
          <w:sz w:val="19"/>
          <w:szCs w:val="19"/>
          <w:color w:val="auto"/>
        </w:rPr>
        <w:t>or 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26"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6.</w:t>
      </w:r>
      <w:r>
        <w:rPr>
          <w:sz w:val="20"/>
          <w:szCs w:val="20"/>
          <w:color w:val="auto"/>
        </w:rPr>
        <w:tab/>
      </w:r>
      <w:r>
        <w:rPr>
          <w:rFonts w:ascii="Arial" w:cs="Arial" w:eastAsia="Arial" w:hAnsi="Arial"/>
          <w:sz w:val="19"/>
          <w:szCs w:val="19"/>
          <w:color w:val="auto"/>
        </w:rPr>
        <w:t>R</w:t>
      </w:r>
      <w:r>
        <w:rPr>
          <w:rFonts w:ascii="Arial" w:cs="Arial" w:eastAsia="Arial" w:hAnsi="Arial"/>
          <w:sz w:val="16"/>
          <w:szCs w:val="16"/>
          <w:color w:val="auto"/>
        </w:rPr>
        <w:t>EPRESENTATIONS OF THE</w:t>
      </w:r>
      <w:r>
        <w:rPr>
          <w:rFonts w:ascii="Arial" w:cs="Arial" w:eastAsia="Arial" w:hAnsi="Arial"/>
          <w:sz w:val="19"/>
          <w:szCs w:val="19"/>
          <w:color w:val="auto"/>
        </w:rPr>
        <w:t xml:space="preserve"> P</w:t>
      </w:r>
      <w:r>
        <w:rPr>
          <w:rFonts w:ascii="Arial" w:cs="Arial" w:eastAsia="Arial" w:hAnsi="Arial"/>
          <w:sz w:val="16"/>
          <w:szCs w:val="16"/>
          <w:color w:val="auto"/>
        </w:rPr>
        <w:t>URCHASERS</w:t>
      </w:r>
      <w:r>
        <w:rPr>
          <w:rFonts w:ascii="Arial" w:cs="Arial" w:eastAsia="Arial" w:hAnsi="Arial"/>
          <w:sz w:val="19"/>
          <w:szCs w:val="19"/>
          <w:color w:val="auto"/>
        </w:rPr>
        <w:t>.</w:t>
      </w:r>
    </w:p>
    <w:p>
      <w:pPr>
        <w:spacing w:after="0" w:line="260"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Each Purchaser severally represents that it is</w:t>
      </w:r>
      <w:r>
        <w:rPr>
          <w:rFonts w:ascii="Arial" w:cs="Arial" w:eastAsia="Arial" w:hAnsi="Arial"/>
          <w:sz w:val="21"/>
          <w:szCs w:val="21"/>
          <w:i w:val="1"/>
          <w:iCs w:val="1"/>
          <w:color w:val="auto"/>
        </w:rPr>
        <w:t xml:space="preserve"> </w:t>
      </w:r>
      <w:r>
        <w:rPr>
          <w:rFonts w:ascii="Arial" w:cs="Arial" w:eastAsia="Arial" w:hAnsi="Arial"/>
          <w:sz w:val="21"/>
          <w:szCs w:val="21"/>
          <w:color w:val="auto"/>
        </w:rPr>
        <w:t>purchasing 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212"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6.2. Source of Funds</w:t>
      </w:r>
      <w:r>
        <w:rPr>
          <w:rFonts w:ascii="Arial" w:cs="Arial" w:eastAsia="Arial" w:hAnsi="Arial"/>
          <w:sz w:val="22"/>
          <w:szCs w:val="22"/>
          <w:color w:val="auto"/>
        </w:rPr>
        <w:t>. Each Purchaser severally represents that at least 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following statements is an accurate representation as to each source of funds (a </w:t>
      </w:r>
      <w:r>
        <w:rPr>
          <w:rFonts w:ascii="Arial" w:cs="Arial" w:eastAsia="Arial" w:hAnsi="Arial"/>
          <w:sz w:val="22"/>
          <w:szCs w:val="22"/>
          <w:i w:val="1"/>
          <w:iCs w:val="1"/>
          <w:color w:val="auto"/>
        </w:rPr>
        <w:t>“Source”</w:t>
      </w:r>
      <w:r>
        <w:rPr>
          <w:rFonts w:ascii="Arial" w:cs="Arial" w:eastAsia="Arial" w:hAnsi="Arial"/>
          <w:sz w:val="22"/>
          <w:szCs w:val="22"/>
          <w:color w:val="auto"/>
        </w:rPr>
        <w:t>) to be used by such Purchaser to pay the purchase price of the Bonds to be purchased by such Purchaser hereunder:</w:t>
      </w:r>
    </w:p>
    <w:p>
      <w:pPr>
        <w:spacing w:after="0" w:line="226" w:lineRule="exact"/>
        <w:rPr>
          <w:sz w:val="20"/>
          <w:szCs w:val="20"/>
          <w:color w:val="auto"/>
        </w:rPr>
      </w:pPr>
    </w:p>
    <w:p>
      <w:pPr>
        <w:jc w:val="both"/>
        <w:ind w:left="760" w:right="99" w:firstLine="641"/>
        <w:spacing w:after="0" w:line="246" w:lineRule="exact"/>
        <w:tabs>
          <w:tab w:leader="none" w:pos="2107"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Source is an “insurance company general account” (as the term is defined in the United States Department of Labor’s Prohibited Transaction Exemption (</w:t>
      </w:r>
      <w:r>
        <w:rPr>
          <w:rFonts w:ascii="Arial" w:cs="Arial" w:eastAsia="Arial" w:hAnsi="Arial"/>
          <w:sz w:val="19"/>
          <w:szCs w:val="19"/>
          <w:i w:val="1"/>
          <w:i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i w:val="1"/>
          <w:iCs w:val="1"/>
          <w:color w:val="auto"/>
        </w:rPr>
        <w:t>“NAIC Annual Statement”</w:t>
      </w:r>
      <w:r>
        <w:rPr>
          <w:rFonts w:ascii="Arial" w:cs="Arial" w:eastAsia="Arial" w:hAnsi="Arial"/>
          <w:sz w:val="19"/>
          <w:szCs w:val="19"/>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26" w:lineRule="exact"/>
        <w:rPr>
          <w:rFonts w:ascii="Arial" w:cs="Arial" w:eastAsia="Arial" w:hAnsi="Arial"/>
          <w:sz w:val="19"/>
          <w:szCs w:val="19"/>
          <w:color w:val="auto"/>
        </w:rPr>
      </w:pPr>
    </w:p>
    <w:p>
      <w:pPr>
        <w:jc w:val="both"/>
        <w:ind w:left="760" w:right="99" w:firstLine="641"/>
        <w:spacing w:after="0" w:line="282" w:lineRule="auto"/>
        <w:tabs>
          <w:tab w:leader="none" w:pos="2146"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8" w:name="page99"/>
    <w:bookmarkEnd w:id="98"/>
    <w:p>
      <w:pPr>
        <w:jc w:val="both"/>
        <w:ind w:left="760" w:right="99" w:firstLine="641"/>
        <w:spacing w:after="0" w:line="248" w:lineRule="exact"/>
        <w:tabs>
          <w:tab w:leader="none" w:pos="210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15" w:lineRule="exact"/>
        <w:rPr>
          <w:rFonts w:ascii="Arial" w:cs="Arial" w:eastAsia="Arial" w:hAnsi="Arial"/>
          <w:sz w:val="19"/>
          <w:szCs w:val="19"/>
          <w:color w:val="auto"/>
        </w:rPr>
      </w:pPr>
    </w:p>
    <w:p>
      <w:pPr>
        <w:jc w:val="both"/>
        <w:ind w:left="760" w:right="99" w:firstLine="641"/>
        <w:spacing w:after="0" w:line="245" w:lineRule="exact"/>
        <w:tabs>
          <w:tab w:leader="none" w:pos="2133"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26" w:lineRule="exact"/>
        <w:rPr>
          <w:rFonts w:ascii="Arial" w:cs="Arial" w:eastAsia="Arial" w:hAnsi="Arial"/>
          <w:sz w:val="19"/>
          <w:szCs w:val="19"/>
          <w:color w:val="auto"/>
        </w:rPr>
      </w:pPr>
    </w:p>
    <w:p>
      <w:pPr>
        <w:jc w:val="both"/>
        <w:ind w:left="760" w:right="99" w:firstLine="641"/>
        <w:spacing w:after="0" w:line="247" w:lineRule="exact"/>
        <w:tabs>
          <w:tab w:leader="none" w:pos="2026"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Source constitutes assets of a “plan(s)”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27" w:lineRule="exact"/>
        <w:rPr>
          <w:rFonts w:ascii="Arial" w:cs="Arial" w:eastAsia="Arial" w:hAnsi="Arial"/>
          <w:sz w:val="19"/>
          <w:szCs w:val="19"/>
          <w:color w:val="auto"/>
        </w:rPr>
      </w:pPr>
    </w:p>
    <w:p>
      <w:pPr>
        <w:ind w:left="2000" w:hanging="599"/>
        <w:spacing w:after="0"/>
        <w:tabs>
          <w:tab w:leader="none" w:pos="20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33" w:lineRule="exact"/>
        <w:rPr>
          <w:rFonts w:ascii="Arial" w:cs="Arial" w:eastAsia="Arial" w:hAnsi="Arial"/>
          <w:sz w:val="22"/>
          <w:szCs w:val="22"/>
          <w:color w:val="auto"/>
        </w:rPr>
      </w:pPr>
    </w:p>
    <w:p>
      <w:pPr>
        <w:jc w:val="both"/>
        <w:ind w:left="760" w:right="99" w:firstLine="641"/>
        <w:spacing w:after="0"/>
        <w:tabs>
          <w:tab w:leader="none" w:pos="2038"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26" w:lineRule="exact"/>
        <w:rPr>
          <w:rFonts w:ascii="Arial" w:cs="Arial" w:eastAsia="Arial" w:hAnsi="Arial"/>
          <w:sz w:val="22"/>
          <w:szCs w:val="22"/>
          <w:color w:val="auto"/>
        </w:rPr>
      </w:pPr>
    </w:p>
    <w:p>
      <w:pPr>
        <w:ind w:left="760" w:right="99" w:firstLine="641"/>
        <w:spacing w:after="0" w:line="251" w:lineRule="auto"/>
        <w:tabs>
          <w:tab w:leader="none" w:pos="2119"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9" w:name="page100"/>
    <w:bookmarkEnd w:id="99"/>
    <w:p>
      <w:pPr>
        <w:ind w:left="100" w:right="99"/>
        <w:spacing w:after="0" w:line="328" w:lineRule="auto"/>
        <w:rPr>
          <w:sz w:val="20"/>
          <w:szCs w:val="20"/>
          <w:color w:val="auto"/>
        </w:rPr>
      </w:pPr>
      <w:r>
        <w:rPr>
          <w:rFonts w:ascii="Arial" w:cs="Arial" w:eastAsia="Arial" w:hAnsi="Arial"/>
          <w:sz w:val="19"/>
          <w:szCs w:val="19"/>
          <w:color w:val="auto"/>
        </w:rPr>
        <w:t xml:space="preserve">As used in this Section 6.2, the terms </w:t>
      </w:r>
      <w:r>
        <w:rPr>
          <w:rFonts w:ascii="Arial" w:cs="Arial" w:eastAsia="Arial" w:hAnsi="Arial"/>
          <w:sz w:val="19"/>
          <w:szCs w:val="19"/>
          <w:i w:val="1"/>
          <w:iCs w:val="1"/>
          <w:color w:val="auto"/>
        </w:rPr>
        <w:t>“employee benefit plan,” “governmental plan,”</w:t>
      </w:r>
      <w:r>
        <w:rPr>
          <w:rFonts w:ascii="Arial" w:cs="Arial" w:eastAsia="Arial" w:hAnsi="Arial"/>
          <w:sz w:val="19"/>
          <w:szCs w:val="19"/>
          <w:color w:val="auto"/>
        </w:rPr>
        <w:t xml:space="preserve"> and </w:t>
      </w:r>
      <w:r>
        <w:rPr>
          <w:rFonts w:ascii="Arial" w:cs="Arial" w:eastAsia="Arial" w:hAnsi="Arial"/>
          <w:sz w:val="19"/>
          <w:szCs w:val="19"/>
          <w:i w:val="1"/>
          <w:iCs w:val="1"/>
          <w:color w:val="auto"/>
        </w:rPr>
        <w:t>“separate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 </w:t>
      </w:r>
      <w:r>
        <w:rPr>
          <w:rFonts w:ascii="Arial" w:cs="Arial" w:eastAsia="Arial" w:hAnsi="Arial"/>
          <w:sz w:val="19"/>
          <w:szCs w:val="19"/>
          <w:color w:val="auto"/>
        </w:rPr>
        <w:t>shall have the respective meanings assigned to such terms in section 3 of ERISA.</w:t>
      </w:r>
    </w:p>
    <w:p>
      <w:pPr>
        <w:spacing w:after="0" w:line="173"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7.</w:t>
      </w:r>
      <w:r>
        <w:rPr>
          <w:sz w:val="20"/>
          <w:szCs w:val="20"/>
          <w:color w:val="auto"/>
        </w:rPr>
        <w:tab/>
      </w:r>
      <w:r>
        <w:rPr>
          <w:rFonts w:ascii="Arial" w:cs="Arial" w:eastAsia="Arial" w:hAnsi="Arial"/>
          <w:sz w:val="21"/>
          <w:szCs w:val="21"/>
          <w:color w:val="auto"/>
        </w:rPr>
        <w:t>I</w:t>
      </w:r>
      <w:r>
        <w:rPr>
          <w:rFonts w:ascii="Arial" w:cs="Arial" w:eastAsia="Arial" w:hAnsi="Arial"/>
          <w:sz w:val="17"/>
          <w:szCs w:val="17"/>
          <w:color w:val="auto"/>
        </w:rPr>
        <w:t>NFORMATION AS TO</w:t>
      </w:r>
      <w:r>
        <w:rPr>
          <w:rFonts w:ascii="Arial" w:cs="Arial" w:eastAsia="Arial" w:hAnsi="Arial"/>
          <w:sz w:val="21"/>
          <w:szCs w:val="21"/>
          <w:color w:val="auto"/>
        </w:rPr>
        <w:t xml:space="preserve"> C</w:t>
      </w:r>
      <w:r>
        <w:rPr>
          <w:rFonts w:ascii="Arial" w:cs="Arial" w:eastAsia="Arial" w:hAnsi="Arial"/>
          <w:sz w:val="17"/>
          <w:szCs w:val="17"/>
          <w:color w:val="auto"/>
        </w:rPr>
        <w:t>OMPANY</w:t>
      </w:r>
      <w:r>
        <w:rPr>
          <w:rFonts w:ascii="Arial" w:cs="Arial" w:eastAsia="Arial" w:hAnsi="Arial"/>
          <w:sz w:val="21"/>
          <w:szCs w:val="21"/>
          <w:color w:val="auto"/>
        </w:rPr>
        <w:t>.</w:t>
      </w:r>
    </w:p>
    <w:p>
      <w:pPr>
        <w:spacing w:after="0" w:line="260" w:lineRule="exact"/>
        <w:rPr>
          <w:sz w:val="20"/>
          <w:szCs w:val="20"/>
          <w:color w:val="auto"/>
        </w:rPr>
      </w:pPr>
    </w:p>
    <w:p>
      <w:pPr>
        <w:ind w:left="760"/>
        <w:spacing w:after="0"/>
        <w:tabs>
          <w:tab w:leader="none" w:pos="2340" w:val="left"/>
        </w:tabs>
        <w:rPr>
          <w:sz w:val="20"/>
          <w:szCs w:val="20"/>
          <w:color w:val="auto"/>
        </w:rPr>
      </w:pPr>
      <w:r>
        <w:rPr>
          <w:rFonts w:ascii="Arial" w:cs="Arial" w:eastAsia="Arial" w:hAnsi="Arial"/>
          <w:sz w:val="22"/>
          <w:szCs w:val="22"/>
          <w:i w:val="1"/>
          <w:iCs w:val="1"/>
          <w:color w:val="auto"/>
        </w:rPr>
        <w:t>Section 7.1.</w:t>
      </w:r>
      <w:r>
        <w:rPr>
          <w:sz w:val="20"/>
          <w:szCs w:val="20"/>
          <w:color w:val="auto"/>
        </w:rPr>
        <w:tab/>
      </w:r>
      <w:r>
        <w:rPr>
          <w:rFonts w:ascii="Arial" w:cs="Arial" w:eastAsia="Arial" w:hAnsi="Arial"/>
          <w:sz w:val="19"/>
          <w:szCs w:val="19"/>
          <w:i w:val="1"/>
          <w:iCs w:val="1"/>
          <w:color w:val="auto"/>
        </w:rPr>
        <w:t>Financial and Business Information</w:t>
      </w:r>
      <w:r>
        <w:rPr>
          <w:rFonts w:ascii="Arial" w:cs="Arial" w:eastAsia="Arial" w:hAnsi="Arial"/>
          <w:sz w:val="19"/>
          <w:szCs w:val="19"/>
          <w:color w:val="auto"/>
        </w:rPr>
        <w:t>.  The Company shall deliver to each</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Purchaser and each holder of Bonds that is an Institutional Investor:</w:t>
      </w:r>
    </w:p>
    <w:p>
      <w:pPr>
        <w:spacing w:after="0" w:line="215" w:lineRule="exact"/>
        <w:rPr>
          <w:sz w:val="20"/>
          <w:szCs w:val="20"/>
          <w:color w:val="auto"/>
        </w:rPr>
      </w:pPr>
    </w:p>
    <w:p>
      <w:pPr>
        <w:jc w:val="both"/>
        <w:ind w:left="760" w:right="99" w:firstLine="641"/>
        <w:spacing w:after="0"/>
        <w:tabs>
          <w:tab w:leader="none" w:pos="2121"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each fiscal year of the Company (other than the last quarterly fiscal period of each such fiscal year), duplicate copies of:</w:t>
      </w:r>
    </w:p>
    <w:p>
      <w:pPr>
        <w:spacing w:after="0" w:line="226" w:lineRule="exact"/>
        <w:rPr>
          <w:rFonts w:ascii="Arial" w:cs="Arial" w:eastAsia="Arial" w:hAnsi="Arial"/>
          <w:sz w:val="22"/>
          <w:szCs w:val="22"/>
          <w:color w:val="auto"/>
        </w:rPr>
      </w:pPr>
    </w:p>
    <w:p>
      <w:pPr>
        <w:ind w:left="1400" w:right="99" w:firstLine="649"/>
        <w:spacing w:after="0" w:line="251" w:lineRule="auto"/>
        <w:tabs>
          <w:tab w:leader="none" w:pos="2711"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quarter, and</w:t>
      </w:r>
    </w:p>
    <w:p>
      <w:pPr>
        <w:spacing w:after="0" w:line="213" w:lineRule="exact"/>
        <w:rPr>
          <w:rFonts w:ascii="Arial" w:cs="Arial" w:eastAsia="Arial" w:hAnsi="Arial"/>
          <w:sz w:val="22"/>
          <w:szCs w:val="22"/>
          <w:color w:val="auto"/>
        </w:rPr>
      </w:pPr>
    </w:p>
    <w:p>
      <w:pPr>
        <w:jc w:val="both"/>
        <w:ind w:left="1400" w:right="99" w:firstLine="649"/>
        <w:spacing w:after="0" w:line="238" w:lineRule="auto"/>
        <w:tabs>
          <w:tab w:leader="none" w:pos="2663" w:val="left"/>
        </w:tabs>
        <w:numPr>
          <w:ilvl w:val="1"/>
          <w:numId w:val="65"/>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12" w:lineRule="exact"/>
        <w:rPr>
          <w:sz w:val="20"/>
          <w:szCs w:val="20"/>
          <w:color w:val="auto"/>
        </w:rPr>
      </w:pPr>
    </w:p>
    <w:p>
      <w:pPr>
        <w:jc w:val="both"/>
        <w:ind w:left="1400" w:right="99"/>
        <w:spacing w:after="0" w:line="246"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adjustments,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Arial" w:cs="Arial" w:eastAsia="Arial" w:hAnsi="Arial"/>
          <w:sz w:val="19"/>
          <w:szCs w:val="19"/>
          <w:i w:val="1"/>
          <w:iCs w:val="1"/>
          <w:color w:val="auto"/>
        </w:rPr>
        <w:t>EMMA</w:t>
      </w:r>
      <w:r>
        <w:rPr>
          <w:rFonts w:ascii="Arial" w:cs="Arial" w:eastAsia="Arial" w:hAnsi="Arial"/>
          <w:sz w:val="19"/>
          <w:szCs w:val="19"/>
          <w:color w:val="auto"/>
        </w:rPr>
        <w:t>”) database shall be deemed to satisfy the requirements of this Section 7.1(a);</w:t>
      </w:r>
    </w:p>
    <w:p>
      <w:pPr>
        <w:spacing w:after="0" w:line="230" w:lineRule="exact"/>
        <w:rPr>
          <w:sz w:val="20"/>
          <w:szCs w:val="20"/>
          <w:color w:val="auto"/>
        </w:rPr>
      </w:pPr>
    </w:p>
    <w:p>
      <w:pPr>
        <w:ind w:left="760" w:right="99" w:firstLine="641"/>
        <w:spacing w:after="0" w:line="251" w:lineRule="auto"/>
        <w:tabs>
          <w:tab w:leader="none" w:pos="2119"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13" w:lineRule="exact"/>
        <w:rPr>
          <w:rFonts w:ascii="Arial" w:cs="Arial" w:eastAsia="Arial" w:hAnsi="Arial"/>
          <w:sz w:val="22"/>
          <w:szCs w:val="22"/>
          <w:color w:val="auto"/>
        </w:rPr>
      </w:pPr>
    </w:p>
    <w:p>
      <w:pPr>
        <w:ind w:left="1400" w:right="99" w:firstLine="649"/>
        <w:spacing w:after="0" w:line="251" w:lineRule="auto"/>
        <w:tabs>
          <w:tab w:leader="none" w:pos="2684" w:val="left"/>
        </w:tabs>
        <w:numPr>
          <w:ilvl w:val="1"/>
          <w:numId w:val="66"/>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00" w:lineRule="exact"/>
        <w:rPr>
          <w:rFonts w:ascii="Arial" w:cs="Arial" w:eastAsia="Arial" w:hAnsi="Arial"/>
          <w:sz w:val="22"/>
          <w:szCs w:val="22"/>
          <w:color w:val="auto"/>
        </w:rPr>
      </w:pPr>
    </w:p>
    <w:p>
      <w:pPr>
        <w:ind w:left="1400" w:right="99" w:firstLine="649"/>
        <w:spacing w:after="0" w:line="251" w:lineRule="auto"/>
        <w:tabs>
          <w:tab w:leader="none" w:pos="2677"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14" w:lineRule="exact"/>
        <w:rPr>
          <w:sz w:val="20"/>
          <w:szCs w:val="20"/>
          <w:color w:val="auto"/>
        </w:rPr>
      </w:pPr>
    </w:p>
    <w:p>
      <w:pPr>
        <w:jc w:val="both"/>
        <w:ind w:left="1400" w:right="99"/>
        <w:spacing w:after="0" w:line="238" w:lineRule="auto"/>
        <w:rPr>
          <w:sz w:val="20"/>
          <w:szCs w:val="20"/>
          <w:color w:val="auto"/>
        </w:rPr>
      </w:pPr>
      <w:r>
        <w:rPr>
          <w:rFonts w:ascii="Arial" w:cs="Arial" w:eastAsia="Arial" w:hAnsi="Arial"/>
          <w:sz w:val="22"/>
          <w:szCs w:val="22"/>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0" w:name="page101"/>
    <w:bookmarkEnd w:id="100"/>
    <w:p>
      <w:pPr>
        <w:jc w:val="both"/>
        <w:ind w:left="1400" w:right="99"/>
        <w:spacing w:after="0" w:line="272" w:lineRule="auto"/>
        <w:rPr>
          <w:sz w:val="20"/>
          <w:szCs w:val="20"/>
          <w:color w:val="auto"/>
        </w:rPr>
      </w:pPr>
      <w:r>
        <w:rPr>
          <w:rFonts w:ascii="Arial" w:cs="Arial" w:eastAsia="Arial" w:hAnsi="Arial"/>
          <w:sz w:val="19"/>
          <w:szCs w:val="19"/>
          <w:color w:val="auto"/>
        </w:rPr>
        <w:t xml:space="preserve">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Section 7.1(b);</w:t>
      </w:r>
    </w:p>
    <w:p>
      <w:pPr>
        <w:spacing w:after="0" w:line="189" w:lineRule="exact"/>
        <w:rPr>
          <w:sz w:val="20"/>
          <w:szCs w:val="20"/>
          <w:color w:val="auto"/>
        </w:rPr>
      </w:pPr>
    </w:p>
    <w:p>
      <w:pPr>
        <w:jc w:val="both"/>
        <w:ind w:left="760" w:right="99" w:firstLine="641"/>
        <w:spacing w:after="0" w:line="245" w:lineRule="auto"/>
        <w:tabs>
          <w:tab w:leader="none" w:pos="2080"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 xml:space="preserve">SEC and Other Reports </w:t>
      </w:r>
      <w:r>
        <w:rPr>
          <w:rFonts w:ascii="Arial" w:cs="Arial" w:eastAsia="Arial" w:hAnsi="Arial"/>
          <w:sz w:val="21"/>
          <w:szCs w:val="21"/>
          <w:color w:val="auto"/>
        </w:rPr>
        <w:t>— promptly upon their becoming available, one copy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(i) 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Purchaser or holder), and each final prospectus and all amendments thereto filed by the Company or any Subsidiary with the SEC,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Section 7.1(c);</w:t>
      </w:r>
    </w:p>
    <w:p>
      <w:pPr>
        <w:spacing w:after="0" w:line="222" w:lineRule="exact"/>
        <w:rPr>
          <w:rFonts w:ascii="Arial" w:cs="Arial" w:eastAsia="Arial" w:hAnsi="Arial"/>
          <w:sz w:val="21"/>
          <w:szCs w:val="21"/>
          <w:color w:val="auto"/>
        </w:rPr>
      </w:pPr>
    </w:p>
    <w:p>
      <w:pPr>
        <w:jc w:val="both"/>
        <w:ind w:left="760" w:right="99" w:firstLine="641"/>
        <w:spacing w:after="0" w:line="252" w:lineRule="auto"/>
        <w:tabs>
          <w:tab w:leader="none" w:pos="2052" w:val="left"/>
        </w:tabs>
        <w:numPr>
          <w:ilvl w:val="0"/>
          <w:numId w:val="67"/>
        </w:numPr>
        <w:rPr>
          <w:rFonts w:ascii="Arial" w:cs="Arial" w:eastAsia="Arial" w:hAnsi="Arial"/>
          <w:sz w:val="21"/>
          <w:szCs w:val="21"/>
          <w:color w:val="auto"/>
        </w:rPr>
      </w:pPr>
      <w:r>
        <w:rPr>
          <w:rFonts w:ascii="Arial" w:cs="Arial" w:eastAsia="Arial" w:hAnsi="Arial"/>
          <w:sz w:val="21"/>
          <w:szCs w:val="21"/>
          <w:i w:val="1"/>
          <w:iCs w:val="1"/>
          <w:color w:val="auto"/>
        </w:rPr>
        <w:t xml:space="preserve">Notice of Default or Event of Default </w:t>
      </w:r>
      <w:r>
        <w:rPr>
          <w:rFonts w:ascii="Arial" w:cs="Arial" w:eastAsia="Arial" w:hAnsi="Arial"/>
          <w:sz w:val="21"/>
          <w:szCs w:val="21"/>
          <w:color w:val="auto"/>
        </w:rPr>
        <w:t>— promptly, and in any event within five</w:t>
      </w:r>
      <w:r>
        <w:rPr>
          <w:rFonts w:ascii="Arial" w:cs="Arial" w:eastAsia="Arial" w:hAnsi="Arial"/>
          <w:sz w:val="21"/>
          <w:szCs w:val="21"/>
          <w:i w:val="1"/>
          <w:iCs w:val="1"/>
          <w:color w:val="auto"/>
        </w:rPr>
        <w:t xml:space="preserve"> </w:t>
      </w:r>
      <w:r>
        <w:rPr>
          <w:rFonts w:ascii="Arial" w:cs="Arial" w:eastAsia="Arial" w:hAnsi="Arial"/>
          <w:sz w:val="21"/>
          <w:szCs w:val="21"/>
          <w:color w:val="auto"/>
        </w:rPr>
        <w:t>days 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214" w:lineRule="exact"/>
        <w:rPr>
          <w:rFonts w:ascii="Arial" w:cs="Arial" w:eastAsia="Arial" w:hAnsi="Arial"/>
          <w:sz w:val="21"/>
          <w:szCs w:val="21"/>
          <w:color w:val="auto"/>
        </w:rPr>
      </w:pPr>
    </w:p>
    <w:p>
      <w:pPr>
        <w:jc w:val="both"/>
        <w:ind w:left="760" w:right="99" w:firstLine="641"/>
        <w:spacing w:after="0" w:line="238" w:lineRule="auto"/>
        <w:tabs>
          <w:tab w:leader="none" w:pos="2040"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a Responsible Officer becomes aware of any of the following, a written notice setting forth the nature thereof and the action, if any, that the Company or an ERISA Affiliate proposes to take with respect thereto:</w:t>
      </w:r>
    </w:p>
    <w:p>
      <w:pPr>
        <w:spacing w:after="0" w:line="212" w:lineRule="exact"/>
        <w:rPr>
          <w:rFonts w:ascii="Arial" w:cs="Arial" w:eastAsia="Arial" w:hAnsi="Arial"/>
          <w:sz w:val="22"/>
          <w:szCs w:val="22"/>
          <w:color w:val="auto"/>
        </w:rPr>
      </w:pPr>
    </w:p>
    <w:p>
      <w:pPr>
        <w:jc w:val="both"/>
        <w:ind w:left="1400" w:right="99" w:firstLine="649"/>
        <w:spacing w:after="0" w:line="236" w:lineRule="auto"/>
        <w:tabs>
          <w:tab w:leader="none" w:pos="27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and on the date of the Second Closing; or</w:t>
      </w:r>
    </w:p>
    <w:p>
      <w:pPr>
        <w:spacing w:after="0" w:line="228" w:lineRule="exact"/>
        <w:rPr>
          <w:rFonts w:ascii="Arial" w:cs="Arial" w:eastAsia="Arial" w:hAnsi="Arial"/>
          <w:sz w:val="22"/>
          <w:szCs w:val="22"/>
          <w:color w:val="auto"/>
        </w:rPr>
      </w:pPr>
    </w:p>
    <w:p>
      <w:pPr>
        <w:jc w:val="both"/>
        <w:ind w:left="1400" w:right="99" w:firstLine="649"/>
        <w:spacing w:after="0" w:line="287" w:lineRule="auto"/>
        <w:tabs>
          <w:tab w:leader="none" w:pos="2717"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1" w:name="page102"/>
    <w:bookmarkEnd w:id="101"/>
    <w:p>
      <w:pPr>
        <w:ind w:left="1400" w:right="99"/>
        <w:spacing w:after="0" w:line="251" w:lineRule="auto"/>
        <w:rPr>
          <w:sz w:val="20"/>
          <w:szCs w:val="20"/>
          <w:color w:val="auto"/>
        </w:rPr>
      </w:pPr>
      <w:r>
        <w:rPr>
          <w:rFonts w:ascii="Arial" w:cs="Arial" w:eastAsia="Arial" w:hAnsi="Arial"/>
          <w:sz w:val="22"/>
          <w:szCs w:val="22"/>
          <w:color w:val="auto"/>
        </w:rPr>
        <w:t>Plan that such action has been taken by the PBGC with respect to such Multiemployer Plan; or</w:t>
      </w:r>
    </w:p>
    <w:p>
      <w:pPr>
        <w:spacing w:after="0" w:line="200" w:lineRule="exact"/>
        <w:rPr>
          <w:sz w:val="20"/>
          <w:szCs w:val="20"/>
          <w:color w:val="auto"/>
        </w:rPr>
      </w:pPr>
    </w:p>
    <w:p>
      <w:pPr>
        <w:jc w:val="both"/>
        <w:ind w:left="1400" w:right="99" w:firstLine="649"/>
        <w:spacing w:after="0" w:line="246" w:lineRule="auto"/>
        <w:tabs>
          <w:tab w:leader="none" w:pos="2656" w:val="left"/>
        </w:tabs>
        <w:numPr>
          <w:ilvl w:val="1"/>
          <w:numId w:val="68"/>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21" w:lineRule="exact"/>
        <w:rPr>
          <w:rFonts w:ascii="Arial" w:cs="Arial" w:eastAsia="Arial" w:hAnsi="Arial"/>
          <w:sz w:val="21"/>
          <w:szCs w:val="21"/>
          <w:color w:val="auto"/>
        </w:rPr>
      </w:pPr>
    </w:p>
    <w:p>
      <w:pPr>
        <w:jc w:val="both"/>
        <w:ind w:left="760" w:right="99" w:firstLine="641"/>
        <w:spacing w:after="0" w:line="252" w:lineRule="auto"/>
        <w:tabs>
          <w:tab w:leader="none" w:pos="2056"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 xml:space="preserve">Notices from Governmental Authority </w:t>
      </w:r>
      <w:r>
        <w:rPr>
          <w:rFonts w:ascii="Arial" w:cs="Arial" w:eastAsia="Arial" w:hAnsi="Arial"/>
          <w:sz w:val="21"/>
          <w:szCs w:val="21"/>
          <w:color w:val="auto"/>
        </w:rPr>
        <w:t>— promptly, and in any event within 30</w:t>
      </w:r>
      <w:r>
        <w:rPr>
          <w:rFonts w:ascii="Arial" w:cs="Arial" w:eastAsia="Arial" w:hAnsi="Arial"/>
          <w:sz w:val="21"/>
          <w:szCs w:val="21"/>
          <w:i w:val="1"/>
          <w:iCs w:val="1"/>
          <w:color w:val="auto"/>
        </w:rPr>
        <w:t xml:space="preserve"> </w:t>
      </w:r>
      <w:r>
        <w:rPr>
          <w:rFonts w:ascii="Arial" w:cs="Arial" w:eastAsia="Arial" w:hAnsi="Arial"/>
          <w:sz w:val="21"/>
          <w:szCs w:val="21"/>
          <w:color w:val="auto"/>
        </w:rPr>
        <w:t>days 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14" w:lineRule="exact"/>
        <w:rPr>
          <w:rFonts w:ascii="Arial" w:cs="Arial" w:eastAsia="Arial" w:hAnsi="Arial"/>
          <w:sz w:val="21"/>
          <w:szCs w:val="21"/>
          <w:color w:val="auto"/>
        </w:rPr>
      </w:pPr>
    </w:p>
    <w:p>
      <w:pPr>
        <w:jc w:val="both"/>
        <w:ind w:left="760" w:right="99" w:firstLine="641"/>
        <w:spacing w:after="0" w:line="273" w:lineRule="auto"/>
        <w:tabs>
          <w:tab w:leader="none" w:pos="2038"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Requested Information </w:t>
      </w:r>
      <w:r>
        <w:rPr>
          <w:rFonts w:ascii="Arial" w:cs="Arial" w:eastAsia="Arial" w:hAnsi="Arial"/>
          <w:sz w:val="19"/>
          <w:szCs w:val="19"/>
          <w:color w:val="auto"/>
        </w:rPr>
        <w:t>— with reasonable promptness, following the receipt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such Purchaser or holder of Bonds; and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760" w:right="99" w:firstLine="641"/>
        <w:spacing w:after="0" w:line="238" w:lineRule="auto"/>
        <w:tabs>
          <w:tab w:leader="none" w:pos="2241"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Deliveries to Trustee </w:t>
      </w:r>
      <w:r>
        <w:rPr>
          <w:rFonts w:ascii="Arial" w:cs="Arial" w:eastAsia="Arial" w:hAnsi="Arial"/>
          <w:sz w:val="22"/>
          <w:szCs w:val="22"/>
          <w:color w:val="auto"/>
        </w:rPr>
        <w:t>— promptly, and in any event within five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to the Trustee, a copy of any deliveries made by the Company to the Trustee, including without limitation the annual report delivered to the Trustee pursuant to Article VIII, Section 12 of the Indenture.</w:t>
      </w:r>
    </w:p>
    <w:p>
      <w:pPr>
        <w:spacing w:after="0" w:line="226"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Purchaser</w:t>
      </w:r>
      <w:r>
        <w:rPr>
          <w:rFonts w:ascii="Arial" w:cs="Arial" w:eastAsia="Arial" w:hAnsi="Arial"/>
          <w:sz w:val="19"/>
          <w:szCs w:val="19"/>
          <w:i w:val="1"/>
          <w:iCs w:val="1"/>
          <w:color w:val="auto"/>
        </w:rPr>
        <w:t xml:space="preserve"> </w:t>
      </w:r>
      <w:r>
        <w:rPr>
          <w:rFonts w:ascii="Arial" w:cs="Arial" w:eastAsia="Arial" w:hAnsi="Arial"/>
          <w:sz w:val="19"/>
          <w:szCs w:val="19"/>
          <w:color w:val="auto"/>
        </w:rPr>
        <w:t>or holder of Bonds pursuant to Section 7.1(a) or Section 7.1(b)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2" w:name="page103"/>
    <w:bookmarkEnd w:id="102"/>
    <w:p>
      <w:pPr>
        <w:jc w:val="both"/>
        <w:ind w:left="100" w:right="99"/>
        <w:spacing w:after="0"/>
        <w:rPr>
          <w:sz w:val="20"/>
          <w:szCs w:val="20"/>
          <w:color w:val="auto"/>
        </w:rPr>
      </w:pPr>
      <w:r>
        <w:rPr>
          <w:rFonts w:ascii="Arial" w:cs="Arial" w:eastAsia="Arial" w:hAnsi="Arial"/>
          <w:sz w:val="22"/>
          <w:szCs w:val="22"/>
          <w:color w:val="auto"/>
        </w:rPr>
        <w:t>Company or any Subsidiary to comply with any Environmental Law), specifying the nature and period of existence thereof and what action the Company shall have taken or proposes to take with respect thereto.</w:t>
      </w:r>
    </w:p>
    <w:p>
      <w:pPr>
        <w:spacing w:after="0" w:line="21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Section 7.3. Visitation</w:t>
      </w:r>
      <w:r>
        <w:rPr>
          <w:rFonts w:ascii="Arial" w:cs="Arial" w:eastAsia="Arial" w:hAnsi="Arial"/>
          <w:sz w:val="22"/>
          <w:szCs w:val="22"/>
          <w:color w:val="auto"/>
        </w:rPr>
        <w:t>. The Company shall permit the representatives of each Purchaser</w:t>
      </w:r>
      <w:r>
        <w:rPr>
          <w:rFonts w:ascii="Arial" w:cs="Arial" w:eastAsia="Arial" w:hAnsi="Arial"/>
          <w:sz w:val="22"/>
          <w:szCs w:val="22"/>
          <w:i w:val="1"/>
          <w:iCs w:val="1"/>
          <w:color w:val="auto"/>
        </w:rPr>
        <w:t xml:space="preserve"> </w:t>
      </w:r>
      <w:r>
        <w:rPr>
          <w:rFonts w:ascii="Arial" w:cs="Arial" w:eastAsia="Arial" w:hAnsi="Arial"/>
          <w:sz w:val="22"/>
          <w:szCs w:val="22"/>
          <w:color w:val="auto"/>
        </w:rPr>
        <w:t>and each holder of Bonds that is an Institutional Investor:</w:t>
      </w:r>
    </w:p>
    <w:p>
      <w:pPr>
        <w:spacing w:after="0" w:line="214" w:lineRule="exact"/>
        <w:rPr>
          <w:sz w:val="20"/>
          <w:szCs w:val="20"/>
          <w:color w:val="auto"/>
        </w:rPr>
      </w:pPr>
    </w:p>
    <w:p>
      <w:pPr>
        <w:jc w:val="both"/>
        <w:ind w:left="760" w:right="99" w:firstLine="641"/>
        <w:spacing w:after="0" w:line="277" w:lineRule="auto"/>
        <w:tabs>
          <w:tab w:leader="none" w:pos="2107"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Purchaser or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93" w:lineRule="exact"/>
        <w:rPr>
          <w:rFonts w:ascii="Arial" w:cs="Arial" w:eastAsia="Arial" w:hAnsi="Arial"/>
          <w:sz w:val="19"/>
          <w:szCs w:val="19"/>
          <w:color w:val="auto"/>
        </w:rPr>
      </w:pPr>
    </w:p>
    <w:p>
      <w:pPr>
        <w:jc w:val="both"/>
        <w:ind w:left="760" w:right="99" w:firstLine="641"/>
        <w:spacing w:after="0" w:line="234" w:lineRule="auto"/>
        <w:tabs>
          <w:tab w:leader="none" w:pos="2146"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 if a Default or Event of Default then exists, at the expense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55"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8.</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URCHASE OF</w:t>
      </w:r>
      <w:r>
        <w:rPr>
          <w:rFonts w:ascii="Arial" w:cs="Arial" w:eastAsia="Arial" w:hAnsi="Arial"/>
          <w:sz w:val="21"/>
          <w:szCs w:val="21"/>
          <w:color w:val="auto"/>
        </w:rPr>
        <w:t xml:space="preserve"> B</w:t>
      </w:r>
      <w:r>
        <w:rPr>
          <w:rFonts w:ascii="Arial" w:cs="Arial" w:eastAsia="Arial" w:hAnsi="Arial"/>
          <w:sz w:val="17"/>
          <w:szCs w:val="17"/>
          <w:color w:val="auto"/>
        </w:rPr>
        <w:t>ONDS</w:t>
      </w:r>
    </w:p>
    <w:p>
      <w:pPr>
        <w:spacing w:after="0" w:line="260"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00" w:lineRule="exact"/>
        <w:rPr>
          <w:sz w:val="20"/>
          <w:szCs w:val="20"/>
          <w:color w:val="auto"/>
        </w:rPr>
      </w:pPr>
    </w:p>
    <w:p>
      <w:pPr>
        <w:spacing w:after="0" w:line="280"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9.</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FFIRMATIVE</w:t>
      </w:r>
      <w:r>
        <w:rPr>
          <w:rFonts w:ascii="Arial" w:cs="Arial" w:eastAsia="Arial" w:hAnsi="Arial"/>
          <w:sz w:val="22"/>
          <w:szCs w:val="22"/>
          <w:color w:val="auto"/>
        </w:rPr>
        <w:t xml:space="preserve"> C</w:t>
      </w:r>
      <w:r>
        <w:rPr>
          <w:rFonts w:ascii="Arial" w:cs="Arial" w:eastAsia="Arial" w:hAnsi="Arial"/>
          <w:sz w:val="18"/>
          <w:szCs w:val="18"/>
          <w:color w:val="auto"/>
        </w:rPr>
        <w:t>OVENANTS</w:t>
      </w:r>
      <w:r>
        <w:rPr>
          <w:rFonts w:ascii="Arial" w:cs="Arial" w:eastAsia="Arial" w:hAnsi="Arial"/>
          <w:sz w:val="22"/>
          <w:szCs w:val="22"/>
          <w:color w:val="auto"/>
        </w:rPr>
        <w:t>.</w:t>
      </w:r>
    </w:p>
    <w:p>
      <w:pPr>
        <w:spacing w:after="0" w:line="26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until the Second Closing and thereafter, so long as any of the Bonds are outstanding: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3" w:name="page104"/>
    <w:bookmarkEnd w:id="103"/>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 Section 10.4, the Company will, and</w:t>
      </w:r>
      <w:r>
        <w:rPr>
          <w:rFonts w:ascii="Arial" w:cs="Arial" w:eastAsia="Arial" w:hAnsi="Arial"/>
          <w:sz w:val="19"/>
          <w:szCs w:val="19"/>
          <w:i w:val="1"/>
          <w:iCs w:val="1"/>
          <w:color w:val="auto"/>
        </w:rPr>
        <w:t xml:space="preserve"> </w:t>
      </w:r>
      <w:r>
        <w:rPr>
          <w:rFonts w:ascii="Arial" w:cs="Arial" w:eastAsia="Arial" w:hAnsi="Arial"/>
          <w:sz w:val="19"/>
          <w:szCs w:val="19"/>
          <w:color w:val="auto"/>
        </w:rPr>
        <w:t>will cause each 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16"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i w:val="1"/>
          <w:iCs w:val="1"/>
          <w:color w:val="auto"/>
        </w:rPr>
        <w:t>Section 9.2. Insurance</w:t>
      </w:r>
      <w:r>
        <w:rPr>
          <w:rFonts w:ascii="Arial" w:cs="Arial" w:eastAsia="Arial" w:hAnsi="Arial"/>
          <w:sz w:val="21"/>
          <w:szCs w:val="21"/>
          <w:color w:val="auto"/>
        </w:rPr>
        <w:t>. The Company will cause each of its Subsidiaries to maintain, with</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8" w:lineRule="exact"/>
        <w:rPr>
          <w:sz w:val="20"/>
          <w:szCs w:val="20"/>
          <w:color w:val="auto"/>
        </w:rPr>
      </w:pPr>
    </w:p>
    <w:p>
      <w:pPr>
        <w:jc w:val="both"/>
        <w:ind w:left="100" w:right="99" w:firstLine="648"/>
        <w:spacing w:after="0" w:line="275"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9.3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99"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189"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Section 9.5. Corporate Existence, Etc</w:t>
      </w:r>
      <w:r>
        <w:rPr>
          <w:rFonts w:ascii="Arial" w:cs="Arial" w:eastAsia="Arial" w:hAnsi="Arial"/>
          <w:sz w:val="21"/>
          <w:szCs w:val="21"/>
          <w:color w:val="auto"/>
        </w:rPr>
        <w:t>. The Company will at all times preserve and keep</w:t>
      </w:r>
      <w:r>
        <w:rPr>
          <w:rFonts w:ascii="Arial" w:cs="Arial" w:eastAsia="Arial" w:hAnsi="Arial"/>
          <w:sz w:val="21"/>
          <w:szCs w:val="21"/>
          <w:i w:val="1"/>
          <w:iCs w:val="1"/>
          <w:color w:val="auto"/>
        </w:rPr>
        <w:t xml:space="preserve"> </w:t>
      </w:r>
      <w:r>
        <w:rPr>
          <w:rFonts w:ascii="Arial" w:cs="Arial" w:eastAsia="Arial" w:hAnsi="Arial"/>
          <w:sz w:val="21"/>
          <w:szCs w:val="21"/>
          <w:color w:val="auto"/>
        </w:rPr>
        <w:t>in full force and effect the corporate existence of each of its Subsidiaries (unless merged into the Company or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4" w:name="page105"/>
    <w:bookmarkEnd w:id="104"/>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9.6. Books and Records</w:t>
      </w:r>
      <w:r>
        <w:rPr>
          <w:rFonts w:ascii="Arial" w:cs="Arial" w:eastAsia="Arial" w:hAnsi="Arial"/>
          <w:sz w:val="22"/>
          <w:szCs w:val="22"/>
          <w:color w:val="auto"/>
        </w:rPr>
        <w:t>. The Company will, and will cause each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to, maintain proper books of record and account in conformity with GAAP and all applicable requirements of any Governmental Authority having legal or regulatory jurisdiction over the Company or such Subsidiary.</w:t>
      </w:r>
    </w:p>
    <w:p>
      <w:pPr>
        <w:spacing w:after="0" w:line="253"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10.</w:t>
      </w:r>
      <w:r>
        <w:rPr>
          <w:sz w:val="20"/>
          <w:szCs w:val="20"/>
          <w:color w:val="auto"/>
        </w:rPr>
        <w:tab/>
      </w:r>
      <w:r>
        <w:rPr>
          <w:rFonts w:ascii="Arial" w:cs="Arial" w:eastAsia="Arial" w:hAnsi="Arial"/>
          <w:sz w:val="21"/>
          <w:szCs w:val="21"/>
          <w:color w:val="auto"/>
        </w:rPr>
        <w:t>N</w:t>
      </w:r>
      <w:r>
        <w:rPr>
          <w:rFonts w:ascii="Arial" w:cs="Arial" w:eastAsia="Arial" w:hAnsi="Arial"/>
          <w:sz w:val="17"/>
          <w:szCs w:val="17"/>
          <w:color w:val="auto"/>
        </w:rPr>
        <w:t>EGATIVE</w:t>
      </w:r>
      <w:r>
        <w:rPr>
          <w:rFonts w:ascii="Arial" w:cs="Arial" w:eastAsia="Arial" w:hAnsi="Arial"/>
          <w:sz w:val="21"/>
          <w:szCs w:val="21"/>
          <w:color w:val="auto"/>
        </w:rPr>
        <w:t xml:space="preserve"> C</w:t>
      </w:r>
      <w:r>
        <w:rPr>
          <w:rFonts w:ascii="Arial" w:cs="Arial" w:eastAsia="Arial" w:hAnsi="Arial"/>
          <w:sz w:val="17"/>
          <w:szCs w:val="17"/>
          <w:color w:val="auto"/>
        </w:rPr>
        <w:t>OVENANTS</w:t>
      </w:r>
      <w:r>
        <w:rPr>
          <w:rFonts w:ascii="Arial" w:cs="Arial" w:eastAsia="Arial" w:hAnsi="Arial"/>
          <w:sz w:val="21"/>
          <w:szCs w:val="21"/>
          <w:color w:val="auto"/>
        </w:rPr>
        <w:t>.</w:t>
      </w:r>
    </w:p>
    <w:p>
      <w:pPr>
        <w:spacing w:after="0" w:line="26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until the Second Closing and thereafter, so long as any of the Bonds are outstanding:</w:t>
      </w:r>
    </w:p>
    <w:p>
      <w:pPr>
        <w:spacing w:after="0" w:line="200"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29"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w:t>
      </w:r>
      <w:r>
        <w:rPr>
          <w:rFonts w:ascii="Arial" w:cs="Arial" w:eastAsia="Arial" w:hAnsi="Arial"/>
          <w:sz w:val="22"/>
          <w:szCs w:val="22"/>
          <w:i w:val="1"/>
          <w:iCs w:val="1"/>
          <w:color w:val="auto"/>
        </w:rPr>
        <w:t xml:space="preserve"> </w:t>
      </w:r>
      <w:r>
        <w:rPr>
          <w:rFonts w:ascii="Arial" w:cs="Arial" w:eastAsia="Arial" w:hAnsi="Arial"/>
          <w:sz w:val="22"/>
          <w:szCs w:val="22"/>
          <w:color w:val="auto"/>
        </w:rPr>
        <w:t>merge with 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760" w:right="99" w:firstLine="641"/>
        <w:spacing w:after="0" w:line="272" w:lineRule="auto"/>
        <w:tabs>
          <w:tab w:leader="none" w:pos="2107"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760" w:right="99" w:firstLine="641"/>
        <w:spacing w:after="0" w:line="251" w:lineRule="auto"/>
        <w:tabs>
          <w:tab w:leader="none" w:pos="2079" w:val="left"/>
        </w:tabs>
        <w:numPr>
          <w:ilvl w:val="0"/>
          <w:numId w:val="71"/>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14"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the Financing Agreements.</w:t>
      </w:r>
    </w:p>
    <w:p>
      <w:pPr>
        <w:spacing w:after="0" w:line="226"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9"/>
          <w:szCs w:val="19"/>
          <w:i w:val="1"/>
          <w:iCs w:val="1"/>
          <w:color w:val="auto"/>
        </w:rPr>
        <w:t>Section 10.3. Line of Business</w:t>
      </w:r>
      <w:r>
        <w:rPr>
          <w:rFonts w:ascii="Arial" w:cs="Arial" w:eastAsia="Arial" w:hAnsi="Arial"/>
          <w:sz w:val="19"/>
          <w:szCs w:val="19"/>
          <w:color w:val="auto"/>
        </w:rPr>
        <w:t>. The Company will not engage in any business if, as a</w:t>
      </w:r>
      <w:r>
        <w:rPr>
          <w:rFonts w:ascii="Arial" w:cs="Arial" w:eastAsia="Arial" w:hAnsi="Arial"/>
          <w:sz w:val="19"/>
          <w:szCs w:val="19"/>
          <w:i w:val="1"/>
          <w:iCs w:val="1"/>
          <w:color w:val="auto"/>
        </w:rPr>
        <w:t xml:space="preserve"> </w:t>
      </w:r>
      <w:r>
        <w:rPr>
          <w:rFonts w:ascii="Arial" w:cs="Arial" w:eastAsia="Arial" w:hAnsi="Arial"/>
          <w:sz w:val="19"/>
          <w:szCs w:val="19"/>
          <w:color w:val="auto"/>
        </w:rPr>
        <w:t>result, the general nature of the business in which the Company and its Subsidiaries, taken as a whole, would then be engaged would be substantially changed from the general nature of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5" w:name="page106"/>
    <w:bookmarkEnd w:id="105"/>
    <w:p>
      <w:pPr>
        <w:jc w:val="both"/>
        <w:ind w:left="100" w:right="99"/>
        <w:spacing w:after="0" w:line="251" w:lineRule="auto"/>
        <w:rPr>
          <w:sz w:val="20"/>
          <w:szCs w:val="20"/>
          <w:color w:val="auto"/>
        </w:rPr>
      </w:pPr>
      <w:r>
        <w:rPr>
          <w:rFonts w:ascii="Arial" w:cs="Arial" w:eastAsia="Arial" w:hAnsi="Arial"/>
          <w:sz w:val="22"/>
          <w:szCs w:val="22"/>
          <w:color w:val="auto"/>
        </w:rPr>
        <w:t>business in which the Company and its Subsidiaries, taken as whole, is engaged on the date of this Agreement.</w:t>
      </w:r>
    </w:p>
    <w:p>
      <w:pPr>
        <w:spacing w:after="0" w:line="200" w:lineRule="exact"/>
        <w:rPr>
          <w:sz w:val="20"/>
          <w:szCs w:val="20"/>
          <w:color w:val="auto"/>
        </w:rPr>
      </w:pPr>
    </w:p>
    <w:p>
      <w:pPr>
        <w:jc w:val="both"/>
        <w:ind w:left="100" w:right="99" w:firstLine="648"/>
        <w:spacing w:after="0" w:line="234" w:lineRule="auto"/>
        <w:rPr>
          <w:sz w:val="20"/>
          <w:szCs w:val="20"/>
          <w:color w:val="auto"/>
        </w:rPr>
      </w:pPr>
      <w:r>
        <w:rPr>
          <w:rFonts w:ascii="Arial" w:cs="Arial" w:eastAsia="Arial" w:hAnsi="Arial"/>
          <w:sz w:val="22"/>
          <w:szCs w:val="22"/>
          <w:i w:val="1"/>
          <w:iCs w:val="1"/>
          <w:color w:val="auto"/>
        </w:rPr>
        <w:t>Section 10.4. Economic Sanctions, Etc</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69"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11.</w:t>
      </w:r>
      <w:r>
        <w:rPr>
          <w:sz w:val="20"/>
          <w:szCs w:val="20"/>
          <w:color w:val="auto"/>
        </w:rPr>
        <w:tab/>
      </w:r>
      <w:r>
        <w:rPr>
          <w:rFonts w:ascii="Arial" w:cs="Arial" w:eastAsia="Arial" w:hAnsi="Arial"/>
          <w:sz w:val="21"/>
          <w:szCs w:val="21"/>
          <w:color w:val="auto"/>
        </w:rPr>
        <w:t>P</w:t>
      </w:r>
      <w:r>
        <w:rPr>
          <w:rFonts w:ascii="Arial" w:cs="Arial" w:eastAsia="Arial" w:hAnsi="Arial"/>
          <w:sz w:val="17"/>
          <w:szCs w:val="17"/>
          <w:color w:val="auto"/>
        </w:rPr>
        <w:t>AYMENTS ON</w:t>
      </w:r>
      <w:r>
        <w:rPr>
          <w:rFonts w:ascii="Arial" w:cs="Arial" w:eastAsia="Arial" w:hAnsi="Arial"/>
          <w:sz w:val="21"/>
          <w:szCs w:val="21"/>
          <w:color w:val="auto"/>
        </w:rPr>
        <w:t xml:space="preserve"> B</w:t>
      </w:r>
      <w:r>
        <w:rPr>
          <w:rFonts w:ascii="Arial" w:cs="Arial" w:eastAsia="Arial" w:hAnsi="Arial"/>
          <w:sz w:val="17"/>
          <w:szCs w:val="17"/>
          <w:color w:val="auto"/>
        </w:rPr>
        <w:t>ONDS</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Whole Amount or premium, if any, and interest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Section 11.1 to any Institutional Investor that is the direct or indirect transferee of any Bond purchased by a Purchaser under this Agreement and that has made the same agreement relating to such Bond as the Purchasers have made in this Section 11.1.</w:t>
      </w:r>
    </w:p>
    <w:p>
      <w:pPr>
        <w:spacing w:after="0" w:line="200" w:lineRule="exact"/>
        <w:rPr>
          <w:sz w:val="20"/>
          <w:szCs w:val="20"/>
          <w:color w:val="auto"/>
        </w:rPr>
      </w:pPr>
    </w:p>
    <w:p>
      <w:pPr>
        <w:spacing w:after="0" w:line="292"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12.</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EGISTRATION;</w:t>
      </w:r>
      <w:r>
        <w:rPr>
          <w:rFonts w:ascii="Arial" w:cs="Arial" w:eastAsia="Arial" w:hAnsi="Arial"/>
          <w:sz w:val="21"/>
          <w:szCs w:val="21"/>
          <w:color w:val="auto"/>
        </w:rPr>
        <w:t xml:space="preserve"> E</w:t>
      </w:r>
      <w:r>
        <w:rPr>
          <w:rFonts w:ascii="Arial" w:cs="Arial" w:eastAsia="Arial" w:hAnsi="Arial"/>
          <w:sz w:val="17"/>
          <w:szCs w:val="17"/>
          <w:color w:val="auto"/>
        </w:rPr>
        <w:t>XCHANGE</w:t>
      </w:r>
      <w:r>
        <w:rPr>
          <w:rFonts w:ascii="Arial" w:cs="Arial" w:eastAsia="Arial" w:hAnsi="Arial"/>
          <w:sz w:val="21"/>
          <w:szCs w:val="21"/>
          <w:color w:val="auto"/>
        </w:rPr>
        <w:t>; E</w:t>
      </w:r>
      <w:r>
        <w:rPr>
          <w:rFonts w:ascii="Arial" w:cs="Arial" w:eastAsia="Arial" w:hAnsi="Arial"/>
          <w:sz w:val="17"/>
          <w:szCs w:val="17"/>
          <w:color w:val="auto"/>
        </w:rPr>
        <w:t>XPENSES,</w:t>
      </w:r>
      <w:r>
        <w:rPr>
          <w:rFonts w:ascii="Arial" w:cs="Arial" w:eastAsia="Arial" w:hAnsi="Arial"/>
          <w:sz w:val="21"/>
          <w:szCs w:val="21"/>
          <w:color w:val="auto"/>
        </w:rPr>
        <w:t xml:space="preserve"> E</w:t>
      </w:r>
      <w:r>
        <w:rPr>
          <w:rFonts w:ascii="Arial" w:cs="Arial" w:eastAsia="Arial" w:hAnsi="Arial"/>
          <w:sz w:val="17"/>
          <w:szCs w:val="17"/>
          <w:color w:val="auto"/>
        </w:rPr>
        <w:t>TC.</w:t>
      </w:r>
    </w:p>
    <w:p>
      <w:pPr>
        <w:spacing w:after="0" w:line="247"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Section 12.1. Registration of Bonds</w:t>
      </w:r>
      <w:r>
        <w:rPr>
          <w:rFonts w:ascii="Arial" w:cs="Arial" w:eastAsia="Arial" w:hAnsi="Arial"/>
          <w:sz w:val="22"/>
          <w:szCs w:val="22"/>
          <w:color w:val="auto"/>
        </w:rPr>
        <w:t>. The Company shall cause the Trustee to keep a</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 for the registration and registration of transfers of Bonds in accordance with Article XIII, Section 9 of the Indenture.</w:t>
      </w:r>
    </w:p>
    <w:p>
      <w:pPr>
        <w:spacing w:after="0" w:line="227"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w:t>
      </w:r>
      <w:r>
        <w:rPr>
          <w:rFonts w:ascii="Arial" w:cs="Arial" w:eastAsia="Arial" w:hAnsi="Arial"/>
          <w:sz w:val="19"/>
          <w:szCs w:val="19"/>
          <w:i w:val="1"/>
          <w:iCs w:val="1"/>
          <w:color w:val="auto"/>
        </w:rPr>
        <w:t xml:space="preserve"> </w:t>
      </w:r>
      <w:r>
        <w:rPr>
          <w:rFonts w:ascii="Arial" w:cs="Arial" w:eastAsia="Arial" w:hAnsi="Arial"/>
          <w:sz w:val="19"/>
          <w:szCs w:val="19"/>
          <w:color w:val="auto"/>
        </w:rPr>
        <w:t>hereby are 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6" w:name="page107"/>
    <w:bookmarkEnd w:id="106"/>
    <w:p>
      <w:pPr>
        <w:jc w:val="both"/>
        <w:ind w:left="100" w:right="99"/>
        <w:spacing w:after="0" w:line="245" w:lineRule="exact"/>
        <w:rPr>
          <w:sz w:val="20"/>
          <w:szCs w:val="20"/>
          <w:color w:val="auto"/>
        </w:rPr>
      </w:pPr>
      <w:r>
        <w:rPr>
          <w:rFonts w:ascii="Arial" w:cs="Arial" w:eastAsia="Arial" w:hAnsi="Arial"/>
          <w:sz w:val="19"/>
          <w:szCs w:val="19"/>
          <w:color w:val="auto"/>
        </w:rPr>
        <w:t>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18"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i w:val="1"/>
          <w:iCs w:val="1"/>
          <w:color w:val="auto"/>
        </w:rPr>
        <w:t>Section 12.3. Survival</w:t>
      </w:r>
      <w:r>
        <w:rPr>
          <w:rFonts w:ascii="Arial" w:cs="Arial" w:eastAsia="Arial" w:hAnsi="Arial"/>
          <w:sz w:val="21"/>
          <w:szCs w:val="21"/>
          <w:color w:val="auto"/>
        </w:rPr>
        <w:t>. The obligations of the Company under this Section 12 will survive</w:t>
      </w:r>
      <w:r>
        <w:rPr>
          <w:rFonts w:ascii="Arial" w:cs="Arial" w:eastAsia="Arial" w:hAnsi="Arial"/>
          <w:sz w:val="21"/>
          <w:szCs w:val="21"/>
          <w:i w:val="1"/>
          <w:iCs w:val="1"/>
          <w:color w:val="auto"/>
        </w:rPr>
        <w:t xml:space="preserve"> </w:t>
      </w:r>
      <w:r>
        <w:rPr>
          <w:rFonts w:ascii="Arial" w:cs="Arial" w:eastAsia="Arial" w:hAnsi="Arial"/>
          <w:sz w:val="21"/>
          <w:szCs w:val="21"/>
          <w:color w:val="auto"/>
        </w:rPr>
        <w:t>the payment or transfer of any Bond, the enforcement, amendment or waiver of any provision of any Financing Agreement, and the termination of any Financing Agreement.</w:t>
      </w:r>
    </w:p>
    <w:p>
      <w:pPr>
        <w:spacing w:after="0" w:line="248"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13.</w:t>
      </w:r>
      <w:r>
        <w:rPr>
          <w:sz w:val="20"/>
          <w:szCs w:val="20"/>
          <w:color w:val="auto"/>
        </w:rPr>
        <w:tab/>
      </w:r>
      <w:r>
        <w:rPr>
          <w:rFonts w:ascii="Arial" w:cs="Arial" w:eastAsia="Arial" w:hAnsi="Arial"/>
          <w:sz w:val="21"/>
          <w:szCs w:val="21"/>
          <w:color w:val="auto"/>
        </w:rPr>
        <w:t>S</w:t>
      </w:r>
      <w:r>
        <w:rPr>
          <w:rFonts w:ascii="Arial" w:cs="Arial" w:eastAsia="Arial" w:hAnsi="Arial"/>
          <w:sz w:val="17"/>
          <w:szCs w:val="17"/>
          <w:color w:val="auto"/>
        </w:rPr>
        <w:t>URVIVAL OF</w:t>
      </w:r>
      <w:r>
        <w:rPr>
          <w:rFonts w:ascii="Arial" w:cs="Arial" w:eastAsia="Arial" w:hAnsi="Arial"/>
          <w:sz w:val="21"/>
          <w:szCs w:val="21"/>
          <w:color w:val="auto"/>
        </w:rPr>
        <w:t xml:space="preserve"> R</w:t>
      </w:r>
      <w:r>
        <w:rPr>
          <w:rFonts w:ascii="Arial" w:cs="Arial" w:eastAsia="Arial" w:hAnsi="Arial"/>
          <w:sz w:val="17"/>
          <w:szCs w:val="17"/>
          <w:color w:val="auto"/>
        </w:rPr>
        <w:t>EPRESENTATIONS AND</w:t>
      </w:r>
      <w:r>
        <w:rPr>
          <w:rFonts w:ascii="Arial" w:cs="Arial" w:eastAsia="Arial" w:hAnsi="Arial"/>
          <w:sz w:val="21"/>
          <w:szCs w:val="21"/>
          <w:color w:val="auto"/>
        </w:rPr>
        <w:t xml:space="preserve"> W</w:t>
      </w:r>
      <w:r>
        <w:rPr>
          <w:rFonts w:ascii="Arial" w:cs="Arial" w:eastAsia="Arial" w:hAnsi="Arial"/>
          <w:sz w:val="17"/>
          <w:szCs w:val="17"/>
          <w:color w:val="auto"/>
        </w:rPr>
        <w:t>ARRANTIES;</w:t>
      </w:r>
      <w:r>
        <w:rPr>
          <w:rFonts w:ascii="Arial" w:cs="Arial" w:eastAsia="Arial" w:hAnsi="Arial"/>
          <w:sz w:val="21"/>
          <w:szCs w:val="21"/>
          <w:color w:val="auto"/>
        </w:rPr>
        <w:t xml:space="preserve"> E</w:t>
      </w:r>
      <w:r>
        <w:rPr>
          <w:rFonts w:ascii="Arial" w:cs="Arial" w:eastAsia="Arial" w:hAnsi="Arial"/>
          <w:sz w:val="17"/>
          <w:szCs w:val="17"/>
          <w:color w:val="auto"/>
        </w:rPr>
        <w:t>NTIRE</w:t>
      </w:r>
      <w:r>
        <w:rPr>
          <w:rFonts w:ascii="Arial" w:cs="Arial" w:eastAsia="Arial" w:hAnsi="Arial"/>
          <w:sz w:val="21"/>
          <w:szCs w:val="21"/>
          <w:color w:val="auto"/>
        </w:rPr>
        <w:t xml:space="preserve"> A</w:t>
      </w:r>
      <w:r>
        <w:rPr>
          <w:rFonts w:ascii="Arial" w:cs="Arial" w:eastAsia="Arial" w:hAnsi="Arial"/>
          <w:sz w:val="17"/>
          <w:szCs w:val="17"/>
          <w:color w:val="auto"/>
        </w:rPr>
        <w:t>GREEMENT</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40"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14.</w:t>
      </w:r>
      <w:r>
        <w:rPr>
          <w:sz w:val="20"/>
          <w:szCs w:val="20"/>
          <w:color w:val="auto"/>
        </w:rPr>
        <w:tab/>
      </w:r>
      <w:r>
        <w:rPr>
          <w:rFonts w:ascii="Arial" w:cs="Arial" w:eastAsia="Arial" w:hAnsi="Arial"/>
          <w:sz w:val="22"/>
          <w:szCs w:val="22"/>
          <w:color w:val="auto"/>
        </w:rPr>
        <w:t>A</w:t>
      </w:r>
      <w:r>
        <w:rPr>
          <w:rFonts w:ascii="Arial" w:cs="Arial" w:eastAsia="Arial" w:hAnsi="Arial"/>
          <w:sz w:val="18"/>
          <w:szCs w:val="18"/>
          <w:color w:val="auto"/>
        </w:rPr>
        <w:t>MENDMENT AND</w:t>
      </w:r>
      <w:r>
        <w:rPr>
          <w:rFonts w:ascii="Arial" w:cs="Arial" w:eastAsia="Arial" w:hAnsi="Arial"/>
          <w:sz w:val="22"/>
          <w:szCs w:val="22"/>
          <w:color w:val="auto"/>
        </w:rPr>
        <w:t xml:space="preserve"> W</w:t>
      </w:r>
      <w:r>
        <w:rPr>
          <w:rFonts w:ascii="Arial" w:cs="Arial" w:eastAsia="Arial" w:hAnsi="Arial"/>
          <w:sz w:val="18"/>
          <w:szCs w:val="18"/>
          <w:color w:val="auto"/>
        </w:rPr>
        <w:t>AIVER</w:t>
      </w:r>
      <w:r>
        <w:rPr>
          <w:rFonts w:ascii="Arial" w:cs="Arial" w:eastAsia="Arial" w:hAnsi="Arial"/>
          <w:sz w:val="22"/>
          <w:szCs w:val="22"/>
          <w:color w:val="auto"/>
        </w:rPr>
        <w:t>.</w:t>
      </w:r>
    </w:p>
    <w:p>
      <w:pPr>
        <w:spacing w:after="0" w:line="24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Section 14.1. Requirements</w:t>
      </w:r>
      <w:r>
        <w:rPr>
          <w:rFonts w:ascii="Arial" w:cs="Arial" w:eastAsia="Arial" w:hAnsi="Arial"/>
          <w:sz w:val="19"/>
          <w:szCs w:val="19"/>
          <w:color w:val="auto"/>
        </w:rPr>
        <w:t>. This Agreement and the Bonds may be amended,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observance of any term hereof or of the Bonds may be waived (either retroactively or prospectively), with (and only with) the written consent of the Company and the Required Holders, except that (i) no amendment or waiver of any of the provisions of Section 1, 2, 3, 4, 5, 6 or 19 hereof, or any defined term, will be effective as to any holder of Bonds unless consented to by such holder of Bonds in writing, and (ii) no such amendment or waiver may, without the written consent of all of the Purchasers and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7" w:name="page108"/>
    <w:bookmarkEnd w:id="107"/>
    <w:p>
      <w:pPr>
        <w:ind w:left="100" w:right="99"/>
        <w:spacing w:after="0" w:line="251" w:lineRule="auto"/>
        <w:rPr>
          <w:sz w:val="20"/>
          <w:szCs w:val="20"/>
          <w:color w:val="auto"/>
        </w:rPr>
      </w:pPr>
      <w:r>
        <w:rPr>
          <w:rFonts w:ascii="Arial" w:cs="Arial" w:eastAsia="Arial" w:hAnsi="Arial"/>
          <w:sz w:val="22"/>
          <w:szCs w:val="22"/>
          <w:color w:val="auto"/>
        </w:rPr>
        <w:t>principal amount of the Bonds the Purchasers or holders of which are required to consent to any such amendment or waiver, or (C) amend any of Sections 8, 14 or 18.</w:t>
      </w:r>
    </w:p>
    <w:p>
      <w:pPr>
        <w:spacing w:after="0" w:line="200"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653"/>
        <w:spacing w:after="0" w:line="245" w:lineRule="auto"/>
        <w:tabs>
          <w:tab w:leader="none" w:pos="1569" w:val="left"/>
        </w:tabs>
        <w:numPr>
          <w:ilvl w:val="1"/>
          <w:numId w:val="72"/>
        </w:numPr>
        <w:rPr>
          <w:rFonts w:ascii="Arial" w:cs="Arial" w:eastAsia="Arial" w:hAnsi="Arial"/>
          <w:sz w:val="21"/>
          <w:szCs w:val="21"/>
          <w:color w:val="auto"/>
        </w:rPr>
      </w:pPr>
      <w:r>
        <w:rPr>
          <w:rFonts w:ascii="Arial" w:cs="Arial" w:eastAsia="Arial" w:hAnsi="Arial"/>
          <w:sz w:val="21"/>
          <w:szCs w:val="21"/>
          <w:i w:val="1"/>
          <w:iCs w:val="1"/>
          <w:color w:val="auto"/>
        </w:rPr>
        <w:t xml:space="preserve">Solicitation. </w:t>
      </w:r>
      <w:r>
        <w:rPr>
          <w:rFonts w:ascii="Arial" w:cs="Arial" w:eastAsia="Arial" w:hAnsi="Arial"/>
          <w:sz w:val="21"/>
          <w:szCs w:val="21"/>
          <w:color w:val="auto"/>
        </w:rPr>
        <w:t>The Company will provide each Purchaser and holder of the Bonds</w:t>
      </w:r>
      <w:r>
        <w:rPr>
          <w:rFonts w:ascii="Arial" w:cs="Arial" w:eastAsia="Arial" w:hAnsi="Arial"/>
          <w:sz w:val="21"/>
          <w:szCs w:val="21"/>
          <w:i w:val="1"/>
          <w:iCs w:val="1"/>
          <w:color w:val="auto"/>
        </w:rPr>
        <w:t xml:space="preserve"> </w:t>
      </w:r>
      <w:r>
        <w:rPr>
          <w:rFonts w:ascii="Arial" w:cs="Arial" w:eastAsia="Arial" w:hAnsi="Arial"/>
          <w:sz w:val="21"/>
          <w:szCs w:val="21"/>
          <w:color w:val="auto"/>
        </w:rPr>
        <w:t>(irrespective of the amount of Bonds then owned by it) with sufficient information, sufficiently far in advance of the date a decision is required, to enable such Purchaser or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Section 14 to each Purchaser and each holder of outstanding Bonds promptly following the date on which it is executed and delivered by, or receives the consent or approval of, the requisite Purchasers or holders of Bonds.</w:t>
      </w:r>
    </w:p>
    <w:p>
      <w:pPr>
        <w:spacing w:after="0" w:line="225" w:lineRule="exact"/>
        <w:rPr>
          <w:rFonts w:ascii="Arial" w:cs="Arial" w:eastAsia="Arial" w:hAnsi="Arial"/>
          <w:sz w:val="21"/>
          <w:szCs w:val="21"/>
          <w:color w:val="auto"/>
        </w:rPr>
      </w:pPr>
    </w:p>
    <w:p>
      <w:pPr>
        <w:jc w:val="both"/>
        <w:ind w:left="100" w:right="99" w:firstLine="329"/>
        <w:spacing w:after="0" w:line="245" w:lineRule="auto"/>
        <w:tabs>
          <w:tab w:leader="none" w:pos="1297"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 xml:space="preserve">Payment. </w:t>
      </w:r>
      <w:r>
        <w:rPr>
          <w:rFonts w:ascii="Arial" w:cs="Arial" w:eastAsia="Arial" w:hAnsi="Arial"/>
          <w:sz w:val="21"/>
          <w:szCs w:val="21"/>
          <w:color w:val="auto"/>
        </w:rPr>
        <w:t>The Company will not directly or indirectly pay or cause to be paid any</w:t>
      </w:r>
      <w:r>
        <w:rPr>
          <w:rFonts w:ascii="Arial" w:cs="Arial" w:eastAsia="Arial" w:hAnsi="Arial"/>
          <w:sz w:val="21"/>
          <w:szCs w:val="21"/>
          <w:i w:val="1"/>
          <w:iCs w:val="1"/>
          <w:color w:val="auto"/>
        </w:rPr>
        <w:t xml:space="preserve"> </w:t>
      </w:r>
      <w:r>
        <w:rPr>
          <w:rFonts w:ascii="Arial" w:cs="Arial" w:eastAsia="Arial" w:hAnsi="Arial"/>
          <w:sz w:val="21"/>
          <w:szCs w:val="21"/>
          <w:color w:val="auto"/>
        </w:rPr>
        <w:t>remuneration, whether by way of supplemental or additional interest, fee or otherwise (other than legal fees or other related expenses), or grant any security or provide other credit support, to any Purchaser or holder of Bonds as consideration for or as an inducement to the entering into by any Purchaser or holder of Bonds of any waiver or amendment of any of the terms and provisions hereof or of the Bonds unless such remuneration is concurrently paid, or security is concurrently granted or other credit support concurrently provided, on the same terms, ratably to each Purchaser and each holder of Bonds then outstanding even if such Purchaser or holder did not consent to such waiver or amendment.</w:t>
      </w:r>
    </w:p>
    <w:p>
      <w:pPr>
        <w:spacing w:after="0" w:line="212" w:lineRule="exact"/>
        <w:rPr>
          <w:rFonts w:ascii="Arial" w:cs="Arial" w:eastAsia="Arial" w:hAnsi="Arial"/>
          <w:sz w:val="21"/>
          <w:szCs w:val="21"/>
          <w:color w:val="auto"/>
        </w:rPr>
      </w:pPr>
    </w:p>
    <w:p>
      <w:pPr>
        <w:jc w:val="both"/>
        <w:ind w:left="100" w:right="99" w:firstLine="329"/>
        <w:spacing w:after="0" w:line="245" w:lineRule="auto"/>
        <w:tabs>
          <w:tab w:leader="none" w:pos="1055"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Consent in Contemplation of Transfer</w:t>
      </w:r>
      <w:r>
        <w:rPr>
          <w:rFonts w:ascii="Arial" w:cs="Arial" w:eastAsia="Arial" w:hAnsi="Arial"/>
          <w:sz w:val="21"/>
          <w:szCs w:val="21"/>
          <w:color w:val="auto"/>
        </w:rPr>
        <w:t>. Any consent made pursuant to this Section 14 by a</w:t>
      </w:r>
      <w:r>
        <w:rPr>
          <w:rFonts w:ascii="Arial" w:cs="Arial" w:eastAsia="Arial" w:hAnsi="Arial"/>
          <w:sz w:val="21"/>
          <w:szCs w:val="21"/>
          <w:i w:val="1"/>
          <w:iCs w:val="1"/>
          <w:color w:val="auto"/>
        </w:rPr>
        <w:t xml:space="preserve"> </w:t>
      </w:r>
      <w:r>
        <w:rPr>
          <w:rFonts w:ascii="Arial" w:cs="Arial" w:eastAsia="Arial" w:hAnsi="Arial"/>
          <w:sz w:val="21"/>
          <w:szCs w:val="21"/>
          <w:color w:val="auto"/>
        </w:rPr>
        <w:t>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22" w:lineRule="exact"/>
        <w:rPr>
          <w:sz w:val="20"/>
          <w:szCs w:val="20"/>
          <w:color w:val="auto"/>
        </w:rPr>
      </w:pPr>
    </w:p>
    <w:p>
      <w:pPr>
        <w:jc w:val="both"/>
        <w:ind w:left="100" w:right="99" w:firstLine="324"/>
        <w:spacing w:after="0" w:line="245" w:lineRule="auto"/>
        <w:rPr>
          <w:sz w:val="20"/>
          <w:szCs w:val="20"/>
          <w:color w:val="auto"/>
        </w:rPr>
      </w:pPr>
      <w:r>
        <w:rPr>
          <w:rFonts w:ascii="Arial" w:cs="Arial" w:eastAsia="Arial" w:hAnsi="Arial"/>
          <w:sz w:val="21"/>
          <w:szCs w:val="21"/>
          <w:i w:val="1"/>
          <w:iCs w:val="1"/>
          <w:color w:val="auto"/>
        </w:rPr>
        <w:t>Section 14.3. Binding Effect, Etc</w:t>
      </w:r>
      <w:r>
        <w:rPr>
          <w:rFonts w:ascii="Arial" w:cs="Arial" w:eastAsia="Arial" w:hAnsi="Arial"/>
          <w:sz w:val="21"/>
          <w:szCs w:val="21"/>
          <w:color w:val="auto"/>
        </w:rPr>
        <w:t>. Any amendment or waiver consented to as provided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14 applies equally to all Purchasers and holders of Bonds and is binding upon them and upon each future Purchaser and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Purchaser and any holder of any Bond nor any delay in exercising any rights hereunder or under any Bond shall operate as a waiver of any rights of any Purchaser or any holder of such Bond.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8" w:name="page109"/>
    <w:bookmarkEnd w:id="108"/>
    <w:p>
      <w:pPr>
        <w:jc w:val="both"/>
        <w:ind w:left="100" w:right="99" w:firstLine="324"/>
        <w:spacing w:after="0" w:line="247"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w:t>
      </w:r>
      <w:r>
        <w:rPr>
          <w:rFonts w:ascii="Arial" w:cs="Arial" w:eastAsia="Arial" w:hAnsi="Arial"/>
          <w:sz w:val="21"/>
          <w:szCs w:val="21"/>
          <w:i w:val="1"/>
          <w:iCs w:val="1"/>
          <w:color w:val="auto"/>
        </w:rPr>
        <w:t xml:space="preserve"> </w:t>
      </w:r>
      <w:r>
        <w:rPr>
          <w:rFonts w:ascii="Arial" w:cs="Arial" w:eastAsia="Arial" w:hAnsi="Arial"/>
          <w:sz w:val="21"/>
          <w:szCs w:val="21"/>
          <w:color w:val="auto"/>
        </w:rPr>
        <w:t>the 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46"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15.</w:t>
      </w:r>
      <w:r>
        <w:rPr>
          <w:sz w:val="20"/>
          <w:szCs w:val="20"/>
          <w:color w:val="auto"/>
        </w:rPr>
        <w:tab/>
      </w:r>
      <w:r>
        <w:rPr>
          <w:rFonts w:ascii="Arial" w:cs="Arial" w:eastAsia="Arial" w:hAnsi="Arial"/>
          <w:sz w:val="19"/>
          <w:szCs w:val="19"/>
          <w:color w:val="auto"/>
        </w:rPr>
        <w:t>N</w:t>
      </w:r>
      <w:r>
        <w:rPr>
          <w:rFonts w:ascii="Arial" w:cs="Arial" w:eastAsia="Arial" w:hAnsi="Arial"/>
          <w:sz w:val="16"/>
          <w:szCs w:val="16"/>
          <w:color w:val="auto"/>
        </w:rPr>
        <w:t>OTICES</w:t>
      </w:r>
      <w:r>
        <w:rPr>
          <w:rFonts w:ascii="Arial" w:cs="Arial" w:eastAsia="Arial" w:hAnsi="Arial"/>
          <w:sz w:val="19"/>
          <w:szCs w:val="19"/>
          <w:color w:val="auto"/>
        </w:rPr>
        <w:t>.</w:t>
      </w:r>
    </w:p>
    <w:p>
      <w:pPr>
        <w:spacing w:after="0" w:line="260"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15" w:lineRule="exact"/>
        <w:rPr>
          <w:sz w:val="20"/>
          <w:szCs w:val="20"/>
          <w:color w:val="auto"/>
        </w:rPr>
      </w:pPr>
    </w:p>
    <w:p>
      <w:pPr>
        <w:jc w:val="both"/>
        <w:ind w:left="760" w:right="99" w:firstLine="641"/>
        <w:spacing w:after="0" w:line="258" w:lineRule="auto"/>
        <w:tabs>
          <w:tab w:leader="none" w:pos="2031"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to any Purchaser or its nominee, to such Purchaser or nominee at the address specified for such communications in Schedule A, or at such other address as such Purchaser or nominee shall have specified to the Company in writing,</w:t>
      </w:r>
    </w:p>
    <w:p>
      <w:pPr>
        <w:spacing w:after="0" w:line="207" w:lineRule="exact"/>
        <w:rPr>
          <w:rFonts w:ascii="Arial" w:cs="Arial" w:eastAsia="Arial" w:hAnsi="Arial"/>
          <w:sz w:val="21"/>
          <w:szCs w:val="21"/>
          <w:color w:val="auto"/>
        </w:rPr>
      </w:pPr>
    </w:p>
    <w:p>
      <w:pPr>
        <w:ind w:left="760" w:right="99" w:firstLine="641"/>
        <w:spacing w:after="0" w:line="251" w:lineRule="auto"/>
        <w:tabs>
          <w:tab w:leader="none" w:pos="2023"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13" w:lineRule="exact"/>
        <w:rPr>
          <w:rFonts w:ascii="Arial" w:cs="Arial" w:eastAsia="Arial" w:hAnsi="Arial"/>
          <w:sz w:val="22"/>
          <w:szCs w:val="22"/>
          <w:color w:val="auto"/>
        </w:rPr>
      </w:pPr>
    </w:p>
    <w:p>
      <w:pPr>
        <w:jc w:val="both"/>
        <w:ind w:left="760" w:right="99" w:firstLine="641"/>
        <w:spacing w:after="0" w:line="238" w:lineRule="auto"/>
        <w:tabs>
          <w:tab w:leader="none" w:pos="2124"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Notices under this Section 15 will be deemed given only when actually received.</w:t>
      </w:r>
    </w:p>
    <w:p>
      <w:pPr>
        <w:spacing w:after="0" w:line="287"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16.</w:t>
      </w:r>
      <w:r>
        <w:rPr>
          <w:sz w:val="20"/>
          <w:szCs w:val="20"/>
          <w:color w:val="auto"/>
        </w:rPr>
        <w:tab/>
      </w:r>
      <w:r>
        <w:rPr>
          <w:rFonts w:ascii="Arial" w:cs="Arial" w:eastAsia="Arial" w:hAnsi="Arial"/>
          <w:sz w:val="22"/>
          <w:szCs w:val="22"/>
          <w:color w:val="auto"/>
        </w:rPr>
        <w:t>I</w:t>
      </w:r>
      <w:r>
        <w:rPr>
          <w:rFonts w:ascii="Arial" w:cs="Arial" w:eastAsia="Arial" w:hAnsi="Arial"/>
          <w:sz w:val="18"/>
          <w:szCs w:val="18"/>
          <w:color w:val="auto"/>
        </w:rPr>
        <w:t>NDEMNIFICATION</w:t>
      </w:r>
      <w:r>
        <w:rPr>
          <w:rFonts w:ascii="Arial" w:cs="Arial" w:eastAsia="Arial" w:hAnsi="Arial"/>
          <w:sz w:val="22"/>
          <w:szCs w:val="22"/>
          <w:color w:val="auto"/>
        </w:rPr>
        <w:t>.</w:t>
      </w:r>
    </w:p>
    <w:p>
      <w:pPr>
        <w:spacing w:after="0" w:line="247"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Section 16 shall survive the execution and delivery of this Agreement, the delivery of the Bonds to the Purchasers and the consummation of the transactions contemplated herein.</w:t>
      </w:r>
    </w:p>
    <w:p>
      <w:pPr>
        <w:spacing w:after="0" w:line="258"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17.</w:t>
      </w:r>
      <w:r>
        <w:rPr>
          <w:sz w:val="20"/>
          <w:szCs w:val="20"/>
          <w:color w:val="auto"/>
        </w:rPr>
        <w:tab/>
      </w:r>
      <w:r>
        <w:rPr>
          <w:rFonts w:ascii="Arial" w:cs="Arial" w:eastAsia="Arial" w:hAnsi="Arial"/>
          <w:sz w:val="21"/>
          <w:szCs w:val="21"/>
          <w:color w:val="auto"/>
        </w:rPr>
        <w:t>R</w:t>
      </w:r>
      <w:r>
        <w:rPr>
          <w:rFonts w:ascii="Arial" w:cs="Arial" w:eastAsia="Arial" w:hAnsi="Arial"/>
          <w:sz w:val="17"/>
          <w:szCs w:val="17"/>
          <w:color w:val="auto"/>
        </w:rPr>
        <w:t>EPRODUCTION OF</w:t>
      </w:r>
      <w:r>
        <w:rPr>
          <w:rFonts w:ascii="Arial" w:cs="Arial" w:eastAsia="Arial" w:hAnsi="Arial"/>
          <w:sz w:val="21"/>
          <w:szCs w:val="21"/>
          <w:color w:val="auto"/>
        </w:rPr>
        <w:t xml:space="preserve"> D</w:t>
      </w:r>
      <w:r>
        <w:rPr>
          <w:rFonts w:ascii="Arial" w:cs="Arial" w:eastAsia="Arial" w:hAnsi="Arial"/>
          <w:sz w:val="17"/>
          <w:szCs w:val="17"/>
          <w:color w:val="auto"/>
        </w:rPr>
        <w:t>OCUMENTS</w:t>
      </w:r>
      <w:r>
        <w:rPr>
          <w:rFonts w:ascii="Arial" w:cs="Arial" w:eastAsia="Arial" w:hAnsi="Arial"/>
          <w:sz w:val="21"/>
          <w:szCs w:val="21"/>
          <w:color w:val="auto"/>
        </w:rPr>
        <w:t>.</w:t>
      </w:r>
    </w:p>
    <w:p>
      <w:pPr>
        <w:spacing w:after="0" w:line="247" w:lineRule="exact"/>
        <w:rPr>
          <w:sz w:val="20"/>
          <w:szCs w:val="20"/>
          <w:color w:val="auto"/>
        </w:rPr>
      </w:pPr>
    </w:p>
    <w:p>
      <w:pPr>
        <w:ind w:left="760"/>
        <w:spacing w:after="0"/>
        <w:tabs>
          <w:tab w:leader="none" w:pos="1300" w:val="left"/>
          <w:tab w:leader="none" w:pos="2440" w:val="left"/>
          <w:tab w:leader="none" w:pos="2920" w:val="left"/>
          <w:tab w:leader="none" w:pos="3320" w:val="left"/>
          <w:tab w:leader="none" w:pos="4440" w:val="left"/>
          <w:tab w:leader="none" w:pos="5280" w:val="left"/>
          <w:tab w:leader="none" w:pos="6120" w:val="left"/>
          <w:tab w:leader="none" w:pos="7160" w:val="left"/>
          <w:tab w:leader="none" w:pos="8000" w:val="left"/>
        </w:tabs>
        <w:rPr>
          <w:sz w:val="20"/>
          <w:szCs w:val="20"/>
          <w:color w:val="auto"/>
        </w:rPr>
      </w:pPr>
      <w:r>
        <w:rPr>
          <w:rFonts w:ascii="Arial" w:cs="Arial" w:eastAsia="Arial" w:hAnsi="Arial"/>
          <w:sz w:val="22"/>
          <w:szCs w:val="22"/>
          <w:color w:val="auto"/>
        </w:rPr>
        <w:t>This</w:t>
        <w:tab/>
        <w:t>Agreement</w:t>
        <w:tab/>
        <w:t>and</w:t>
        <w:tab/>
        <w:t>all</w:t>
        <w:tab/>
        <w:t>documents</w:t>
        <w:tab/>
        <w:t>relating</w:t>
        <w:tab/>
        <w:t>thereto,</w:t>
        <w:tab/>
        <w:t>including,</w:t>
        <w:tab/>
        <w:t>without</w:t>
      </w:r>
      <w:r>
        <w:rPr>
          <w:sz w:val="20"/>
          <w:szCs w:val="20"/>
          <w:color w:val="auto"/>
        </w:rPr>
        <w:tab/>
      </w:r>
      <w:r>
        <w:rPr>
          <w:rFonts w:ascii="Arial" w:cs="Arial" w:eastAsia="Arial" w:hAnsi="Arial"/>
          <w:sz w:val="21"/>
          <w:szCs w:val="21"/>
          <w:color w:val="auto"/>
        </w:rPr>
        <w:t>limitation,</w:t>
      </w:r>
    </w:p>
    <w:p>
      <w:pPr>
        <w:spacing w:after="0" w:line="8" w:lineRule="exact"/>
        <w:rPr>
          <w:sz w:val="20"/>
          <w:szCs w:val="20"/>
          <w:color w:val="auto"/>
        </w:rPr>
      </w:pPr>
    </w:p>
    <w:p>
      <w:pPr>
        <w:jc w:val="both"/>
        <w:ind w:left="100" w:right="99" w:firstLine="5"/>
        <w:spacing w:after="0" w:line="287" w:lineRule="auto"/>
        <w:tabs>
          <w:tab w:leader="none" w:pos="415"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consents, waivers and modifications that may hereafter be executed, (b) documents received by any Purchaser at either Closing (except the Bonds themselves), and (c) financial statements, certificates and other information previously or hereafter furnished to any Purchaser, may be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9" w:name="page110"/>
    <w:bookmarkEnd w:id="109"/>
    <w:p>
      <w:pPr>
        <w:jc w:val="both"/>
        <w:ind w:left="100" w:right="99"/>
        <w:spacing w:after="0" w:line="245" w:lineRule="auto"/>
        <w:rPr>
          <w:sz w:val="20"/>
          <w:szCs w:val="20"/>
          <w:color w:val="auto"/>
        </w:rPr>
      </w:pPr>
      <w:r>
        <w:rPr>
          <w:rFonts w:ascii="Arial" w:cs="Arial" w:eastAsia="Arial" w:hAnsi="Arial"/>
          <w:sz w:val="21"/>
          <w:szCs w:val="21"/>
          <w:color w:val="auto"/>
        </w:rPr>
        <w:t>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17 shall not prohibit the Company or any other holder of Bonds from contesting any such reproduction to the same extent that it could contest the original, or from introducing evidence to demonstrate the inaccuracy of any such reproduction.</w:t>
      </w:r>
    </w:p>
    <w:p>
      <w:pPr>
        <w:spacing w:after="0" w:line="249"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18.</w:t>
      </w:r>
      <w:r>
        <w:rPr>
          <w:sz w:val="20"/>
          <w:szCs w:val="20"/>
          <w:color w:val="auto"/>
        </w:rPr>
        <w:tab/>
      </w:r>
      <w:r>
        <w:rPr>
          <w:rFonts w:ascii="Arial" w:cs="Arial" w:eastAsia="Arial" w:hAnsi="Arial"/>
          <w:sz w:val="22"/>
          <w:szCs w:val="22"/>
          <w:color w:val="auto"/>
        </w:rPr>
        <w:t>C</w:t>
      </w:r>
      <w:r>
        <w:rPr>
          <w:rFonts w:ascii="Arial" w:cs="Arial" w:eastAsia="Arial" w:hAnsi="Arial"/>
          <w:sz w:val="18"/>
          <w:szCs w:val="18"/>
          <w:color w:val="auto"/>
        </w:rPr>
        <w:t>ONFIDENTIAL</w:t>
      </w:r>
      <w:r>
        <w:rPr>
          <w:rFonts w:ascii="Arial" w:cs="Arial" w:eastAsia="Arial" w:hAnsi="Arial"/>
          <w:sz w:val="22"/>
          <w:szCs w:val="22"/>
          <w:color w:val="auto"/>
        </w:rPr>
        <w:t xml:space="preserve"> I</w:t>
      </w:r>
      <w:r>
        <w:rPr>
          <w:rFonts w:ascii="Arial" w:cs="Arial" w:eastAsia="Arial" w:hAnsi="Arial"/>
          <w:sz w:val="18"/>
          <w:szCs w:val="18"/>
          <w:color w:val="auto"/>
        </w:rPr>
        <w:t>NFORMATION</w:t>
      </w:r>
      <w:r>
        <w:rPr>
          <w:rFonts w:ascii="Arial" w:cs="Arial" w:eastAsia="Arial" w:hAnsi="Arial"/>
          <w:sz w:val="22"/>
          <w:szCs w:val="22"/>
          <w:color w:val="auto"/>
        </w:rPr>
        <w:t>.</w:t>
      </w:r>
    </w:p>
    <w:p>
      <w:pPr>
        <w:spacing w:after="0" w:line="260"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color w:val="auto"/>
        </w:rPr>
        <w:t xml:space="preserve">For the purposes of this Section 18,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w:t>
      </w:r>
    </w:p>
    <w:p>
      <w:pPr>
        <w:spacing w:after="0" w:line="2" w:lineRule="exact"/>
        <w:rPr>
          <w:sz w:val="20"/>
          <w:szCs w:val="20"/>
          <w:color w:val="auto"/>
        </w:rPr>
      </w:pPr>
    </w:p>
    <w:p>
      <w:pPr>
        <w:jc w:val="both"/>
        <w:ind w:left="100" w:right="99" w:firstLine="5"/>
        <w:spacing w:after="0" w:line="268" w:lineRule="auto"/>
        <w:tabs>
          <w:tab w:leader="none" w:pos="4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constitutes financial statements delivered to such Purchaser under Section 7.1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Section 18,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Section 18), (v) any Person from which it offers to purchase any security of the Company (if such Person has agreed in writing prior to its receipt of such Confidential Information to be bound by the provisions of this Section 18),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0" w:name="page111"/>
    <w:bookmarkEnd w:id="110"/>
    <w:p>
      <w:pPr>
        <w:jc w:val="both"/>
        <w:ind w:left="100" w:right="99"/>
        <w:spacing w:after="0" w:line="279" w:lineRule="auto"/>
        <w:rPr>
          <w:sz w:val="20"/>
          <w:szCs w:val="20"/>
          <w:color w:val="auto"/>
        </w:rPr>
      </w:pPr>
      <w:r>
        <w:rPr>
          <w:rFonts w:ascii="Arial" w:cs="Arial" w:eastAsia="Arial" w:hAnsi="Arial"/>
          <w:sz w:val="19"/>
          <w:szCs w:val="19"/>
          <w:color w:val="auto"/>
        </w:rPr>
        <w:t>Financing Agreement. Each holder of a Bond, by its acceptance of a Bond, will be deemed to have agreed to be bound by and to be entitled to the benefits of this Section 18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Section 18.</w:t>
      </w:r>
    </w:p>
    <w:p>
      <w:pPr>
        <w:spacing w:after="0" w:line="178" w:lineRule="exact"/>
        <w:rPr>
          <w:sz w:val="20"/>
          <w:szCs w:val="20"/>
          <w:color w:val="auto"/>
        </w:rPr>
      </w:pPr>
    </w:p>
    <w:p>
      <w:pPr>
        <w:jc w:val="both"/>
        <w:ind w:left="100" w:right="99" w:firstLine="648"/>
        <w:spacing w:after="0" w:line="234" w:lineRule="auto"/>
        <w:rPr>
          <w:sz w:val="20"/>
          <w:szCs w:val="20"/>
          <w:color w:val="auto"/>
        </w:rPr>
      </w:pPr>
      <w:r>
        <w:rPr>
          <w:rFonts w:ascii="Arial" w:cs="Arial" w:eastAsia="Arial" w:hAnsi="Arial"/>
          <w:sz w:val="22"/>
          <w:szCs w:val="22"/>
          <w:color w:val="auto"/>
        </w:rPr>
        <w:t>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Section 18, this Section 18 shall not be amended thereby and, as between such Purchaser or such holder and the Company, this Section 18 shall supersede any such other confidentiality undertaking.</w:t>
      </w:r>
    </w:p>
    <w:p>
      <w:pPr>
        <w:spacing w:after="0" w:line="272"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ECTION</w:t>
      </w:r>
      <w:r>
        <w:rPr>
          <w:rFonts w:ascii="Arial" w:cs="Arial" w:eastAsia="Arial" w:hAnsi="Arial"/>
          <w:sz w:val="22"/>
          <w:szCs w:val="22"/>
          <w:color w:val="auto"/>
        </w:rPr>
        <w:t xml:space="preserve"> 19.</w:t>
      </w:r>
      <w:r>
        <w:rPr>
          <w:sz w:val="20"/>
          <w:szCs w:val="20"/>
          <w:color w:val="auto"/>
        </w:rPr>
        <w:tab/>
      </w:r>
      <w:r>
        <w:rPr>
          <w:rFonts w:ascii="Arial" w:cs="Arial" w:eastAsia="Arial" w:hAnsi="Arial"/>
          <w:sz w:val="21"/>
          <w:szCs w:val="21"/>
          <w:color w:val="auto"/>
        </w:rPr>
        <w:t>M</w:t>
      </w:r>
      <w:r>
        <w:rPr>
          <w:rFonts w:ascii="Arial" w:cs="Arial" w:eastAsia="Arial" w:hAnsi="Arial"/>
          <w:sz w:val="17"/>
          <w:szCs w:val="17"/>
          <w:color w:val="auto"/>
        </w:rPr>
        <w:t>ISCELLANEOUS</w:t>
      </w:r>
      <w:r>
        <w:rPr>
          <w:rFonts w:ascii="Arial" w:cs="Arial" w:eastAsia="Arial" w:hAnsi="Arial"/>
          <w:sz w:val="21"/>
          <w:szCs w:val="21"/>
          <w:color w:val="auto"/>
        </w:rPr>
        <w:t>.</w:t>
      </w:r>
    </w:p>
    <w:p>
      <w:pPr>
        <w:spacing w:after="0" w:line="247" w:lineRule="exact"/>
        <w:rPr>
          <w:sz w:val="20"/>
          <w:szCs w:val="20"/>
          <w:color w:val="auto"/>
        </w:rPr>
      </w:pPr>
    </w:p>
    <w:p>
      <w:pPr>
        <w:jc w:val="both"/>
        <w:ind w:left="100" w:right="99" w:firstLine="648"/>
        <w:spacing w:after="0" w:line="275"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by or on behalf of any of the parties hereto bind and inure to the benefit of their respective successors and assigns (including, without limitation, any subsequent holder of a Bond) whether so expressed or not, except that, subject to Section 10.2,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99" w:lineRule="exact"/>
        <w:rPr>
          <w:sz w:val="20"/>
          <w:szCs w:val="20"/>
          <w:color w:val="auto"/>
        </w:rPr>
      </w:pPr>
    </w:p>
    <w:p>
      <w:pPr>
        <w:jc w:val="both"/>
        <w:ind w:left="100" w:right="99" w:firstLine="648"/>
        <w:spacing w:after="0" w:line="246" w:lineRule="exact"/>
        <w:rPr>
          <w:sz w:val="20"/>
          <w:szCs w:val="20"/>
          <w:color w:val="auto"/>
        </w:rPr>
      </w:pPr>
      <w:r>
        <w:rPr>
          <w:rFonts w:ascii="Arial" w:cs="Arial" w:eastAsia="Arial" w:hAnsi="Arial"/>
          <w:sz w:val="19"/>
          <w:szCs w:val="19"/>
          <w:i w:val="1"/>
          <w:iCs w:val="1"/>
          <w:color w:val="auto"/>
        </w:rPr>
        <w:t>Section 19.2. Accounting Terms</w:t>
      </w:r>
      <w:r>
        <w:rPr>
          <w:rFonts w:ascii="Arial" w:cs="Arial" w:eastAsia="Arial" w:hAnsi="Arial"/>
          <w:sz w:val="19"/>
          <w:szCs w:val="19"/>
          <w:color w:val="auto"/>
        </w:rPr>
        <w:t>. All accounting terms used herein which are not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19"/>
          <w:szCs w:val="19"/>
          <w:color w:val="auto"/>
        </w:rPr>
        <w:t>‑</w:t>
      </w:r>
      <w:r>
        <w:rPr>
          <w:rFonts w:ascii="Arial" w:cs="Arial" w:eastAsia="Arial" w:hAnsi="Arial"/>
          <w:sz w:val="19"/>
          <w:szCs w:val="19"/>
          <w:color w:val="auto"/>
        </w:rPr>
        <w:t>10</w:t>
      </w:r>
      <w:r>
        <w:rPr>
          <w:rFonts w:ascii="MS PGothic" w:cs="MS PGothic" w:eastAsia="MS PGothic" w:hAnsi="MS PGothic"/>
          <w:sz w:val="19"/>
          <w:szCs w:val="19"/>
          <w:color w:val="auto"/>
        </w:rPr>
        <w:t>‑</w:t>
      </w:r>
      <w:r>
        <w:rPr>
          <w:rFonts w:ascii="Arial" w:cs="Arial" w:eastAsia="Arial" w:hAnsi="Arial"/>
          <w:sz w:val="19"/>
          <w:szCs w:val="19"/>
          <w:color w:val="auto"/>
        </w:rPr>
        <w:t xml:space="preserve">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Instruments: Recognition and Measurement </w:t>
      </w:r>
      <w:r>
        <w:rPr>
          <w:rFonts w:ascii="Arial" w:cs="Arial" w:eastAsia="Arial" w:hAnsi="Arial"/>
          <w:sz w:val="19"/>
          <w:szCs w:val="19"/>
          <w:color w:val="auto"/>
        </w:rPr>
        <w:t>or any similar accounting standard) shall be disregarded</w:t>
      </w:r>
      <w:r>
        <w:rPr>
          <w:rFonts w:ascii="Arial" w:cs="Arial" w:eastAsia="Arial" w:hAnsi="Arial"/>
          <w:sz w:val="19"/>
          <w:szCs w:val="19"/>
          <w:i w:val="1"/>
          <w:iCs w:val="1"/>
          <w:color w:val="auto"/>
        </w:rPr>
        <w:t xml:space="preserve"> </w:t>
      </w:r>
      <w:r>
        <w:rPr>
          <w:rFonts w:ascii="Arial" w:cs="Arial" w:eastAsia="Arial" w:hAnsi="Arial"/>
          <w:sz w:val="19"/>
          <w:szCs w:val="19"/>
          <w:color w:val="auto"/>
        </w:rPr>
        <w:t>and such determination shall be made as if such election had not been made and such Debt shall be valued at not less than 100% of the principal amount thereof.</w:t>
      </w:r>
    </w:p>
    <w:p>
      <w:pPr>
        <w:spacing w:after="0" w:line="227"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Section 19.3. Severability</w:t>
      </w:r>
      <w:r>
        <w:rPr>
          <w:rFonts w:ascii="Arial" w:cs="Arial" w:eastAsia="Arial" w:hAnsi="Arial"/>
          <w:sz w:val="21"/>
          <w:szCs w:val="21"/>
          <w:color w:val="auto"/>
        </w:rPr>
        <w:t>. Any provision of this Agreement that is prohibited or</w:t>
      </w:r>
      <w:r>
        <w:rPr>
          <w:rFonts w:ascii="Arial" w:cs="Arial" w:eastAsia="Arial" w:hAnsi="Arial"/>
          <w:sz w:val="21"/>
          <w:szCs w:val="21"/>
          <w:i w:val="1"/>
          <w:iCs w:val="1"/>
          <w:color w:val="auto"/>
        </w:rPr>
        <w:t xml:space="preserve"> </w:t>
      </w:r>
      <w:r>
        <w:rPr>
          <w:rFonts w:ascii="Arial" w:cs="Arial" w:eastAsia="Arial" w:hAnsi="Arial"/>
          <w:sz w:val="21"/>
          <w:szCs w:val="21"/>
          <w:color w:val="auto"/>
        </w:rPr>
        <w:t>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1" w:name="page112"/>
    <w:bookmarkEnd w:id="111"/>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Section 19.4. Construction, Etc</w:t>
      </w:r>
      <w:r>
        <w:rPr>
          <w:rFonts w:ascii="Arial" w:cs="Arial" w:eastAsia="Arial" w:hAnsi="Arial"/>
          <w:sz w:val="19"/>
          <w:szCs w:val="19"/>
          <w:color w:val="auto"/>
        </w:rPr>
        <w:t>. Each covenant contained herein shall be construed</w:t>
      </w:r>
      <w:r>
        <w:rPr>
          <w:rFonts w:ascii="Arial" w:cs="Arial" w:eastAsia="Arial" w:hAnsi="Arial"/>
          <w:sz w:val="19"/>
          <w:szCs w:val="19"/>
          <w:i w:val="1"/>
          <w:iCs w:val="1"/>
          <w:color w:val="auto"/>
        </w:rPr>
        <w:t xml:space="preserve"> </w:t>
      </w:r>
      <w:r>
        <w:rPr>
          <w:rFonts w:ascii="Arial" w:cs="Arial" w:eastAsia="Arial" w:hAnsi="Arial"/>
          <w:sz w:val="19"/>
          <w:szCs w:val="19"/>
          <w:color w:val="auto"/>
        </w:rPr>
        <w:t>(absent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8"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14"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This Agreement may be executed in any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185"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185" w:lineRule="exact"/>
        <w:rPr>
          <w:sz w:val="20"/>
          <w:szCs w:val="20"/>
          <w:color w:val="auto"/>
        </w:rPr>
      </w:pPr>
    </w:p>
    <w:p>
      <w:pPr>
        <w:jc w:val="both"/>
        <w:ind w:left="100" w:right="99" w:firstLine="648"/>
        <w:spacing w:after="0" w:line="233" w:lineRule="auto"/>
        <w:rPr>
          <w:sz w:val="20"/>
          <w:szCs w:val="20"/>
          <w:color w:val="auto"/>
        </w:rPr>
      </w:pPr>
      <w:r>
        <w:rPr>
          <w:rFonts w:ascii="Arial" w:cs="Arial" w:eastAsia="Arial" w:hAnsi="Arial"/>
          <w:sz w:val="22"/>
          <w:szCs w:val="22"/>
          <w:i w:val="1"/>
          <w:iCs w:val="1"/>
          <w:color w:val="auto"/>
        </w:rPr>
        <w:t>Section 19.7. Jurisdiction and Process; Waiver of Jury Trial</w:t>
      </w:r>
      <w:r>
        <w:rPr>
          <w:rFonts w:ascii="Arial" w:cs="Arial" w:eastAsia="Arial" w:hAnsi="Arial"/>
          <w:sz w:val="22"/>
          <w:szCs w:val="22"/>
          <w:color w:val="auto"/>
        </w:rPr>
        <w:t>. (a)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irrevocably 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94" w:lineRule="exact"/>
        <w:rPr>
          <w:sz w:val="20"/>
          <w:szCs w:val="20"/>
          <w:color w:val="auto"/>
        </w:rPr>
      </w:pPr>
    </w:p>
    <w:p>
      <w:pPr>
        <w:jc w:val="both"/>
        <w:ind w:left="100" w:right="99" w:firstLine="653"/>
        <w:spacing w:after="0" w:line="273" w:lineRule="auto"/>
        <w:tabs>
          <w:tab w:leader="none" w:pos="1378"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Bonds in any suit, action or proceeding of the nature referred to in Section 19.7(a) by mailing a copy thereof by registered or certified mail (or any substantially similar form of mail), postage prepaid, return receipt requested, to it at its address specified in Section 15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61" w:lineRule="exact"/>
        <w:rPr>
          <w:rFonts w:ascii="Arial" w:cs="Arial" w:eastAsia="Arial" w:hAnsi="Arial"/>
          <w:sz w:val="19"/>
          <w:szCs w:val="19"/>
          <w:color w:val="auto"/>
        </w:rPr>
      </w:pPr>
    </w:p>
    <w:p>
      <w:pPr>
        <w:jc w:val="both"/>
        <w:ind w:left="100" w:right="99" w:firstLine="653"/>
        <w:spacing w:after="0" w:line="297" w:lineRule="auto"/>
        <w:tabs>
          <w:tab w:leader="none" w:pos="1515"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Nothing in this Section 19.7 shall affect the right of any holder of a Bond to serve process in any manner permitted by law, or limit any right that the holders of any of the Bonds may have to bring proceedings against the Company in the courts of any appropriate jurisdiction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2" w:name="page113"/>
    <w:bookmarkEnd w:id="112"/>
    <w:p>
      <w:pPr>
        <w:ind w:left="100"/>
        <w:spacing w:after="0"/>
        <w:rPr>
          <w:sz w:val="20"/>
          <w:szCs w:val="20"/>
          <w:color w:val="auto"/>
        </w:rPr>
      </w:pPr>
      <w:r>
        <w:rPr>
          <w:rFonts w:ascii="Arial" w:cs="Arial" w:eastAsia="Arial" w:hAnsi="Arial"/>
          <w:sz w:val="19"/>
          <w:szCs w:val="19"/>
          <w:color w:val="auto"/>
        </w:rPr>
        <w:t>or to enforce in any lawful manner a judgment obtained in one jurisdiction in any other jurisdiction.</w:t>
      </w:r>
    </w:p>
    <w:p>
      <w:pPr>
        <w:spacing w:after="0" w:line="241" w:lineRule="exact"/>
        <w:rPr>
          <w:sz w:val="20"/>
          <w:szCs w:val="20"/>
          <w:color w:val="auto"/>
        </w:rPr>
      </w:pPr>
    </w:p>
    <w:p>
      <w:pPr>
        <w:ind w:left="100" w:right="99" w:firstLine="653"/>
        <w:spacing w:after="0" w:line="328" w:lineRule="auto"/>
        <w:tabs>
          <w:tab w:leader="none" w:pos="1432"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parties hereto hereby waive trial by jury in any action brought on or with respect to this Agreement, the Bonds or any other document executed in connection herewith or therewith.</w:t>
      </w:r>
    </w:p>
    <w:p>
      <w:pPr>
        <w:spacing w:after="0" w:line="132" w:lineRule="exact"/>
        <w:rPr>
          <w:sz w:val="20"/>
          <w:szCs w:val="20"/>
          <w:color w:val="auto"/>
        </w:rPr>
      </w:pPr>
    </w:p>
    <w:p>
      <w:pPr>
        <w:ind w:left="100" w:right="319" w:firstLine="648"/>
        <w:spacing w:after="0" w:line="269"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Bonds 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3" w:name="page114"/>
    <w:bookmarkEnd w:id="113"/>
    <w:p>
      <w:pPr>
        <w:jc w:val="both"/>
        <w:ind w:left="100" w:right="99" w:firstLine="648"/>
        <w:spacing w:after="0"/>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2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QUA</w:t>
      </w:r>
      <w:r>
        <w:rPr>
          <w:rFonts w:ascii="Arial" w:cs="Arial" w:eastAsia="Arial" w:hAnsi="Arial"/>
          <w:sz w:val="22"/>
          <w:szCs w:val="22"/>
          <w:color w:val="auto"/>
        </w:rPr>
        <w:t xml:space="preserve"> P</w:t>
      </w:r>
      <w:r>
        <w:rPr>
          <w:rFonts w:ascii="Arial" w:cs="Arial" w:eastAsia="Arial" w:hAnsi="Arial"/>
          <w:sz w:val="18"/>
          <w:szCs w:val="18"/>
          <w:color w:val="auto"/>
        </w:rPr>
        <w:t>ENNSYLVANIA,</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100" w:type="dxa"/>
            <w:vAlign w:val="bottom"/>
          </w:tcPr>
          <w:p>
            <w:pPr>
              <w:ind w:left="4220"/>
              <w:spacing w:after="0"/>
              <w:rPr>
                <w:sz w:val="20"/>
                <w:szCs w:val="20"/>
                <w:color w:val="auto"/>
              </w:rPr>
            </w:pPr>
            <w:r>
              <w:rPr>
                <w:rFonts w:ascii="Arial" w:cs="Arial" w:eastAsia="Arial" w:hAnsi="Arial"/>
                <w:sz w:val="22"/>
                <w:szCs w:val="22"/>
                <w:color w:val="auto"/>
              </w:rPr>
              <w:t>By</w:t>
            </w:r>
          </w:p>
        </w:tc>
        <w:tc>
          <w:tcPr>
            <w:tcW w:w="3720" w:type="dxa"/>
            <w:vAlign w:val="bottom"/>
          </w:tcPr>
          <w:p>
            <w:pPr>
              <w:spacing w:after="0"/>
              <w:rPr>
                <w:sz w:val="20"/>
                <w:szCs w:val="20"/>
                <w:color w:val="auto"/>
              </w:rPr>
            </w:pPr>
            <w:r>
              <w:rPr>
                <w:rFonts w:ascii="Arial" w:cs="Arial" w:eastAsia="Arial" w:hAnsi="Arial"/>
                <w:sz w:val="22"/>
                <w:szCs w:val="22"/>
                <w:color w:val="auto"/>
              </w:rPr>
              <w:t>/s/ David P. Smeltzer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00" w:type="dxa"/>
            <w:vAlign w:val="bottom"/>
            <w:vMerge w:val="restart"/>
          </w:tcPr>
          <w:p>
            <w:pPr>
              <w:ind w:left="4220"/>
              <w:spacing w:after="0"/>
              <w:rPr>
                <w:sz w:val="20"/>
                <w:szCs w:val="20"/>
                <w:color w:val="auto"/>
              </w:rPr>
            </w:pPr>
            <w:r>
              <w:rPr>
                <w:rFonts w:ascii="Arial" w:cs="Arial" w:eastAsia="Arial" w:hAnsi="Arial"/>
                <w:sz w:val="22"/>
                <w:szCs w:val="22"/>
                <w:color w:val="auto"/>
              </w:rPr>
              <w:t>Name:</w:t>
            </w:r>
          </w:p>
        </w:tc>
        <w:tc>
          <w:tcPr>
            <w:tcW w:w="3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100" w:type="dxa"/>
            <w:vAlign w:val="bottom"/>
            <w:vMerge w:val="continue"/>
          </w:tcPr>
          <w:p>
            <w:pPr>
              <w:spacing w:after="0"/>
              <w:rPr>
                <w:sz w:val="18"/>
                <w:szCs w:val="18"/>
                <w:color w:val="auto"/>
              </w:rPr>
            </w:pPr>
          </w:p>
        </w:tc>
        <w:tc>
          <w:tcPr>
            <w:tcW w:w="3720" w:type="dxa"/>
            <w:vAlign w:val="bottom"/>
          </w:tcPr>
          <w:p>
            <w:pPr>
              <w:spacing w:after="0" w:line="216" w:lineRule="exact"/>
              <w:rPr>
                <w:sz w:val="20"/>
                <w:szCs w:val="20"/>
                <w:color w:val="auto"/>
              </w:rPr>
            </w:pPr>
            <w:r>
              <w:rPr>
                <w:rFonts w:ascii="Arial" w:cs="Arial" w:eastAsia="Arial" w:hAnsi="Arial"/>
                <w:sz w:val="22"/>
                <w:szCs w:val="22"/>
                <w:color w:val="auto"/>
              </w:rPr>
              <w:t>David P. Smeltzer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100" w:type="dxa"/>
            <w:vAlign w:val="bottom"/>
          </w:tcPr>
          <w:p>
            <w:pPr>
              <w:ind w:left="4220"/>
              <w:spacing w:after="0"/>
              <w:rPr>
                <w:sz w:val="20"/>
                <w:szCs w:val="20"/>
                <w:color w:val="auto"/>
              </w:rPr>
            </w:pPr>
            <w:r>
              <w:rPr>
                <w:rFonts w:ascii="Arial" w:cs="Arial" w:eastAsia="Arial" w:hAnsi="Arial"/>
                <w:sz w:val="22"/>
                <w:szCs w:val="22"/>
                <w:color w:val="auto"/>
              </w:rPr>
              <w:t>Its:</w:t>
            </w:r>
          </w:p>
        </w:tc>
        <w:tc>
          <w:tcPr>
            <w:tcW w:w="3720" w:type="dxa"/>
            <w:vAlign w:val="bottom"/>
          </w:tcPr>
          <w:p>
            <w:pPr>
              <w:spacing w:after="0"/>
              <w:rPr>
                <w:sz w:val="20"/>
                <w:szCs w:val="20"/>
                <w:color w:val="auto"/>
              </w:rPr>
            </w:pPr>
            <w:r>
              <w:rPr>
                <w:rFonts w:ascii="Arial" w:cs="Arial" w:eastAsia="Arial" w:hAnsi="Arial"/>
                <w:sz w:val="22"/>
                <w:szCs w:val="22"/>
                <w:color w:val="auto"/>
              </w:rPr>
              <w:t>Executive Vice President and CFO</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5100" w:type="dxa"/>
            <w:vAlign w:val="bottom"/>
          </w:tcPr>
          <w:p>
            <w:pPr>
              <w:ind w:left="4240"/>
              <w:spacing w:after="0"/>
              <w:rPr>
                <w:sz w:val="20"/>
                <w:szCs w:val="20"/>
                <w:color w:val="auto"/>
              </w:rPr>
            </w:pPr>
            <w:r>
              <w:rPr>
                <w:rFonts w:ascii="Arial" w:cs="Arial" w:eastAsia="Arial" w:hAnsi="Arial"/>
                <w:sz w:val="22"/>
                <w:szCs w:val="22"/>
                <w:color w:val="auto"/>
              </w:rPr>
              <w:t>-29-</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10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4" w:name="page115"/>
    <w:bookmarkEnd w:id="114"/>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47"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NEW YORK LIFE INSURANCE COMPANY</w:t>
      </w:r>
    </w:p>
    <w:p>
      <w:pPr>
        <w:spacing w:after="0" w:line="223"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Pr>
          <w:p>
            <w:pPr>
              <w:spacing w:after="0"/>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200" w:type="dxa"/>
            <w:vAlign w:val="bottom"/>
            <w:vMerge w:val="continue"/>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spacing w:after="0"/>
              <w:rPr>
                <w:sz w:val="20"/>
                <w:szCs w:val="20"/>
                <w:color w:val="auto"/>
              </w:rPr>
            </w:pPr>
            <w:r>
              <w:rPr>
                <w:rFonts w:ascii="Arial" w:cs="Arial" w:eastAsia="Arial" w:hAnsi="Arial"/>
                <w:sz w:val="22"/>
                <w:szCs w:val="22"/>
                <w:color w:val="auto"/>
              </w:rPr>
              <w:t>Corporate Vice President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40" w:right="659"/>
        <w:spacing w:after="0" w:line="251" w:lineRule="auto"/>
        <w:rPr>
          <w:sz w:val="20"/>
          <w:szCs w:val="20"/>
          <w:color w:val="auto"/>
        </w:rPr>
      </w:pPr>
      <w:r>
        <w:rPr>
          <w:rFonts w:ascii="Arial" w:cs="Arial" w:eastAsia="Arial" w:hAnsi="Arial"/>
          <w:sz w:val="22"/>
          <w:szCs w:val="22"/>
          <w:color w:val="auto"/>
        </w:rPr>
        <w:t>NEW YORK LIFE INSURANCE AND ANNUITY CORPORATION</w:t>
      </w:r>
    </w:p>
    <w:p>
      <w:pPr>
        <w:spacing w:after="0" w:line="190"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Pr>
          <w:p>
            <w:pPr>
              <w:spacing w:after="0"/>
              <w:rPr>
                <w:sz w:val="20"/>
                <w:szCs w:val="20"/>
                <w:color w:val="auto"/>
              </w:rPr>
            </w:pPr>
            <w:r>
              <w:rPr>
                <w:rFonts w:ascii="Arial" w:cs="Arial" w:eastAsia="Arial" w:hAnsi="Arial"/>
                <w:sz w:val="22"/>
                <w:szCs w:val="22"/>
                <w:color w:val="auto"/>
              </w:rPr>
              <w:t>NYL Investors LLC, its Investment</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Pr>
          <w:p>
            <w:pPr>
              <w:spacing w:after="0"/>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200" w:type="dxa"/>
            <w:vAlign w:val="bottom"/>
            <w:vMerge w:val="continue"/>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40" w:right="339"/>
        <w:spacing w:after="0" w:line="258" w:lineRule="auto"/>
        <w:rPr>
          <w:sz w:val="20"/>
          <w:szCs w:val="20"/>
          <w:color w:val="auto"/>
        </w:rPr>
      </w:pPr>
      <w:r>
        <w:rPr>
          <w:rFonts w:ascii="Arial" w:cs="Arial" w:eastAsia="Arial" w:hAnsi="Arial"/>
          <w:sz w:val="21"/>
          <w:szCs w:val="21"/>
          <w:color w:val="auto"/>
        </w:rPr>
        <w:t>NEW YORK LIFE INSURANCE AND ANNUITY CORPORATION INSTITUTIONALLY OWNED LIFE INSURANCE SEPARATE ACCOUNT (BOLI 3)</w:t>
      </w:r>
    </w:p>
    <w:p>
      <w:pPr>
        <w:spacing w:after="0" w:line="184"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Pr>
          <w:p>
            <w:pPr>
              <w:spacing w:after="0"/>
              <w:rPr>
                <w:sz w:val="20"/>
                <w:szCs w:val="20"/>
                <w:color w:val="auto"/>
              </w:rPr>
            </w:pPr>
            <w:r>
              <w:rPr>
                <w:rFonts w:ascii="Arial" w:cs="Arial" w:eastAsia="Arial" w:hAnsi="Arial"/>
                <w:sz w:val="22"/>
                <w:szCs w:val="22"/>
                <w:color w:val="auto"/>
              </w:rPr>
              <w:t>NYL Investors LLC, its Investment</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455"/>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Pr>
          <w:p>
            <w:pPr>
              <w:spacing w:after="0"/>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200" w:type="dxa"/>
            <w:vAlign w:val="bottom"/>
            <w:vMerge w:val="continue"/>
          </w:tcPr>
          <w:p>
            <w:pPr>
              <w:spacing w:after="0"/>
              <w:rPr>
                <w:sz w:val="18"/>
                <w:szCs w:val="18"/>
                <w:color w:val="auto"/>
              </w:rPr>
            </w:pPr>
          </w:p>
        </w:tc>
        <w:tc>
          <w:tcPr>
            <w:tcW w:w="3880" w:type="dxa"/>
            <w:vAlign w:val="bottom"/>
          </w:tcPr>
          <w:p>
            <w:pPr>
              <w:spacing w:after="0" w:line="216" w:lineRule="exact"/>
              <w:rPr>
                <w:sz w:val="20"/>
                <w:szCs w:val="20"/>
                <w:color w:val="auto"/>
              </w:rPr>
            </w:pPr>
            <w:r>
              <w:rPr>
                <w:rFonts w:ascii="Arial" w:cs="Arial" w:eastAsia="Arial" w:hAnsi="Arial"/>
                <w:sz w:val="22"/>
                <w:szCs w:val="22"/>
                <w:color w:val="auto"/>
              </w:rPr>
              <w:t>Jessica L Maizel</w:t>
            </w: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spacing w:after="0"/>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40" w:right="339"/>
        <w:spacing w:after="0" w:line="258" w:lineRule="auto"/>
        <w:rPr>
          <w:sz w:val="20"/>
          <w:szCs w:val="20"/>
          <w:color w:val="auto"/>
        </w:rPr>
      </w:pPr>
      <w:r>
        <w:rPr>
          <w:rFonts w:ascii="Arial" w:cs="Arial" w:eastAsia="Arial" w:hAnsi="Arial"/>
          <w:sz w:val="21"/>
          <w:szCs w:val="21"/>
          <w:color w:val="auto"/>
        </w:rPr>
        <w:t>NEW YORK LIFE INSURANCE AND ANNUITY CORPORATION INSTITUTIONALLY OWNED LIFE INSURANCE SEPARATE ACCOUNT (BOLI 3-2)</w:t>
      </w:r>
    </w:p>
    <w:p>
      <w:pPr>
        <w:sectPr>
          <w:pgSz w:w="11900" w:h="16838" w:orient="portrait"/>
          <w:cols w:equalWidth="0" w:num="1">
            <w:col w:w="9019"/>
          </w:cols>
          <w:pgMar w:left="1440" w:top="361" w:right="1440" w:bottom="1440" w:gutter="0" w:footer="0" w:header="0"/>
        </w:sectPr>
      </w:pPr>
    </w:p>
    <w:p>
      <w:pPr>
        <w:spacing w:after="0" w:line="194"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899"/>
        <w:spacing w:after="0" w:line="251" w:lineRule="auto"/>
        <w:rPr>
          <w:sz w:val="20"/>
          <w:szCs w:val="20"/>
          <w:color w:val="auto"/>
        </w:rPr>
      </w:pPr>
      <w:r>
        <w:rPr>
          <w:rFonts w:ascii="Arial" w:cs="Arial" w:eastAsia="Arial" w:hAnsi="Arial"/>
          <w:sz w:val="22"/>
          <w:szCs w:val="22"/>
          <w:color w:val="auto"/>
        </w:rPr>
        <w:t>NYL Investors LLC, its Investment Manager</w:t>
      </w:r>
    </w:p>
    <w:p>
      <w:pPr>
        <w:spacing w:after="0" w:line="200" w:lineRule="exact"/>
        <w:rPr>
          <w:sz w:val="20"/>
          <w:szCs w:val="20"/>
          <w:color w:val="auto"/>
        </w:rPr>
      </w:pPr>
    </w:p>
    <w:p>
      <w:pPr>
        <w:sectPr>
          <w:pgSz w:w="11900" w:h="16838" w:orient="portrait"/>
          <w:cols w:equalWidth="0" w:num="2">
            <w:col w:w="4320" w:space="720"/>
            <w:col w:w="3979"/>
          </w:cols>
          <w:pgMar w:left="1440" w:top="361" w:right="1440" w:bottom="1440" w:gutter="0" w:footer="0" w:header="0"/>
          <w:type w:val="continuous"/>
        </w:sectPr>
      </w:pPr>
    </w:p>
    <w:p>
      <w:pPr>
        <w:ind w:left="38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Jessica L. Maizel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Jessica L Maizel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w:t>
      </w:r>
    </w:p>
    <w:p>
      <w:pPr>
        <w:spacing w:after="0" w:line="200" w:lineRule="exact"/>
        <w:rPr>
          <w:sz w:val="20"/>
          <w:szCs w:val="20"/>
          <w:color w:val="auto"/>
        </w:rPr>
      </w:pPr>
    </w:p>
    <w:p>
      <w:pPr>
        <w:sectPr>
          <w:pgSz w:w="11900" w:h="16838" w:orient="portrait"/>
          <w:cols w:equalWidth="0" w:num="2">
            <w:col w:w="4400" w:space="640"/>
            <w:col w:w="3979"/>
          </w:cols>
          <w:pgMar w:left="1440" w:top="3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64261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EFINED</w:t>
      </w:r>
      <w:r>
        <w:rPr>
          <w:rFonts w:ascii="Arial" w:cs="Arial" w:eastAsia="Arial" w:hAnsi="Arial"/>
          <w:sz w:val="22"/>
          <w:szCs w:val="22"/>
          <w:b w:val="1"/>
          <w:bCs w:val="1"/>
          <w:color w:val="auto"/>
        </w:rPr>
        <w:t xml:space="preserve"> T</w:t>
      </w:r>
      <w:r>
        <w:rPr>
          <w:rFonts w:ascii="Arial" w:cs="Arial" w:eastAsia="Arial" w:hAnsi="Arial"/>
          <w:sz w:val="18"/>
          <w:szCs w:val="18"/>
          <w:b w:val="1"/>
          <w:bCs w:val="1"/>
          <w:color w:val="auto"/>
        </w:rPr>
        <w:t>ERMS</w:t>
      </w:r>
    </w:p>
    <w:p>
      <w:pPr>
        <w:spacing w:after="0" w:line="266"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“4.04% Series due 2055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“4.06% Series due 2057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“4.06% Series due 2054 Bonds” </w:t>
      </w:r>
      <w:r>
        <w:rPr>
          <w:rFonts w:ascii="Arial" w:cs="Arial" w:eastAsia="Arial" w:hAnsi="Arial"/>
          <w:sz w:val="22"/>
          <w:szCs w:val="22"/>
          <w:color w:val="auto"/>
        </w:rPr>
        <w:t>is defined in Section 1.</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“4.07% Series due 2055 Bonds” </w:t>
      </w:r>
      <w:r>
        <w:rPr>
          <w:rFonts w:ascii="Arial" w:cs="Arial" w:eastAsia="Arial" w:hAnsi="Arial"/>
          <w:sz w:val="22"/>
          <w:szCs w:val="22"/>
          <w:color w:val="auto"/>
        </w:rPr>
        <w:t>is defined in Section 1.</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“4.09% Series due 2057 Bonds”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702"/>
        <w:spacing w:after="0" w:line="247"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20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4" w:lineRule="exact"/>
        <w:rPr>
          <w:sz w:val="20"/>
          <w:szCs w:val="20"/>
          <w:color w:val="auto"/>
        </w:rPr>
      </w:pPr>
    </w:p>
    <w:p>
      <w:pPr>
        <w:jc w:val="both"/>
        <w:ind w:left="100" w:right="99" w:firstLine="648"/>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27"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13"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 Section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16" w:name="page117"/>
    <w:bookmarkEnd w:id="116"/>
    <w:p>
      <w:pPr>
        <w:jc w:val="both"/>
        <w:ind w:left="100" w:right="99" w:firstLine="648"/>
        <w:spacing w:after="0"/>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a Saturday, a Sunday or a day on which commercial banks in New York, New York or Philadelphia, Pennsylvania are required or authorized to be closed.</w:t>
      </w:r>
    </w:p>
    <w:p>
      <w:pPr>
        <w:spacing w:after="0" w:line="21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27"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obligation of such Person as the lessee under such Capital Lease which would, in accordance with GAAP, appear as a liability on a balance sheet of such Person.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 Section 3.</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Pennsylvania.</w:t>
      </w:r>
    </w:p>
    <w:p>
      <w:pPr>
        <w:spacing w:after="0" w:line="214"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Controlled Entity</w:t>
      </w:r>
      <w:r>
        <w:rPr>
          <w:rFonts w:ascii="Arial" w:cs="Arial" w:eastAsia="Arial" w:hAnsi="Arial"/>
          <w:sz w:val="19"/>
          <w:szCs w:val="19"/>
          <w:color w:val="auto"/>
        </w:rPr>
        <w:t>” means any of the Subsidiaries of the Company and any of their or the Company’s respective Controlled Affiliates. As used in this definition, “Control” means the possession, directly or indirectly, of the power to direct or cause the direction of the management and policies of a Person, whether through the ownership of voting securities, by contract or otherwise.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47" w:lineRule="exact"/>
        <w:rPr>
          <w:sz w:val="20"/>
          <w:szCs w:val="20"/>
          <w:color w:val="auto"/>
        </w:rPr>
      </w:pPr>
    </w:p>
    <w:p>
      <w:pPr>
        <w:ind w:left="2020" w:hanging="619"/>
        <w:spacing w:after="0"/>
        <w:tabs>
          <w:tab w:leader="none" w:pos="20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46" w:lineRule="exact"/>
        <w:rPr>
          <w:rFonts w:ascii="Arial" w:cs="Arial" w:eastAsia="Arial" w:hAnsi="Arial"/>
          <w:sz w:val="22"/>
          <w:szCs w:val="22"/>
          <w:color w:val="auto"/>
        </w:rPr>
      </w:pPr>
    </w:p>
    <w:p>
      <w:pPr>
        <w:jc w:val="both"/>
        <w:ind w:left="760" w:right="99" w:firstLine="641"/>
        <w:spacing w:after="0" w:line="287" w:lineRule="auto"/>
        <w:tabs>
          <w:tab w:leader="none" w:pos="2254" w:val="left"/>
        </w:tabs>
        <w:numPr>
          <w:ilvl w:val="0"/>
          <w:numId w:val="79"/>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70" w:lineRule="exact"/>
        <w:rPr>
          <w:rFonts w:ascii="Arial" w:cs="Arial" w:eastAsia="Arial" w:hAnsi="Arial"/>
          <w:sz w:val="19"/>
          <w:szCs w:val="19"/>
          <w:color w:val="auto"/>
        </w:rPr>
      </w:pPr>
    </w:p>
    <w:p>
      <w:pPr>
        <w:ind w:left="2020" w:hanging="619"/>
        <w:spacing w:after="0"/>
        <w:tabs>
          <w:tab w:leader="none" w:pos="20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46" w:lineRule="exact"/>
        <w:rPr>
          <w:rFonts w:ascii="Arial" w:cs="Arial" w:eastAsia="Arial" w:hAnsi="Arial"/>
          <w:sz w:val="22"/>
          <w:szCs w:val="22"/>
          <w:color w:val="auto"/>
        </w:rPr>
      </w:pPr>
    </w:p>
    <w:p>
      <w:pPr>
        <w:jc w:val="both"/>
        <w:ind w:left="760" w:right="99" w:firstLine="641"/>
        <w:spacing w:after="0"/>
        <w:tabs>
          <w:tab w:leader="none" w:pos="221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26" w:lineRule="exact"/>
        <w:rPr>
          <w:rFonts w:ascii="Arial" w:cs="Arial" w:eastAsia="Arial" w:hAnsi="Arial"/>
          <w:sz w:val="22"/>
          <w:szCs w:val="22"/>
          <w:color w:val="auto"/>
        </w:rPr>
      </w:pPr>
    </w:p>
    <w:p>
      <w:pPr>
        <w:jc w:val="both"/>
        <w:ind w:left="760" w:right="99" w:firstLine="641"/>
        <w:spacing w:after="0"/>
        <w:tabs>
          <w:tab w:leader="none" w:pos="2053"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13" w:lineRule="exact"/>
        <w:rPr>
          <w:rFonts w:ascii="Arial" w:cs="Arial" w:eastAsia="Arial" w:hAnsi="Arial"/>
          <w:sz w:val="22"/>
          <w:szCs w:val="22"/>
          <w:color w:val="auto"/>
        </w:rPr>
      </w:pPr>
    </w:p>
    <w:p>
      <w:pPr>
        <w:ind w:left="2000" w:hanging="599"/>
        <w:spacing w:after="0"/>
        <w:tabs>
          <w:tab w:leader="none" w:pos="20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7" w:name="page118"/>
    <w:bookmarkEnd w:id="117"/>
    <w:p>
      <w:pPr>
        <w:ind w:left="760" w:right="99" w:firstLine="641"/>
        <w:spacing w:after="0" w:line="251" w:lineRule="auto"/>
        <w:tabs>
          <w:tab w:leader="none" w:pos="20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0"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lapse of time or the giving of notice or both, become an Event of Default.</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 Section 5.3.</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EMMA</w:t>
      </w:r>
      <w:r>
        <w:rPr>
          <w:rFonts w:ascii="Arial" w:cs="Arial" w:eastAsia="Arial" w:hAnsi="Arial"/>
          <w:sz w:val="22"/>
          <w:szCs w:val="22"/>
          <w:color w:val="auto"/>
        </w:rPr>
        <w:t>” is defined in Section 7.1(a).</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28"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3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w:t>
      </w:r>
      <w:r>
        <w:rPr>
          <w:rFonts w:ascii="Arial" w:cs="Arial" w:eastAsia="Arial" w:hAnsi="Arial"/>
          <w:sz w:val="22"/>
          <w:szCs w:val="22"/>
          <w:i w:val="1"/>
          <w:iCs w:val="1"/>
          <w:color w:val="auto"/>
        </w:rPr>
        <w:t xml:space="preserve"> </w:t>
      </w:r>
      <w:r>
        <w:rPr>
          <w:rFonts w:ascii="Arial" w:cs="Arial" w:eastAsia="Arial" w:hAnsi="Arial"/>
          <w:sz w:val="22"/>
          <w:szCs w:val="22"/>
          <w:color w:val="auto"/>
        </w:rPr>
        <w:t>a single employer together with the Company under section 414 of the Code.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Supplement), and the Bonds.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“First Closing” </w:t>
      </w:r>
      <w:r>
        <w:rPr>
          <w:rFonts w:ascii="Arial" w:cs="Arial" w:eastAsia="Arial" w:hAnsi="Arial"/>
          <w:sz w:val="22"/>
          <w:szCs w:val="22"/>
          <w:color w:val="auto"/>
        </w:rPr>
        <w:t>is defined in Section 3.</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33" w:lineRule="exact"/>
        <w:rPr>
          <w:sz w:val="20"/>
          <w:szCs w:val="20"/>
          <w:color w:val="auto"/>
        </w:rPr>
      </w:pPr>
    </w:p>
    <w:p>
      <w:pPr>
        <w:ind w:left="2020" w:hanging="619"/>
        <w:spacing w:after="0"/>
        <w:tabs>
          <w:tab w:leader="none" w:pos="20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46" w:lineRule="exact"/>
        <w:rPr>
          <w:rFonts w:ascii="Arial" w:cs="Arial" w:eastAsia="Arial" w:hAnsi="Arial"/>
          <w:sz w:val="22"/>
          <w:szCs w:val="22"/>
          <w:color w:val="auto"/>
        </w:rPr>
      </w:pPr>
    </w:p>
    <w:p>
      <w:pPr>
        <w:ind w:left="2680" w:hanging="631"/>
        <w:spacing w:after="0"/>
        <w:tabs>
          <w:tab w:leader="none" w:pos="268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 subdivision</w:t>
      </w:r>
    </w:p>
    <w:p>
      <w:pPr>
        <w:spacing w:after="0" w:line="42"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thereof, 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8" w:name="page119"/>
    <w:bookmarkEnd w:id="118"/>
    <w:p>
      <w:pPr>
        <w:jc w:val="both"/>
        <w:ind w:left="1400" w:right="99" w:firstLine="649"/>
        <w:spacing w:after="0"/>
        <w:tabs>
          <w:tab w:leader="none" w:pos="2636"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13" w:lineRule="exact"/>
        <w:rPr>
          <w:rFonts w:ascii="Arial" w:cs="Arial" w:eastAsia="Arial" w:hAnsi="Arial"/>
          <w:sz w:val="22"/>
          <w:szCs w:val="22"/>
          <w:color w:val="auto"/>
        </w:rPr>
      </w:pPr>
    </w:p>
    <w:p>
      <w:pPr>
        <w:ind w:left="760" w:right="99" w:firstLine="641"/>
        <w:spacing w:after="0" w:line="251" w:lineRule="auto"/>
        <w:tabs>
          <w:tab w:leader="none" w:pos="264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14"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26"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“Guaranty” </w:t>
      </w:r>
      <w:r>
        <w:rPr>
          <w:rFonts w:ascii="Arial" w:cs="Arial" w:eastAsia="Arial" w:hAnsi="Arial"/>
          <w:sz w:val="21"/>
          <w:szCs w:val="21"/>
          <w:color w:val="auto"/>
        </w:rPr>
        <w:t>means, with respect to any Person, any obligation (except the endorsement in the</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06" w:lineRule="exact"/>
        <w:rPr>
          <w:sz w:val="20"/>
          <w:szCs w:val="20"/>
          <w:color w:val="auto"/>
        </w:rPr>
      </w:pPr>
    </w:p>
    <w:p>
      <w:pPr>
        <w:jc w:val="both"/>
        <w:ind w:left="760" w:right="99" w:firstLine="641"/>
        <w:spacing w:after="0" w:line="258" w:lineRule="auto"/>
        <w:tabs>
          <w:tab w:leader="none" w:pos="228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07" w:lineRule="exact"/>
        <w:rPr>
          <w:rFonts w:ascii="Arial" w:cs="Arial" w:eastAsia="Arial" w:hAnsi="Arial"/>
          <w:sz w:val="21"/>
          <w:szCs w:val="21"/>
          <w:color w:val="auto"/>
        </w:rPr>
      </w:pPr>
    </w:p>
    <w:p>
      <w:pPr>
        <w:jc w:val="both"/>
        <w:ind w:left="760" w:right="99" w:firstLine="641"/>
        <w:spacing w:after="0" w:line="252" w:lineRule="auto"/>
        <w:tabs>
          <w:tab w:leader="none" w:pos="217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14" w:lineRule="exact"/>
        <w:rPr>
          <w:rFonts w:ascii="Arial" w:cs="Arial" w:eastAsia="Arial" w:hAnsi="Arial"/>
          <w:sz w:val="21"/>
          <w:szCs w:val="21"/>
          <w:color w:val="auto"/>
        </w:rPr>
      </w:pPr>
    </w:p>
    <w:p>
      <w:pPr>
        <w:jc w:val="both"/>
        <w:ind w:left="760" w:right="99" w:firstLine="641"/>
        <w:spacing w:after="0"/>
        <w:tabs>
          <w:tab w:leader="none" w:pos="22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13" w:lineRule="exact"/>
        <w:rPr>
          <w:rFonts w:ascii="Arial" w:cs="Arial" w:eastAsia="Arial" w:hAnsi="Arial"/>
          <w:sz w:val="22"/>
          <w:szCs w:val="22"/>
          <w:color w:val="auto"/>
        </w:rPr>
      </w:pPr>
    </w:p>
    <w:p>
      <w:pPr>
        <w:ind w:left="2040" w:hanging="639"/>
        <w:spacing w:after="0"/>
        <w:tabs>
          <w:tab w:leader="none" w:pos="20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 in respect</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29"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Debt outstanding for purposes of this Agreement shall not exceed the maximum amount of Debt that is the subject of such Guaranty.</w:t>
      </w:r>
    </w:p>
    <w:p>
      <w:pPr>
        <w:spacing w:after="0" w:line="184"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19" w:name="page120"/>
    <w:bookmarkEnd w:id="119"/>
    <w:p>
      <w:pPr>
        <w:jc w:val="both"/>
        <w:ind w:left="100" w:right="99"/>
        <w:spacing w:after="0" w:line="251" w:lineRule="auto"/>
        <w:rPr>
          <w:sz w:val="20"/>
          <w:szCs w:val="20"/>
          <w:color w:val="auto"/>
        </w:rPr>
      </w:pPr>
      <w:r>
        <w:rPr>
          <w:rFonts w:ascii="Arial" w:cs="Arial" w:eastAsia="Arial" w:hAnsi="Arial"/>
          <w:sz w:val="22"/>
          <w:szCs w:val="22"/>
          <w:color w:val="auto"/>
        </w:rPr>
        <w:t>petroleum products, lead based paint, radon gas or similar restricted, prohibited or penalized substances.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“Institutional Investor” </w:t>
      </w:r>
      <w:r>
        <w:rPr>
          <w:rFonts w:ascii="Arial" w:cs="Arial" w:eastAsia="Arial" w:hAnsi="Arial"/>
          <w:sz w:val="22"/>
          <w:szCs w:val="22"/>
          <w:color w:val="auto"/>
        </w:rPr>
        <w:t>means (a) any Purchaser of a Bond, (b) any holder of a Bond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15"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“Lien” </w:t>
      </w:r>
      <w:r>
        <w:rPr>
          <w:rFonts w:ascii="Arial" w:cs="Arial" w:eastAsia="Arial" w:hAnsi="Arial"/>
          <w:sz w:val="21"/>
          <w:szCs w:val="21"/>
          <w:color w:val="auto"/>
        </w:rPr>
        <w:t>means, with respect to any Person, any mortgage, lien, pledge, charge,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the Supplement.</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w:t>
      </w:r>
      <w:r>
        <w:rPr>
          <w:rFonts w:ascii="Arial" w:cs="Arial" w:eastAsia="Arial" w:hAnsi="Arial"/>
          <w:sz w:val="22"/>
          <w:szCs w:val="22"/>
          <w:i w:val="1"/>
          <w:iCs w:val="1"/>
          <w:color w:val="auto"/>
        </w:rPr>
        <w:t xml:space="preserve"> </w:t>
      </w:r>
      <w:r>
        <w:rPr>
          <w:rFonts w:ascii="Arial" w:cs="Arial" w:eastAsia="Arial" w:hAnsi="Arial"/>
          <w:sz w:val="22"/>
          <w:szCs w:val="22"/>
          <w:color w:val="auto"/>
        </w:rPr>
        <w:t>assets or properties of the Company and its Subsidiaries taken as a whole.</w:t>
      </w:r>
    </w:p>
    <w:p>
      <w:pPr>
        <w:spacing w:after="0" w:line="200"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w:t>
      </w:r>
    </w:p>
    <w:p>
      <w:pPr>
        <w:spacing w:after="0" w:line="2" w:lineRule="exact"/>
        <w:rPr>
          <w:sz w:val="20"/>
          <w:szCs w:val="20"/>
          <w:color w:val="auto"/>
        </w:rPr>
      </w:pPr>
    </w:p>
    <w:p>
      <w:pPr>
        <w:ind w:left="100" w:right="99" w:firstLine="5"/>
        <w:spacing w:after="0" w:line="237" w:lineRule="auto"/>
        <w:tabs>
          <w:tab w:leader="none" w:pos="43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ability of the Company to perform its obligations under this Agreement, the Bonds or the Indenture or (c) the validity or enforceability of any Financing Agreement.</w:t>
      </w:r>
    </w:p>
    <w:p>
      <w:pPr>
        <w:spacing w:after="0" w:line="22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“multiemployer plan” (as such term is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4001(a)(3) of ERISA).</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00"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U.S. Plan” </w:t>
      </w:r>
      <w:r>
        <w:rPr>
          <w:rFonts w:ascii="Arial" w:cs="Arial" w:eastAsia="Arial" w:hAnsi="Arial"/>
          <w:sz w:val="21"/>
          <w:szCs w:val="21"/>
          <w:color w:val="auto"/>
        </w:rPr>
        <w:t>means any plan, fund or other similar program that (a) is established or</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3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20" w:name="page121"/>
    <w:bookmarkEnd w:id="120"/>
    <w:p>
      <w:pPr>
        <w:jc w:val="both"/>
        <w:ind w:left="100" w:right="99"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OFAC Sanctions Program</w:t>
      </w:r>
      <w:r>
        <w:rPr>
          <w:rFonts w:ascii="Arial" w:cs="Arial" w:eastAsia="Arial" w:hAnsi="Arial"/>
          <w:sz w:val="21"/>
          <w:szCs w:val="21"/>
          <w:color w:val="auto"/>
        </w:rPr>
        <w:t xml:space="preserve">” means any economic or trade sanction that OFAC is responsible for administering and enforcing. A list of OFAC Sanctions Programs may be found at </w:t>
      </w:r>
      <w:r>
        <w:rPr>
          <w:rFonts w:ascii="Arial" w:cs="Arial" w:eastAsia="Arial" w:hAnsi="Arial"/>
          <w:sz w:val="21"/>
          <w:szCs w:val="21"/>
          <w:u w:val="single" w:color="auto"/>
          <w:color w:val="auto"/>
        </w:rPr>
        <w:t>http://www.treasury.gov/resource-center/sanctions/Programs/Pages/Programs.aspx</w:t>
      </w:r>
      <w:r>
        <w:rPr>
          <w:rFonts w:ascii="Arial" w:cs="Arial" w:eastAsia="Arial" w:hAnsi="Arial"/>
          <w:sz w:val="21"/>
          <w:szCs w:val="21"/>
          <w:color w:val="auto"/>
        </w:rPr>
        <w:t>.</w:t>
      </w:r>
    </w:p>
    <w:p>
      <w:pPr>
        <w:spacing w:after="0" w:line="194"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 officer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whose responsibilities extend to the subject matter of such certificate.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thereto.</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trust, unincorporated organization, business entity or Governmental Authority.</w:t>
      </w:r>
    </w:p>
    <w:p>
      <w:pPr>
        <w:spacing w:after="0" w:line="214"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“employee benefit plan” (as defined in section 3(2) of ERISA)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 Section 6.2(a).</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00" w:right="99" w:firstLine="5"/>
        <w:spacing w:after="0" w:line="256" w:lineRule="auto"/>
        <w:tabs>
          <w:tab w:leader="none" w:pos="399"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invests in Securities or bank loans, and (ii) is advised or managed by such holder, the same investment advisor as such holder or by an affiliate of such holder or such investment advisor.</w:t>
      </w:r>
    </w:p>
    <w:p>
      <w:pPr>
        <w:spacing w:after="0" w:line="210"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(i) at any time, prior to the Second Closing, (x) the Purchasers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4.06% Series due 2054 Bonds, the 4.07% Series due 2055 Bonds, and the 4.09% Series due 2057 Bonds, and (y) the holders of at least 51% in principal amount of the Bonds at the time outstanding (exclusive of Bonds then owned by the Company or any of its Affiliates); and (ii) at any time, on or after the Second Closing, the holders of at least 51% in principal amount of the Bonds at the time outstanding (exclusive of Bonds then owned by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that if the Second Closing does not occur on October 26, 2017, then the Required Holders shall only include the Purchasers of 4.06% Series due 2054 Bonds, the 4.07% Series due 2055 Bonds, and the 4.09% Series due 2057 Bonds from the date of the First Closing until October 31, 2017 or such later date as such Purchasers and the Company have agreed to in writing.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21" w:name="page122"/>
    <w:bookmarkEnd w:id="121"/>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 responsibility for the administration of the relevant portion of this Agreement.</w:t>
      </w:r>
    </w:p>
    <w:p>
      <w:pPr>
        <w:spacing w:after="0" w:line="178"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“Second Closing” </w:t>
      </w:r>
      <w:r>
        <w:rPr>
          <w:rFonts w:ascii="Arial" w:cs="Arial" w:eastAsia="Arial" w:hAnsi="Arial"/>
          <w:sz w:val="22"/>
          <w:szCs w:val="22"/>
          <w:color w:val="auto"/>
        </w:rPr>
        <w:t>is defined in Section 3.</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treasurer or comptroller of the Company.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 Section 6.2.</w:t>
      </w:r>
    </w:p>
    <w:p>
      <w:pPr>
        <w:spacing w:after="0" w:line="233"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26" w:lineRule="exact"/>
        <w:rPr>
          <w:sz w:val="20"/>
          <w:szCs w:val="20"/>
          <w:color w:val="auto"/>
        </w:rPr>
      </w:pPr>
    </w:p>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 Section 1.</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81"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w:t>
      </w:r>
      <w:r>
        <w:rPr>
          <w:rFonts w:ascii="Arial" w:cs="Arial" w:eastAsia="Arial" w:hAnsi="Arial"/>
          <w:sz w:val="19"/>
          <w:szCs w:val="19"/>
          <w:i w:val="1"/>
          <w:iCs w:val="1"/>
          <w:color w:val="auto"/>
        </w:rPr>
        <w:t xml:space="preserve"> </w:t>
      </w:r>
      <w:r>
        <w:rPr>
          <w:rFonts w:ascii="Arial" w:cs="Arial" w:eastAsia="Arial" w:hAnsi="Arial"/>
          <w:sz w:val="19"/>
          <w:szCs w:val="19"/>
          <w:color w:val="auto"/>
        </w:rPr>
        <w:t>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22" w:name="page123"/>
    <w:bookmarkEnd w:id="122"/>
    <w:p>
      <w:pPr>
        <w:jc w:val="both"/>
        <w:ind w:left="100" w:right="99"/>
        <w:spacing w:after="0" w:line="238" w:lineRule="auto"/>
        <w:rPr>
          <w:sz w:val="20"/>
          <w:szCs w:val="20"/>
          <w:color w:val="auto"/>
        </w:rPr>
      </w:pPr>
      <w:r>
        <w:rPr>
          <w:rFonts w:ascii="Arial" w:cs="Arial" w:eastAsia="Arial" w:hAnsi="Arial"/>
          <w:sz w:val="22"/>
          <w:szCs w:val="22"/>
          <w:color w:val="auto"/>
        </w:rPr>
        <w:t>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w:t>
      </w:r>
      <w:r>
        <w:rPr>
          <w:rFonts w:ascii="Arial" w:cs="Arial" w:eastAsia="Arial" w:hAnsi="Arial"/>
          <w:sz w:val="22"/>
          <w:szCs w:val="22"/>
          <w:i w:val="1"/>
          <w:iCs w:val="1"/>
          <w:color w:val="auto"/>
        </w:rPr>
        <w:t xml:space="preserve"> </w:t>
      </w:r>
      <w:r>
        <w:rPr>
          <w:rFonts w:ascii="Arial" w:cs="Arial" w:eastAsia="Arial" w:hAnsi="Arial"/>
          <w:sz w:val="22"/>
          <w:szCs w:val="22"/>
          <w:color w:val="auto"/>
        </w:rPr>
        <w:t>the state whose laws are treated as applying to the Trust Estate.</w:t>
      </w:r>
    </w:p>
    <w:p>
      <w:pPr>
        <w:spacing w:after="0" w:line="200"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26"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“U.S. Economic Sanctions Laws” </w:t>
      </w:r>
      <w:r>
        <w:rPr>
          <w:rFonts w:ascii="Arial" w:cs="Arial" w:eastAsia="Arial" w:hAnsi="Arial"/>
          <w:sz w:val="22"/>
          <w:szCs w:val="22"/>
          <w:color w:val="auto"/>
        </w:rPr>
        <w:t>means those laws, executive orders, enabling legislation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UBSIDIARIES OF THE</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OMPANY</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8"/>
          <w:szCs w:val="18"/>
          <w:b w:val="1"/>
          <w:bCs w:val="1"/>
          <w:color w:val="auto"/>
        </w:rPr>
        <w:t>WNERSHIP OF</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UBSIDIARY</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TOCK</w:t>
      </w:r>
    </w:p>
    <w:p>
      <w:pPr>
        <w:spacing w:after="0" w:line="200" w:lineRule="exact"/>
        <w:rPr>
          <w:sz w:val="20"/>
          <w:szCs w:val="20"/>
          <w:color w:val="auto"/>
        </w:rPr>
      </w:pPr>
    </w:p>
    <w:p>
      <w:pPr>
        <w:spacing w:after="0" w:line="300"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800" w:type="dxa"/>
            <w:vAlign w:val="bottom"/>
            <w:tcBorders>
              <w:top w:val="single" w:sz="8" w:color="auto"/>
              <w:left w:val="single" w:sz="8" w:color="auto"/>
            </w:tcBorders>
            <w:shd w:val="clear" w:color="auto" w:fill="DBE5F1"/>
          </w:tcPr>
          <w:p>
            <w:pPr>
              <w:spacing w:after="0"/>
              <w:rPr>
                <w:sz w:val="19"/>
                <w:szCs w:val="19"/>
                <w:color w:val="auto"/>
              </w:rPr>
            </w:pPr>
          </w:p>
        </w:tc>
        <w:tc>
          <w:tcPr>
            <w:tcW w:w="4320" w:type="dxa"/>
            <w:vAlign w:val="bottom"/>
            <w:tcBorders>
              <w:top w:val="single" w:sz="8" w:color="auto"/>
              <w:right w:val="single" w:sz="8" w:color="auto"/>
            </w:tcBorders>
            <w:shd w:val="clear" w:color="auto" w:fill="DBE5F1"/>
          </w:tcPr>
          <w:p>
            <w:pPr>
              <w:spacing w:after="0"/>
              <w:rPr>
                <w:sz w:val="19"/>
                <w:szCs w:val="19"/>
                <w:color w:val="auto"/>
              </w:rPr>
            </w:pPr>
          </w:p>
        </w:tc>
        <w:tc>
          <w:tcPr>
            <w:tcW w:w="1700" w:type="dxa"/>
            <w:vAlign w:val="bottom"/>
            <w:tcBorders>
              <w:top w:val="single" w:sz="8" w:color="auto"/>
              <w:right w:val="single" w:sz="8" w:color="auto"/>
            </w:tcBorders>
            <w:shd w:val="clear" w:color="auto" w:fill="DBE5F1"/>
          </w:tcPr>
          <w:p>
            <w:pPr>
              <w:jc w:val="center"/>
              <w:spacing w:after="0" w:line="229" w:lineRule="exact"/>
              <w:rPr>
                <w:sz w:val="20"/>
                <w:szCs w:val="20"/>
                <w:color w:val="auto"/>
              </w:rPr>
            </w:pPr>
            <w:r>
              <w:rPr>
                <w:rFonts w:ascii="Arial" w:cs="Arial" w:eastAsia="Arial" w:hAnsi="Arial"/>
                <w:sz w:val="22"/>
                <w:szCs w:val="22"/>
                <w:b w:val="1"/>
                <w:bCs w:val="1"/>
                <w:color w:val="auto"/>
                <w:w w:val="86"/>
              </w:rPr>
              <w:t>State of</w:t>
            </w:r>
          </w:p>
        </w:tc>
        <w:tc>
          <w:tcPr>
            <w:tcW w:w="2020" w:type="dxa"/>
            <w:vAlign w:val="bottom"/>
            <w:tcBorders>
              <w:top w:val="single" w:sz="8" w:color="auto"/>
              <w:right w:val="single" w:sz="8" w:color="auto"/>
            </w:tcBorders>
            <w:shd w:val="clear" w:color="auto" w:fill="DBE5F1"/>
          </w:tcPr>
          <w:p>
            <w:pPr>
              <w:jc w:val="center"/>
              <w:spacing w:after="0" w:line="229" w:lineRule="exact"/>
              <w:rPr>
                <w:sz w:val="20"/>
                <w:szCs w:val="20"/>
                <w:color w:val="auto"/>
              </w:rPr>
            </w:pPr>
            <w:r>
              <w:rPr>
                <w:rFonts w:ascii="Arial" w:cs="Arial" w:eastAsia="Arial" w:hAnsi="Arial"/>
                <w:sz w:val="22"/>
                <w:szCs w:val="22"/>
                <w:b w:val="1"/>
                <w:bCs w:val="1"/>
                <w:color w:val="auto"/>
                <w:w w:val="91"/>
              </w:rPr>
              <w:t>% of Ownership</w:t>
            </w:r>
          </w:p>
        </w:tc>
      </w:tr>
      <w:tr>
        <w:trPr>
          <w:trHeight w:val="271"/>
        </w:trPr>
        <w:tc>
          <w:tcPr>
            <w:tcW w:w="800" w:type="dxa"/>
            <w:vAlign w:val="bottom"/>
            <w:tcBorders>
              <w:left w:val="single" w:sz="8" w:color="auto"/>
              <w:bottom w:val="single" w:sz="8" w:color="auto"/>
            </w:tcBorders>
            <w:shd w:val="clear" w:color="auto" w:fill="DBE5F1"/>
          </w:tcPr>
          <w:p>
            <w:pPr>
              <w:spacing w:after="0"/>
              <w:rPr>
                <w:sz w:val="23"/>
                <w:szCs w:val="23"/>
                <w:color w:val="auto"/>
              </w:rPr>
            </w:pPr>
          </w:p>
        </w:tc>
        <w:tc>
          <w:tcPr>
            <w:tcW w:w="4320" w:type="dxa"/>
            <w:vAlign w:val="bottom"/>
            <w:tcBorders>
              <w:bottom w:val="single" w:sz="8" w:color="auto"/>
              <w:right w:val="single" w:sz="8" w:color="auto"/>
            </w:tcBorders>
            <w:shd w:val="clear" w:color="auto" w:fill="DBE5F1"/>
          </w:tcPr>
          <w:p>
            <w:pPr>
              <w:ind w:left="1000"/>
              <w:spacing w:after="0"/>
              <w:rPr>
                <w:sz w:val="20"/>
                <w:szCs w:val="20"/>
                <w:color w:val="auto"/>
              </w:rPr>
            </w:pPr>
            <w:r>
              <w:rPr>
                <w:rFonts w:ascii="Arial" w:cs="Arial" w:eastAsia="Arial" w:hAnsi="Arial"/>
                <w:sz w:val="22"/>
                <w:szCs w:val="22"/>
                <w:b w:val="1"/>
                <w:bCs w:val="1"/>
                <w:color w:val="auto"/>
              </w:rPr>
              <w:t>Company Name</w:t>
            </w:r>
          </w:p>
        </w:tc>
        <w:tc>
          <w:tcPr>
            <w:tcW w:w="170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1"/>
              </w:rPr>
              <w:t>Incorporation</w:t>
            </w:r>
          </w:p>
        </w:tc>
        <w:tc>
          <w:tcPr>
            <w:tcW w:w="20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4"/>
              </w:rPr>
              <w:t>(Direct &amp; Indirect)</w:t>
            </w:r>
          </w:p>
        </w:tc>
      </w:tr>
      <w:tr>
        <w:trPr>
          <w:trHeight w:val="485"/>
        </w:trPr>
        <w:tc>
          <w:tcPr>
            <w:tcW w:w="5120" w:type="dxa"/>
            <w:vAlign w:val="bottom"/>
            <w:gridSpan w:val="2"/>
          </w:tcPr>
          <w:p>
            <w:pPr>
              <w:ind w:left="120"/>
              <w:spacing w:after="0"/>
              <w:rPr>
                <w:sz w:val="20"/>
                <w:szCs w:val="20"/>
                <w:color w:val="auto"/>
              </w:rPr>
            </w:pPr>
            <w:r>
              <w:rPr>
                <w:rFonts w:ascii="Arial" w:cs="Arial" w:eastAsia="Arial" w:hAnsi="Arial"/>
                <w:sz w:val="22"/>
                <w:szCs w:val="22"/>
                <w:color w:val="auto"/>
              </w:rPr>
              <w:t>Aqua Pennsylvania, Inc.</w:t>
            </w:r>
          </w:p>
        </w:tc>
        <w:tc>
          <w:tcPr>
            <w:tcW w:w="1700" w:type="dxa"/>
            <w:vAlign w:val="bottom"/>
          </w:tcPr>
          <w:p>
            <w:pPr>
              <w:jc w:val="center"/>
              <w:spacing w:after="0"/>
              <w:rPr>
                <w:sz w:val="20"/>
                <w:szCs w:val="20"/>
                <w:color w:val="auto"/>
              </w:rPr>
            </w:pPr>
            <w:r>
              <w:rPr>
                <w:rFonts w:ascii="Arial" w:cs="Arial" w:eastAsia="Arial" w:hAnsi="Arial"/>
                <w:sz w:val="22"/>
                <w:szCs w:val="22"/>
                <w:color w:val="auto"/>
                <w:w w:val="87"/>
              </w:rPr>
              <w:t>Pennsylvania</w:t>
            </w:r>
          </w:p>
        </w:tc>
        <w:tc>
          <w:tcPr>
            <w:tcW w:w="20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800" w:type="dxa"/>
            <w:vAlign w:val="bottom"/>
          </w:tcPr>
          <w:p>
            <w:pPr>
              <w:jc w:val="right"/>
              <w:spacing w:after="0"/>
              <w:rPr>
                <w:sz w:val="20"/>
                <w:szCs w:val="20"/>
                <w:color w:val="auto"/>
              </w:rPr>
            </w:pPr>
            <w:r>
              <w:rPr>
                <w:rFonts w:ascii="Arial" w:cs="Arial" w:eastAsia="Arial" w:hAnsi="Arial"/>
                <w:sz w:val="22"/>
                <w:szCs w:val="22"/>
                <w:color w:val="auto"/>
              </w:rPr>
              <w:t>1.</w:t>
            </w:r>
          </w:p>
        </w:tc>
        <w:tc>
          <w:tcPr>
            <w:tcW w:w="4320" w:type="dxa"/>
            <w:vAlign w:val="bottom"/>
          </w:tcPr>
          <w:p>
            <w:pPr>
              <w:ind w:left="20"/>
              <w:spacing w:after="0"/>
              <w:rPr>
                <w:sz w:val="20"/>
                <w:szCs w:val="20"/>
                <w:color w:val="auto"/>
              </w:rPr>
            </w:pPr>
            <w:r>
              <w:rPr>
                <w:rFonts w:ascii="Arial" w:cs="Arial" w:eastAsia="Arial" w:hAnsi="Arial"/>
                <w:sz w:val="22"/>
                <w:szCs w:val="22"/>
                <w:color w:val="auto"/>
              </w:rPr>
              <w:t>Aqua Pennsylvania Wastewater, Inc.</w:t>
            </w:r>
          </w:p>
        </w:tc>
        <w:tc>
          <w:tcPr>
            <w:tcW w:w="1700" w:type="dxa"/>
            <w:vAlign w:val="bottom"/>
          </w:tcPr>
          <w:p>
            <w:pPr>
              <w:jc w:val="center"/>
              <w:spacing w:after="0"/>
              <w:rPr>
                <w:sz w:val="20"/>
                <w:szCs w:val="20"/>
                <w:color w:val="auto"/>
              </w:rPr>
            </w:pPr>
            <w:r>
              <w:rPr>
                <w:rFonts w:ascii="Arial" w:cs="Arial" w:eastAsia="Arial" w:hAnsi="Arial"/>
                <w:sz w:val="22"/>
                <w:szCs w:val="22"/>
                <w:color w:val="auto"/>
                <w:w w:val="87"/>
              </w:rPr>
              <w:t>Pennsylvania</w:t>
            </w:r>
          </w:p>
        </w:tc>
        <w:tc>
          <w:tcPr>
            <w:tcW w:w="20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0"/>
        </w:trPr>
        <w:tc>
          <w:tcPr>
            <w:tcW w:w="5120" w:type="dxa"/>
            <w:vAlign w:val="bottom"/>
            <w:gridSpan w:val="2"/>
          </w:tcPr>
          <w:p>
            <w:pPr>
              <w:ind w:left="560"/>
              <w:spacing w:after="0"/>
              <w:rPr>
                <w:sz w:val="20"/>
                <w:szCs w:val="20"/>
                <w:color w:val="auto"/>
              </w:rPr>
            </w:pPr>
            <w:r>
              <w:rPr>
                <w:rFonts w:ascii="Arial" w:cs="Arial" w:eastAsia="Arial" w:hAnsi="Arial"/>
                <w:sz w:val="22"/>
                <w:szCs w:val="22"/>
                <w:color w:val="auto"/>
              </w:rPr>
              <w:t>2. Honesdale Consolidated Water Company</w:t>
            </w:r>
          </w:p>
        </w:tc>
        <w:tc>
          <w:tcPr>
            <w:tcW w:w="1700" w:type="dxa"/>
            <w:vAlign w:val="bottom"/>
          </w:tcPr>
          <w:p>
            <w:pPr>
              <w:jc w:val="center"/>
              <w:spacing w:after="0"/>
              <w:rPr>
                <w:sz w:val="20"/>
                <w:szCs w:val="20"/>
                <w:color w:val="auto"/>
              </w:rPr>
            </w:pPr>
            <w:r>
              <w:rPr>
                <w:rFonts w:ascii="Arial" w:cs="Arial" w:eastAsia="Arial" w:hAnsi="Arial"/>
                <w:sz w:val="22"/>
                <w:szCs w:val="22"/>
                <w:color w:val="auto"/>
                <w:w w:val="87"/>
              </w:rPr>
              <w:t>Pennsylvania</w:t>
            </w:r>
          </w:p>
        </w:tc>
        <w:tc>
          <w:tcPr>
            <w:tcW w:w="202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5"/>
        </w:trPr>
        <w:tc>
          <w:tcPr>
            <w:tcW w:w="800" w:type="dxa"/>
            <w:vAlign w:val="bottom"/>
          </w:tcPr>
          <w:p>
            <w:pPr>
              <w:jc w:val="right"/>
              <w:spacing w:after="0"/>
              <w:rPr>
                <w:sz w:val="20"/>
                <w:szCs w:val="20"/>
                <w:color w:val="auto"/>
              </w:rPr>
            </w:pPr>
            <w:r>
              <w:rPr>
                <w:rFonts w:ascii="Arial" w:cs="Arial" w:eastAsia="Arial" w:hAnsi="Arial"/>
                <w:sz w:val="22"/>
                <w:szCs w:val="22"/>
                <w:color w:val="auto"/>
              </w:rPr>
              <w:t>3.</w:t>
            </w:r>
          </w:p>
        </w:tc>
        <w:tc>
          <w:tcPr>
            <w:tcW w:w="4320" w:type="dxa"/>
            <w:vAlign w:val="bottom"/>
          </w:tcPr>
          <w:p>
            <w:pPr>
              <w:ind w:left="20"/>
              <w:spacing w:after="0"/>
              <w:rPr>
                <w:sz w:val="20"/>
                <w:szCs w:val="20"/>
                <w:color w:val="auto"/>
              </w:rPr>
            </w:pPr>
            <w:r>
              <w:rPr>
                <w:rFonts w:ascii="Arial" w:cs="Arial" w:eastAsia="Arial" w:hAnsi="Arial"/>
                <w:sz w:val="22"/>
                <w:szCs w:val="22"/>
                <w:color w:val="auto"/>
              </w:rPr>
              <w:t>Superior Water Company</w:t>
            </w:r>
          </w:p>
        </w:tc>
        <w:tc>
          <w:tcPr>
            <w:tcW w:w="1700" w:type="dxa"/>
            <w:vAlign w:val="bottom"/>
          </w:tcPr>
          <w:p>
            <w:pPr>
              <w:jc w:val="center"/>
              <w:spacing w:after="0"/>
              <w:rPr>
                <w:sz w:val="20"/>
                <w:szCs w:val="20"/>
                <w:color w:val="auto"/>
              </w:rPr>
            </w:pPr>
            <w:r>
              <w:rPr>
                <w:rFonts w:ascii="Arial" w:cs="Arial" w:eastAsia="Arial" w:hAnsi="Arial"/>
                <w:sz w:val="22"/>
                <w:szCs w:val="22"/>
                <w:color w:val="auto"/>
                <w:w w:val="87"/>
              </w:rPr>
              <w:t>Pennsylvania</w:t>
            </w:r>
          </w:p>
        </w:tc>
        <w:tc>
          <w:tcPr>
            <w:tcW w:w="2020" w:type="dxa"/>
            <w:vAlign w:val="bottom"/>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8"/>
          <w:szCs w:val="18"/>
          <w:b w:val="1"/>
          <w:bCs w:val="1"/>
          <w:color w:val="auto"/>
        </w:rPr>
        <w:t>INANCIAL</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TATEMENTS</w:t>
      </w:r>
    </w:p>
    <w:p>
      <w:pPr>
        <w:spacing w:after="0" w:line="200" w:lineRule="exact"/>
        <w:rPr>
          <w:sz w:val="20"/>
          <w:szCs w:val="20"/>
          <w:color w:val="auto"/>
        </w:rPr>
      </w:pPr>
    </w:p>
    <w:p>
      <w:pPr>
        <w:spacing w:after="0" w:line="309" w:lineRule="exact"/>
        <w:rPr>
          <w:sz w:val="20"/>
          <w:szCs w:val="20"/>
          <w:color w:val="auto"/>
        </w:rPr>
      </w:pPr>
    </w:p>
    <w:p>
      <w:pPr>
        <w:ind w:left="740" w:right="579" w:hanging="635"/>
        <w:spacing w:after="0" w:line="251" w:lineRule="auto"/>
        <w:tabs>
          <w:tab w:leader="none" w:pos="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2016, 2015 and 2014 (audited)</w:t>
      </w:r>
    </w:p>
    <w:p>
      <w:pPr>
        <w:spacing w:after="0" w:line="200" w:lineRule="exact"/>
        <w:rPr>
          <w:rFonts w:ascii="Arial" w:cs="Arial" w:eastAsia="Arial" w:hAnsi="Arial"/>
          <w:sz w:val="22"/>
          <w:szCs w:val="22"/>
          <w:color w:val="auto"/>
        </w:rPr>
      </w:pPr>
    </w:p>
    <w:p>
      <w:pPr>
        <w:ind w:left="740" w:hanging="635"/>
        <w:spacing w:after="0"/>
        <w:tabs>
          <w:tab w:leader="none" w:pos="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Aqua Pennsylvania, Inc. Report for Quarter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XISTING</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EBT</w:t>
      </w:r>
    </w:p>
    <w:p>
      <w:pPr>
        <w:spacing w:after="0" w:line="200" w:lineRule="exact"/>
        <w:rPr>
          <w:sz w:val="20"/>
          <w:szCs w:val="20"/>
          <w:color w:val="auto"/>
        </w:rPr>
      </w:pPr>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Aqua Pennsylvania and Subsidaries</w:t>
      </w:r>
    </w:p>
    <w:p>
      <w:pPr>
        <w:spacing w:after="0" w:line="59"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Schedule 5.15(a) - Existing Debt</w:t>
      </w:r>
    </w:p>
    <w:p>
      <w:pPr>
        <w:spacing w:after="0" w:line="59"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as of 3/31/2017</w:t>
      </w:r>
    </w:p>
    <w:p>
      <w:pPr>
        <w:spacing w:after="0" w:line="200" w:lineRule="exact"/>
        <w:rPr>
          <w:sz w:val="20"/>
          <w:szCs w:val="20"/>
          <w:color w:val="auto"/>
        </w:rPr>
      </w:pPr>
    </w:p>
    <w:p>
      <w:pPr>
        <w:spacing w:after="0" w:line="291"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Outstanding</w:t>
            </w:r>
          </w:p>
        </w:tc>
      </w:tr>
      <w:tr>
        <w:trPr>
          <w:trHeight w:val="207"/>
        </w:trPr>
        <w:tc>
          <w:tcPr>
            <w:tcW w:w="2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Balance</w:t>
            </w:r>
          </w:p>
        </w:tc>
      </w:tr>
      <w:tr>
        <w:trPr>
          <w:trHeight w:val="231"/>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5.50%</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2,132,180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5.64%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5,466,000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5.64%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5,461,000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2640" w:type="dxa"/>
            <w:vAlign w:val="bottom"/>
          </w:tcPr>
          <w:p>
            <w:pPr>
              <w:spacing w:after="0"/>
              <w:rPr>
                <w:sz w:val="20"/>
                <w:szCs w:val="20"/>
                <w:color w:val="auto"/>
              </w:rPr>
            </w:pPr>
            <w:r>
              <w:rPr>
                <w:rFonts w:ascii="Arial" w:cs="Arial" w:eastAsia="Arial" w:hAnsi="Arial"/>
                <w:sz w:val="16"/>
                <w:szCs w:val="16"/>
                <w:color w:val="auto"/>
              </w:rPr>
              <w:t>Bank Loan</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36"/>
        </w:trPr>
        <w:tc>
          <w:tcPr>
            <w:tcW w:w="2640" w:type="dxa"/>
            <w:vAlign w:val="bottom"/>
          </w:tcPr>
          <w:p>
            <w:pPr>
              <w:spacing w:after="0"/>
              <w:rPr>
                <w:sz w:val="20"/>
                <w:szCs w:val="20"/>
                <w:color w:val="auto"/>
              </w:rPr>
            </w:pPr>
            <w:r>
              <w:rPr>
                <w:rFonts w:ascii="Arial" w:cs="Arial" w:eastAsia="Arial" w:hAnsi="Arial"/>
                <w:sz w:val="16"/>
                <w:szCs w:val="16"/>
                <w:color w:val="auto"/>
              </w:rPr>
              <w:t>Bank Loan</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50,000,000</w:t>
            </w:r>
          </w:p>
        </w:tc>
      </w:tr>
    </w:tbl>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3040" w:type="dxa"/>
            <w:vAlign w:val="bottom"/>
          </w:tcPr>
          <w:p>
            <w:pPr>
              <w:spacing w:after="0"/>
              <w:rPr>
                <w:sz w:val="20"/>
                <w:szCs w:val="20"/>
                <w:color w:val="auto"/>
              </w:rPr>
            </w:pPr>
            <w:r>
              <w:rPr>
                <w:rFonts w:ascii="Arial" w:cs="Arial" w:eastAsia="Arial" w:hAnsi="Arial"/>
                <w:sz w:val="16"/>
                <w:szCs w:val="16"/>
                <w:b w:val="1"/>
                <w:bCs w:val="1"/>
                <w:color w:val="auto"/>
              </w:rPr>
              <w:t>Total Unsecured Notes</w:t>
            </w:r>
          </w:p>
        </w:tc>
        <w:tc>
          <w:tcPr>
            <w:tcW w:w="19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153,059,180</w:t>
            </w:r>
          </w:p>
        </w:tc>
      </w:tr>
      <w:tr>
        <w:trPr>
          <w:trHeight w:val="486"/>
        </w:trPr>
        <w:tc>
          <w:tcPr>
            <w:tcW w:w="30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9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1,509,110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5.25%</w:t>
            </w:r>
          </w:p>
        </w:tc>
        <w:tc>
          <w:tcPr>
            <w:tcW w:w="1700" w:type="dxa"/>
            <w:vAlign w:val="bottom"/>
          </w:tcPr>
          <w:p>
            <w:pPr>
              <w:jc w:val="right"/>
              <w:spacing w:after="0"/>
              <w:rPr>
                <w:sz w:val="20"/>
                <w:szCs w:val="20"/>
                <w:color w:val="auto"/>
              </w:rPr>
            </w:pPr>
            <w:r>
              <w:rPr>
                <w:rFonts w:ascii="Arial" w:cs="Arial" w:eastAsia="Arial" w:hAnsi="Arial"/>
                <w:sz w:val="16"/>
                <w:szCs w:val="16"/>
                <w:color w:val="auto"/>
              </w:rPr>
              <w:t>24,830,000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5.25%</w:t>
            </w:r>
          </w:p>
        </w:tc>
        <w:tc>
          <w:tcPr>
            <w:tcW w:w="1700" w:type="dxa"/>
            <w:vAlign w:val="bottom"/>
          </w:tcPr>
          <w:p>
            <w:pPr>
              <w:jc w:val="right"/>
              <w:spacing w:after="0"/>
              <w:rPr>
                <w:sz w:val="20"/>
                <w:szCs w:val="20"/>
                <w:color w:val="auto"/>
              </w:rPr>
            </w:pPr>
            <w:r>
              <w:rPr>
                <w:rFonts w:ascii="Arial" w:cs="Arial" w:eastAsia="Arial" w:hAnsi="Arial"/>
                <w:sz w:val="16"/>
                <w:szCs w:val="16"/>
                <w:color w:val="auto"/>
              </w:rPr>
              <w:t>24,830,000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248,668</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6.25%</w:t>
            </w:r>
          </w:p>
        </w:tc>
        <w:tc>
          <w:tcPr>
            <w:tcW w:w="1700" w:type="dxa"/>
            <w:vAlign w:val="bottom"/>
          </w:tcPr>
          <w:p>
            <w:pPr>
              <w:jc w:val="right"/>
              <w:spacing w:after="0"/>
              <w:rPr>
                <w:sz w:val="20"/>
                <w:szCs w:val="20"/>
                <w:color w:val="auto"/>
              </w:rPr>
            </w:pPr>
            <w:r>
              <w:rPr>
                <w:rFonts w:ascii="Arial" w:cs="Arial" w:eastAsia="Arial" w:hAnsi="Arial"/>
                <w:sz w:val="16"/>
                <w:szCs w:val="16"/>
                <w:color w:val="auto"/>
              </w:rPr>
              <w:t>9,000,000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6.75%</w:t>
            </w:r>
          </w:p>
        </w:tc>
        <w:tc>
          <w:tcPr>
            <w:tcW w:w="1700" w:type="dxa"/>
            <w:vAlign w:val="bottom"/>
          </w:tcPr>
          <w:p>
            <w:pPr>
              <w:jc w:val="right"/>
              <w:spacing w:after="0"/>
              <w:rPr>
                <w:sz w:val="20"/>
                <w:szCs w:val="20"/>
                <w:color w:val="auto"/>
              </w:rPr>
            </w:pPr>
            <w:r>
              <w:rPr>
                <w:rFonts w:ascii="Arial" w:cs="Arial" w:eastAsia="Arial" w:hAnsi="Arial"/>
                <w:sz w:val="16"/>
                <w:szCs w:val="16"/>
                <w:color w:val="auto"/>
              </w:rPr>
              <w:t>13,000,000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(10,200)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700" w:type="dxa"/>
            <w:vAlign w:val="bottom"/>
          </w:tcPr>
          <w:p>
            <w:pPr>
              <w:jc w:val="right"/>
              <w:spacing w:after="0"/>
              <w:rPr>
                <w:sz w:val="20"/>
                <w:szCs w:val="20"/>
                <w:color w:val="auto"/>
              </w:rPr>
            </w:pPr>
            <w:r>
              <w:rPr>
                <w:rFonts w:ascii="Arial" w:cs="Arial" w:eastAsia="Arial" w:hAnsi="Arial"/>
                <w:sz w:val="16"/>
                <w:szCs w:val="16"/>
                <w:color w:val="auto"/>
              </w:rPr>
              <w:t>58,000,000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(1,507,413)</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700" w:type="dxa"/>
            <w:vAlign w:val="bottom"/>
          </w:tcPr>
          <w:p>
            <w:pPr>
              <w:jc w:val="right"/>
              <w:spacing w:after="0"/>
              <w:rPr>
                <w:sz w:val="20"/>
                <w:szCs w:val="20"/>
                <w:color w:val="auto"/>
              </w:rPr>
            </w:pPr>
            <w:r>
              <w:rPr>
                <w:rFonts w:ascii="Arial" w:cs="Arial" w:eastAsia="Arial" w:hAnsi="Arial"/>
                <w:sz w:val="16"/>
                <w:szCs w:val="16"/>
                <w:color w:val="auto"/>
              </w:rPr>
              <w:t>62,165,000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464,561</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4.75%</w:t>
            </w:r>
          </w:p>
        </w:tc>
        <w:tc>
          <w:tcPr>
            <w:tcW w:w="1700" w:type="dxa"/>
            <w:vAlign w:val="bottom"/>
          </w:tcPr>
          <w:p>
            <w:pPr>
              <w:jc w:val="right"/>
              <w:spacing w:after="0"/>
              <w:rPr>
                <w:sz w:val="20"/>
                <w:szCs w:val="20"/>
                <w:color w:val="auto"/>
              </w:rPr>
            </w:pPr>
            <w:r>
              <w:rPr>
                <w:rFonts w:ascii="Arial" w:cs="Arial" w:eastAsia="Arial" w:hAnsi="Arial"/>
                <w:sz w:val="16"/>
                <w:szCs w:val="16"/>
                <w:color w:val="auto"/>
              </w:rPr>
              <w:t>12,520,000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(227,370)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700" w:type="dxa"/>
            <w:vAlign w:val="bottom"/>
          </w:tcPr>
          <w:p>
            <w:pPr>
              <w:jc w:val="right"/>
              <w:spacing w:after="0"/>
              <w:rPr>
                <w:sz w:val="20"/>
                <w:szCs w:val="20"/>
                <w:color w:val="auto"/>
              </w:rPr>
            </w:pPr>
            <w:r>
              <w:rPr>
                <w:rFonts w:ascii="Arial" w:cs="Arial" w:eastAsia="Arial" w:hAnsi="Arial"/>
                <w:sz w:val="16"/>
                <w:szCs w:val="16"/>
                <w:color w:val="auto"/>
              </w:rPr>
              <w:t>25,910,000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700" w:type="dxa"/>
            <w:vAlign w:val="bottom"/>
          </w:tcPr>
          <w:p>
            <w:pPr>
              <w:jc w:val="right"/>
              <w:spacing w:after="0"/>
              <w:rPr>
                <w:sz w:val="20"/>
                <w:szCs w:val="20"/>
                <w:color w:val="auto"/>
              </w:rPr>
            </w:pPr>
            <w:r>
              <w:rPr>
                <w:rFonts w:ascii="Arial" w:cs="Arial" w:eastAsia="Arial" w:hAnsi="Arial"/>
                <w:sz w:val="16"/>
                <w:szCs w:val="16"/>
                <w:color w:val="auto"/>
              </w:rPr>
              <w:t>19,270,000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(98,211)</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4.50%</w:t>
            </w:r>
          </w:p>
        </w:tc>
        <w:tc>
          <w:tcPr>
            <w:tcW w:w="170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9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(492,000)</w:t>
            </w:r>
          </w:p>
        </w:tc>
      </w:tr>
      <w:tr>
        <w:trPr>
          <w:trHeight w:val="243"/>
        </w:trPr>
        <w:tc>
          <w:tcPr>
            <w:tcW w:w="3040" w:type="dxa"/>
            <w:vAlign w:val="bottom"/>
          </w:tcPr>
          <w:p>
            <w:pPr>
              <w:spacing w:after="0"/>
              <w:rPr>
                <w:sz w:val="20"/>
                <w:szCs w:val="20"/>
                <w:color w:val="auto"/>
              </w:rPr>
            </w:pPr>
            <w:r>
              <w:rPr>
                <w:rFonts w:ascii="Arial" w:cs="Arial" w:eastAsia="Arial" w:hAnsi="Arial"/>
                <w:sz w:val="16"/>
                <w:szCs w:val="16"/>
                <w:color w:val="auto"/>
              </w:rPr>
              <w:t>Tax Exempt</w:t>
            </w:r>
          </w:p>
        </w:tc>
        <w:tc>
          <w:tcPr>
            <w:tcW w:w="192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700" w:type="dxa"/>
            <w:vAlign w:val="bottom"/>
          </w:tcPr>
          <w:p>
            <w:pPr>
              <w:jc w:val="right"/>
              <w:spacing w:after="0"/>
              <w:rPr>
                <w:sz w:val="20"/>
                <w:szCs w:val="20"/>
                <w:color w:val="auto"/>
              </w:rPr>
            </w:pPr>
            <w:r>
              <w:rPr>
                <w:rFonts w:ascii="Arial" w:cs="Arial" w:eastAsia="Arial" w:hAnsi="Arial"/>
                <w:sz w:val="16"/>
                <w:szCs w:val="16"/>
                <w:color w:val="auto"/>
              </w:rPr>
              <w:t>81,205,000</w:t>
            </w:r>
          </w:p>
        </w:tc>
      </w:tr>
      <w:tr>
        <w:trPr>
          <w:trHeight w:val="236"/>
        </w:trPr>
        <w:tc>
          <w:tcPr>
            <w:tcW w:w="30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9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2,086,754</w:t>
            </w:r>
          </w:p>
        </w:tc>
      </w:tr>
    </w:tbl>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2940" w:type="dxa"/>
            <w:vAlign w:val="bottom"/>
          </w:tcPr>
          <w:p>
            <w:pPr>
              <w:spacing w:after="0"/>
              <w:rPr>
                <w:sz w:val="20"/>
                <w:szCs w:val="20"/>
                <w:color w:val="auto"/>
              </w:rPr>
            </w:pPr>
            <w:r>
              <w:rPr>
                <w:rFonts w:ascii="Arial" w:cs="Arial" w:eastAsia="Arial" w:hAnsi="Arial"/>
                <w:sz w:val="16"/>
                <w:szCs w:val="16"/>
                <w:b w:val="1"/>
                <w:bCs w:val="1"/>
                <w:color w:val="auto"/>
              </w:rPr>
              <w:t>Total Tax Exempt Bonds</w:t>
            </w:r>
          </w:p>
        </w:tc>
        <w:tc>
          <w:tcPr>
            <w:tcW w:w="2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347,703,899</w:t>
            </w:r>
          </w:p>
        </w:tc>
      </w:tr>
      <w:tr>
        <w:trPr>
          <w:trHeight w:val="486"/>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2.711%</w:t>
            </w:r>
          </w:p>
        </w:tc>
        <w:tc>
          <w:tcPr>
            <w:tcW w:w="1460" w:type="dxa"/>
            <w:vAlign w:val="bottom"/>
          </w:tcPr>
          <w:p>
            <w:pPr>
              <w:jc w:val="right"/>
              <w:spacing w:after="0"/>
              <w:rPr>
                <w:sz w:val="20"/>
                <w:szCs w:val="20"/>
                <w:color w:val="auto"/>
              </w:rPr>
            </w:pPr>
            <w:r>
              <w:rPr>
                <w:rFonts w:ascii="Arial" w:cs="Arial" w:eastAsia="Arial" w:hAnsi="Arial"/>
                <w:sz w:val="16"/>
                <w:szCs w:val="16"/>
                <w:color w:val="auto"/>
              </w:rPr>
              <w:t>479,320</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2.547%</w:t>
            </w:r>
          </w:p>
        </w:tc>
        <w:tc>
          <w:tcPr>
            <w:tcW w:w="1460" w:type="dxa"/>
            <w:vAlign w:val="bottom"/>
          </w:tcPr>
          <w:p>
            <w:pPr>
              <w:jc w:val="right"/>
              <w:spacing w:after="0"/>
              <w:rPr>
                <w:sz w:val="20"/>
                <w:szCs w:val="20"/>
                <w:color w:val="auto"/>
              </w:rPr>
            </w:pPr>
            <w:r>
              <w:rPr>
                <w:rFonts w:ascii="Arial" w:cs="Arial" w:eastAsia="Arial" w:hAnsi="Arial"/>
                <w:sz w:val="16"/>
                <w:szCs w:val="16"/>
                <w:color w:val="auto"/>
              </w:rPr>
              <w:t>926,212</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2.547%</w:t>
            </w:r>
          </w:p>
        </w:tc>
        <w:tc>
          <w:tcPr>
            <w:tcW w:w="1460" w:type="dxa"/>
            <w:vAlign w:val="bottom"/>
          </w:tcPr>
          <w:p>
            <w:pPr>
              <w:jc w:val="right"/>
              <w:spacing w:after="0"/>
              <w:rPr>
                <w:sz w:val="20"/>
                <w:szCs w:val="20"/>
                <w:color w:val="auto"/>
              </w:rPr>
            </w:pPr>
            <w:r>
              <w:rPr>
                <w:rFonts w:ascii="Arial" w:cs="Arial" w:eastAsia="Arial" w:hAnsi="Arial"/>
                <w:sz w:val="16"/>
                <w:szCs w:val="16"/>
                <w:color w:val="auto"/>
              </w:rPr>
              <w:t>310,310</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2.690%</w:t>
            </w:r>
          </w:p>
        </w:tc>
        <w:tc>
          <w:tcPr>
            <w:tcW w:w="1460" w:type="dxa"/>
            <w:vAlign w:val="bottom"/>
          </w:tcPr>
          <w:p>
            <w:pPr>
              <w:jc w:val="right"/>
              <w:spacing w:after="0"/>
              <w:rPr>
                <w:sz w:val="20"/>
                <w:szCs w:val="20"/>
                <w:color w:val="auto"/>
              </w:rPr>
            </w:pPr>
            <w:r>
              <w:rPr>
                <w:rFonts w:ascii="Arial" w:cs="Arial" w:eastAsia="Arial" w:hAnsi="Arial"/>
                <w:sz w:val="16"/>
                <w:szCs w:val="16"/>
                <w:color w:val="auto"/>
              </w:rPr>
              <w:t>860,525</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2.547%</w:t>
            </w:r>
          </w:p>
        </w:tc>
        <w:tc>
          <w:tcPr>
            <w:tcW w:w="1460" w:type="dxa"/>
            <w:vAlign w:val="bottom"/>
          </w:tcPr>
          <w:p>
            <w:pPr>
              <w:jc w:val="right"/>
              <w:spacing w:after="0"/>
              <w:rPr>
                <w:sz w:val="20"/>
                <w:szCs w:val="20"/>
                <w:color w:val="auto"/>
              </w:rPr>
            </w:pPr>
            <w:r>
              <w:rPr>
                <w:rFonts w:ascii="Arial" w:cs="Arial" w:eastAsia="Arial" w:hAnsi="Arial"/>
                <w:sz w:val="16"/>
                <w:szCs w:val="16"/>
                <w:color w:val="auto"/>
              </w:rPr>
              <w:t>1,685,949</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2.547%</w:t>
            </w:r>
          </w:p>
        </w:tc>
        <w:tc>
          <w:tcPr>
            <w:tcW w:w="1460" w:type="dxa"/>
            <w:vAlign w:val="bottom"/>
          </w:tcPr>
          <w:p>
            <w:pPr>
              <w:jc w:val="right"/>
              <w:spacing w:after="0"/>
              <w:rPr>
                <w:sz w:val="20"/>
                <w:szCs w:val="20"/>
                <w:color w:val="auto"/>
              </w:rPr>
            </w:pPr>
            <w:r>
              <w:rPr>
                <w:rFonts w:ascii="Arial" w:cs="Arial" w:eastAsia="Arial" w:hAnsi="Arial"/>
                <w:sz w:val="16"/>
                <w:szCs w:val="16"/>
                <w:color w:val="auto"/>
              </w:rPr>
              <w:t>553,590</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1.510%</w:t>
            </w:r>
          </w:p>
        </w:tc>
        <w:tc>
          <w:tcPr>
            <w:tcW w:w="1460" w:type="dxa"/>
            <w:vAlign w:val="bottom"/>
          </w:tcPr>
          <w:p>
            <w:pPr>
              <w:jc w:val="right"/>
              <w:spacing w:after="0"/>
              <w:rPr>
                <w:sz w:val="20"/>
                <w:szCs w:val="20"/>
                <w:color w:val="auto"/>
              </w:rPr>
            </w:pPr>
            <w:r>
              <w:rPr>
                <w:rFonts w:ascii="Arial" w:cs="Arial" w:eastAsia="Arial" w:hAnsi="Arial"/>
                <w:sz w:val="16"/>
                <w:szCs w:val="16"/>
                <w:color w:val="auto"/>
              </w:rPr>
              <w:t>2,244,838</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1.000%</w:t>
            </w:r>
          </w:p>
        </w:tc>
        <w:tc>
          <w:tcPr>
            <w:tcW w:w="1460" w:type="dxa"/>
            <w:vAlign w:val="bottom"/>
          </w:tcPr>
          <w:p>
            <w:pPr>
              <w:jc w:val="right"/>
              <w:spacing w:after="0"/>
              <w:rPr>
                <w:sz w:val="20"/>
                <w:szCs w:val="20"/>
                <w:color w:val="auto"/>
              </w:rPr>
            </w:pPr>
            <w:r>
              <w:rPr>
                <w:rFonts w:ascii="Arial" w:cs="Arial" w:eastAsia="Arial" w:hAnsi="Arial"/>
                <w:sz w:val="16"/>
                <w:szCs w:val="16"/>
                <w:color w:val="auto"/>
              </w:rPr>
              <w:t>997,073</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4.047%</w:t>
            </w:r>
          </w:p>
        </w:tc>
        <w:tc>
          <w:tcPr>
            <w:tcW w:w="1460" w:type="dxa"/>
            <w:vAlign w:val="bottom"/>
          </w:tcPr>
          <w:p>
            <w:pPr>
              <w:jc w:val="right"/>
              <w:spacing w:after="0"/>
              <w:rPr>
                <w:sz w:val="20"/>
                <w:szCs w:val="20"/>
                <w:color w:val="auto"/>
              </w:rPr>
            </w:pPr>
            <w:r>
              <w:rPr>
                <w:rFonts w:ascii="Arial" w:cs="Arial" w:eastAsia="Arial" w:hAnsi="Arial"/>
                <w:sz w:val="16"/>
                <w:szCs w:val="16"/>
                <w:color w:val="auto"/>
              </w:rPr>
              <w:t>213,617</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3.631%</w:t>
            </w:r>
          </w:p>
        </w:tc>
        <w:tc>
          <w:tcPr>
            <w:tcW w:w="1460" w:type="dxa"/>
            <w:vAlign w:val="bottom"/>
          </w:tcPr>
          <w:p>
            <w:pPr>
              <w:jc w:val="right"/>
              <w:spacing w:after="0"/>
              <w:rPr>
                <w:sz w:val="20"/>
                <w:szCs w:val="20"/>
                <w:color w:val="auto"/>
              </w:rPr>
            </w:pPr>
            <w:r>
              <w:rPr>
                <w:rFonts w:ascii="Arial" w:cs="Arial" w:eastAsia="Arial" w:hAnsi="Arial"/>
                <w:sz w:val="16"/>
                <w:szCs w:val="16"/>
                <w:color w:val="auto"/>
              </w:rPr>
              <w:t>41,779</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4.047%</w:t>
            </w:r>
          </w:p>
        </w:tc>
        <w:tc>
          <w:tcPr>
            <w:tcW w:w="1460" w:type="dxa"/>
            <w:vAlign w:val="bottom"/>
          </w:tcPr>
          <w:p>
            <w:pPr>
              <w:jc w:val="right"/>
              <w:spacing w:after="0"/>
              <w:rPr>
                <w:sz w:val="20"/>
                <w:szCs w:val="20"/>
                <w:color w:val="auto"/>
              </w:rPr>
            </w:pPr>
            <w:r>
              <w:rPr>
                <w:rFonts w:ascii="Arial" w:cs="Arial" w:eastAsia="Arial" w:hAnsi="Arial"/>
                <w:sz w:val="16"/>
                <w:szCs w:val="16"/>
                <w:color w:val="auto"/>
              </w:rPr>
              <w:t>97,929</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3.552%</w:t>
            </w:r>
          </w:p>
        </w:tc>
        <w:tc>
          <w:tcPr>
            <w:tcW w:w="1460" w:type="dxa"/>
            <w:vAlign w:val="bottom"/>
          </w:tcPr>
          <w:p>
            <w:pPr>
              <w:jc w:val="right"/>
              <w:spacing w:after="0"/>
              <w:rPr>
                <w:sz w:val="20"/>
                <w:szCs w:val="20"/>
                <w:color w:val="auto"/>
              </w:rPr>
            </w:pPr>
            <w:r>
              <w:rPr>
                <w:rFonts w:ascii="Arial" w:cs="Arial" w:eastAsia="Arial" w:hAnsi="Arial"/>
                <w:sz w:val="16"/>
                <w:szCs w:val="16"/>
                <w:color w:val="auto"/>
              </w:rPr>
              <w:t>1,015,206</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1.349%</w:t>
            </w:r>
          </w:p>
        </w:tc>
        <w:tc>
          <w:tcPr>
            <w:tcW w:w="1460" w:type="dxa"/>
            <w:vAlign w:val="bottom"/>
          </w:tcPr>
          <w:p>
            <w:pPr>
              <w:jc w:val="right"/>
              <w:spacing w:after="0"/>
              <w:rPr>
                <w:sz w:val="20"/>
                <w:szCs w:val="20"/>
                <w:color w:val="auto"/>
              </w:rPr>
            </w:pPr>
            <w:r>
              <w:rPr>
                <w:rFonts w:ascii="Arial" w:cs="Arial" w:eastAsia="Arial" w:hAnsi="Arial"/>
                <w:sz w:val="16"/>
                <w:szCs w:val="16"/>
                <w:color w:val="auto"/>
              </w:rPr>
              <w:t>104,685</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3.631%</w:t>
            </w:r>
          </w:p>
        </w:tc>
        <w:tc>
          <w:tcPr>
            <w:tcW w:w="1460" w:type="dxa"/>
            <w:vAlign w:val="bottom"/>
          </w:tcPr>
          <w:p>
            <w:pPr>
              <w:jc w:val="right"/>
              <w:spacing w:after="0"/>
              <w:rPr>
                <w:sz w:val="20"/>
                <w:szCs w:val="20"/>
                <w:color w:val="auto"/>
              </w:rPr>
            </w:pPr>
            <w:r>
              <w:rPr>
                <w:rFonts w:ascii="Arial" w:cs="Arial" w:eastAsia="Arial" w:hAnsi="Arial"/>
                <w:sz w:val="16"/>
                <w:szCs w:val="16"/>
                <w:color w:val="auto"/>
              </w:rPr>
              <w:t>115,029</w:t>
            </w:r>
          </w:p>
        </w:tc>
      </w:tr>
      <w:tr>
        <w:trPr>
          <w:trHeight w:val="243"/>
        </w:trPr>
        <w:tc>
          <w:tcPr>
            <w:tcW w:w="2940" w:type="dxa"/>
            <w:vAlign w:val="bottom"/>
          </w:tcPr>
          <w:p>
            <w:pPr>
              <w:spacing w:after="0"/>
              <w:rPr>
                <w:sz w:val="20"/>
                <w:szCs w:val="20"/>
                <w:color w:val="auto"/>
              </w:rPr>
            </w:pPr>
            <w:r>
              <w:rPr>
                <w:rFonts w:ascii="Arial" w:cs="Arial" w:eastAsia="Arial" w:hAnsi="Arial"/>
                <w:sz w:val="16"/>
                <w:szCs w:val="16"/>
                <w:color w:val="auto"/>
              </w:rPr>
              <w:t>PennVest</w:t>
            </w:r>
          </w:p>
        </w:tc>
        <w:tc>
          <w:tcPr>
            <w:tcW w:w="2200" w:type="dxa"/>
            <w:vAlign w:val="bottom"/>
          </w:tcPr>
          <w:p>
            <w:pPr>
              <w:jc w:val="right"/>
              <w:ind w:right="499"/>
              <w:spacing w:after="0"/>
              <w:rPr>
                <w:sz w:val="20"/>
                <w:szCs w:val="20"/>
                <w:color w:val="auto"/>
              </w:rPr>
            </w:pPr>
            <w:r>
              <w:rPr>
                <w:rFonts w:ascii="Arial" w:cs="Arial" w:eastAsia="Arial" w:hAnsi="Arial"/>
                <w:sz w:val="16"/>
                <w:szCs w:val="16"/>
                <w:color w:val="auto"/>
              </w:rPr>
              <w:t>4.050%</w:t>
            </w:r>
          </w:p>
        </w:tc>
        <w:tc>
          <w:tcPr>
            <w:tcW w:w="1460" w:type="dxa"/>
            <w:vAlign w:val="bottom"/>
          </w:tcPr>
          <w:p>
            <w:pPr>
              <w:jc w:val="right"/>
              <w:spacing w:after="0"/>
              <w:rPr>
                <w:sz w:val="20"/>
                <w:szCs w:val="20"/>
                <w:color w:val="auto"/>
              </w:rPr>
            </w:pPr>
            <w:r>
              <w:rPr>
                <w:rFonts w:ascii="Arial" w:cs="Arial" w:eastAsia="Arial" w:hAnsi="Arial"/>
                <w:sz w:val="16"/>
                <w:szCs w:val="16"/>
                <w:color w:val="auto"/>
              </w:rPr>
              <w:t>337,395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5.15(a)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434" w:gutter="0" w:footer="0" w:header="0"/>
        </w:sectPr>
      </w:pPr>
    </w:p>
    <w:bookmarkStart w:id="126" w:name="page127"/>
    <w:bookmarkEnd w:id="126"/>
    <w:tbl>
      <w:tblPr>
        <w:tblLayout w:type="fixed"/>
        <w:tblInd w:w="96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b w:val="1"/>
                <w:bCs w:val="1"/>
                <w:color w:val="auto"/>
              </w:rPr>
              <w:t>Outstanding</w:t>
            </w:r>
          </w:p>
        </w:tc>
      </w:tr>
      <w:tr>
        <w:trPr>
          <w:trHeight w:val="207"/>
        </w:trPr>
        <w:tc>
          <w:tcPr>
            <w:tcW w:w="2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Balance</w:t>
            </w:r>
          </w:p>
        </w:tc>
      </w:tr>
      <w:tr>
        <w:trPr>
          <w:trHeight w:val="244"/>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3.030%</w:t>
            </w:r>
          </w:p>
        </w:tc>
        <w:tc>
          <w:tcPr>
            <w:tcW w:w="1700" w:type="dxa"/>
            <w:vAlign w:val="bottom"/>
          </w:tcPr>
          <w:p>
            <w:pPr>
              <w:jc w:val="right"/>
              <w:spacing w:after="0"/>
              <w:rPr>
                <w:sz w:val="20"/>
                <w:szCs w:val="20"/>
                <w:color w:val="auto"/>
              </w:rPr>
            </w:pPr>
            <w:r>
              <w:rPr>
                <w:rFonts w:ascii="Arial" w:cs="Arial" w:eastAsia="Arial" w:hAnsi="Arial"/>
                <w:sz w:val="16"/>
                <w:szCs w:val="16"/>
                <w:color w:val="auto"/>
              </w:rPr>
              <w:t>365,958</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3.460%</w:t>
            </w:r>
          </w:p>
        </w:tc>
        <w:tc>
          <w:tcPr>
            <w:tcW w:w="1700" w:type="dxa"/>
            <w:vAlign w:val="bottom"/>
          </w:tcPr>
          <w:p>
            <w:pPr>
              <w:jc w:val="right"/>
              <w:spacing w:after="0"/>
              <w:rPr>
                <w:sz w:val="20"/>
                <w:szCs w:val="20"/>
                <w:color w:val="auto"/>
              </w:rPr>
            </w:pPr>
            <w:r>
              <w:rPr>
                <w:rFonts w:ascii="Arial" w:cs="Arial" w:eastAsia="Arial" w:hAnsi="Arial"/>
                <w:sz w:val="16"/>
                <w:szCs w:val="16"/>
                <w:color w:val="auto"/>
              </w:rPr>
              <w:t>4,243,680</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3.468%</w:t>
            </w:r>
          </w:p>
        </w:tc>
        <w:tc>
          <w:tcPr>
            <w:tcW w:w="1700" w:type="dxa"/>
            <w:vAlign w:val="bottom"/>
          </w:tcPr>
          <w:p>
            <w:pPr>
              <w:jc w:val="right"/>
              <w:spacing w:after="0"/>
              <w:rPr>
                <w:sz w:val="20"/>
                <w:szCs w:val="20"/>
                <w:color w:val="auto"/>
              </w:rPr>
            </w:pPr>
            <w:r>
              <w:rPr>
                <w:rFonts w:ascii="Arial" w:cs="Arial" w:eastAsia="Arial" w:hAnsi="Arial"/>
                <w:sz w:val="16"/>
                <w:szCs w:val="16"/>
                <w:color w:val="auto"/>
              </w:rPr>
              <w:t>347,639</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1,481,285</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4.047%</w:t>
            </w:r>
          </w:p>
        </w:tc>
        <w:tc>
          <w:tcPr>
            <w:tcW w:w="1700" w:type="dxa"/>
            <w:vAlign w:val="bottom"/>
          </w:tcPr>
          <w:p>
            <w:pPr>
              <w:jc w:val="right"/>
              <w:spacing w:after="0"/>
              <w:rPr>
                <w:sz w:val="20"/>
                <w:szCs w:val="20"/>
                <w:color w:val="auto"/>
              </w:rPr>
            </w:pPr>
            <w:r>
              <w:rPr>
                <w:rFonts w:ascii="Arial" w:cs="Arial" w:eastAsia="Arial" w:hAnsi="Arial"/>
                <w:sz w:val="16"/>
                <w:szCs w:val="16"/>
                <w:color w:val="auto"/>
              </w:rPr>
              <w:t>178,157</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3.790%</w:t>
            </w:r>
          </w:p>
        </w:tc>
        <w:tc>
          <w:tcPr>
            <w:tcW w:w="1700" w:type="dxa"/>
            <w:vAlign w:val="bottom"/>
          </w:tcPr>
          <w:p>
            <w:pPr>
              <w:jc w:val="right"/>
              <w:spacing w:after="0"/>
              <w:rPr>
                <w:sz w:val="20"/>
                <w:szCs w:val="20"/>
                <w:color w:val="auto"/>
              </w:rPr>
            </w:pPr>
            <w:r>
              <w:rPr>
                <w:rFonts w:ascii="Arial" w:cs="Arial" w:eastAsia="Arial" w:hAnsi="Arial"/>
                <w:sz w:val="16"/>
                <w:szCs w:val="16"/>
                <w:color w:val="auto"/>
              </w:rPr>
              <w:t>805,288</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3.810%</w:t>
            </w:r>
          </w:p>
        </w:tc>
        <w:tc>
          <w:tcPr>
            <w:tcW w:w="1700" w:type="dxa"/>
            <w:vAlign w:val="bottom"/>
          </w:tcPr>
          <w:p>
            <w:pPr>
              <w:jc w:val="right"/>
              <w:spacing w:after="0"/>
              <w:rPr>
                <w:sz w:val="20"/>
                <w:szCs w:val="20"/>
                <w:color w:val="auto"/>
              </w:rPr>
            </w:pPr>
            <w:r>
              <w:rPr>
                <w:rFonts w:ascii="Arial" w:cs="Arial" w:eastAsia="Arial" w:hAnsi="Arial"/>
                <w:sz w:val="16"/>
                <w:szCs w:val="16"/>
                <w:color w:val="auto"/>
              </w:rPr>
              <w:t>428,407</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3.430%</w:t>
            </w:r>
          </w:p>
        </w:tc>
        <w:tc>
          <w:tcPr>
            <w:tcW w:w="1700" w:type="dxa"/>
            <w:vAlign w:val="bottom"/>
          </w:tcPr>
          <w:p>
            <w:pPr>
              <w:jc w:val="right"/>
              <w:spacing w:after="0"/>
              <w:rPr>
                <w:sz w:val="20"/>
                <w:szCs w:val="20"/>
                <w:color w:val="auto"/>
              </w:rPr>
            </w:pPr>
            <w:r>
              <w:rPr>
                <w:rFonts w:ascii="Arial" w:cs="Arial" w:eastAsia="Arial" w:hAnsi="Arial"/>
                <w:sz w:val="16"/>
                <w:szCs w:val="16"/>
                <w:color w:val="auto"/>
              </w:rPr>
              <w:t>509,909</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729,933</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3.470%</w:t>
            </w:r>
          </w:p>
        </w:tc>
        <w:tc>
          <w:tcPr>
            <w:tcW w:w="1700" w:type="dxa"/>
            <w:vAlign w:val="bottom"/>
          </w:tcPr>
          <w:p>
            <w:pPr>
              <w:jc w:val="right"/>
              <w:spacing w:after="0"/>
              <w:rPr>
                <w:sz w:val="20"/>
                <w:szCs w:val="20"/>
                <w:color w:val="auto"/>
              </w:rPr>
            </w:pPr>
            <w:r>
              <w:rPr>
                <w:rFonts w:ascii="Arial" w:cs="Arial" w:eastAsia="Arial" w:hAnsi="Arial"/>
                <w:sz w:val="16"/>
                <w:szCs w:val="16"/>
                <w:color w:val="auto"/>
              </w:rPr>
              <w:t>2,797,557</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3.468%</w:t>
            </w:r>
          </w:p>
        </w:tc>
        <w:tc>
          <w:tcPr>
            <w:tcW w:w="1700" w:type="dxa"/>
            <w:vAlign w:val="bottom"/>
          </w:tcPr>
          <w:p>
            <w:pPr>
              <w:jc w:val="right"/>
              <w:spacing w:after="0"/>
              <w:rPr>
                <w:sz w:val="20"/>
                <w:szCs w:val="20"/>
                <w:color w:val="auto"/>
              </w:rPr>
            </w:pPr>
            <w:r>
              <w:rPr>
                <w:rFonts w:ascii="Arial" w:cs="Arial" w:eastAsia="Arial" w:hAnsi="Arial"/>
                <w:sz w:val="16"/>
                <w:szCs w:val="16"/>
                <w:color w:val="auto"/>
              </w:rPr>
              <w:t>162,231</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3.195%</w:t>
            </w:r>
          </w:p>
        </w:tc>
        <w:tc>
          <w:tcPr>
            <w:tcW w:w="1700" w:type="dxa"/>
            <w:vAlign w:val="bottom"/>
          </w:tcPr>
          <w:p>
            <w:pPr>
              <w:jc w:val="right"/>
              <w:spacing w:after="0"/>
              <w:rPr>
                <w:sz w:val="20"/>
                <w:szCs w:val="20"/>
                <w:color w:val="auto"/>
              </w:rPr>
            </w:pPr>
            <w:r>
              <w:rPr>
                <w:rFonts w:ascii="Arial" w:cs="Arial" w:eastAsia="Arial" w:hAnsi="Arial"/>
                <w:sz w:val="16"/>
                <w:szCs w:val="16"/>
                <w:color w:val="auto"/>
              </w:rPr>
              <w:t>1,321,711</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2.556%</w:t>
            </w:r>
          </w:p>
        </w:tc>
        <w:tc>
          <w:tcPr>
            <w:tcW w:w="1700" w:type="dxa"/>
            <w:vAlign w:val="bottom"/>
          </w:tcPr>
          <w:p>
            <w:pPr>
              <w:jc w:val="right"/>
              <w:spacing w:after="0"/>
              <w:rPr>
                <w:sz w:val="20"/>
                <w:szCs w:val="20"/>
                <w:color w:val="auto"/>
              </w:rPr>
            </w:pPr>
            <w:r>
              <w:rPr>
                <w:rFonts w:ascii="Arial" w:cs="Arial" w:eastAsia="Arial" w:hAnsi="Arial"/>
                <w:sz w:val="16"/>
                <w:szCs w:val="16"/>
                <w:color w:val="auto"/>
              </w:rPr>
              <w:t>687,789</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2.554%</w:t>
            </w:r>
          </w:p>
        </w:tc>
        <w:tc>
          <w:tcPr>
            <w:tcW w:w="1700" w:type="dxa"/>
            <w:vAlign w:val="bottom"/>
          </w:tcPr>
          <w:p>
            <w:pPr>
              <w:jc w:val="right"/>
              <w:spacing w:after="0"/>
              <w:rPr>
                <w:sz w:val="20"/>
                <w:szCs w:val="20"/>
                <w:color w:val="auto"/>
              </w:rPr>
            </w:pPr>
            <w:r>
              <w:rPr>
                <w:rFonts w:ascii="Arial" w:cs="Arial" w:eastAsia="Arial" w:hAnsi="Arial"/>
                <w:sz w:val="16"/>
                <w:szCs w:val="16"/>
                <w:color w:val="auto"/>
              </w:rPr>
              <w:t>837,654</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Pr>
          <w:p>
            <w:pPr>
              <w:jc w:val="right"/>
              <w:spacing w:after="0"/>
              <w:rPr>
                <w:sz w:val="20"/>
                <w:szCs w:val="20"/>
                <w:color w:val="auto"/>
              </w:rPr>
            </w:pPr>
            <w:r>
              <w:rPr>
                <w:rFonts w:ascii="Arial" w:cs="Arial" w:eastAsia="Arial" w:hAnsi="Arial"/>
                <w:sz w:val="16"/>
                <w:szCs w:val="16"/>
                <w:color w:val="auto"/>
              </w:rPr>
              <w:t>416,513</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3.046%</w:t>
            </w:r>
          </w:p>
        </w:tc>
        <w:tc>
          <w:tcPr>
            <w:tcW w:w="1700" w:type="dxa"/>
            <w:vAlign w:val="bottom"/>
          </w:tcPr>
          <w:p>
            <w:pPr>
              <w:jc w:val="right"/>
              <w:spacing w:after="0"/>
              <w:rPr>
                <w:sz w:val="20"/>
                <w:szCs w:val="20"/>
                <w:color w:val="auto"/>
              </w:rPr>
            </w:pPr>
            <w:r>
              <w:rPr>
                <w:rFonts w:ascii="Arial" w:cs="Arial" w:eastAsia="Arial" w:hAnsi="Arial"/>
                <w:sz w:val="16"/>
                <w:szCs w:val="16"/>
                <w:color w:val="auto"/>
              </w:rPr>
              <w:t>971,948</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Pr>
          <w:p>
            <w:pPr>
              <w:jc w:val="right"/>
              <w:spacing w:after="0"/>
              <w:rPr>
                <w:sz w:val="20"/>
                <w:szCs w:val="20"/>
                <w:color w:val="auto"/>
              </w:rPr>
            </w:pPr>
            <w:r>
              <w:rPr>
                <w:rFonts w:ascii="Arial" w:cs="Arial" w:eastAsia="Arial" w:hAnsi="Arial"/>
                <w:sz w:val="16"/>
                <w:szCs w:val="16"/>
                <w:color w:val="auto"/>
              </w:rPr>
              <w:t>1,096,761</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Pr>
          <w:p>
            <w:pPr>
              <w:jc w:val="right"/>
              <w:spacing w:after="0"/>
              <w:rPr>
                <w:sz w:val="20"/>
                <w:szCs w:val="20"/>
                <w:color w:val="auto"/>
              </w:rPr>
            </w:pPr>
            <w:r>
              <w:rPr>
                <w:rFonts w:ascii="Arial" w:cs="Arial" w:eastAsia="Arial" w:hAnsi="Arial"/>
                <w:sz w:val="16"/>
                <w:szCs w:val="16"/>
                <w:color w:val="auto"/>
              </w:rPr>
              <w:t>790,973</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Pr>
          <w:p>
            <w:pPr>
              <w:jc w:val="right"/>
              <w:spacing w:after="0"/>
              <w:rPr>
                <w:sz w:val="20"/>
                <w:szCs w:val="20"/>
                <w:color w:val="auto"/>
              </w:rPr>
            </w:pPr>
            <w:r>
              <w:rPr>
                <w:rFonts w:ascii="Arial" w:cs="Arial" w:eastAsia="Arial" w:hAnsi="Arial"/>
                <w:sz w:val="16"/>
                <w:szCs w:val="16"/>
                <w:color w:val="auto"/>
              </w:rPr>
              <w:t>923,171</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3.143%</w:t>
            </w:r>
          </w:p>
        </w:tc>
        <w:tc>
          <w:tcPr>
            <w:tcW w:w="1700" w:type="dxa"/>
            <w:vAlign w:val="bottom"/>
          </w:tcPr>
          <w:p>
            <w:pPr>
              <w:jc w:val="right"/>
              <w:spacing w:after="0"/>
              <w:rPr>
                <w:sz w:val="20"/>
                <w:szCs w:val="20"/>
                <w:color w:val="auto"/>
              </w:rPr>
            </w:pPr>
            <w:r>
              <w:rPr>
                <w:rFonts w:ascii="Arial" w:cs="Arial" w:eastAsia="Arial" w:hAnsi="Arial"/>
                <w:sz w:val="16"/>
                <w:szCs w:val="16"/>
                <w:color w:val="auto"/>
              </w:rPr>
              <w:t>1,520,603</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1.274%</w:t>
            </w:r>
          </w:p>
        </w:tc>
        <w:tc>
          <w:tcPr>
            <w:tcW w:w="1700" w:type="dxa"/>
            <w:vAlign w:val="bottom"/>
          </w:tcPr>
          <w:p>
            <w:pPr>
              <w:jc w:val="right"/>
              <w:spacing w:after="0"/>
              <w:rPr>
                <w:sz w:val="20"/>
                <w:szCs w:val="20"/>
                <w:color w:val="auto"/>
              </w:rPr>
            </w:pPr>
            <w:r>
              <w:rPr>
                <w:rFonts w:ascii="Arial" w:cs="Arial" w:eastAsia="Arial" w:hAnsi="Arial"/>
                <w:sz w:val="16"/>
                <w:szCs w:val="16"/>
                <w:color w:val="auto"/>
              </w:rPr>
              <w:t>735,369</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1.000%</w:t>
            </w:r>
          </w:p>
        </w:tc>
        <w:tc>
          <w:tcPr>
            <w:tcW w:w="1700" w:type="dxa"/>
            <w:vAlign w:val="bottom"/>
          </w:tcPr>
          <w:p>
            <w:pPr>
              <w:jc w:val="right"/>
              <w:spacing w:after="0"/>
              <w:rPr>
                <w:sz w:val="20"/>
                <w:szCs w:val="20"/>
                <w:color w:val="auto"/>
              </w:rPr>
            </w:pPr>
            <w:r>
              <w:rPr>
                <w:rFonts w:ascii="Arial" w:cs="Arial" w:eastAsia="Arial" w:hAnsi="Arial"/>
                <w:sz w:val="16"/>
                <w:szCs w:val="16"/>
                <w:color w:val="auto"/>
              </w:rPr>
              <w:t>6,919,475</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3.330%</w:t>
            </w:r>
          </w:p>
        </w:tc>
        <w:tc>
          <w:tcPr>
            <w:tcW w:w="1700" w:type="dxa"/>
            <w:vAlign w:val="bottom"/>
          </w:tcPr>
          <w:p>
            <w:pPr>
              <w:jc w:val="right"/>
              <w:spacing w:after="0"/>
              <w:rPr>
                <w:sz w:val="20"/>
                <w:szCs w:val="20"/>
                <w:color w:val="auto"/>
              </w:rPr>
            </w:pPr>
            <w:r>
              <w:rPr>
                <w:rFonts w:ascii="Arial" w:cs="Arial" w:eastAsia="Arial" w:hAnsi="Arial"/>
                <w:sz w:val="16"/>
                <w:szCs w:val="16"/>
                <w:color w:val="auto"/>
              </w:rPr>
              <w:t>259,627</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2.730%</w:t>
            </w:r>
          </w:p>
        </w:tc>
        <w:tc>
          <w:tcPr>
            <w:tcW w:w="1700" w:type="dxa"/>
            <w:vAlign w:val="bottom"/>
          </w:tcPr>
          <w:p>
            <w:pPr>
              <w:jc w:val="right"/>
              <w:spacing w:after="0"/>
              <w:rPr>
                <w:sz w:val="20"/>
                <w:szCs w:val="20"/>
                <w:color w:val="auto"/>
              </w:rPr>
            </w:pPr>
            <w:r>
              <w:rPr>
                <w:rFonts w:ascii="Arial" w:cs="Arial" w:eastAsia="Arial" w:hAnsi="Arial"/>
                <w:sz w:val="16"/>
                <w:szCs w:val="16"/>
                <w:color w:val="auto"/>
              </w:rPr>
              <w:t>2,191,284</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2.668%</w:t>
            </w:r>
          </w:p>
        </w:tc>
        <w:tc>
          <w:tcPr>
            <w:tcW w:w="1700" w:type="dxa"/>
            <w:vAlign w:val="bottom"/>
          </w:tcPr>
          <w:p>
            <w:pPr>
              <w:jc w:val="right"/>
              <w:spacing w:after="0"/>
              <w:rPr>
                <w:sz w:val="20"/>
                <w:szCs w:val="20"/>
                <w:color w:val="auto"/>
              </w:rPr>
            </w:pPr>
            <w:r>
              <w:rPr>
                <w:rFonts w:ascii="Arial" w:cs="Arial" w:eastAsia="Arial" w:hAnsi="Arial"/>
                <w:sz w:val="16"/>
                <w:szCs w:val="16"/>
                <w:color w:val="auto"/>
              </w:rPr>
              <w:t>1,069,884</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Pr>
          <w:p>
            <w:pPr>
              <w:jc w:val="right"/>
              <w:spacing w:after="0"/>
              <w:rPr>
                <w:sz w:val="20"/>
                <w:szCs w:val="20"/>
                <w:color w:val="auto"/>
              </w:rPr>
            </w:pPr>
            <w:r>
              <w:rPr>
                <w:rFonts w:ascii="Arial" w:cs="Arial" w:eastAsia="Arial" w:hAnsi="Arial"/>
                <w:sz w:val="16"/>
                <w:szCs w:val="16"/>
                <w:color w:val="auto"/>
              </w:rPr>
              <w:t>875,557</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1.000%</w:t>
            </w:r>
          </w:p>
        </w:tc>
        <w:tc>
          <w:tcPr>
            <w:tcW w:w="1700" w:type="dxa"/>
            <w:vAlign w:val="bottom"/>
          </w:tcPr>
          <w:p>
            <w:pPr>
              <w:jc w:val="right"/>
              <w:spacing w:after="0"/>
              <w:rPr>
                <w:sz w:val="20"/>
                <w:szCs w:val="20"/>
                <w:color w:val="auto"/>
              </w:rPr>
            </w:pPr>
            <w:r>
              <w:rPr>
                <w:rFonts w:ascii="Arial" w:cs="Arial" w:eastAsia="Arial" w:hAnsi="Arial"/>
                <w:sz w:val="16"/>
                <w:szCs w:val="16"/>
                <w:color w:val="auto"/>
              </w:rPr>
              <w:t>336,198</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161,093</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138,240</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3.052%</w:t>
            </w:r>
          </w:p>
        </w:tc>
        <w:tc>
          <w:tcPr>
            <w:tcW w:w="1700" w:type="dxa"/>
            <w:vAlign w:val="bottom"/>
          </w:tcPr>
          <w:p>
            <w:pPr>
              <w:jc w:val="right"/>
              <w:spacing w:after="0"/>
              <w:rPr>
                <w:sz w:val="20"/>
                <w:szCs w:val="20"/>
                <w:color w:val="auto"/>
              </w:rPr>
            </w:pPr>
            <w:r>
              <w:rPr>
                <w:rFonts w:ascii="Arial" w:cs="Arial" w:eastAsia="Arial" w:hAnsi="Arial"/>
                <w:sz w:val="16"/>
                <w:szCs w:val="16"/>
                <w:color w:val="auto"/>
              </w:rPr>
              <w:t>570,278</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3.468%</w:t>
            </w:r>
          </w:p>
        </w:tc>
        <w:tc>
          <w:tcPr>
            <w:tcW w:w="1700" w:type="dxa"/>
            <w:vAlign w:val="bottom"/>
          </w:tcPr>
          <w:p>
            <w:pPr>
              <w:jc w:val="right"/>
              <w:spacing w:after="0"/>
              <w:rPr>
                <w:sz w:val="20"/>
                <w:szCs w:val="20"/>
                <w:color w:val="auto"/>
              </w:rPr>
            </w:pPr>
            <w:r>
              <w:rPr>
                <w:rFonts w:ascii="Arial" w:cs="Arial" w:eastAsia="Arial" w:hAnsi="Arial"/>
                <w:sz w:val="16"/>
                <w:szCs w:val="16"/>
                <w:color w:val="auto"/>
              </w:rPr>
              <w:t>3,507,965</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908,122</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1.156%</w:t>
            </w:r>
          </w:p>
        </w:tc>
        <w:tc>
          <w:tcPr>
            <w:tcW w:w="1700" w:type="dxa"/>
            <w:vAlign w:val="bottom"/>
          </w:tcPr>
          <w:p>
            <w:pPr>
              <w:jc w:val="right"/>
              <w:spacing w:after="0"/>
              <w:rPr>
                <w:sz w:val="20"/>
                <w:szCs w:val="20"/>
                <w:color w:val="auto"/>
              </w:rPr>
            </w:pPr>
            <w:r>
              <w:rPr>
                <w:rFonts w:ascii="Arial" w:cs="Arial" w:eastAsia="Arial" w:hAnsi="Arial"/>
                <w:sz w:val="16"/>
                <w:szCs w:val="16"/>
                <w:color w:val="auto"/>
              </w:rPr>
              <w:t>266,074</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2.774%</w:t>
            </w:r>
          </w:p>
        </w:tc>
        <w:tc>
          <w:tcPr>
            <w:tcW w:w="1700" w:type="dxa"/>
            <w:vAlign w:val="bottom"/>
          </w:tcPr>
          <w:p>
            <w:pPr>
              <w:jc w:val="right"/>
              <w:spacing w:after="0"/>
              <w:rPr>
                <w:sz w:val="20"/>
                <w:szCs w:val="20"/>
                <w:color w:val="auto"/>
              </w:rPr>
            </w:pPr>
            <w:r>
              <w:rPr>
                <w:rFonts w:ascii="Arial" w:cs="Arial" w:eastAsia="Arial" w:hAnsi="Arial"/>
                <w:sz w:val="16"/>
                <w:szCs w:val="16"/>
                <w:color w:val="auto"/>
              </w:rPr>
              <w:t>1,125,705</w:t>
            </w:r>
          </w:p>
        </w:tc>
      </w:tr>
      <w:tr>
        <w:trPr>
          <w:trHeight w:val="243"/>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3.365%</w:t>
            </w:r>
          </w:p>
        </w:tc>
        <w:tc>
          <w:tcPr>
            <w:tcW w:w="1700" w:type="dxa"/>
            <w:vAlign w:val="bottom"/>
          </w:tcPr>
          <w:p>
            <w:pPr>
              <w:jc w:val="right"/>
              <w:spacing w:after="0"/>
              <w:rPr>
                <w:sz w:val="20"/>
                <w:szCs w:val="20"/>
                <w:color w:val="auto"/>
              </w:rPr>
            </w:pPr>
            <w:r>
              <w:rPr>
                <w:rFonts w:ascii="Arial" w:cs="Arial" w:eastAsia="Arial" w:hAnsi="Arial"/>
                <w:sz w:val="16"/>
                <w:szCs w:val="16"/>
                <w:color w:val="auto"/>
              </w:rPr>
              <w:t>1,333,193</w:t>
            </w:r>
          </w:p>
        </w:tc>
      </w:tr>
      <w:tr>
        <w:trPr>
          <w:trHeight w:val="236"/>
        </w:trPr>
        <w:tc>
          <w:tcPr>
            <w:tcW w:w="2360" w:type="dxa"/>
            <w:vAlign w:val="bottom"/>
          </w:tcPr>
          <w:p>
            <w:pPr>
              <w:spacing w:after="0"/>
              <w:rPr>
                <w:sz w:val="20"/>
                <w:szCs w:val="20"/>
                <w:color w:val="auto"/>
              </w:rPr>
            </w:pPr>
            <w:r>
              <w:rPr>
                <w:rFonts w:ascii="Arial" w:cs="Arial" w:eastAsia="Arial" w:hAnsi="Arial"/>
                <w:sz w:val="16"/>
                <w:szCs w:val="16"/>
                <w:color w:val="auto"/>
              </w:rPr>
              <w:t>PennVest</w:t>
            </w:r>
          </w:p>
        </w:tc>
        <w:tc>
          <w:tcPr>
            <w:tcW w:w="2600" w:type="dxa"/>
            <w:vAlign w:val="bottom"/>
          </w:tcPr>
          <w:p>
            <w:pPr>
              <w:jc w:val="right"/>
              <w:ind w:right="319"/>
              <w:spacing w:after="0"/>
              <w:rPr>
                <w:sz w:val="20"/>
                <w:szCs w:val="20"/>
                <w:color w:val="auto"/>
              </w:rPr>
            </w:pPr>
            <w:r>
              <w:rPr>
                <w:rFonts w:ascii="Arial" w:cs="Arial" w:eastAsia="Arial" w:hAnsi="Arial"/>
                <w:sz w:val="16"/>
                <w:szCs w:val="16"/>
                <w:color w:val="auto"/>
              </w:rPr>
              <w:t>2.547%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1,364,724</w:t>
            </w:r>
          </w:p>
        </w:tc>
      </w:tr>
    </w:tbl>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40" w:type="dxa"/>
            <w:vAlign w:val="bottom"/>
          </w:tcPr>
          <w:p>
            <w:pPr>
              <w:ind w:left="860"/>
              <w:spacing w:after="0"/>
              <w:rPr>
                <w:sz w:val="20"/>
                <w:szCs w:val="20"/>
                <w:color w:val="auto"/>
              </w:rPr>
            </w:pPr>
            <w:r>
              <w:rPr>
                <w:rFonts w:ascii="Arial" w:cs="Arial" w:eastAsia="Arial" w:hAnsi="Arial"/>
                <w:sz w:val="16"/>
                <w:szCs w:val="16"/>
                <w:b w:val="1"/>
                <w:bCs w:val="1"/>
                <w:color w:val="auto"/>
              </w:rPr>
              <w:t>Total PennVest</w:t>
            </w:r>
          </w:p>
        </w:tc>
        <w:tc>
          <w:tcPr>
            <w:tcW w:w="2600" w:type="dxa"/>
            <w:vAlign w:val="bottom"/>
          </w:tcPr>
          <w:p>
            <w:pPr>
              <w:spacing w:after="0"/>
              <w:rPr>
                <w:sz w:val="18"/>
                <w:szCs w:val="18"/>
                <w:color w:val="auto"/>
              </w:rPr>
            </w:pPr>
          </w:p>
        </w:tc>
        <w:tc>
          <w:tcPr>
            <w:tcW w:w="2820" w:type="dxa"/>
            <w:vAlign w:val="bottom"/>
          </w:tcPr>
          <w:p>
            <w:pPr>
              <w:jc w:val="right"/>
              <w:ind w:right="1319"/>
              <w:spacing w:after="0"/>
              <w:rPr>
                <w:sz w:val="20"/>
                <w:szCs w:val="20"/>
                <w:color w:val="auto"/>
              </w:rPr>
            </w:pPr>
            <w:r>
              <w:rPr>
                <w:rFonts w:ascii="Arial" w:cs="Arial" w:eastAsia="Arial" w:hAnsi="Arial"/>
                <w:sz w:val="16"/>
                <w:szCs w:val="16"/>
                <w:b w:val="1"/>
                <w:bCs w:val="1"/>
                <w:color w:val="auto"/>
              </w:rPr>
              <w:t>52,363,414</w:t>
            </w:r>
          </w:p>
        </w:tc>
      </w:tr>
      <w:tr>
        <w:trPr>
          <w:trHeight w:val="486"/>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5.17%</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7,000,000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5.751%</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15,000,000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5.751%</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5.98%</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3,000,000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6.06%</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15,000,000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6.06%</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7.72%</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15,000,000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9.17%</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2,000,000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9.29%</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12,000,000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9.97%</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5,000,000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3.79%</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40,000,000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3.80%</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20,000,000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3.85%</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20,000,000</w:t>
            </w:r>
          </w:p>
        </w:tc>
      </w:tr>
      <w:tr>
        <w:trPr>
          <w:trHeight w:val="243"/>
        </w:trPr>
        <w:tc>
          <w:tcPr>
            <w:tcW w:w="3440" w:type="dxa"/>
            <w:vAlign w:val="bottom"/>
          </w:tcPr>
          <w:p>
            <w:pPr>
              <w:ind w:left="860"/>
              <w:spacing w:after="0"/>
              <w:rPr>
                <w:sz w:val="20"/>
                <w:szCs w:val="20"/>
                <w:color w:val="auto"/>
              </w:rPr>
            </w:pPr>
            <w:r>
              <w:rPr>
                <w:rFonts w:ascii="Arial" w:cs="Arial" w:eastAsia="Arial" w:hAnsi="Arial"/>
                <w:sz w:val="16"/>
                <w:szCs w:val="16"/>
                <w:color w:val="auto"/>
              </w:rPr>
              <w:t>FMB</w:t>
            </w:r>
          </w:p>
        </w:tc>
        <w:tc>
          <w:tcPr>
            <w:tcW w:w="2600" w:type="dxa"/>
            <w:vAlign w:val="bottom"/>
          </w:tcPr>
          <w:p>
            <w:pPr>
              <w:jc w:val="right"/>
              <w:ind w:right="539"/>
              <w:spacing w:after="0"/>
              <w:rPr>
                <w:sz w:val="20"/>
                <w:szCs w:val="20"/>
                <w:color w:val="auto"/>
              </w:rPr>
            </w:pPr>
            <w:r>
              <w:rPr>
                <w:rFonts w:ascii="Arial" w:cs="Arial" w:eastAsia="Arial" w:hAnsi="Arial"/>
                <w:sz w:val="16"/>
                <w:szCs w:val="16"/>
                <w:color w:val="auto"/>
              </w:rPr>
              <w:t>3.94%</w:t>
            </w:r>
          </w:p>
        </w:tc>
        <w:tc>
          <w:tcPr>
            <w:tcW w:w="2820" w:type="dxa"/>
            <w:vAlign w:val="bottom"/>
          </w:tcPr>
          <w:p>
            <w:pPr>
              <w:jc w:val="right"/>
              <w:ind w:right="1319"/>
              <w:spacing w:after="0"/>
              <w:rPr>
                <w:sz w:val="20"/>
                <w:szCs w:val="20"/>
                <w:color w:val="auto"/>
              </w:rPr>
            </w:pPr>
            <w:r>
              <w:rPr>
                <w:rFonts w:ascii="Arial" w:cs="Arial" w:eastAsia="Arial" w:hAnsi="Arial"/>
                <w:sz w:val="16"/>
                <w:szCs w:val="16"/>
                <w:color w:val="auto"/>
              </w:rPr>
              <w:t>25,000,000</w:t>
            </w:r>
          </w:p>
        </w:tc>
      </w:tr>
      <w:tr>
        <w:trPr>
          <w:trHeight w:val="803"/>
        </w:trPr>
        <w:tc>
          <w:tcPr>
            <w:tcW w:w="34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r>
        <w:trPr>
          <w:trHeight w:val="20"/>
        </w:trPr>
        <w:tc>
          <w:tcPr>
            <w:tcW w:w="344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127" w:name="page128"/>
    <w:bookmarkEnd w:id="127"/>
    <w:tbl>
      <w:tblPr>
        <w:tblLayout w:type="fixed"/>
        <w:tblInd w:w="96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b w:val="1"/>
                <w:bCs w:val="1"/>
                <w:color w:val="auto"/>
              </w:rPr>
              <w:t>Outstanding</w:t>
            </w:r>
          </w:p>
        </w:tc>
      </w:tr>
      <w:tr>
        <w:trPr>
          <w:trHeight w:val="207"/>
        </w:trPr>
        <w:tc>
          <w:tcPr>
            <w:tcW w:w="2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Balance</w:t>
            </w:r>
          </w:p>
        </w:tc>
      </w:tr>
      <w:tr>
        <w:trPr>
          <w:trHeight w:val="244"/>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4.61%</w:t>
            </w:r>
          </w:p>
        </w:tc>
        <w:tc>
          <w:tcPr>
            <w:tcW w:w="170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4.62%</w:t>
            </w:r>
          </w:p>
        </w:tc>
        <w:tc>
          <w:tcPr>
            <w:tcW w:w="170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3.64%</w:t>
            </w:r>
          </w:p>
        </w:tc>
        <w:tc>
          <w:tcPr>
            <w:tcW w:w="170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4.01%</w:t>
            </w:r>
          </w:p>
        </w:tc>
        <w:tc>
          <w:tcPr>
            <w:tcW w:w="170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4.06%</w:t>
            </w:r>
          </w:p>
        </w:tc>
        <w:tc>
          <w:tcPr>
            <w:tcW w:w="1700" w:type="dxa"/>
            <w:vAlign w:val="bottom"/>
          </w:tcPr>
          <w:p>
            <w:pPr>
              <w:jc w:val="right"/>
              <w:spacing w:after="0"/>
              <w:rPr>
                <w:sz w:val="20"/>
                <w:szCs w:val="20"/>
                <w:color w:val="auto"/>
              </w:rPr>
            </w:pPr>
            <w:r>
              <w:rPr>
                <w:rFonts w:ascii="Arial" w:cs="Arial" w:eastAsia="Arial" w:hAnsi="Arial"/>
                <w:sz w:val="16"/>
                <w:szCs w:val="16"/>
                <w:color w:val="auto"/>
              </w:rPr>
              <w:t>13,000,000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4.11%</w:t>
            </w:r>
          </w:p>
        </w:tc>
        <w:tc>
          <w:tcPr>
            <w:tcW w:w="1700" w:type="dxa"/>
            <w:vAlign w:val="bottom"/>
          </w:tcPr>
          <w:p>
            <w:pPr>
              <w:jc w:val="right"/>
              <w:spacing w:after="0"/>
              <w:rPr>
                <w:sz w:val="20"/>
                <w:szCs w:val="20"/>
                <w:color w:val="auto"/>
              </w:rPr>
            </w:pPr>
            <w:r>
              <w:rPr>
                <w:rFonts w:ascii="Arial" w:cs="Arial" w:eastAsia="Arial" w:hAnsi="Arial"/>
                <w:sz w:val="16"/>
                <w:szCs w:val="16"/>
                <w:color w:val="auto"/>
              </w:rPr>
              <w:t>12,000,000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3.77%</w:t>
            </w:r>
          </w:p>
        </w:tc>
        <w:tc>
          <w:tcPr>
            <w:tcW w:w="1700" w:type="dxa"/>
            <w:vAlign w:val="bottom"/>
          </w:tcPr>
          <w:p>
            <w:pPr>
              <w:jc w:val="right"/>
              <w:spacing w:after="0"/>
              <w:rPr>
                <w:sz w:val="20"/>
                <w:szCs w:val="20"/>
                <w:color w:val="auto"/>
              </w:rPr>
            </w:pPr>
            <w:r>
              <w:rPr>
                <w:rFonts w:ascii="Arial" w:cs="Arial" w:eastAsia="Arial" w:hAnsi="Arial"/>
                <w:sz w:val="16"/>
                <w:szCs w:val="16"/>
                <w:color w:val="auto"/>
              </w:rPr>
              <w:t>65,000,000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3.82%</w:t>
            </w:r>
          </w:p>
        </w:tc>
        <w:tc>
          <w:tcPr>
            <w:tcW w:w="170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3.85%</w:t>
            </w:r>
          </w:p>
        </w:tc>
        <w:tc>
          <w:tcPr>
            <w:tcW w:w="170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4.16%</w:t>
            </w:r>
          </w:p>
        </w:tc>
        <w:tc>
          <w:tcPr>
            <w:tcW w:w="1700" w:type="dxa"/>
            <w:vAlign w:val="bottom"/>
          </w:tcPr>
          <w:p>
            <w:pPr>
              <w:jc w:val="right"/>
              <w:spacing w:after="0"/>
              <w:rPr>
                <w:sz w:val="20"/>
                <w:szCs w:val="20"/>
                <w:color w:val="auto"/>
              </w:rPr>
            </w:pPr>
            <w:r>
              <w:rPr>
                <w:rFonts w:ascii="Arial" w:cs="Arial" w:eastAsia="Arial" w:hAnsi="Arial"/>
                <w:sz w:val="16"/>
                <w:szCs w:val="16"/>
                <w:color w:val="auto"/>
              </w:rPr>
              <w:t>60,000,000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4.18%</w:t>
            </w:r>
          </w:p>
        </w:tc>
        <w:tc>
          <w:tcPr>
            <w:tcW w:w="170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4.20%</w:t>
            </w:r>
          </w:p>
        </w:tc>
        <w:tc>
          <w:tcPr>
            <w:tcW w:w="170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3.85%</w:t>
            </w:r>
          </w:p>
        </w:tc>
        <w:tc>
          <w:tcPr>
            <w:tcW w:w="170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3.95%</w:t>
            </w:r>
          </w:p>
        </w:tc>
        <w:tc>
          <w:tcPr>
            <w:tcW w:w="1700" w:type="dxa"/>
            <w:vAlign w:val="bottom"/>
          </w:tcPr>
          <w:p>
            <w:pPr>
              <w:jc w:val="right"/>
              <w:spacing w:after="0"/>
              <w:rPr>
                <w:sz w:val="20"/>
                <w:szCs w:val="20"/>
                <w:color w:val="auto"/>
              </w:rPr>
            </w:pPr>
            <w:r>
              <w:rPr>
                <w:rFonts w:ascii="Arial" w:cs="Arial" w:eastAsia="Arial" w:hAnsi="Arial"/>
                <w:sz w:val="16"/>
                <w:szCs w:val="16"/>
                <w:color w:val="auto"/>
              </w:rPr>
              <w:t>60,000,000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3.65%</w:t>
            </w:r>
          </w:p>
        </w:tc>
        <w:tc>
          <w:tcPr>
            <w:tcW w:w="170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36"/>
        </w:trPr>
        <w:tc>
          <w:tcPr>
            <w:tcW w:w="2240" w:type="dxa"/>
            <w:vAlign w:val="bottom"/>
          </w:tcPr>
          <w:p>
            <w:pPr>
              <w:spacing w:after="0"/>
              <w:rPr>
                <w:sz w:val="20"/>
                <w:szCs w:val="20"/>
                <w:color w:val="auto"/>
              </w:rPr>
            </w:pPr>
            <w:r>
              <w:rPr>
                <w:rFonts w:ascii="Arial" w:cs="Arial" w:eastAsia="Arial" w:hAnsi="Arial"/>
                <w:sz w:val="16"/>
                <w:szCs w:val="16"/>
                <w:color w:val="auto"/>
              </w:rPr>
              <w:t>FMB</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3.69%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40,000,000</w:t>
            </w:r>
          </w:p>
        </w:tc>
      </w:tr>
    </w:tbl>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Total First Mortgage Bonds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649,000,000</w:t>
            </w:r>
          </w:p>
        </w:tc>
        <w:tc>
          <w:tcPr>
            <w:tcW w:w="1340" w:type="dxa"/>
            <w:vAlign w:val="bottom"/>
          </w:tcPr>
          <w:p>
            <w:pPr>
              <w:spacing w:after="0"/>
              <w:rPr>
                <w:sz w:val="18"/>
                <w:szCs w:val="18"/>
                <w:color w:val="auto"/>
              </w:rPr>
            </w:pPr>
          </w:p>
        </w:tc>
      </w:tr>
      <w:tr>
        <w:trPr>
          <w:trHeight w:val="486"/>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406,362</w:t>
            </w:r>
          </w:p>
        </w:tc>
        <w:tc>
          <w:tcPr>
            <w:tcW w:w="1340" w:type="dxa"/>
            <w:vAlign w:val="bottom"/>
          </w:tcPr>
          <w:p>
            <w:pPr>
              <w:spacing w:after="0"/>
              <w:rPr>
                <w:sz w:val="24"/>
                <w:szCs w:val="24"/>
                <w:color w:val="auto"/>
              </w:rPr>
            </w:pPr>
          </w:p>
        </w:tc>
      </w:tr>
      <w:tr>
        <w:trPr>
          <w:trHeight w:val="243"/>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1.16%</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1,003,914</w:t>
            </w:r>
          </w:p>
        </w:tc>
        <w:tc>
          <w:tcPr>
            <w:tcW w:w="1340" w:type="dxa"/>
            <w:vAlign w:val="bottom"/>
          </w:tcPr>
          <w:p>
            <w:pPr>
              <w:spacing w:after="0"/>
              <w:rPr>
                <w:sz w:val="21"/>
                <w:szCs w:val="21"/>
                <w:color w:val="auto"/>
              </w:rPr>
            </w:pPr>
          </w:p>
        </w:tc>
      </w:tr>
      <w:tr>
        <w:trPr>
          <w:trHeight w:val="243"/>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615,964</w:t>
            </w:r>
          </w:p>
        </w:tc>
        <w:tc>
          <w:tcPr>
            <w:tcW w:w="1340" w:type="dxa"/>
            <w:vAlign w:val="bottom"/>
          </w:tcPr>
          <w:p>
            <w:pPr>
              <w:spacing w:after="0"/>
              <w:rPr>
                <w:sz w:val="21"/>
                <w:szCs w:val="21"/>
                <w:color w:val="auto"/>
              </w:rPr>
            </w:pPr>
          </w:p>
        </w:tc>
      </w:tr>
      <w:tr>
        <w:trPr>
          <w:trHeight w:val="243"/>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181,111</w:t>
            </w:r>
          </w:p>
        </w:tc>
        <w:tc>
          <w:tcPr>
            <w:tcW w:w="1340" w:type="dxa"/>
            <w:vAlign w:val="bottom"/>
          </w:tcPr>
          <w:p>
            <w:pPr>
              <w:spacing w:after="0"/>
              <w:rPr>
                <w:sz w:val="21"/>
                <w:szCs w:val="21"/>
                <w:color w:val="auto"/>
              </w:rPr>
            </w:pPr>
          </w:p>
        </w:tc>
      </w:tr>
      <w:tr>
        <w:trPr>
          <w:trHeight w:val="243"/>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1.35%</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77,328</w:t>
            </w:r>
          </w:p>
        </w:tc>
        <w:tc>
          <w:tcPr>
            <w:tcW w:w="1340" w:type="dxa"/>
            <w:vAlign w:val="bottom"/>
          </w:tcPr>
          <w:p>
            <w:pPr>
              <w:spacing w:after="0"/>
              <w:rPr>
                <w:sz w:val="21"/>
                <w:szCs w:val="21"/>
                <w:color w:val="auto"/>
              </w:rPr>
            </w:pPr>
          </w:p>
        </w:tc>
      </w:tr>
      <w:tr>
        <w:trPr>
          <w:trHeight w:val="236"/>
        </w:trPr>
        <w:tc>
          <w:tcPr>
            <w:tcW w:w="4080" w:type="dxa"/>
            <w:vAlign w:val="bottom"/>
          </w:tcPr>
          <w:p>
            <w:pPr>
              <w:ind w:left="860"/>
              <w:spacing w:after="0"/>
              <w:rPr>
                <w:sz w:val="20"/>
                <w:szCs w:val="20"/>
                <w:color w:val="auto"/>
              </w:rPr>
            </w:pPr>
            <w:r>
              <w:rPr>
                <w:rFonts w:ascii="Arial" w:cs="Arial" w:eastAsia="Arial" w:hAnsi="Arial"/>
                <w:sz w:val="16"/>
                <w:szCs w:val="16"/>
                <w:color w:val="auto"/>
              </w:rPr>
              <w:t>PennVest - Aqua PA WW</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2.77%</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198,712</w:t>
            </w:r>
          </w:p>
        </w:tc>
        <w:tc>
          <w:tcPr>
            <w:tcW w:w="1340" w:type="dxa"/>
            <w:vAlign w:val="bottom"/>
          </w:tcPr>
          <w:p>
            <w:pPr>
              <w:spacing w:after="0"/>
              <w:rPr>
                <w:sz w:val="20"/>
                <w:szCs w:val="20"/>
                <w:color w:val="auto"/>
              </w:rPr>
            </w:pPr>
          </w:p>
        </w:tc>
      </w:tr>
      <w:tr>
        <w:trPr>
          <w:trHeight w:val="487"/>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Total PennVest LWWW</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2,483,389</w:t>
            </w:r>
          </w:p>
        </w:tc>
        <w:tc>
          <w:tcPr>
            <w:tcW w:w="1340" w:type="dxa"/>
            <w:vAlign w:val="bottom"/>
          </w:tcPr>
          <w:p>
            <w:pPr>
              <w:spacing w:after="0"/>
              <w:rPr>
                <w:sz w:val="24"/>
                <w:szCs w:val="24"/>
                <w:color w:val="auto"/>
              </w:rPr>
            </w:pPr>
          </w:p>
        </w:tc>
      </w:tr>
      <w:tr>
        <w:trPr>
          <w:trHeight w:val="715"/>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Total Long Term Debt</w:t>
            </w:r>
          </w:p>
        </w:tc>
        <w:tc>
          <w:tcPr>
            <w:tcW w:w="2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1,204,609,882</w:t>
            </w:r>
          </w:p>
        </w:tc>
        <w:tc>
          <w:tcPr>
            <w:tcW w:w="1340" w:type="dxa"/>
            <w:vAlign w:val="bottom"/>
          </w:tcPr>
          <w:p>
            <w:pPr>
              <w:spacing w:after="0"/>
              <w:rPr>
                <w:sz w:val="24"/>
                <w:szCs w:val="24"/>
                <w:color w:val="auto"/>
              </w:rPr>
            </w:pPr>
          </w:p>
        </w:tc>
      </w:tr>
      <w:tr>
        <w:trPr>
          <w:trHeight w:val="494"/>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PNC Revolver</w:t>
            </w:r>
          </w:p>
        </w:tc>
        <w:tc>
          <w:tcPr>
            <w:tcW w:w="1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26,742,244</w:t>
            </w:r>
          </w:p>
        </w:tc>
        <w:tc>
          <w:tcPr>
            <w:tcW w:w="1340" w:type="dxa"/>
            <w:vAlign w:val="bottom"/>
          </w:tcPr>
          <w:p>
            <w:pPr>
              <w:spacing w:after="0"/>
              <w:rPr>
                <w:sz w:val="24"/>
                <w:szCs w:val="24"/>
                <w:color w:val="auto"/>
              </w:rPr>
            </w:pPr>
          </w:p>
        </w:tc>
      </w:tr>
      <w:tr>
        <w:trPr>
          <w:trHeight w:val="486"/>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PNC Uncommitted line</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340" w:type="dxa"/>
            <w:vAlign w:val="bottom"/>
          </w:tcPr>
          <w:p>
            <w:pPr>
              <w:spacing w:after="0"/>
              <w:rPr>
                <w:sz w:val="24"/>
                <w:szCs w:val="24"/>
                <w:color w:val="auto"/>
              </w:rPr>
            </w:pPr>
          </w:p>
        </w:tc>
      </w:tr>
      <w:tr>
        <w:trPr>
          <w:trHeight w:val="472"/>
        </w:trPr>
        <w:tc>
          <w:tcPr>
            <w:tcW w:w="4080" w:type="dxa"/>
            <w:vAlign w:val="bottom"/>
          </w:tcPr>
          <w:p>
            <w:pPr>
              <w:ind w:left="860"/>
              <w:spacing w:after="0"/>
              <w:rPr>
                <w:sz w:val="20"/>
                <w:szCs w:val="20"/>
                <w:color w:val="auto"/>
              </w:rPr>
            </w:pPr>
            <w:r>
              <w:rPr>
                <w:rFonts w:ascii="Arial" w:cs="Arial" w:eastAsia="Arial" w:hAnsi="Arial"/>
                <w:sz w:val="16"/>
                <w:szCs w:val="16"/>
                <w:b w:val="1"/>
                <w:bCs w:val="1"/>
                <w:color w:val="auto"/>
              </w:rPr>
              <w:t>Total Debt Aqua Pennsylvania</w:t>
            </w:r>
          </w:p>
        </w:tc>
        <w:tc>
          <w:tcPr>
            <w:tcW w:w="2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1,231,352,126</w:t>
            </w:r>
          </w:p>
        </w:tc>
        <w:tc>
          <w:tcPr>
            <w:tcW w:w="1340" w:type="dxa"/>
            <w:vAlign w:val="bottom"/>
          </w:tcPr>
          <w:p>
            <w:pPr>
              <w:spacing w:after="0"/>
              <w:rPr>
                <w:sz w:val="24"/>
                <w:szCs w:val="24"/>
                <w:color w:val="auto"/>
              </w:rPr>
            </w:pPr>
          </w:p>
        </w:tc>
      </w:tr>
      <w:tr>
        <w:trPr>
          <w:trHeight w:val="1783"/>
        </w:trPr>
        <w:tc>
          <w:tcPr>
            <w:tcW w:w="4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r>
        <w:trPr>
          <w:trHeight w:val="20"/>
        </w:trPr>
        <w:tc>
          <w:tcPr>
            <w:tcW w:w="408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CHEDULE</w:t>
      </w:r>
      <w:r>
        <w:rPr>
          <w:rFonts w:ascii="Arial" w:cs="Arial" w:eastAsia="Arial" w:hAnsi="Arial"/>
          <w:sz w:val="22"/>
          <w:szCs w:val="22"/>
          <w:b w:val="1"/>
          <w:bCs w:val="1"/>
          <w:color w:val="auto"/>
        </w:rPr>
        <w:t xml:space="preserve"> 5.15(b)</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QUA</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ENNSYLVANIA,</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 AND</w:t>
      </w:r>
      <w:r>
        <w:rPr>
          <w:rFonts w:ascii="Arial" w:cs="Arial" w:eastAsia="Arial" w:hAnsi="Arial"/>
          <w:sz w:val="22"/>
          <w:szCs w:val="22"/>
          <w:b w:val="1"/>
          <w:bCs w:val="1"/>
          <w:color w:val="auto"/>
        </w:rPr>
        <w:t xml:space="preserve"> S</w:t>
      </w:r>
      <w:r>
        <w:rPr>
          <w:rFonts w:ascii="Arial" w:cs="Arial" w:eastAsia="Arial" w:hAnsi="Arial"/>
          <w:sz w:val="18"/>
          <w:szCs w:val="18"/>
          <w:b w:val="1"/>
          <w:bCs w:val="1"/>
          <w:color w:val="auto"/>
        </w:rPr>
        <w:t>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8"/>
          <w:szCs w:val="18"/>
          <w:b w:val="1"/>
          <w:bCs w:val="1"/>
          <w:color w:val="auto"/>
        </w:rPr>
        <w:t>EBT</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SSUANCE</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IMITATIONS</w:t>
      </w:r>
    </w:p>
    <w:p>
      <w:pPr>
        <w:spacing w:after="0" w:line="200" w:lineRule="exact"/>
        <w:rPr>
          <w:sz w:val="20"/>
          <w:szCs w:val="20"/>
          <w:color w:val="auto"/>
        </w:rPr>
      </w:pPr>
    </w:p>
    <w:p>
      <w:pPr>
        <w:spacing w:after="0" w:line="272" w:lineRule="exact"/>
        <w:rPr>
          <w:sz w:val="20"/>
          <w:szCs w:val="20"/>
          <w:color w:val="auto"/>
        </w:rPr>
      </w:pPr>
    </w:p>
    <w:p>
      <w:pPr>
        <w:ind w:left="100" w:right="239"/>
        <w:spacing w:after="0" w:line="251" w:lineRule="auto"/>
        <w:rPr>
          <w:sz w:val="20"/>
          <w:szCs w:val="20"/>
          <w:color w:val="auto"/>
        </w:rPr>
      </w:pPr>
      <w:r>
        <w:rPr>
          <w:rFonts w:ascii="Arial" w:cs="Arial" w:eastAsia="Arial" w:hAnsi="Arial"/>
          <w:sz w:val="22"/>
          <w:szCs w:val="22"/>
          <w:color w:val="auto"/>
        </w:rPr>
        <w:t>Indenture of Mortgage dated as of January 1, 1941 of Aqua Pennsylvania, Inc. as Supplemented and Amended</w:t>
      </w:r>
    </w:p>
    <w:p>
      <w:pPr>
        <w:spacing w:after="0" w:line="200" w:lineRule="exact"/>
        <w:rPr>
          <w:sz w:val="20"/>
          <w:szCs w:val="20"/>
          <w:color w:val="auto"/>
        </w:rPr>
      </w:pPr>
    </w:p>
    <w:p>
      <w:pPr>
        <w:ind w:left="100" w:right="479"/>
        <w:spacing w:after="0" w:line="251" w:lineRule="auto"/>
        <w:rPr>
          <w:sz w:val="20"/>
          <w:szCs w:val="20"/>
          <w:color w:val="auto"/>
        </w:rPr>
      </w:pPr>
      <w:r>
        <w:rPr>
          <w:rFonts w:ascii="Arial" w:cs="Arial" w:eastAsia="Arial" w:hAnsi="Arial"/>
          <w:sz w:val="22"/>
          <w:szCs w:val="22"/>
          <w:color w:val="auto"/>
        </w:rPr>
        <w:t>$100 million Amended and Restated Credit Agreement among Aqua Pennsylvania, Inc. and PNC Bank, National Association as Agent dated as of November 17, 2016</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$10,927,000 5.64% Senior Notes dated September 29, 2006</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$2,132,180 5.50% Senior Notes dated May 15, 2007</w:t>
      </w:r>
    </w:p>
    <w:p>
      <w:pPr>
        <w:spacing w:after="0" w:line="233" w:lineRule="exact"/>
        <w:rPr>
          <w:sz w:val="20"/>
          <w:szCs w:val="20"/>
          <w:color w:val="auto"/>
        </w:rPr>
      </w:pPr>
    </w:p>
    <w:p>
      <w:pPr>
        <w:ind w:left="100" w:right="879"/>
        <w:spacing w:after="0" w:line="251"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September 29, 2014</w:t>
      </w:r>
    </w:p>
    <w:p>
      <w:pPr>
        <w:spacing w:after="0" w:line="200" w:lineRule="exact"/>
        <w:rPr>
          <w:sz w:val="20"/>
          <w:szCs w:val="20"/>
          <w:color w:val="auto"/>
        </w:rPr>
      </w:pPr>
    </w:p>
    <w:p>
      <w:pPr>
        <w:ind w:left="100" w:right="879"/>
        <w:spacing w:after="0" w:line="251"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CHEDULE</w:t>
      </w:r>
      <w:r>
        <w:rPr>
          <w:rFonts w:ascii="Arial" w:cs="Arial" w:eastAsia="Arial" w:hAnsi="Arial"/>
          <w:sz w:val="22"/>
          <w:szCs w:val="22"/>
          <w:color w:val="auto"/>
        </w:rPr>
        <w:t xml:space="preserve"> 5.15(b)</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240665</wp:posOffset>
            </wp:positionV>
            <wp:extent cx="564261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8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2" w:right="9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David P. Smeltzer, certify that:</w:t>
      </w:r>
    </w:p>
    <w:p>
      <w:pPr>
        <w:spacing w:after="0" w:line="123" w:lineRule="exact"/>
        <w:rPr>
          <w:sz w:val="20"/>
          <w:szCs w:val="20"/>
          <w:color w:val="auto"/>
        </w:rPr>
      </w:pPr>
    </w:p>
    <w:p>
      <w:pPr>
        <w:ind w:left="324" w:hanging="324"/>
        <w:spacing w:after="0"/>
        <w:tabs>
          <w:tab w:leader="none" w:pos="3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2017 of Aqua America,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2017 of Aqua America, Inc. (the “Company”) as filed with the Securities and Exchange Commission on the date hereof (the “Report”), I, David P. Smeltzer,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13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lowerRoman"/>
      <w:start w:val="1"/>
    </w:lvl>
  </w:abstractNum>
  <w:abstractNum w:abstractNumId="6">
    <w:nsid w:val="684A481A"/>
    <w:multiLevelType w:val="hybridMultilevel"/>
    <w:lvl w:ilvl="0">
      <w:lvlJc w:val="left"/>
      <w:lvlText w:val="(%1)"/>
      <w:numFmt w:val="lowerLetter"/>
      <w:start w:val="1"/>
    </w:lvl>
  </w:abstractNum>
  <w:abstractNum w:abstractNumId="7">
    <w:nsid w:val="579478FE"/>
    <w:multiLevelType w:val="hybridMultilevel"/>
    <w:lvl w:ilvl="0">
      <w:lvlJc w:val="left"/>
      <w:lvlText w:val="(%1)"/>
      <w:numFmt w:val="lowerLetter"/>
      <w:start w:val="2"/>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upperLetter"/>
      <w:start w:val="27"/>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amp;"/>
      <w:numFmt w:val="bullet"/>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bullet"/>
      <w:start w:val="1"/>
    </w:lvl>
  </w:abstractNum>
  <w:abstractNum w:abstractNumId="14">
    <w:nsid w:val="70C6A529"/>
    <w:multiLevelType w:val="hybridMultilevel"/>
    <w:lvl w:ilvl="0">
      <w:lvlJc w:val="left"/>
      <w:lvlText w:val="(%1)"/>
      <w:numFmt w:val="lowerLetter"/>
      <w:start w:val="2"/>
    </w:lvl>
  </w:abstractNum>
  <w:abstractNum w:abstractNumId="15">
    <w:nsid w:val="520EEDD1"/>
    <w:multiLevelType w:val="hybridMultilevel"/>
    <w:lvl w:ilvl="0">
      <w:lvlJc w:val="left"/>
      <w:lvlText w:val="(%1)"/>
      <w:numFmt w:val="lowerRoman"/>
      <w:start w:val="2"/>
    </w:lvl>
  </w:abstractNum>
  <w:abstractNum w:abstractNumId="16">
    <w:nsid w:val="374A3FE6"/>
    <w:multiLevelType w:val="hybridMultilevel"/>
    <w:lvl w:ilvl="0">
      <w:lvlJc w:val="left"/>
      <w:lvlText w:val="(%1)"/>
      <w:numFmt w:val="lowerLetter"/>
      <w:start w:val="2"/>
    </w:lvl>
  </w:abstractNum>
  <w:abstractNum w:abstractNumId="17">
    <w:nsid w:val="4F4EF005"/>
    <w:multiLevelType w:val="hybridMultilevel"/>
    <w:lvl w:ilvl="0">
      <w:lvlJc w:val="left"/>
      <w:lvlText w:val="(%1)"/>
      <w:numFmt w:val="lowerLetter"/>
      <w:start w:val="5"/>
    </w:lvl>
  </w:abstractNum>
  <w:abstractNum w:abstractNumId="18">
    <w:nsid w:val="23F9C13C"/>
    <w:multiLevelType w:val="hybridMultilevel"/>
    <w:lvl w:ilvl="0">
      <w:lvlJc w:val="left"/>
      <w:lvlText w:val="(%1)"/>
      <w:numFmt w:val="lowerLetter"/>
      <w:start w:val="2"/>
    </w:lvl>
  </w:abstractNum>
  <w:abstractNum w:abstractNumId="19">
    <w:nsid w:val="649BB77C"/>
    <w:multiLevelType w:val="hybridMultilevel"/>
    <w:lvl w:ilvl="0">
      <w:lvlJc w:val="left"/>
      <w:lvlText w:val="(%1)"/>
      <w:numFmt w:val="lowerLetter"/>
      <w:start w:val="2"/>
    </w:lvl>
    <w:lvl w:ilvl="1">
      <w:lvlJc w:val="left"/>
      <w:lvlText w:val="(%2)"/>
      <w:numFmt w:val="lowerRoman"/>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1"/>
    </w:lvl>
  </w:abstractNum>
  <w:abstractNum w:abstractNumId="22">
    <w:nsid w:val="1CF10FD8"/>
    <w:multiLevelType w:val="hybridMultilevel"/>
    <w:lvl w:ilvl="0">
      <w:lvlJc w:val="left"/>
      <w:lvlText w:val="(%1)"/>
      <w:numFmt w:val="lowerLetter"/>
      <w:start w:val="5"/>
    </w:lvl>
  </w:abstractNum>
  <w:abstractNum w:abstractNumId="23">
    <w:nsid w:val="180115BE"/>
    <w:multiLevelType w:val="hybridMultilevel"/>
    <w:lvl w:ilvl="0">
      <w:lvlJc w:val="left"/>
      <w:lvlText w:val="(%1)"/>
      <w:numFmt w:val="lowerLetter"/>
      <w:start w:val="1"/>
    </w:lvl>
    <w:lvl w:ilvl="1">
      <w:lvlJc w:val="left"/>
      <w:lvlText w:val="(%2)"/>
      <w:numFmt w:val="lowerRoman"/>
      <w:start w:val="1"/>
    </w:lvl>
  </w:abstractNum>
  <w:abstractNum w:abstractNumId="24">
    <w:nsid w:val="235BA861"/>
    <w:multiLevelType w:val="hybridMultilevel"/>
    <w:lvl w:ilvl="0">
      <w:lvlJc w:val="left"/>
      <w:lvlText w:val="(%1)"/>
      <w:numFmt w:val="lowerLetter"/>
      <w:start w:val="2"/>
    </w:lvl>
    <w:lvl w:ilvl="1">
      <w:lvlJc w:val="left"/>
      <w:lvlText w:val="(%2)"/>
      <w:numFmt w:val="lowerRoman"/>
      <w:start w:val="1"/>
    </w:lvl>
  </w:abstractNum>
  <w:abstractNum w:abstractNumId="25">
    <w:nsid w:val="47398C89"/>
    <w:multiLevelType w:val="hybridMultilevel"/>
    <w:lvl w:ilvl="0">
      <w:lvlJc w:val="left"/>
      <w:lvlText w:val="(%1)"/>
      <w:numFmt w:val="lowerLetter"/>
      <w:start w:val="3"/>
    </w:lvl>
  </w:abstractNum>
  <w:abstractNum w:abstractNumId="26">
    <w:nsid w:val="354FE9F9"/>
    <w:multiLevelType w:val="hybridMultilevel"/>
    <w:lvl w:ilvl="0">
      <w:lvlJc w:val="left"/>
      <w:lvlText w:val="(%1)"/>
      <w:numFmt w:val="lowerLetter"/>
      <w:start w:val="4"/>
    </w:lvl>
    <w:lvl w:ilvl="1">
      <w:lvlJc w:val="left"/>
      <w:lvlText w:val="(%2)"/>
      <w:numFmt w:val="lowerRoman"/>
      <w:start w:val="1"/>
    </w:lvl>
  </w:abstractNum>
  <w:abstractNum w:abstractNumId="27">
    <w:nsid w:val="15B5AF5C"/>
    <w:multiLevelType w:val="hybridMultilevel"/>
    <w:lvl w:ilvl="0">
      <w:lvlJc w:val="left"/>
      <w:lvlText w:val="(%1)"/>
      <w:numFmt w:val="lowerLetter"/>
      <w:start w:val="8"/>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1"/>
    </w:lvl>
  </w:abstractNum>
  <w:abstractNum w:abstractNumId="30">
    <w:nsid w:val="10233C99"/>
    <w:multiLevelType w:val="hybridMultilevel"/>
    <w:lvl w:ilvl="0">
      <w:lvlJc w:val="left"/>
      <w:lvlText w:val="(%1)"/>
      <w:numFmt w:val="lowerLetter"/>
      <w:start w:val="2"/>
    </w:lvl>
  </w:abstractNum>
  <w:abstractNum w:abstractNumId="31">
    <w:nsid w:val="3F6AB60F"/>
    <w:multiLevelType w:val="hybridMultilevel"/>
    <w:lvl w:ilvl="0">
      <w:lvlJc w:val="left"/>
      <w:lvlText w:val="(%1)"/>
      <w:numFmt w:val="upperLetter"/>
      <w:start w:val="2"/>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1"/>
    </w:lvl>
    <w:lvl w:ilvl="1">
      <w:lvlJc w:val="left"/>
      <w:lvlText w:val="(%2)"/>
      <w:numFmt w:val="lowerLetter"/>
      <w:start w:val="3"/>
    </w:lvl>
  </w:abstractNum>
  <w:abstractNum w:abstractNumId="34">
    <w:nsid w:val="77AE35EB"/>
    <w:multiLevelType w:val="hybridMultilevel"/>
    <w:lvl w:ilvl="0">
      <w:lvlJc w:val="left"/>
      <w:lvlText w:val="(%1)"/>
      <w:numFmt w:val="lowerLetter"/>
      <w:start w:val="35"/>
    </w:lvl>
    <w:lvl w:ilvl="1">
      <w:lvlJc w:val="left"/>
      <w:lvlText w:val="%2"/>
      <w:numFmt w:val="lowerLetter"/>
      <w:start w:val="1"/>
    </w:lvl>
  </w:abstractNum>
  <w:abstractNum w:abstractNumId="35">
    <w:nsid w:val="579BE4F1"/>
    <w:multiLevelType w:val="hybridMultilevel"/>
    <w:lvl w:ilvl="0">
      <w:lvlJc w:val="left"/>
      <w:lvlText w:val="(%1)"/>
      <w:numFmt w:val="lowerRoman"/>
      <w:start w:val="1"/>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lowerLetter"/>
      <w:start w:val="4"/>
    </w:lvl>
  </w:abstractNum>
  <w:abstractNum w:abstractNumId="38">
    <w:nsid w:val="2F305DEF"/>
    <w:multiLevelType w:val="hybridMultilevel"/>
    <w:lvl w:ilvl="0">
      <w:lvlJc w:val="left"/>
      <w:lvlText w:val="(%1)"/>
      <w:numFmt w:val="lowerRoman"/>
      <w:start w:val="5"/>
    </w:lvl>
  </w:abstractNum>
  <w:abstractNum w:abstractNumId="39">
    <w:nsid w:val="25A70BF7"/>
    <w:multiLevelType w:val="hybridMultilevel"/>
    <w:lvl w:ilvl="0">
      <w:lvlJc w:val="left"/>
      <w:lvlText w:val="(%1)"/>
      <w:numFmt w:val="lowerLetter"/>
      <w:start w:val="2"/>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lowerLetter"/>
      <w:start w:val="1"/>
    </w:lvl>
    <w:lvl w:ilvl="1">
      <w:lvlJc w:val="left"/>
      <w:lvlText w:val="(%2)"/>
      <w:numFmt w:val="lowerRoman"/>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2"/>
    </w:lvl>
  </w:abstractNum>
  <w:abstractNum w:abstractNumId="44">
    <w:nsid w:val="5DB70AE5"/>
    <w:multiLevelType w:val="hybridMultilevel"/>
    <w:lvl w:ilvl="0">
      <w:lvlJc w:val="left"/>
      <w:lvlText w:val="(%1)"/>
      <w:numFmt w:val="lowerRoman"/>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bullet"/>
      <w:start w:val="1"/>
    </w:lvl>
  </w:abstractNum>
  <w:abstractNum w:abstractNumId="47">
    <w:nsid w:val="15014ACB"/>
    <w:multiLevelType w:val="hybridMultilevel"/>
    <w:lvl w:ilvl="0">
      <w:lvlJc w:val="left"/>
      <w:lvlText w:val="2"/>
      <w:numFmt w:val="bullet"/>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lowerLetter"/>
      <w:start w:val="1"/>
    </w:lvl>
    <w:lvl w:ilvl="1">
      <w:lvlJc w:val="left"/>
      <w:lvlText w:val="(%2)"/>
      <w:numFmt w:val="lowerLetter"/>
      <w:start w:val="1"/>
    </w:lvl>
  </w:abstractNum>
  <w:abstractNum w:abstractNumId="50">
    <w:nsid w:val="799D0247"/>
    <w:multiLevelType w:val="hybridMultilevel"/>
    <w:lvl w:ilvl="0">
      <w:lvlJc w:val="left"/>
      <w:lvlText w:val="(%1)"/>
      <w:numFmt w:val="lowerLetter"/>
      <w:start w:val="9"/>
    </w:lvl>
    <w:lvl w:ilvl="1">
      <w:lvlJc w:val="left"/>
      <w:lvlText w:val="(%2)"/>
      <w:numFmt w:val="lowerLetter"/>
      <w:start w:val="2"/>
    </w:lvl>
  </w:abstractNum>
  <w:abstractNum w:abstractNumId="51">
    <w:nsid w:val="6B94764"/>
    <w:multiLevelType w:val="hybridMultilevel"/>
    <w:lvl w:ilvl="0">
      <w:lvlJc w:val="left"/>
      <w:lvlText w:val="&amp;"/>
      <w:numFmt w:val="bullet"/>
      <w:start w:val="1"/>
    </w:lvl>
  </w:abstractNum>
  <w:abstractNum w:abstractNumId="52">
    <w:nsid w:val="42C296BD"/>
    <w:multiLevelType w:val="hybridMultilevel"/>
    <w:lvl w:ilvl="0">
      <w:lvlJc w:val="left"/>
      <w:lvlText w:val="(%1)"/>
      <w:numFmt w:val="lowerLetter"/>
      <w:start w:val="2"/>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1)"/>
      <w:numFmt w:val="lowerLetter"/>
      <w:start w:val="2"/>
    </w:lvl>
  </w:abstractNum>
  <w:abstractNum w:abstractNumId="55">
    <w:nsid w:val="661E3F1E"/>
    <w:multiLevelType w:val="hybridMultilevel"/>
    <w:lvl w:ilvl="0">
      <w:lvlJc w:val="left"/>
      <w:lvlText w:val="(%1)"/>
      <w:numFmt w:val="lowerLetter"/>
      <w:start w:val="2"/>
    </w:lvl>
  </w:abstractNum>
  <w:abstractNum w:abstractNumId="56">
    <w:nsid w:val="5DC79EA8"/>
    <w:multiLevelType w:val="hybridMultilevel"/>
    <w:lvl w:ilvl="0">
      <w:lvlJc w:val="left"/>
      <w:lvlText w:val="(%1)"/>
      <w:numFmt w:val="lowerRoman"/>
      <w:start w:val="2"/>
    </w:lvl>
  </w:abstractNum>
  <w:abstractNum w:abstractNumId="57">
    <w:nsid w:val="540A471C"/>
    <w:multiLevelType w:val="hybridMultilevel"/>
    <w:lvl w:ilvl="0">
      <w:lvlJc w:val="left"/>
      <w:lvlText w:val="(%1)"/>
      <w:numFmt w:val="lowerLetter"/>
      <w:start w:val="2"/>
    </w:lvl>
  </w:abstractNum>
  <w:abstractNum w:abstractNumId="58">
    <w:nsid w:val="7BD3EE7B"/>
    <w:multiLevelType w:val="hybridMultilevel"/>
    <w:lvl w:ilvl="0">
      <w:lvlJc w:val="left"/>
      <w:lvlText w:val="(%1)"/>
      <w:numFmt w:val="lowerLetter"/>
      <w:start w:val="4"/>
    </w:lvl>
  </w:abstractNum>
  <w:abstractNum w:abstractNumId="59">
    <w:nsid w:val="51D9C564"/>
    <w:multiLevelType w:val="hybridMultilevel"/>
    <w:lvl w:ilvl="0">
      <w:lvlJc w:val="left"/>
      <w:lvlText w:val="(%1)"/>
      <w:numFmt w:val="lowerLetter"/>
      <w:start w:val="2"/>
    </w:lvl>
  </w:abstractNum>
  <w:abstractNum w:abstractNumId="60">
    <w:nsid w:val="613EFDC5"/>
    <w:multiLevelType w:val="hybridMultilevel"/>
    <w:lvl w:ilvl="0">
      <w:lvlJc w:val="left"/>
      <w:lvlText w:val="(%1)"/>
      <w:numFmt w:val="lowerLetter"/>
      <w:start w:val="2"/>
    </w:lvl>
    <w:lvl w:ilvl="1">
      <w:lvlJc w:val="left"/>
      <w:lvlText w:val="(%2)"/>
      <w:numFmt w:val="lowerRoman"/>
      <w:start w:val="1"/>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3"/>
    </w:lvl>
  </w:abstractNum>
  <w:abstractNum w:abstractNumId="64">
    <w:nsid w:val="A0382C5"/>
    <w:multiLevelType w:val="hybridMultilevel"/>
    <w:lvl w:ilvl="0">
      <w:lvlJc w:val="left"/>
      <w:lvlText w:val="(%1)"/>
      <w:numFmt w:val="lowerLetter"/>
      <w:start w:val="1"/>
    </w:lvl>
    <w:lvl w:ilvl="1">
      <w:lvlJc w:val="left"/>
      <w:lvlText w:val="(%2)"/>
      <w:numFmt w:val="lowerRoman"/>
      <w:start w:val="1"/>
    </w:lvl>
  </w:abstractNum>
  <w:abstractNum w:abstractNumId="65">
    <w:nsid w:val="8F2B15E"/>
    <w:multiLevelType w:val="hybridMultilevel"/>
    <w:lvl w:ilvl="0">
      <w:lvlJc w:val="left"/>
      <w:lvlText w:val="(%1)"/>
      <w:numFmt w:val="lowerLetter"/>
      <w:start w:val="2"/>
    </w:lvl>
    <w:lvl w:ilvl="1">
      <w:lvlJc w:val="left"/>
      <w:lvlText w:val="(%2)"/>
      <w:numFmt w:val="lowerRoman"/>
      <w:start w:val="1"/>
    </w:lvl>
  </w:abstractNum>
  <w:abstractNum w:abstractNumId="66">
    <w:nsid w:val="1A32234B"/>
    <w:multiLevelType w:val="hybridMultilevel"/>
    <w:lvl w:ilvl="0">
      <w:lvlJc w:val="left"/>
      <w:lvlText w:val="(%1)"/>
      <w:numFmt w:val="lowerLetter"/>
      <w:start w:val="3"/>
    </w:lvl>
    <w:lvl w:ilvl="1">
      <w:lvlJc w:val="left"/>
      <w:lvlText w:val="(%2)"/>
      <w:numFmt w:val="lowerRoman"/>
      <w:start w:val="1"/>
    </w:lvl>
  </w:abstractNum>
  <w:abstractNum w:abstractNumId="67">
    <w:nsid w:val="3B0FD379"/>
    <w:multiLevelType w:val="hybridMultilevel"/>
    <w:lvl w:ilvl="0">
      <w:lvlJc w:val="left"/>
      <w:lvlText w:val="%1"/>
      <w:numFmt w:val="lowerLetter"/>
      <w:start w:val="1"/>
    </w:lvl>
    <w:lvl w:ilvl="1">
      <w:lvlJc w:val="left"/>
      <w:lvlText w:val="(%2)"/>
      <w:numFmt w:val="lowerLetter"/>
      <w:start w:val="61"/>
    </w:lvl>
  </w:abstractNum>
  <w:abstractNum w:abstractNumId="68">
    <w:nsid w:val="68EB2F63"/>
    <w:multiLevelType w:val="hybridMultilevel"/>
    <w:lvl w:ilvl="0">
      <w:lvlJc w:val="left"/>
      <w:lvlText w:val="(%1)"/>
      <w:numFmt w:val="lowerLetter"/>
      <w:start w:val="6"/>
    </w:lvl>
    <w:lvl w:ilvl="1">
      <w:lvlJc w:val="left"/>
      <w:lvlText w:val="%2"/>
      <w:numFmt w:val="lowerLetter"/>
      <w:start w:val="1"/>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1"/>
    </w:lvl>
    <w:lvl w:ilvl="1">
      <w:lvlJc w:val="left"/>
      <w:lvlText w:val="(%2)"/>
      <w:numFmt w:val="lowerLetter"/>
      <w:start w:val="1"/>
    </w:lvl>
  </w:abstractNum>
  <w:abstractNum w:abstractNumId="72">
    <w:nsid w:val="14330624"/>
    <w:multiLevelType w:val="hybridMultilevel"/>
    <w:lvl w:ilvl="0">
      <w:lvlJc w:val="left"/>
      <w:lvlText w:val="(%1)"/>
      <w:numFmt w:val="lowerLetter"/>
      <w:start w:val="2"/>
    </w:lvl>
    <w:lvl w:ilvl="1">
      <w:lvlJc w:val="left"/>
      <w:lvlText w:val="%2"/>
      <w:numFmt w:val="lowerLetter"/>
      <w:start w:val="1"/>
    </w:lvl>
  </w:abstractNum>
  <w:abstractNum w:abstractNumId="73">
    <w:nsid w:val="7FFFCA11"/>
    <w:multiLevelType w:val="hybridMultilevel"/>
    <w:lvl w:ilvl="0">
      <w:lvlJc w:val="left"/>
      <w:lvlText w:val="(%1)"/>
      <w:numFmt w:val="lowerRoman"/>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4"/>
    </w:lvl>
  </w:abstractNum>
  <w:abstractNum w:abstractNumId="76">
    <w:nsid w:val="100F59DC"/>
    <w:multiLevelType w:val="hybridMultilevel"/>
    <w:lvl w:ilvl="0">
      <w:lvlJc w:val="left"/>
      <w:lvlText w:val="(%1)"/>
      <w:numFmt w:val="lowerLetter"/>
      <w:start w:val="2"/>
    </w:lvl>
  </w:abstractNum>
  <w:abstractNum w:abstractNumId="77">
    <w:nsid w:val="7FB7E0AA"/>
    <w:multiLevelType w:val="hybridMultilevel"/>
    <w:lvl w:ilvl="0">
      <w:lvlJc w:val="left"/>
      <w:lvlText w:val="(%1)"/>
      <w:numFmt w:val="lowerLetter"/>
      <w:start w:val="4"/>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7"/>
    </w:lvl>
  </w:abstractNum>
  <w:abstractNum w:abstractNumId="80">
    <w:nsid w:val="94211F2"/>
    <w:multiLevelType w:val="hybridMultilevel"/>
    <w:lvl w:ilvl="0">
      <w:lvlJc w:val="left"/>
      <w:lvlText w:val="(%1)"/>
      <w:numFmt w:val="lowerLetter"/>
      <w:start w:val="1"/>
    </w:lvl>
    <w:lvl w:ilvl="1">
      <w:lvlJc w:val="left"/>
      <w:lvlText w:val="(%2)"/>
      <w:numFmt w:val="lowerLetter"/>
      <w:start w:val="9"/>
    </w:lvl>
  </w:abstractNum>
  <w:abstractNum w:abstractNumId="81">
    <w:nsid w:val="885E1B"/>
    <w:multiLevelType w:val="hybridMultilevel"/>
    <w:lvl w:ilvl="0">
      <w:lvlJc w:val="left"/>
      <w:lvlText w:val="%1"/>
      <w:numFmt w:val="lowerLetter"/>
      <w:start w:val="1"/>
    </w:lvl>
    <w:lvl w:ilvl="1">
      <w:lvlJc w:val="left"/>
      <w:lvlText w:val="(%2)"/>
      <w:numFmt w:val="lowerLetter"/>
      <w:start w:val="35"/>
    </w:lvl>
  </w:abstractNum>
  <w:abstractNum w:abstractNumId="82">
    <w:nsid w:val="76272110"/>
    <w:multiLevelType w:val="hybridMultilevel"/>
    <w:lvl w:ilvl="0">
      <w:lvlJc w:val="left"/>
      <w:lvlText w:val="(%1)"/>
      <w:numFmt w:val="lowerLetter"/>
      <w:start w:val="2"/>
    </w:lvl>
    <w:lvl w:ilvl="1">
      <w:lvlJc w:val="left"/>
      <w:lvlText w:val="%2"/>
      <w:numFmt w:val="lowerLetter"/>
      <w:start w:val="1"/>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lowerLetter"/>
      <w:start w:val="2"/>
    </w:lvl>
  </w:abstractNum>
  <w:abstractNum w:abstractNumId="85">
    <w:nsid w:val="14E17E33"/>
    <w:multiLevelType w:val="hybridMultilevel"/>
    <w:lvl w:ilvl="0">
      <w:lvlJc w:val="left"/>
      <w:lvlText w:val="(%1)"/>
      <w:numFmt w:val="lowerRoman"/>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2019-12-29T03:20:50Z</dcterms:created>
  <dcterms:modified xsi:type="dcterms:W3CDTF">2019-12-29T03:20:50Z</dcterms:modified>
</cp:coreProperties>
</file>