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jc w:val="center"/>
        <w:ind w:right="-19"/>
        <w:spacing w:after="0" w:line="223"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ind w:right="-19"/>
        <w:spacing w:after="0" w:line="219"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89" w:lineRule="auto"/>
        <w:rPr>
          <w:sz w:val="20"/>
          <w:szCs w:val="20"/>
          <w:color w:val="auto"/>
        </w:rPr>
      </w:pPr>
      <w:r>
        <w:rPr>
          <w:rFonts w:ascii="Times New Roman" w:cs="Times New Roman" w:eastAsia="Times New Roman" w:hAnsi="Times New Roman"/>
          <w:sz w:val="19"/>
          <w:szCs w:val="19"/>
          <w:color w:val="auto"/>
        </w:rPr>
        <w:t>(Mark One)</w:t>
      </w:r>
    </w:p>
    <w:p>
      <w:pPr>
        <w:ind w:left="3880" w:right="2160" w:hanging="3876"/>
        <w:spacing w:after="0" w:line="230" w:lineRule="auto"/>
        <w:rPr>
          <w:sz w:val="20"/>
          <w:szCs w:val="20"/>
          <w:color w:val="auto"/>
        </w:rPr>
      </w:pPr>
      <w:r>
        <w:rPr>
          <w:rFonts w:ascii="Times New Roman" w:cs="Times New Roman" w:eastAsia="Times New Roman" w:hAnsi="Times New Roman"/>
          <w:sz w:val="19"/>
          <w:szCs w:val="19"/>
          <w:b w:val="1"/>
          <w:bCs w:val="1"/>
          <w:color w:val="auto"/>
        </w:rPr>
        <w:t xml:space="preserve">S </w:t>
      </w:r>
      <w:r>
        <w:rPr>
          <w:rFonts w:ascii="Times New Roman" w:cs="Times New Roman" w:eastAsia="Times New Roman" w:hAnsi="Times New Roman"/>
          <w:sz w:val="19"/>
          <w:szCs w:val="19"/>
          <w:color w:val="auto"/>
        </w:rPr>
        <w:t>QUARTERLY REPORT PURSUANT TO SECTION 13 or 15 (d) OF THE SECURITIES EXCHANGE ACT OF 1934.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quarterly period ended March 31, 2022</w:t>
      </w:r>
    </w:p>
    <w:p>
      <w:pPr>
        <w:spacing w:after="0" w:line="65" w:lineRule="exact"/>
        <w:rPr>
          <w:sz w:val="24"/>
          <w:szCs w:val="24"/>
          <w:color w:val="auto"/>
        </w:rPr>
      </w:pPr>
    </w:p>
    <w:p>
      <w:pPr>
        <w:ind w:left="3020" w:right="2100" w:hanging="3014"/>
        <w:spacing w:after="0" w:line="257" w:lineRule="auto"/>
        <w:tabs>
          <w:tab w:leader="none" w:pos="15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4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4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52" w:lineRule="exact"/>
        <w:rPr>
          <w:sz w:val="24"/>
          <w:szCs w:val="24"/>
          <w:color w:val="auto"/>
        </w:rPr>
      </w:pPr>
    </w:p>
    <w:tbl>
      <w:tblPr>
        <w:tblLayout w:type="fixed"/>
        <w:tblInd w:w="78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3940" w:type="dxa"/>
            <w:vAlign w:val="bottom"/>
            <w:gridSpan w:val="3"/>
          </w:tcPr>
          <w:p>
            <w:pPr>
              <w:jc w:val="center"/>
              <w:ind w:right="2960"/>
              <w:spacing w:after="0"/>
              <w:rPr>
                <w:sz w:val="20"/>
                <w:szCs w:val="20"/>
                <w:color w:val="auto"/>
              </w:rPr>
            </w:pPr>
            <w:r>
              <w:rPr>
                <w:rFonts w:ascii="Times New Roman" w:cs="Times New Roman" w:eastAsia="Times New Roman" w:hAnsi="Times New Roman"/>
                <w:sz w:val="19"/>
                <w:szCs w:val="19"/>
                <w:color w:val="auto"/>
                <w:w w:val="96"/>
              </w:rPr>
              <w:t>Pennsylvania</w:t>
            </w:r>
          </w:p>
        </w:tc>
        <w:tc>
          <w:tcPr>
            <w:tcW w:w="264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9"/>
        </w:trPr>
        <w:tc>
          <w:tcPr>
            <w:tcW w:w="5420" w:type="dxa"/>
            <w:vAlign w:val="bottom"/>
            <w:gridSpan w:val="4"/>
          </w:tcPr>
          <w:p>
            <w:pPr>
              <w:jc w:val="center"/>
              <w:ind w:right="1480"/>
              <w:spacing w:after="0" w:line="179" w:lineRule="exact"/>
              <w:rPr>
                <w:sz w:val="20"/>
                <w:szCs w:val="20"/>
                <w:color w:val="auto"/>
              </w:rPr>
            </w:pPr>
            <w:r>
              <w:rPr>
                <w:rFonts w:ascii="Times New Roman" w:cs="Times New Roman" w:eastAsia="Times New Roman" w:hAnsi="Times New Roman"/>
                <w:sz w:val="19"/>
                <w:szCs w:val="19"/>
                <w:color w:val="auto"/>
                <w:w w:val="96"/>
              </w:rPr>
              <w:t>(State or other jurisdiction of</w:t>
            </w:r>
          </w:p>
        </w:tc>
        <w:tc>
          <w:tcPr>
            <w:tcW w:w="2860" w:type="dxa"/>
            <w:vAlign w:val="bottom"/>
            <w:gridSpan w:val="5"/>
          </w:tcPr>
          <w:p>
            <w:pPr>
              <w:jc w:val="center"/>
              <w:ind w:left="1387"/>
              <w:spacing w:after="0" w:line="179" w:lineRule="exact"/>
              <w:rPr>
                <w:sz w:val="20"/>
                <w:szCs w:val="20"/>
                <w:color w:val="auto"/>
              </w:rPr>
            </w:pPr>
            <w:r>
              <w:rPr>
                <w:rFonts w:ascii="Times New Roman" w:cs="Times New Roman" w:eastAsia="Times New Roman" w:hAnsi="Times New Roman"/>
                <w:sz w:val="19"/>
                <w:szCs w:val="19"/>
                <w:color w:val="auto"/>
                <w:w w:val="97"/>
              </w:rPr>
              <w:t>(I.R.S. Employer</w:t>
            </w:r>
          </w:p>
        </w:tc>
      </w:tr>
      <w:tr>
        <w:trPr>
          <w:trHeight w:val="241"/>
        </w:trPr>
        <w:tc>
          <w:tcPr>
            <w:tcW w:w="5420" w:type="dxa"/>
            <w:vAlign w:val="bottom"/>
            <w:gridSpan w:val="4"/>
          </w:tcPr>
          <w:p>
            <w:pPr>
              <w:jc w:val="center"/>
              <w:ind w:right="1480"/>
              <w:spacing w:after="0"/>
              <w:rPr>
                <w:sz w:val="20"/>
                <w:szCs w:val="20"/>
                <w:color w:val="auto"/>
              </w:rPr>
            </w:pPr>
            <w:r>
              <w:rPr>
                <w:rFonts w:ascii="Times New Roman" w:cs="Times New Roman" w:eastAsia="Times New Roman" w:hAnsi="Times New Roman"/>
                <w:sz w:val="19"/>
                <w:szCs w:val="19"/>
                <w:color w:val="auto"/>
                <w:w w:val="96"/>
              </w:rPr>
              <w:t>incorporation or organization)</w:t>
            </w:r>
          </w:p>
        </w:tc>
        <w:tc>
          <w:tcPr>
            <w:tcW w:w="2860" w:type="dxa"/>
            <w:vAlign w:val="bottom"/>
            <w:gridSpan w:val="5"/>
          </w:tcPr>
          <w:p>
            <w:pPr>
              <w:jc w:val="center"/>
              <w:ind w:left="1387"/>
              <w:spacing w:after="0"/>
              <w:rPr>
                <w:sz w:val="20"/>
                <w:szCs w:val="20"/>
                <w:color w:val="auto"/>
              </w:rPr>
            </w:pPr>
            <w:r>
              <w:rPr>
                <w:rFonts w:ascii="Times New Roman" w:cs="Times New Roman" w:eastAsia="Times New Roman" w:hAnsi="Times New Roman"/>
                <w:sz w:val="19"/>
                <w:szCs w:val="19"/>
                <w:color w:val="auto"/>
                <w:w w:val="97"/>
              </w:rPr>
              <w:t>Identification No.)</w:t>
            </w:r>
          </w:p>
        </w:tc>
      </w:tr>
      <w:tr>
        <w:trPr>
          <w:trHeight w:val="375"/>
        </w:trPr>
        <w:tc>
          <w:tcPr>
            <w:tcW w:w="5420" w:type="dxa"/>
            <w:vAlign w:val="bottom"/>
            <w:gridSpan w:val="4"/>
          </w:tcPr>
          <w:p>
            <w:pPr>
              <w:jc w:val="center"/>
              <w:ind w:right="1480"/>
              <w:spacing w:after="0"/>
              <w:rPr>
                <w:sz w:val="20"/>
                <w:szCs w:val="20"/>
                <w:color w:val="auto"/>
              </w:rPr>
            </w:pPr>
            <w:r>
              <w:rPr>
                <w:rFonts w:ascii="Times New Roman" w:cs="Times New Roman" w:eastAsia="Times New Roman" w:hAnsi="Times New Roman"/>
                <w:sz w:val="19"/>
                <w:szCs w:val="19"/>
                <w:color w:val="auto"/>
                <w:w w:val="96"/>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15"/>
        </w:trPr>
        <w:tc>
          <w:tcPr>
            <w:tcW w:w="3940" w:type="dxa"/>
            <w:vAlign w:val="bottom"/>
            <w:tcBorders>
              <w:top w:val="single" w:sz="8" w:color="auto"/>
            </w:tcBorders>
            <w:gridSpan w:val="3"/>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(Address of principal executive offices)</w:t>
            </w: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center"/>
              <w:ind w:right="20"/>
              <w:spacing w:after="0" w:line="214" w:lineRule="exact"/>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18"/>
                <w:szCs w:val="18"/>
                <w:color w:val="auto"/>
              </w:rPr>
            </w:pPr>
          </w:p>
        </w:tc>
      </w:tr>
    </w:tbl>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ind w:right="-19"/>
        <w:spacing w:after="0" w:line="218"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ind w:right="-19"/>
        <w:spacing w:after="0" w:line="233"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ind w:right="-19"/>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59" w:lineRule="exact"/>
        <w:rPr>
          <w:sz w:val="24"/>
          <w:szCs w:val="24"/>
          <w:color w:val="auto"/>
        </w:rPr>
      </w:pPr>
    </w:p>
    <w:p>
      <w:pPr>
        <w:ind w:right="160"/>
        <w:spacing w:after="0" w:line="233"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59" w:lineRule="exact"/>
        <w:rPr>
          <w:sz w:val="24"/>
          <w:szCs w:val="24"/>
          <w:color w:val="auto"/>
        </w:rPr>
      </w:pPr>
    </w:p>
    <w:p>
      <w:pPr>
        <w:ind w:right="20"/>
        <w:spacing w:after="0" w:line="233"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72" w:lineRule="exact"/>
        <w:rPr>
          <w:sz w:val="24"/>
          <w:szCs w:val="24"/>
          <w:color w:val="auto"/>
        </w:rPr>
      </w:pPr>
    </w:p>
    <w:p>
      <w:pPr>
        <w:jc w:val="both"/>
        <w:ind w:right="100"/>
        <w:spacing w:after="0" w:line="233"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Times New Roman" w:cs="Times New Roman" w:eastAsia="Times New Roman" w:hAnsi="Times New Roman"/>
          <w:sz w:val="19"/>
          <w:szCs w:val="19"/>
          <w:b w:val="1"/>
          <w:bCs w:val="1"/>
          <w:color w:val="auto"/>
        </w:rPr>
        <w:t>S</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Times New Roman" w:cs="Times New Roman" w:eastAsia="Times New Roman" w:hAnsi="Times New Roman"/>
          <w:sz w:val="19"/>
          <w:szCs w:val="19"/>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Times New Roman" w:cs="Times New Roman" w:eastAsia="Times New Roman" w:hAnsi="Times New Roman"/>
          <w:sz w:val="19"/>
          <w:szCs w:val="19"/>
          <w:b w:val="1"/>
          <w:bCs w:val="1"/>
          <w:color w:val="auto"/>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Times New Roman" w:cs="Times New Roman" w:eastAsia="Times New Roman" w:hAnsi="Times New Roman"/>
          <w:sz w:val="18"/>
          <w:szCs w:val="18"/>
          <w:b w:val="1"/>
          <w:bCs w:val="1"/>
          <w:color w:val="auto"/>
        </w:rPr>
        <w:t>£</w:t>
      </w:r>
    </w:p>
    <w:p>
      <w:pPr>
        <w:spacing w:after="0" w:line="369"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180"/>
        <w:spacing w:after="0" w:line="243"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9"/>
          <w:szCs w:val="19"/>
          <w:b w:val="1"/>
          <w:bCs w:val="1"/>
          <w:color w:val="auto"/>
        </w:rPr>
        <w:t>£</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S</w:t>
      </w: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10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5"/>
        </w:trPr>
        <w:tc>
          <w:tcPr>
            <w:tcW w:w="3380" w:type="dxa"/>
            <w:vAlign w:val="bottom"/>
          </w:tcPr>
          <w:p>
            <w:pPr>
              <w:jc w:val="center"/>
              <w:ind w:left="687"/>
              <w:spacing w:after="0"/>
              <w:rPr>
                <w:sz w:val="20"/>
                <w:szCs w:val="20"/>
                <w:color w:val="auto"/>
              </w:rPr>
            </w:pPr>
            <w:r>
              <w:rPr>
                <w:rFonts w:ascii="Times New Roman" w:cs="Times New Roman" w:eastAsia="Times New Roman" w:hAnsi="Times New Roman"/>
                <w:sz w:val="19"/>
                <w:szCs w:val="19"/>
                <w:color w:val="auto"/>
                <w:w w:val="95"/>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7"/>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Name of each exchange on which registered</w:t>
            </w:r>
          </w:p>
        </w:tc>
      </w:tr>
      <w:tr>
        <w:trPr>
          <w:trHeight w:val="166"/>
        </w:trPr>
        <w:tc>
          <w:tcPr>
            <w:tcW w:w="3380" w:type="dxa"/>
            <w:vAlign w:val="bottom"/>
            <w:tcBorders>
              <w:top w:val="single" w:sz="8" w:color="auto"/>
            </w:tcBorders>
          </w:tcPr>
          <w:p>
            <w:pPr>
              <w:jc w:val="center"/>
              <w:ind w:left="687"/>
              <w:spacing w:after="0" w:line="166" w:lineRule="exact"/>
              <w:rPr>
                <w:sz w:val="20"/>
                <w:szCs w:val="20"/>
                <w:color w:val="auto"/>
              </w:rPr>
            </w:pPr>
            <w:r>
              <w:rPr>
                <w:rFonts w:ascii="Times New Roman" w:cs="Times New Roman" w:eastAsia="Times New Roman" w:hAnsi="Times New Roman"/>
                <w:sz w:val="19"/>
                <w:szCs w:val="19"/>
                <w:color w:val="auto"/>
                <w:w w:val="97"/>
              </w:rPr>
              <w:t>Common stock, $0.50 par value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w w:val="96"/>
              </w:rPr>
              <w:t>WTRG</w:t>
            </w:r>
          </w:p>
        </w:tc>
        <w:tc>
          <w:tcPr>
            <w:tcW w:w="240" w:type="dxa"/>
            <w:vAlign w:val="bottom"/>
          </w:tcPr>
          <w:p>
            <w:pPr>
              <w:spacing w:after="0"/>
              <w:rPr>
                <w:sz w:val="14"/>
                <w:szCs w:val="14"/>
                <w:color w:val="auto"/>
              </w:rPr>
            </w:pPr>
          </w:p>
        </w:tc>
        <w:tc>
          <w:tcPr>
            <w:tcW w:w="452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w w:val="96"/>
              </w:rPr>
              <w:t>New York Stock Exchange</w:t>
            </w:r>
          </w:p>
        </w:tc>
      </w:tr>
      <w:tr>
        <w:trPr>
          <w:trHeight w:val="241"/>
        </w:trPr>
        <w:tc>
          <w:tcPr>
            <w:tcW w:w="3380" w:type="dxa"/>
            <w:vAlign w:val="bottom"/>
          </w:tcPr>
          <w:p>
            <w:pPr>
              <w:jc w:val="center"/>
              <w:ind w:left="687"/>
              <w:spacing w:after="0"/>
              <w:rPr>
                <w:sz w:val="20"/>
                <w:szCs w:val="20"/>
                <w:color w:val="auto"/>
              </w:rPr>
            </w:pPr>
            <w:r>
              <w:rPr>
                <w:rFonts w:ascii="Times New Roman" w:cs="Times New Roman" w:eastAsia="Times New Roman" w:hAnsi="Times New Roman"/>
                <w:sz w:val="19"/>
                <w:szCs w:val="19"/>
                <w:color w:val="auto"/>
                <w:w w:val="96"/>
              </w:rPr>
              <w:t>6.00% Tangible Equity Units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6"/>
              </w:rPr>
              <w:t>WTRU</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New York Stock Exchange</w:t>
            </w: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April 18, 2022</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253,716,494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633730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0563C1"/>
        </w:rPr>
        <w:t>Table of Contents</w:t>
      </w:r>
    </w:p>
    <w:tbl>
      <w:tblPr>
        <w:tblLayout w:type="fixed"/>
        <w:tblInd w:w="0" w:type="dxa"/>
        <w:tblCellMar>
          <w:top w:w="0" w:type="dxa"/>
          <w:left w:w="0" w:type="dxa"/>
          <w:bottom w:w="0" w:type="dxa"/>
          <w:right w:w="0" w:type="dxa"/>
        </w:tblCellMar>
      </w:tblPr>
      <w:tr>
        <w:trPr>
          <w:trHeight w:val="297"/>
        </w:trPr>
        <w:tc>
          <w:tcPr>
            <w:tcW w:w="64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19"/>
          </w:tcPr>
          <w:p>
            <w:pPr>
              <w:jc w:val="center"/>
              <w:ind w:right="960"/>
              <w:spacing w:after="0"/>
              <w:rPr>
                <w:sz w:val="20"/>
                <w:szCs w:val="20"/>
                <w:color w:val="auto"/>
              </w:rPr>
            </w:pPr>
            <w:r>
              <w:rPr>
                <w:rFonts w:ascii="Times New Roman" w:cs="Times New Roman" w:eastAsia="Times New Roman" w:hAnsi="Times New Roman"/>
                <w:sz w:val="21"/>
                <w:szCs w:val="21"/>
                <w:color w:val="auto"/>
              </w:rPr>
              <w:t>ESSENTIAL UTILITIES, INC. AND SUBSIDIARIES</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13"/>
          </w:tcPr>
          <w:p>
            <w:pPr>
              <w:jc w:val="center"/>
              <w:ind w:right="2640"/>
              <w:spacing w:after="0"/>
              <w:rPr>
                <w:sz w:val="20"/>
                <w:szCs w:val="20"/>
                <w:color w:val="auto"/>
              </w:rPr>
            </w:pPr>
            <w:r>
              <w:rPr>
                <w:rFonts w:ascii="Times New Roman" w:cs="Times New Roman" w:eastAsia="Times New Roman" w:hAnsi="Times New Roman"/>
                <w:sz w:val="21"/>
                <w:szCs w:val="21"/>
                <w:color w:val="auto"/>
              </w:rPr>
              <w:t>TABLE OF CONTENTS</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gridSpan w:val="3"/>
          </w:tcPr>
          <w:p>
            <w:pPr>
              <w:ind w:left="1440"/>
              <w:spacing w:after="0"/>
              <w:rPr>
                <w:sz w:val="20"/>
                <w:szCs w:val="20"/>
                <w:color w:val="auto"/>
              </w:rPr>
            </w:pPr>
            <w:r>
              <w:rPr>
                <w:rFonts w:ascii="Times New Roman" w:cs="Times New Roman" w:eastAsia="Times New Roman" w:hAnsi="Times New Roman"/>
                <w:sz w:val="21"/>
                <w:szCs w:val="21"/>
                <w:color w:val="auto"/>
                <w:w w:val="97"/>
              </w:rPr>
              <w:t>Page</w:t>
            </w: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180" w:type="dxa"/>
            <w:vAlign w:val="bottom"/>
            <w:gridSpan w:val="16"/>
            <w:shd w:val="clear" w:color="auto" w:fill="CCEEFF"/>
          </w:tcPr>
          <w:p>
            <w:pPr>
              <w:jc w:val="center"/>
              <w:ind w:right="2360"/>
              <w:spacing w:after="0" w:line="199" w:lineRule="exact"/>
              <w:rPr>
                <w:sz w:val="20"/>
                <w:szCs w:val="20"/>
                <w:color w:val="auto"/>
              </w:rPr>
            </w:pPr>
            <w:r>
              <w:rPr>
                <w:rFonts w:ascii="Times New Roman" w:cs="Times New Roman" w:eastAsia="Times New Roman" w:hAnsi="Times New Roman"/>
                <w:sz w:val="21"/>
                <w:szCs w:val="21"/>
                <w:color w:val="0563C1"/>
              </w:rPr>
              <w:t>Part I – Financial Information</w:t>
            </w:r>
          </w:p>
        </w:tc>
        <w:tc>
          <w:tcPr>
            <w:tcW w:w="14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1.</w:t>
            </w:r>
          </w:p>
        </w:tc>
        <w:tc>
          <w:tcPr>
            <w:tcW w:w="8760" w:type="dxa"/>
            <w:vAlign w:val="bottom"/>
            <w:gridSpan w:val="28"/>
            <w:shd w:val="clear" w:color="auto" w:fill="CCEEFF"/>
          </w:tcPr>
          <w:p>
            <w:pPr>
              <w:ind w:left="80"/>
              <w:spacing w:after="0" w:line="199" w:lineRule="exact"/>
              <w:rPr>
                <w:sz w:val="20"/>
                <w:szCs w:val="20"/>
                <w:color w:val="auto"/>
              </w:rPr>
            </w:pPr>
            <w:r>
              <w:rPr>
                <w:rFonts w:ascii="Times New Roman" w:cs="Times New Roman" w:eastAsia="Times New Roman" w:hAnsi="Times New Roman"/>
                <w:sz w:val="21"/>
                <w:szCs w:val="21"/>
                <w:color w:val="0563C1"/>
              </w:rPr>
              <w:t>Financial Statements:</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rPr>
                <w:sz w:val="17"/>
                <w:szCs w:val="17"/>
                <w:color w:val="auto"/>
              </w:rPr>
            </w:pPr>
          </w:p>
        </w:tc>
        <w:tc>
          <w:tcPr>
            <w:tcW w:w="8760" w:type="dxa"/>
            <w:vAlign w:val="bottom"/>
            <w:gridSpan w:val="28"/>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Consolidated Balance Sheets (unaudited) – March 31, 2022 and December 31, 2021</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8760" w:type="dxa"/>
            <w:vAlign w:val="bottom"/>
            <w:gridSpan w:val="28"/>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Consolidated Statements of Operations and Comprehensive Income (unaudited) –</w:t>
            </w:r>
          </w:p>
        </w:tc>
        <w:tc>
          <w:tcPr>
            <w:tcW w:w="1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563C1"/>
            </w:tcBorders>
            <w:shd w:val="clear" w:color="auto" w:fill="CCEEFF"/>
          </w:tcPr>
          <w:p>
            <w:pPr>
              <w:spacing w:after="0"/>
              <w:rPr>
                <w:sz w:val="19"/>
                <w:szCs w:val="19"/>
                <w:color w:val="auto"/>
              </w:rPr>
            </w:pPr>
          </w:p>
        </w:tc>
        <w:tc>
          <w:tcPr>
            <w:tcW w:w="60" w:type="dxa"/>
            <w:vAlign w:val="bottom"/>
            <w:tcBorders>
              <w:top w:val="single" w:sz="8" w:color="0563C1"/>
            </w:tcBorders>
            <w:shd w:val="clear" w:color="auto" w:fill="CCEEFF"/>
          </w:tcPr>
          <w:p>
            <w:pPr>
              <w:spacing w:after="0"/>
              <w:rPr>
                <w:sz w:val="19"/>
                <w:szCs w:val="19"/>
                <w:color w:val="auto"/>
              </w:rPr>
            </w:pPr>
          </w:p>
        </w:tc>
        <w:tc>
          <w:tcPr>
            <w:tcW w:w="6620" w:type="dxa"/>
            <w:vAlign w:val="bottom"/>
            <w:tcBorders>
              <w:top w:val="single" w:sz="8" w:color="0563C1"/>
            </w:tcBorders>
            <w:gridSpan w:val="24"/>
            <w:shd w:val="clear" w:color="auto" w:fill="CCEEFF"/>
          </w:tcPr>
          <w:p>
            <w:pPr>
              <w:spacing w:after="0" w:line="192" w:lineRule="exact"/>
              <w:rPr>
                <w:sz w:val="20"/>
                <w:szCs w:val="20"/>
                <w:color w:val="auto"/>
              </w:rPr>
            </w:pPr>
            <w:r>
              <w:rPr>
                <w:rFonts w:ascii="Times New Roman" w:cs="Times New Roman" w:eastAsia="Times New Roman" w:hAnsi="Times New Roman"/>
                <w:sz w:val="21"/>
                <w:szCs w:val="21"/>
                <w:color w:val="0563C1"/>
              </w:rPr>
              <w:t>Three Months Ended March 31, 2022 and 2021</w:t>
            </w:r>
          </w:p>
        </w:tc>
        <w:tc>
          <w:tcPr>
            <w:tcW w:w="1820" w:type="dxa"/>
            <w:vAlign w:val="bottom"/>
            <w:tcBorders>
              <w:top w:val="single" w:sz="8" w:color="CCEEFF"/>
            </w:tcBorders>
            <w:gridSpan w:val="2"/>
            <w:shd w:val="clear" w:color="auto" w:fill="CCEEFF"/>
          </w:tcPr>
          <w:p>
            <w:pPr>
              <w:spacing w:after="0"/>
              <w:rPr>
                <w:sz w:val="19"/>
                <w:szCs w:val="19"/>
                <w:color w:val="auto"/>
              </w:rPr>
            </w:pPr>
          </w:p>
        </w:tc>
        <w:tc>
          <w:tcPr>
            <w:tcW w:w="1840" w:type="dxa"/>
            <w:vAlign w:val="bottom"/>
            <w:tcBorders>
              <w:top w:val="single" w:sz="8" w:color="CCEEFF"/>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8760" w:type="dxa"/>
            <w:vAlign w:val="bottom"/>
            <w:gridSpan w:val="28"/>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Consolidated Statements of Capitalization (unaudited) –</w:t>
            </w:r>
          </w:p>
        </w:tc>
        <w:tc>
          <w:tcPr>
            <w:tcW w:w="1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563C1"/>
            </w:tcBorders>
            <w:shd w:val="clear" w:color="auto" w:fill="CCEEFF"/>
          </w:tcPr>
          <w:p>
            <w:pPr>
              <w:spacing w:after="0"/>
              <w:rPr>
                <w:sz w:val="19"/>
                <w:szCs w:val="19"/>
                <w:color w:val="auto"/>
              </w:rPr>
            </w:pPr>
          </w:p>
        </w:tc>
        <w:tc>
          <w:tcPr>
            <w:tcW w:w="60" w:type="dxa"/>
            <w:vAlign w:val="bottom"/>
            <w:tcBorders>
              <w:top w:val="single" w:sz="8" w:color="0563C1"/>
            </w:tcBorders>
            <w:shd w:val="clear" w:color="auto" w:fill="CCEEFF"/>
          </w:tcPr>
          <w:p>
            <w:pPr>
              <w:spacing w:after="0"/>
              <w:rPr>
                <w:sz w:val="19"/>
                <w:szCs w:val="19"/>
                <w:color w:val="auto"/>
              </w:rPr>
            </w:pPr>
          </w:p>
        </w:tc>
        <w:tc>
          <w:tcPr>
            <w:tcW w:w="4440" w:type="dxa"/>
            <w:vAlign w:val="bottom"/>
            <w:tcBorders>
              <w:top w:val="single" w:sz="8" w:color="0563C1"/>
            </w:tcBorders>
            <w:gridSpan w:val="20"/>
            <w:shd w:val="clear" w:color="auto" w:fill="CCEEFF"/>
          </w:tcPr>
          <w:p>
            <w:pPr>
              <w:spacing w:after="0" w:line="192" w:lineRule="exact"/>
              <w:rPr>
                <w:sz w:val="20"/>
                <w:szCs w:val="20"/>
                <w:color w:val="auto"/>
              </w:rPr>
            </w:pPr>
            <w:r>
              <w:rPr>
                <w:rFonts w:ascii="Times New Roman" w:cs="Times New Roman" w:eastAsia="Times New Roman" w:hAnsi="Times New Roman"/>
                <w:sz w:val="21"/>
                <w:szCs w:val="21"/>
                <w:color w:val="0563C1"/>
              </w:rPr>
              <w:t>March 31, 2022 and December 31, 2021</w:t>
            </w:r>
          </w:p>
        </w:tc>
        <w:tc>
          <w:tcPr>
            <w:tcW w:w="4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gridSpan w:val="4"/>
            <w:shd w:val="clear" w:color="auto" w:fill="CCEEFF"/>
          </w:tcPr>
          <w:p>
            <w:pPr>
              <w:spacing w:after="0"/>
              <w:rPr>
                <w:sz w:val="19"/>
                <w:szCs w:val="19"/>
                <w:color w:val="auto"/>
              </w:rPr>
            </w:pPr>
          </w:p>
        </w:tc>
        <w:tc>
          <w:tcPr>
            <w:tcW w:w="1840" w:type="dxa"/>
            <w:vAlign w:val="bottom"/>
            <w:tcBorders>
              <w:top w:val="single" w:sz="8" w:color="CCEEFF"/>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8760" w:type="dxa"/>
            <w:vAlign w:val="bottom"/>
            <w:gridSpan w:val="28"/>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Consolidated Statements of Equity (unaudited) –</w:t>
            </w:r>
          </w:p>
        </w:tc>
        <w:tc>
          <w:tcPr>
            <w:tcW w:w="1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563C1"/>
            </w:tcBorders>
            <w:shd w:val="clear" w:color="auto" w:fill="CCEEFF"/>
          </w:tcPr>
          <w:p>
            <w:pPr>
              <w:spacing w:after="0"/>
              <w:rPr>
                <w:sz w:val="19"/>
                <w:szCs w:val="19"/>
                <w:color w:val="auto"/>
              </w:rPr>
            </w:pPr>
          </w:p>
        </w:tc>
        <w:tc>
          <w:tcPr>
            <w:tcW w:w="60" w:type="dxa"/>
            <w:vAlign w:val="bottom"/>
            <w:tcBorders>
              <w:top w:val="single" w:sz="8" w:color="0563C1"/>
            </w:tcBorders>
            <w:shd w:val="clear" w:color="auto" w:fill="CCEEFF"/>
          </w:tcPr>
          <w:p>
            <w:pPr>
              <w:spacing w:after="0"/>
              <w:rPr>
                <w:sz w:val="19"/>
                <w:szCs w:val="19"/>
                <w:color w:val="auto"/>
              </w:rPr>
            </w:pPr>
          </w:p>
        </w:tc>
        <w:tc>
          <w:tcPr>
            <w:tcW w:w="3820" w:type="dxa"/>
            <w:vAlign w:val="bottom"/>
            <w:tcBorders>
              <w:top w:val="single" w:sz="8" w:color="0563C1"/>
            </w:tcBorders>
            <w:gridSpan w:val="14"/>
            <w:shd w:val="clear" w:color="auto" w:fill="CCEEFF"/>
          </w:tcPr>
          <w:p>
            <w:pPr>
              <w:spacing w:after="0" w:line="192" w:lineRule="exact"/>
              <w:rPr>
                <w:sz w:val="20"/>
                <w:szCs w:val="20"/>
                <w:color w:val="auto"/>
              </w:rPr>
            </w:pPr>
            <w:r>
              <w:rPr>
                <w:rFonts w:ascii="Times New Roman" w:cs="Times New Roman" w:eastAsia="Times New Roman" w:hAnsi="Times New Roman"/>
                <w:sz w:val="21"/>
                <w:szCs w:val="21"/>
                <w:color w:val="0563C1"/>
              </w:rPr>
              <w:t>Three Months Ended March 31, 2022</w:t>
            </w:r>
          </w:p>
        </w:tc>
        <w:tc>
          <w:tcPr>
            <w:tcW w:w="260" w:type="dxa"/>
            <w:vAlign w:val="bottom"/>
            <w:tcBorders>
              <w:top w:val="single" w:sz="8" w:color="CCEEFF"/>
            </w:tcBorders>
            <w:gridSpan w:val="2"/>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gridSpan w:val="2"/>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gridSpan w:val="4"/>
            <w:shd w:val="clear" w:color="auto" w:fill="CCEEFF"/>
          </w:tcPr>
          <w:p>
            <w:pPr>
              <w:spacing w:after="0"/>
              <w:rPr>
                <w:sz w:val="19"/>
                <w:szCs w:val="19"/>
                <w:color w:val="auto"/>
              </w:rPr>
            </w:pPr>
          </w:p>
        </w:tc>
        <w:tc>
          <w:tcPr>
            <w:tcW w:w="1840" w:type="dxa"/>
            <w:vAlign w:val="bottom"/>
            <w:tcBorders>
              <w:top w:val="single" w:sz="8" w:color="CCEEFF"/>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8760" w:type="dxa"/>
            <w:vAlign w:val="bottom"/>
            <w:gridSpan w:val="28"/>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Consolidated Statements of Equity (unaudited) –</w:t>
            </w:r>
          </w:p>
        </w:tc>
        <w:tc>
          <w:tcPr>
            <w:tcW w:w="1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563C1"/>
            </w:tcBorders>
            <w:shd w:val="clear" w:color="auto" w:fill="CCEEFF"/>
          </w:tcPr>
          <w:p>
            <w:pPr>
              <w:spacing w:after="0"/>
              <w:rPr>
                <w:sz w:val="19"/>
                <w:szCs w:val="19"/>
                <w:color w:val="auto"/>
              </w:rPr>
            </w:pPr>
          </w:p>
        </w:tc>
        <w:tc>
          <w:tcPr>
            <w:tcW w:w="60" w:type="dxa"/>
            <w:vAlign w:val="bottom"/>
            <w:tcBorders>
              <w:top w:val="single" w:sz="8" w:color="0563C1"/>
            </w:tcBorders>
            <w:shd w:val="clear" w:color="auto" w:fill="CCEEFF"/>
          </w:tcPr>
          <w:p>
            <w:pPr>
              <w:spacing w:after="0"/>
              <w:rPr>
                <w:sz w:val="19"/>
                <w:szCs w:val="19"/>
                <w:color w:val="auto"/>
              </w:rPr>
            </w:pPr>
          </w:p>
        </w:tc>
        <w:tc>
          <w:tcPr>
            <w:tcW w:w="60" w:type="dxa"/>
            <w:vAlign w:val="bottom"/>
            <w:tcBorders>
              <w:top w:val="single" w:sz="8" w:color="0563C1"/>
            </w:tcBorders>
            <w:shd w:val="clear" w:color="auto" w:fill="CCEEFF"/>
          </w:tcPr>
          <w:p>
            <w:pPr>
              <w:spacing w:after="0"/>
              <w:rPr>
                <w:sz w:val="19"/>
                <w:szCs w:val="19"/>
                <w:color w:val="auto"/>
              </w:rPr>
            </w:pPr>
          </w:p>
        </w:tc>
        <w:tc>
          <w:tcPr>
            <w:tcW w:w="3760" w:type="dxa"/>
            <w:vAlign w:val="bottom"/>
            <w:tcBorders>
              <w:top w:val="single" w:sz="8" w:color="0563C1"/>
            </w:tcBorders>
            <w:gridSpan w:val="13"/>
            <w:shd w:val="clear" w:color="auto" w:fill="CCEEFF"/>
          </w:tcPr>
          <w:p>
            <w:pPr>
              <w:spacing w:after="0" w:line="192" w:lineRule="exact"/>
              <w:rPr>
                <w:sz w:val="20"/>
                <w:szCs w:val="20"/>
                <w:color w:val="auto"/>
              </w:rPr>
            </w:pPr>
            <w:r>
              <w:rPr>
                <w:rFonts w:ascii="Times New Roman" w:cs="Times New Roman" w:eastAsia="Times New Roman" w:hAnsi="Times New Roman"/>
                <w:sz w:val="21"/>
                <w:szCs w:val="21"/>
                <w:color w:val="0563C1"/>
              </w:rPr>
              <w:t>‎Three Months Ended March 31, 2021</w:t>
            </w:r>
          </w:p>
        </w:tc>
        <w:tc>
          <w:tcPr>
            <w:tcW w:w="260" w:type="dxa"/>
            <w:vAlign w:val="bottom"/>
            <w:tcBorders>
              <w:top w:val="single" w:sz="8" w:color="CCEEFF"/>
            </w:tcBorders>
            <w:gridSpan w:val="2"/>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gridSpan w:val="2"/>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gridSpan w:val="4"/>
            <w:shd w:val="clear" w:color="auto" w:fill="CCEEFF"/>
          </w:tcPr>
          <w:p>
            <w:pPr>
              <w:spacing w:after="0"/>
              <w:rPr>
                <w:sz w:val="19"/>
                <w:szCs w:val="19"/>
                <w:color w:val="auto"/>
              </w:rPr>
            </w:pPr>
          </w:p>
        </w:tc>
        <w:tc>
          <w:tcPr>
            <w:tcW w:w="1840" w:type="dxa"/>
            <w:vAlign w:val="bottom"/>
            <w:tcBorders>
              <w:top w:val="single" w:sz="8" w:color="CCEEFF"/>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40" w:type="dxa"/>
            <w:vAlign w:val="bottom"/>
            <w:shd w:val="clear" w:color="auto" w:fill="CCEEFF"/>
          </w:tcPr>
          <w:p>
            <w:pPr>
              <w:spacing w:after="0"/>
              <w:rPr>
                <w:sz w:val="17"/>
                <w:szCs w:val="17"/>
                <w:color w:val="auto"/>
              </w:rPr>
            </w:pPr>
          </w:p>
        </w:tc>
        <w:tc>
          <w:tcPr>
            <w:tcW w:w="8760" w:type="dxa"/>
            <w:vAlign w:val="bottom"/>
            <w:gridSpan w:val="28"/>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Consolidated Statements of Cash Flow (unaudited) –</w:t>
            </w:r>
          </w:p>
        </w:tc>
        <w:tc>
          <w:tcPr>
            <w:tcW w:w="1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563C1"/>
            </w:tcBorders>
            <w:shd w:val="clear" w:color="auto" w:fill="CCEEFF"/>
          </w:tcPr>
          <w:p>
            <w:pPr>
              <w:spacing w:after="0"/>
              <w:rPr>
                <w:sz w:val="19"/>
                <w:szCs w:val="19"/>
                <w:color w:val="auto"/>
              </w:rPr>
            </w:pPr>
          </w:p>
        </w:tc>
        <w:tc>
          <w:tcPr>
            <w:tcW w:w="60" w:type="dxa"/>
            <w:vAlign w:val="bottom"/>
            <w:tcBorders>
              <w:top w:val="single" w:sz="8" w:color="0563C1"/>
            </w:tcBorders>
            <w:shd w:val="clear" w:color="auto" w:fill="CCEEFF"/>
          </w:tcPr>
          <w:p>
            <w:pPr>
              <w:spacing w:after="0"/>
              <w:rPr>
                <w:sz w:val="19"/>
                <w:szCs w:val="19"/>
                <w:color w:val="auto"/>
              </w:rPr>
            </w:pPr>
          </w:p>
        </w:tc>
        <w:tc>
          <w:tcPr>
            <w:tcW w:w="4160" w:type="dxa"/>
            <w:vAlign w:val="bottom"/>
            <w:tcBorders>
              <w:top w:val="single" w:sz="8" w:color="0563C1"/>
            </w:tcBorders>
            <w:gridSpan w:val="17"/>
            <w:shd w:val="clear" w:color="auto" w:fill="CCEEFF"/>
          </w:tcPr>
          <w:p>
            <w:pPr>
              <w:spacing w:after="0" w:line="192" w:lineRule="exact"/>
              <w:rPr>
                <w:sz w:val="20"/>
                <w:szCs w:val="20"/>
                <w:color w:val="auto"/>
              </w:rPr>
            </w:pPr>
            <w:r>
              <w:rPr>
                <w:rFonts w:ascii="Times New Roman" w:cs="Times New Roman" w:eastAsia="Times New Roman" w:hAnsi="Times New Roman"/>
                <w:sz w:val="21"/>
                <w:szCs w:val="21"/>
                <w:color w:val="0563C1"/>
              </w:rPr>
              <w:t>Three Months Ended March 31, 2022 and 2021,</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gridSpan w:val="2"/>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gridSpan w:val="4"/>
            <w:shd w:val="clear" w:color="auto" w:fill="CCEEFF"/>
          </w:tcPr>
          <w:p>
            <w:pPr>
              <w:spacing w:after="0"/>
              <w:rPr>
                <w:sz w:val="19"/>
                <w:szCs w:val="19"/>
                <w:color w:val="auto"/>
              </w:rPr>
            </w:pPr>
          </w:p>
        </w:tc>
        <w:tc>
          <w:tcPr>
            <w:tcW w:w="1840" w:type="dxa"/>
            <w:vAlign w:val="bottom"/>
            <w:tcBorders>
              <w:top w:val="single" w:sz="8" w:color="CCEEFF"/>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rPr>
                <w:sz w:val="17"/>
                <w:szCs w:val="17"/>
                <w:color w:val="auto"/>
              </w:rPr>
            </w:pPr>
          </w:p>
        </w:tc>
        <w:tc>
          <w:tcPr>
            <w:tcW w:w="8760" w:type="dxa"/>
            <w:vAlign w:val="bottom"/>
            <w:gridSpan w:val="28"/>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Notes to Consolidated Financial Statements (unaudited)</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400" w:type="dxa"/>
            <w:vAlign w:val="bottom"/>
            <w:gridSpan w:val="29"/>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2. Management’s Discussion and Analysis of Financial</w:t>
            </w:r>
          </w:p>
        </w:tc>
        <w:tc>
          <w:tcPr>
            <w:tcW w:w="1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0563C1"/>
            </w:tcBorders>
            <w:shd w:val="clear" w:color="auto" w:fill="CCEEFF"/>
          </w:tcPr>
          <w:p>
            <w:pPr>
              <w:spacing w:after="0"/>
              <w:rPr>
                <w:sz w:val="19"/>
                <w:szCs w:val="19"/>
                <w:color w:val="auto"/>
              </w:rPr>
            </w:pPr>
          </w:p>
        </w:tc>
        <w:tc>
          <w:tcPr>
            <w:tcW w:w="4520" w:type="dxa"/>
            <w:vAlign w:val="bottom"/>
            <w:tcBorders>
              <w:top w:val="single" w:sz="8" w:color="0563C1"/>
            </w:tcBorders>
            <w:gridSpan w:val="20"/>
            <w:shd w:val="clear" w:color="auto" w:fill="CCEEFF"/>
          </w:tcPr>
          <w:p>
            <w:pPr>
              <w:spacing w:after="0" w:line="192" w:lineRule="exact"/>
              <w:rPr>
                <w:sz w:val="20"/>
                <w:szCs w:val="20"/>
                <w:color w:val="auto"/>
              </w:rPr>
            </w:pPr>
            <w:r>
              <w:rPr>
                <w:rFonts w:ascii="Times New Roman" w:cs="Times New Roman" w:eastAsia="Times New Roman" w:hAnsi="Times New Roman"/>
                <w:sz w:val="21"/>
                <w:szCs w:val="21"/>
                <w:color w:val="0563C1"/>
              </w:rPr>
              <w:t>Condition and Results of Operations</w:t>
            </w:r>
          </w:p>
        </w:tc>
        <w:tc>
          <w:tcPr>
            <w:tcW w:w="680" w:type="dxa"/>
            <w:vAlign w:val="bottom"/>
            <w:tcBorders>
              <w:top w:val="single" w:sz="8" w:color="CCEEFF"/>
            </w:tcBorders>
            <w:gridSpan w:val="3"/>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gridSpan w:val="4"/>
            <w:shd w:val="clear" w:color="auto" w:fill="CCEEFF"/>
          </w:tcPr>
          <w:p>
            <w:pPr>
              <w:spacing w:after="0"/>
              <w:rPr>
                <w:sz w:val="19"/>
                <w:szCs w:val="19"/>
                <w:color w:val="auto"/>
              </w:rPr>
            </w:pPr>
          </w:p>
        </w:tc>
        <w:tc>
          <w:tcPr>
            <w:tcW w:w="1840" w:type="dxa"/>
            <w:vAlign w:val="bottom"/>
            <w:tcBorders>
              <w:top w:val="single" w:sz="8" w:color="CCEEFF"/>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3.</w:t>
            </w:r>
          </w:p>
        </w:tc>
        <w:tc>
          <w:tcPr>
            <w:tcW w:w="8760" w:type="dxa"/>
            <w:vAlign w:val="bottom"/>
            <w:gridSpan w:val="28"/>
            <w:shd w:val="clear" w:color="auto" w:fill="CCEEFF"/>
          </w:tcPr>
          <w:p>
            <w:pPr>
              <w:ind w:left="80"/>
              <w:spacing w:after="0" w:line="199" w:lineRule="exact"/>
              <w:rPr>
                <w:sz w:val="20"/>
                <w:szCs w:val="20"/>
                <w:color w:val="auto"/>
              </w:rPr>
            </w:pPr>
            <w:r>
              <w:rPr>
                <w:rFonts w:ascii="Times New Roman" w:cs="Times New Roman" w:eastAsia="Times New Roman" w:hAnsi="Times New Roman"/>
                <w:sz w:val="21"/>
                <w:szCs w:val="21"/>
                <w:color w:val="0563C1"/>
              </w:rPr>
              <w:t>Quantitative and Qualitative Disclosures About Market Risk</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4.</w:t>
            </w:r>
          </w:p>
        </w:tc>
        <w:tc>
          <w:tcPr>
            <w:tcW w:w="8760" w:type="dxa"/>
            <w:vAlign w:val="bottom"/>
            <w:gridSpan w:val="28"/>
            <w:shd w:val="clear" w:color="auto" w:fill="CCEEFF"/>
          </w:tcPr>
          <w:p>
            <w:pPr>
              <w:ind w:left="80"/>
              <w:spacing w:after="0" w:line="199" w:lineRule="exact"/>
              <w:rPr>
                <w:sz w:val="20"/>
                <w:szCs w:val="20"/>
                <w:color w:val="auto"/>
              </w:rPr>
            </w:pPr>
            <w:r>
              <w:rPr>
                <w:rFonts w:ascii="Times New Roman" w:cs="Times New Roman" w:eastAsia="Times New Roman" w:hAnsi="Times New Roman"/>
                <w:sz w:val="21"/>
                <w:szCs w:val="21"/>
                <w:color w:val="0563C1"/>
              </w:rPr>
              <w:t>Controls and Procedures</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20" w:type="dxa"/>
            <w:vAlign w:val="bottom"/>
            <w:gridSpan w:val="14"/>
            <w:shd w:val="clear" w:color="auto" w:fill="CCEEFF"/>
          </w:tcPr>
          <w:p>
            <w:pPr>
              <w:jc w:val="center"/>
              <w:ind w:right="2520"/>
              <w:spacing w:after="0" w:line="199" w:lineRule="exact"/>
              <w:rPr>
                <w:sz w:val="20"/>
                <w:szCs w:val="20"/>
                <w:color w:val="auto"/>
              </w:rPr>
            </w:pPr>
            <w:r>
              <w:rPr>
                <w:rFonts w:ascii="Times New Roman" w:cs="Times New Roman" w:eastAsia="Times New Roman" w:hAnsi="Times New Roman"/>
                <w:sz w:val="21"/>
                <w:szCs w:val="21"/>
                <w:color w:val="0563C1"/>
              </w:rPr>
              <w:t>Part II – Other Information</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1.</w:t>
            </w:r>
          </w:p>
        </w:tc>
        <w:tc>
          <w:tcPr>
            <w:tcW w:w="8760" w:type="dxa"/>
            <w:vAlign w:val="bottom"/>
            <w:gridSpan w:val="28"/>
            <w:shd w:val="clear" w:color="auto" w:fill="CCEEFF"/>
          </w:tcPr>
          <w:p>
            <w:pPr>
              <w:ind w:left="80"/>
              <w:spacing w:after="0" w:line="199" w:lineRule="exact"/>
              <w:rPr>
                <w:sz w:val="20"/>
                <w:szCs w:val="20"/>
                <w:color w:val="auto"/>
              </w:rPr>
            </w:pPr>
            <w:r>
              <w:rPr>
                <w:rFonts w:ascii="Times New Roman" w:cs="Times New Roman" w:eastAsia="Times New Roman" w:hAnsi="Times New Roman"/>
                <w:sz w:val="21"/>
                <w:szCs w:val="21"/>
                <w:color w:val="0563C1"/>
              </w:rPr>
              <w:t>Legal Proceedings</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400" w:type="dxa"/>
            <w:vAlign w:val="bottom"/>
            <w:gridSpan w:val="29"/>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1A. Risk Factors</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2.</w:t>
            </w:r>
          </w:p>
        </w:tc>
        <w:tc>
          <w:tcPr>
            <w:tcW w:w="8760" w:type="dxa"/>
            <w:vAlign w:val="bottom"/>
            <w:gridSpan w:val="28"/>
            <w:shd w:val="clear" w:color="auto" w:fill="CCEEFF"/>
          </w:tcPr>
          <w:p>
            <w:pPr>
              <w:ind w:left="80"/>
              <w:spacing w:after="0" w:line="199" w:lineRule="exact"/>
              <w:rPr>
                <w:sz w:val="20"/>
                <w:szCs w:val="20"/>
                <w:color w:val="auto"/>
              </w:rPr>
            </w:pPr>
            <w:r>
              <w:rPr>
                <w:rFonts w:ascii="Times New Roman" w:cs="Times New Roman" w:eastAsia="Times New Roman" w:hAnsi="Times New Roman"/>
                <w:sz w:val="21"/>
                <w:szCs w:val="21"/>
                <w:color w:val="0563C1"/>
              </w:rPr>
              <w:t>Unregistered Sales of Equity Securities and Use of Proceeds</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Item 6.</w:t>
            </w:r>
          </w:p>
        </w:tc>
        <w:tc>
          <w:tcPr>
            <w:tcW w:w="8760" w:type="dxa"/>
            <w:vAlign w:val="bottom"/>
            <w:gridSpan w:val="28"/>
            <w:shd w:val="clear" w:color="auto" w:fill="CCEEFF"/>
          </w:tcPr>
          <w:p>
            <w:pPr>
              <w:ind w:left="80"/>
              <w:spacing w:after="0" w:line="199" w:lineRule="exact"/>
              <w:rPr>
                <w:sz w:val="20"/>
                <w:szCs w:val="20"/>
                <w:color w:val="auto"/>
              </w:rPr>
            </w:pPr>
            <w:r>
              <w:rPr>
                <w:rFonts w:ascii="Times New Roman" w:cs="Times New Roman" w:eastAsia="Times New Roman" w:hAnsi="Times New Roman"/>
                <w:sz w:val="21"/>
                <w:szCs w:val="21"/>
                <w:color w:val="0563C1"/>
              </w:rPr>
              <w:t>Exhibits</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400" w:type="dxa"/>
            <w:vAlign w:val="bottom"/>
            <w:gridSpan w:val="29"/>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Signatures</w:t>
            </w:r>
          </w:p>
        </w:tc>
        <w:tc>
          <w:tcPr>
            <w:tcW w:w="1840" w:type="dxa"/>
            <w:vAlign w:val="bottom"/>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1"/>
                <w:szCs w:val="21"/>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64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4940" w:type="dxa"/>
            <w:vAlign w:val="bottom"/>
            <w:tcBorders>
              <w:top w:val="single" w:sz="8" w:color="CCEEFF"/>
            </w:tcBorders>
            <w:gridSpan w:val="22"/>
          </w:tcPr>
          <w:p>
            <w:pPr>
              <w:jc w:val="center"/>
              <w:ind w:left="4414"/>
              <w:spacing w:after="0"/>
              <w:rPr>
                <w:sz w:val="20"/>
                <w:szCs w:val="20"/>
                <w:color w:val="auto"/>
              </w:rPr>
            </w:pPr>
            <w:r>
              <w:rPr>
                <w:rFonts w:ascii="Times New Roman" w:cs="Times New Roman" w:eastAsia="Times New Roman" w:hAnsi="Times New Roman"/>
                <w:sz w:val="21"/>
                <w:szCs w:val="21"/>
                <w:color w:val="auto"/>
                <w:w w:val="94"/>
              </w:rPr>
              <w:t>1</w:t>
            </w:r>
          </w:p>
        </w:tc>
        <w:tc>
          <w:tcPr>
            <w:tcW w:w="9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CONSOLIDATED BALANCE SHEETS</w:t>
      </w:r>
    </w:p>
    <w:p>
      <w:pPr>
        <w:jc w:val="center"/>
        <w:ind w:right="40"/>
        <w:spacing w:after="0" w:line="197"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99"/>
        </w:trPr>
        <w:tc>
          <w:tcPr>
            <w:tcW w:w="6420" w:type="dxa"/>
            <w:vAlign w:val="bottom"/>
            <w:tcBorders>
              <w:bottom w:val="single" w:sz="8" w:color="CCEEFF"/>
            </w:tcBorders>
          </w:tcPr>
          <w:p>
            <w:pPr>
              <w:ind w:left="3940"/>
              <w:spacing w:after="0"/>
              <w:rPr>
                <w:sz w:val="20"/>
                <w:szCs w:val="20"/>
                <w:color w:val="auto"/>
              </w:rPr>
            </w:pPr>
            <w:r>
              <w:rPr>
                <w:rFonts w:ascii="Times New Roman" w:cs="Times New Roman" w:eastAsia="Times New Roman" w:hAnsi="Times New Roman"/>
                <w:sz w:val="16"/>
                <w:szCs w:val="16"/>
                <w:color w:val="auto"/>
              </w:rPr>
              <w:t>Assets</w:t>
            </w:r>
          </w:p>
        </w:tc>
        <w:tc>
          <w:tcPr>
            <w:tcW w:w="2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4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12,836,605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12,610,376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2,441,921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2,358,510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42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20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10,394,684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10,251,866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Current assets:</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Cash and cash equivalents</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58,298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10,567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Accounts receivable, net</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182,587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141,025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Unbilled revenues</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104,540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119,896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38,560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33,756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Inventory - gas stored</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20,502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75,804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29,856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36,597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Regulatory assets</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9,172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20,150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Total current assets</w:t>
            </w:r>
          </w:p>
        </w:tc>
        <w:tc>
          <w:tcPr>
            <w:tcW w:w="20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443,515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437,795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Regulatory assets</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1,505,211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1,429,840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139,608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141,955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1,313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Goodwill</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2,340,815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2,340,815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46,305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48,930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Intangible assets</w:t>
            </w: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5,572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420" w:type="dxa"/>
            <w:vAlign w:val="bottom"/>
            <w:tcBorders>
              <w:top w:val="single" w:sz="8" w:color="CCEEFF"/>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Total assets</w:t>
            </w:r>
          </w:p>
        </w:tc>
        <w:tc>
          <w:tcPr>
            <w:tcW w:w="20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14,877,023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14,658,278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color w:val="auto"/>
        </w:rPr>
        <w:t>CONSOLIDATED BALANCE SHEETS (continued)</w:t>
      </w:r>
    </w:p>
    <w:p>
      <w:pPr>
        <w:ind w:left="3440"/>
        <w:spacing w:after="0" w:line="197"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w:t>
            </w:r>
          </w:p>
        </w:tc>
        <w:tc>
          <w:tcPr>
            <w:tcW w:w="140" w:type="dxa"/>
            <w:vAlign w:val="bottom"/>
          </w:tcPr>
          <w:p>
            <w:pPr>
              <w:spacing w:after="0"/>
              <w:rPr>
                <w:sz w:val="16"/>
                <w:szCs w:val="16"/>
                <w:color w:val="auto"/>
              </w:rPr>
            </w:pP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99"/>
        </w:trPr>
        <w:tc>
          <w:tcPr>
            <w:tcW w:w="844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Liabilities and Equity</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65"/>
        </w:trPr>
        <w:tc>
          <w:tcPr>
            <w:tcW w:w="84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256,281,789 and 256,102,388 as of March 31, 2022</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December 31, 2021</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128,050</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3,713,560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3,705,814</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1,497,757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1,434,201</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Treasury stock, at cost, 3,250,261 and 3,234,765 shares as of March 31, 2022 and December 31, 2021</w:t>
            </w:r>
          </w:p>
        </w:tc>
        <w:tc>
          <w:tcPr>
            <w:tcW w:w="220" w:type="dxa"/>
            <w:vAlign w:val="bottom"/>
          </w:tcPr>
          <w:p>
            <w:pPr>
              <w:spacing w:after="0"/>
              <w:rPr>
                <w:sz w:val="14"/>
                <w:szCs w:val="14"/>
                <w:color w:val="auto"/>
              </w:rPr>
            </w:pPr>
          </w:p>
        </w:tc>
        <w:tc>
          <w:tcPr>
            <w:tcW w:w="1300" w:type="dxa"/>
            <w:vAlign w:val="bottom"/>
            <w:gridSpan w:val="2"/>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(84,357)</w:t>
            </w: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(83,615)</w:t>
            </w:r>
          </w:p>
        </w:tc>
        <w:tc>
          <w:tcPr>
            <w:tcW w:w="0" w:type="dxa"/>
            <w:vAlign w:val="bottom"/>
          </w:tcPr>
          <w:p>
            <w:pPr>
              <w:spacing w:after="0"/>
              <w:rPr>
                <w:sz w:val="1"/>
                <w:szCs w:val="1"/>
                <w:color w:val="auto"/>
              </w:rPr>
            </w:pPr>
          </w:p>
        </w:tc>
      </w:tr>
      <w:tr>
        <w:trPr>
          <w:trHeight w:val="166"/>
        </w:trPr>
        <w:tc>
          <w:tcPr>
            <w:tcW w:w="844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5,255,100</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5,184,450</w:t>
            </w:r>
          </w:p>
        </w:tc>
        <w:tc>
          <w:tcPr>
            <w:tcW w:w="0" w:type="dxa"/>
            <w:vAlign w:val="bottom"/>
          </w:tcPr>
          <w:p>
            <w:pPr>
              <w:spacing w:after="0"/>
              <w:rPr>
                <w:sz w:val="1"/>
                <w:szCs w:val="1"/>
                <w:color w:val="auto"/>
              </w:rPr>
            </w:pPr>
          </w:p>
        </w:tc>
      </w:tr>
      <w:tr>
        <w:trPr>
          <w:trHeight w:val="165"/>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5,910,363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5,815,211</w:t>
            </w:r>
          </w:p>
        </w:tc>
        <w:tc>
          <w:tcPr>
            <w:tcW w:w="0" w:type="dxa"/>
            <w:vAlign w:val="bottom"/>
          </w:tcPr>
          <w:p>
            <w:pPr>
              <w:spacing w:after="0"/>
              <w:rPr>
                <w:sz w:val="1"/>
                <w:szCs w:val="1"/>
                <w:color w:val="auto"/>
              </w:rPr>
            </w:pPr>
          </w:p>
        </w:tc>
      </w:tr>
      <w:tr>
        <w:trPr>
          <w:trHeight w:val="172"/>
        </w:trPr>
        <w:tc>
          <w:tcPr>
            <w:tcW w:w="844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Less: debt issuance costs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38,403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35,707</w:t>
            </w:r>
          </w:p>
        </w:tc>
        <w:tc>
          <w:tcPr>
            <w:tcW w:w="0" w:type="dxa"/>
            <w:vAlign w:val="bottom"/>
          </w:tcPr>
          <w:p>
            <w:pPr>
              <w:spacing w:after="0"/>
              <w:rPr>
                <w:sz w:val="1"/>
                <w:szCs w:val="1"/>
                <w:color w:val="auto"/>
              </w:rPr>
            </w:pPr>
          </w:p>
        </w:tc>
      </w:tr>
      <w:tr>
        <w:trPr>
          <w:trHeight w:val="165"/>
        </w:trPr>
        <w:tc>
          <w:tcPr>
            <w:tcW w:w="84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5,871,960</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5,779,504</w:t>
            </w:r>
          </w:p>
        </w:tc>
        <w:tc>
          <w:tcPr>
            <w:tcW w:w="0" w:type="dxa"/>
            <w:vAlign w:val="bottom"/>
          </w:tcPr>
          <w:p>
            <w:pPr>
              <w:spacing w:after="0"/>
              <w:rPr>
                <w:sz w:val="1"/>
                <w:szCs w:val="1"/>
                <w:color w:val="auto"/>
              </w:rPr>
            </w:pPr>
          </w:p>
        </w:tc>
      </w:tr>
      <w:tr>
        <w:trPr>
          <w:trHeight w:val="227"/>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13)</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131,746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132,146</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Loans payable</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79,743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65,000</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4"/>
                <w:szCs w:val="14"/>
                <w:color w:val="auto"/>
              </w:rPr>
            </w:pPr>
          </w:p>
        </w:tc>
        <w:tc>
          <w:tcPr>
            <w:tcW w:w="1300" w:type="dxa"/>
            <w:vAlign w:val="bottom"/>
            <w:gridSpan w:val="2"/>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161,511</w:t>
            </w: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192,932</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Book overdraft</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81,722</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66,133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40,815</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37,130</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37,924</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67,863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17,241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14"/>
                <w:szCs w:val="14"/>
                <w:color w:val="auto"/>
              </w:rPr>
            </w:pPr>
          </w:p>
        </w:tc>
        <w:tc>
          <w:tcPr>
            <w:tcW w:w="1300" w:type="dxa"/>
            <w:vAlign w:val="bottom"/>
            <w:gridSpan w:val="2"/>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116,811</w:t>
            </w: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124,140</w:t>
            </w:r>
          </w:p>
        </w:tc>
        <w:tc>
          <w:tcPr>
            <w:tcW w:w="0" w:type="dxa"/>
            <w:vAlign w:val="bottom"/>
          </w:tcPr>
          <w:p>
            <w:pPr>
              <w:spacing w:after="0"/>
              <w:rPr>
                <w:sz w:val="1"/>
                <w:szCs w:val="1"/>
                <w:color w:val="auto"/>
              </w:rPr>
            </w:pPr>
          </w:p>
        </w:tc>
      </w:tr>
      <w:tr>
        <w:trPr>
          <w:trHeight w:val="165"/>
        </w:trPr>
        <w:tc>
          <w:tcPr>
            <w:tcW w:w="844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678,178</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675,063</w:t>
            </w:r>
          </w:p>
        </w:tc>
        <w:tc>
          <w:tcPr>
            <w:tcW w:w="0" w:type="dxa"/>
            <w:vAlign w:val="bottom"/>
          </w:tcPr>
          <w:p>
            <w:pPr>
              <w:spacing w:after="0"/>
              <w:rPr>
                <w:sz w:val="1"/>
                <w:szCs w:val="1"/>
                <w:color w:val="auto"/>
              </w:rPr>
            </w:pPr>
          </w:p>
        </w:tc>
      </w:tr>
      <w:tr>
        <w:trPr>
          <w:trHeight w:val="165"/>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1,481,253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1,406,537</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104,403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103,619</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Regulatory liabilities</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759,661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769,617</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1,262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43,946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48,230</w:t>
            </w: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48,864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50,226</w:t>
            </w:r>
          </w:p>
        </w:tc>
        <w:tc>
          <w:tcPr>
            <w:tcW w:w="0" w:type="dxa"/>
            <w:vAlign w:val="bottom"/>
          </w:tcPr>
          <w:p>
            <w:pPr>
              <w:spacing w:after="0"/>
              <w:rPr>
                <w:sz w:val="1"/>
                <w:szCs w:val="1"/>
                <w:color w:val="auto"/>
              </w:rPr>
            </w:pPr>
          </w:p>
        </w:tc>
      </w:tr>
      <w:tr>
        <w:trPr>
          <w:trHeight w:val="172"/>
        </w:trPr>
        <w:tc>
          <w:tcPr>
            <w:tcW w:w="8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4"/>
                <w:szCs w:val="14"/>
                <w:color w:val="auto"/>
              </w:rPr>
            </w:pPr>
          </w:p>
        </w:tc>
        <w:tc>
          <w:tcPr>
            <w:tcW w:w="1300" w:type="dxa"/>
            <w:vAlign w:val="bottom"/>
            <w:gridSpan w:val="2"/>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35,998</w:t>
            </w:r>
          </w:p>
        </w:tc>
        <w:tc>
          <w:tcPr>
            <w:tcW w:w="1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43,666</w:t>
            </w:r>
          </w:p>
        </w:tc>
        <w:tc>
          <w:tcPr>
            <w:tcW w:w="0" w:type="dxa"/>
            <w:vAlign w:val="bottom"/>
          </w:tcPr>
          <w:p>
            <w:pPr>
              <w:spacing w:after="0"/>
              <w:rPr>
                <w:sz w:val="1"/>
                <w:szCs w:val="1"/>
                <w:color w:val="auto"/>
              </w:rPr>
            </w:pPr>
          </w:p>
        </w:tc>
      </w:tr>
      <w:tr>
        <w:trPr>
          <w:trHeight w:val="166"/>
        </w:trPr>
        <w:tc>
          <w:tcPr>
            <w:tcW w:w="844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2,475,387</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2,423,151</w:t>
            </w:r>
          </w:p>
        </w:tc>
        <w:tc>
          <w:tcPr>
            <w:tcW w:w="0" w:type="dxa"/>
            <w:vAlign w:val="bottom"/>
          </w:tcPr>
          <w:p>
            <w:pPr>
              <w:spacing w:after="0"/>
              <w:rPr>
                <w:sz w:val="1"/>
                <w:szCs w:val="1"/>
                <w:color w:val="auto"/>
              </w:rPr>
            </w:pPr>
          </w:p>
        </w:tc>
      </w:tr>
      <w:tr>
        <w:trPr>
          <w:trHeight w:val="165"/>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596,398</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596,110</w:t>
            </w:r>
          </w:p>
        </w:tc>
        <w:tc>
          <w:tcPr>
            <w:tcW w:w="0" w:type="dxa"/>
            <w:vAlign w:val="bottom"/>
          </w:tcPr>
          <w:p>
            <w:pPr>
              <w:spacing w:after="0"/>
              <w:rPr>
                <w:sz w:val="1"/>
                <w:szCs w:val="1"/>
                <w:color w:val="auto"/>
              </w:rPr>
            </w:pPr>
          </w:p>
        </w:tc>
      </w:tr>
      <w:tr>
        <w:trPr>
          <w:trHeight w:val="165"/>
        </w:trPr>
        <w:tc>
          <w:tcPr>
            <w:tcW w:w="84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6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14,877,023</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14,658,278</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1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1"/>
          <w:szCs w:val="21"/>
          <w:color w:val="auto"/>
        </w:rPr>
        <w:t>CONSOLIDATED STATEMENTS OF OPERATIONS AND COMPREHENSIVE INCOME</w:t>
      </w:r>
    </w:p>
    <w:p>
      <w:pPr>
        <w:jc w:val="center"/>
        <w:ind w:right="40"/>
        <w:spacing w:after="0" w:line="184"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4"/>
          </w:tcPr>
          <w:p>
            <w:pPr>
              <w:jc w:val="right"/>
              <w:ind w:right="794"/>
              <w:spacing w:after="0"/>
              <w:rPr>
                <w:sz w:val="20"/>
                <w:szCs w:val="20"/>
                <w:color w:val="auto"/>
              </w:rPr>
            </w:pPr>
            <w:r>
              <w:rPr>
                <w:rFonts w:ascii="Times New Roman" w:cs="Times New Roman" w:eastAsia="Times New Roman" w:hAnsi="Times New Roman"/>
                <w:sz w:val="21"/>
                <w:szCs w:val="21"/>
                <w:color w:val="auto"/>
              </w:rPr>
              <w:t>Three Months Ended</w:t>
            </w:r>
          </w:p>
        </w:tc>
        <w:tc>
          <w:tcPr>
            <w:tcW w:w="0" w:type="dxa"/>
            <w:vAlign w:val="bottom"/>
          </w:tcPr>
          <w:p>
            <w:pPr>
              <w:spacing w:after="0"/>
              <w:rPr>
                <w:sz w:val="1"/>
                <w:szCs w:val="1"/>
                <w:color w:val="auto"/>
              </w:rPr>
            </w:pPr>
          </w:p>
        </w:tc>
      </w:tr>
      <w:tr>
        <w:trPr>
          <w:trHeight w:val="253"/>
        </w:trPr>
        <w:tc>
          <w:tcPr>
            <w:tcW w:w="5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21"/>
                <w:szCs w:val="21"/>
                <w:color w:val="auto"/>
              </w:rPr>
              <w:t>March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8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4"/>
              <w:spacing w:after="0" w:line="219" w:lineRule="exact"/>
              <w:rPr>
                <w:sz w:val="20"/>
                <w:szCs w:val="20"/>
                <w:color w:val="auto"/>
              </w:rPr>
            </w:pPr>
            <w:r>
              <w:rPr>
                <w:rFonts w:ascii="Times New Roman" w:cs="Times New Roman" w:eastAsia="Times New Roman" w:hAnsi="Times New Roman"/>
                <w:sz w:val="21"/>
                <w:szCs w:val="21"/>
                <w:color w:val="auto"/>
              </w:rPr>
              <w:t>2021</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Operating revenues</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3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699,275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3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583,565</w:t>
            </w: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Operating expenses:</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Operations and maintenance</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142,581</w:t>
            </w:r>
          </w:p>
        </w:tc>
        <w:tc>
          <w:tcPr>
            <w:tcW w:w="46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125,075</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Purchased gas</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227,712</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132,153</w:t>
            </w:r>
          </w:p>
        </w:tc>
        <w:tc>
          <w:tcPr>
            <w:tcW w:w="0" w:type="dxa"/>
            <w:vAlign w:val="bottom"/>
          </w:tcPr>
          <w:p>
            <w:pPr>
              <w:spacing w:after="0"/>
              <w:rPr>
                <w:sz w:val="1"/>
                <w:szCs w:val="1"/>
                <w:color w:val="auto"/>
              </w:rPr>
            </w:pPr>
          </w:p>
        </w:tc>
      </w:tr>
      <w:tr>
        <w:trPr>
          <w:trHeight w:val="225"/>
        </w:trPr>
        <w:tc>
          <w:tcPr>
            <w:tcW w:w="582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Depreciation</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77,878</w:t>
            </w:r>
          </w:p>
        </w:tc>
        <w:tc>
          <w:tcPr>
            <w:tcW w:w="46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71,637</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Amortization</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468</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1,307</w:t>
            </w:r>
          </w:p>
        </w:tc>
        <w:tc>
          <w:tcPr>
            <w:tcW w:w="0" w:type="dxa"/>
            <w:vAlign w:val="bottom"/>
          </w:tcPr>
          <w:p>
            <w:pPr>
              <w:spacing w:after="0"/>
              <w:rPr>
                <w:sz w:val="1"/>
                <w:szCs w:val="1"/>
                <w:color w:val="auto"/>
              </w:rPr>
            </w:pPr>
          </w:p>
        </w:tc>
      </w:tr>
      <w:tr>
        <w:trPr>
          <w:trHeight w:val="225"/>
        </w:trPr>
        <w:tc>
          <w:tcPr>
            <w:tcW w:w="582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Taxes other than income taxes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23,007</w:t>
            </w:r>
          </w:p>
        </w:tc>
        <w:tc>
          <w:tcPr>
            <w:tcW w:w="46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21,041</w:t>
            </w:r>
          </w:p>
        </w:tc>
        <w:tc>
          <w:tcPr>
            <w:tcW w:w="0" w:type="dxa"/>
            <w:vAlign w:val="bottom"/>
          </w:tcPr>
          <w:p>
            <w:pPr>
              <w:spacing w:after="0"/>
              <w:rPr>
                <w:sz w:val="1"/>
                <w:szCs w:val="1"/>
                <w:color w:val="auto"/>
              </w:rPr>
            </w:pPr>
          </w:p>
        </w:tc>
      </w:tr>
      <w:tr>
        <w:trPr>
          <w:trHeight w:val="218"/>
        </w:trPr>
        <w:tc>
          <w:tcPr>
            <w:tcW w:w="5820" w:type="dxa"/>
            <w:vAlign w:val="bottom"/>
            <w:tcBorders>
              <w:top w:val="single" w:sz="8" w:color="CCEEFF"/>
            </w:tcBorders>
            <w:shd w:val="clear" w:color="auto" w:fill="CCEEFF"/>
          </w:tcPr>
          <w:p>
            <w:pPr>
              <w:ind w:left="100"/>
              <w:spacing w:after="0" w:line="219" w:lineRule="exact"/>
              <w:rPr>
                <w:sz w:val="20"/>
                <w:szCs w:val="20"/>
                <w:color w:val="auto"/>
              </w:rPr>
            </w:pPr>
            <w:r>
              <w:rPr>
                <w:rFonts w:ascii="Times New Roman" w:cs="Times New Roman" w:eastAsia="Times New Roman" w:hAnsi="Times New Roman"/>
                <w:sz w:val="21"/>
                <w:szCs w:val="21"/>
                <w:color w:val="auto"/>
              </w:rPr>
              <w:t>Total operating expenses</w:t>
            </w:r>
          </w:p>
        </w:tc>
        <w:tc>
          <w:tcPr>
            <w:tcW w:w="1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471,646</w:t>
            </w: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351,213</w:t>
            </w:r>
          </w:p>
        </w:tc>
        <w:tc>
          <w:tcPr>
            <w:tcW w:w="0" w:type="dxa"/>
            <w:vAlign w:val="bottom"/>
          </w:tcPr>
          <w:p>
            <w:pPr>
              <w:spacing w:after="0"/>
              <w:rPr>
                <w:sz w:val="1"/>
                <w:szCs w:val="1"/>
                <w:color w:val="auto"/>
              </w:rPr>
            </w:pPr>
          </w:p>
        </w:tc>
      </w:tr>
      <w:tr>
        <w:trPr>
          <w:trHeight w:val="218"/>
        </w:trPr>
        <w:tc>
          <w:tcPr>
            <w:tcW w:w="5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Operating income</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227,629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232,352</w:t>
            </w: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Other expense (income):</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Interest expense</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53,636</w:t>
            </w:r>
          </w:p>
        </w:tc>
        <w:tc>
          <w:tcPr>
            <w:tcW w:w="46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50,769</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Interest income</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(609)</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(387)</w:t>
            </w:r>
          </w:p>
        </w:tc>
        <w:tc>
          <w:tcPr>
            <w:tcW w:w="0" w:type="dxa"/>
            <w:vAlign w:val="bottom"/>
          </w:tcPr>
          <w:p>
            <w:pPr>
              <w:spacing w:after="0"/>
              <w:rPr>
                <w:sz w:val="1"/>
                <w:szCs w:val="1"/>
                <w:color w:val="auto"/>
              </w:rPr>
            </w:pPr>
          </w:p>
        </w:tc>
      </w:tr>
      <w:tr>
        <w:trPr>
          <w:trHeight w:val="225"/>
        </w:trPr>
        <w:tc>
          <w:tcPr>
            <w:tcW w:w="582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Allowance for funds used during construction</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(5,839)</w:t>
            </w:r>
          </w:p>
        </w:tc>
        <w:tc>
          <w:tcPr>
            <w:tcW w:w="46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(2,934)</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Gain on sale of other assets</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225"/>
        </w:trPr>
        <w:tc>
          <w:tcPr>
            <w:tcW w:w="582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Other</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(1,702)</w:t>
            </w:r>
          </w:p>
        </w:tc>
        <w:tc>
          <w:tcPr>
            <w:tcW w:w="46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(3,471)</w:t>
            </w:r>
          </w:p>
        </w:tc>
        <w:tc>
          <w:tcPr>
            <w:tcW w:w="0" w:type="dxa"/>
            <w:vAlign w:val="bottom"/>
          </w:tcPr>
          <w:p>
            <w:pPr>
              <w:spacing w:after="0"/>
              <w:rPr>
                <w:sz w:val="1"/>
                <w:szCs w:val="1"/>
                <w:color w:val="auto"/>
              </w:rPr>
            </w:pPr>
          </w:p>
        </w:tc>
      </w:tr>
      <w:tr>
        <w:trPr>
          <w:trHeight w:val="219"/>
        </w:trPr>
        <w:tc>
          <w:tcPr>
            <w:tcW w:w="58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Income before income taxes</w:t>
            </w:r>
          </w:p>
        </w:tc>
        <w:tc>
          <w:tcPr>
            <w:tcW w:w="1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182,143</w:t>
            </w: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188,455</w:t>
            </w:r>
          </w:p>
        </w:tc>
        <w:tc>
          <w:tcPr>
            <w:tcW w:w="0" w:type="dxa"/>
            <w:vAlign w:val="bottom"/>
          </w:tcPr>
          <w:p>
            <w:pPr>
              <w:spacing w:after="0"/>
              <w:rPr>
                <w:sz w:val="1"/>
                <w:szCs w:val="1"/>
                <w:color w:val="auto"/>
              </w:rPr>
            </w:pPr>
          </w:p>
        </w:tc>
      </w:tr>
      <w:tr>
        <w:trPr>
          <w:trHeight w:val="225"/>
        </w:trPr>
        <w:tc>
          <w:tcPr>
            <w:tcW w:w="58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Provision for income taxes (benefit)</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(17,233)</w:t>
            </w:r>
          </w:p>
        </w:tc>
        <w:tc>
          <w:tcPr>
            <w:tcW w:w="46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4,766</w:t>
            </w:r>
          </w:p>
        </w:tc>
        <w:tc>
          <w:tcPr>
            <w:tcW w:w="0" w:type="dxa"/>
            <w:vAlign w:val="bottom"/>
          </w:tcPr>
          <w:p>
            <w:pPr>
              <w:spacing w:after="0"/>
              <w:rPr>
                <w:sz w:val="1"/>
                <w:szCs w:val="1"/>
                <w:color w:val="auto"/>
              </w:rPr>
            </w:pPr>
          </w:p>
        </w:tc>
      </w:tr>
      <w:tr>
        <w:trPr>
          <w:trHeight w:val="219"/>
        </w:trPr>
        <w:tc>
          <w:tcPr>
            <w:tcW w:w="5820" w:type="dxa"/>
            <w:vAlign w:val="bottom"/>
            <w:tcBorders>
              <w:top w:val="single" w:sz="8" w:color="CCEEFF"/>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Net income</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36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199,376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3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tcBorders>
              <w:top w:val="single" w:sz="8" w:color="auto"/>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183,689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Comprehensive income</w:t>
            </w:r>
          </w:p>
        </w:tc>
        <w:tc>
          <w:tcPr>
            <w:tcW w:w="2200" w:type="dxa"/>
            <w:vAlign w:val="bottom"/>
            <w:gridSpan w:val="2"/>
            <w:shd w:val="clear" w:color="auto" w:fill="CCEEFF"/>
          </w:tcPr>
          <w:p>
            <w:pPr>
              <w:jc w:val="right"/>
              <w:ind w:right="154"/>
              <w:spacing w:after="0" w:line="225" w:lineRule="exact"/>
              <w:rPr>
                <w:sz w:val="20"/>
                <w:szCs w:val="20"/>
                <w:color w:val="auto"/>
              </w:rPr>
            </w:pPr>
            <w:r>
              <w:rPr>
                <w:rFonts w:ascii="Times New Roman" w:cs="Times New Roman" w:eastAsia="Times New Roman" w:hAnsi="Times New Roman"/>
                <w:sz w:val="21"/>
                <w:szCs w:val="21"/>
                <w:color w:val="auto"/>
              </w:rPr>
              <w:t>$</w:t>
            </w:r>
          </w:p>
        </w:tc>
        <w:tc>
          <w:tcPr>
            <w:tcW w:w="13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199,376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34"/>
              <w:spacing w:after="0" w:line="225" w:lineRule="exact"/>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183,689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1"/>
                <w:szCs w:val="21"/>
                <w:color w:val="auto"/>
              </w:rPr>
              <w:t>Net income per common share:</w:t>
            </w:r>
          </w:p>
        </w:tc>
        <w:tc>
          <w:tcPr>
            <w:tcW w:w="1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8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Basic</w:t>
            </w:r>
          </w:p>
        </w:tc>
        <w:tc>
          <w:tcPr>
            <w:tcW w:w="2200" w:type="dxa"/>
            <w:vAlign w:val="bottom"/>
            <w:gridSpan w:val="2"/>
            <w:shd w:val="clear" w:color="auto" w:fill="CCEEFF"/>
          </w:tcPr>
          <w:p>
            <w:pPr>
              <w:jc w:val="right"/>
              <w:ind w:right="154"/>
              <w:spacing w:after="0" w:line="225" w:lineRule="exact"/>
              <w:rPr>
                <w:sz w:val="20"/>
                <w:szCs w:val="20"/>
                <w:color w:val="auto"/>
              </w:rPr>
            </w:pPr>
            <w:r>
              <w:rPr>
                <w:rFonts w:ascii="Times New Roman" w:cs="Times New Roman" w:eastAsia="Times New Roman" w:hAnsi="Times New Roman"/>
                <w:sz w:val="21"/>
                <w:szCs w:val="21"/>
                <w:color w:val="auto"/>
              </w:rPr>
              <w:t>$</w:t>
            </w:r>
          </w:p>
        </w:tc>
        <w:tc>
          <w:tcPr>
            <w:tcW w:w="1560" w:type="dxa"/>
            <w:vAlign w:val="bottom"/>
            <w:gridSpan w:val="2"/>
            <w:shd w:val="clear" w:color="auto" w:fill="CCEEFF"/>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0.76</w:t>
            </w:r>
          </w:p>
        </w:tc>
        <w:tc>
          <w:tcPr>
            <w:tcW w:w="460" w:type="dxa"/>
            <w:vAlign w:val="bottom"/>
            <w:shd w:val="clear" w:color="auto" w:fill="CCEEFF"/>
          </w:tcPr>
          <w:p>
            <w:pPr>
              <w:jc w:val="right"/>
              <w:ind w:right="234"/>
              <w:spacing w:after="0" w:line="225" w:lineRule="exact"/>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0.72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Diluted</w:t>
            </w:r>
          </w:p>
        </w:tc>
        <w:tc>
          <w:tcPr>
            <w:tcW w:w="18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2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4"/>
              <w:spacing w:after="0" w:line="205" w:lineRule="exact"/>
              <w:rPr>
                <w:sz w:val="20"/>
                <w:szCs w:val="20"/>
                <w:color w:val="auto"/>
              </w:rPr>
            </w:pPr>
            <w:r>
              <w:rPr>
                <w:rFonts w:ascii="Times New Roman" w:cs="Times New Roman" w:eastAsia="Times New Roman" w:hAnsi="Times New Roman"/>
                <w:sz w:val="21"/>
                <w:szCs w:val="21"/>
                <w:color w:val="auto"/>
                <w:w w:val="75"/>
              </w:rPr>
              <w:t>$</w:t>
            </w:r>
          </w:p>
        </w:tc>
        <w:tc>
          <w:tcPr>
            <w:tcW w:w="13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1"/>
                <w:szCs w:val="21"/>
                <w:color w:val="auto"/>
              </w:rPr>
              <w:t>0.76</w:t>
            </w:r>
          </w:p>
        </w:tc>
        <w:tc>
          <w:tcPr>
            <w:tcW w:w="2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34"/>
              <w:spacing w:after="0" w:line="205" w:lineRule="exact"/>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1"/>
                <w:szCs w:val="21"/>
                <w:color w:val="auto"/>
              </w:rPr>
              <w:t>0.72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60" w:type="dxa"/>
            <w:vAlign w:val="bottom"/>
          </w:tcPr>
          <w:p>
            <w:pPr>
              <w:spacing w:after="0"/>
              <w:rPr>
                <w:sz w:val="20"/>
                <w:szCs w:val="20"/>
                <w:color w:val="auto"/>
              </w:rPr>
            </w:pPr>
            <w:r>
              <w:rPr>
                <w:rFonts w:ascii="Times New Roman" w:cs="Times New Roman" w:eastAsia="Times New Roman" w:hAnsi="Times New Roman"/>
                <w:sz w:val="21"/>
                <w:szCs w:val="21"/>
                <w:color w:val="auto"/>
              </w:rPr>
              <w:t>Average common shares outstanding during the period:</w:t>
            </w: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Basic</w:t>
            </w:r>
          </w:p>
        </w:tc>
        <w:tc>
          <w:tcPr>
            <w:tcW w:w="172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261,952</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4"/>
              <w:spacing w:after="0" w:line="225" w:lineRule="exact"/>
              <w:rPr>
                <w:sz w:val="20"/>
                <w:szCs w:val="20"/>
                <w:color w:val="auto"/>
              </w:rPr>
            </w:pPr>
            <w:r>
              <w:rPr>
                <w:rFonts w:ascii="Times New Roman" w:cs="Times New Roman" w:eastAsia="Times New Roman" w:hAnsi="Times New Roman"/>
                <w:sz w:val="21"/>
                <w:szCs w:val="21"/>
                <w:color w:val="auto"/>
              </w:rPr>
              <w:t>254,565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00"/>
              <w:spacing w:after="0"/>
              <w:rPr>
                <w:sz w:val="20"/>
                <w:szCs w:val="20"/>
                <w:color w:val="auto"/>
              </w:rPr>
            </w:pPr>
            <w:r>
              <w:rPr>
                <w:rFonts w:ascii="Times New Roman" w:cs="Times New Roman" w:eastAsia="Times New Roman" w:hAnsi="Times New Roman"/>
                <w:sz w:val="21"/>
                <w:szCs w:val="21"/>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66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1"/>
                <w:szCs w:val="21"/>
                <w:color w:val="auto"/>
              </w:rPr>
              <w:t>262,431</w:t>
            </w:r>
          </w:p>
        </w:tc>
        <w:tc>
          <w:tcPr>
            <w:tcW w:w="200" w:type="dxa"/>
            <w:vAlign w:val="bottom"/>
          </w:tcPr>
          <w:p>
            <w:pPr>
              <w:spacing w:after="0"/>
              <w:rPr>
                <w:sz w:val="17"/>
                <w:szCs w:val="17"/>
                <w:color w:val="auto"/>
              </w:rPr>
            </w:pPr>
          </w:p>
        </w:tc>
        <w:tc>
          <w:tcPr>
            <w:tcW w:w="1660" w:type="dxa"/>
            <w:vAlign w:val="bottom"/>
            <w:tcBorders>
              <w:bottom w:val="single" w:sz="8" w:color="auto"/>
            </w:tcBorders>
          </w:tcPr>
          <w:p>
            <w:pPr>
              <w:jc w:val="right"/>
              <w:ind w:right="14"/>
              <w:spacing w:after="0" w:line="205" w:lineRule="exact"/>
              <w:rPr>
                <w:sz w:val="20"/>
                <w:szCs w:val="20"/>
                <w:color w:val="auto"/>
              </w:rPr>
            </w:pPr>
            <w:r>
              <w:rPr>
                <w:rFonts w:ascii="Times New Roman" w:cs="Times New Roman" w:eastAsia="Times New Roman" w:hAnsi="Times New Roman"/>
                <w:sz w:val="21"/>
                <w:szCs w:val="21"/>
                <w:color w:val="auto"/>
              </w:rPr>
              <w:t>254,969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1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CONSOLIDATED STATEMENTS OF CAPITALIZATION</w:t>
      </w:r>
    </w:p>
    <w:p>
      <w:pPr>
        <w:jc w:val="center"/>
        <w:ind w:right="40"/>
        <w:spacing w:after="0" w:line="184"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433"/>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7"/>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79"/>
        </w:trPr>
        <w:tc>
          <w:tcPr>
            <w:tcW w:w="7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6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Common stock, $0.50 par value</w:t>
            </w:r>
          </w:p>
        </w:tc>
        <w:tc>
          <w:tcPr>
            <w:tcW w:w="360" w:type="dxa"/>
            <w:vAlign w:val="bottom"/>
            <w:shd w:val="clear" w:color="auto" w:fill="CCEEFF"/>
          </w:tcPr>
          <w:p>
            <w:pPr>
              <w:jc w:val="right"/>
              <w:ind w:right="19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128,140</w:t>
            </w:r>
          </w:p>
        </w:tc>
        <w:tc>
          <w:tcPr>
            <w:tcW w:w="540" w:type="dxa"/>
            <w:vAlign w:val="bottom"/>
            <w:gridSpan w:val="2"/>
            <w:shd w:val="clear" w:color="auto" w:fill="CCEEFF"/>
          </w:tcPr>
          <w:p>
            <w:pPr>
              <w:jc w:val="right"/>
              <w:ind w:right="220"/>
              <w:spacing w:after="0" w:line="18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128,050</w:t>
            </w:r>
          </w:p>
        </w:tc>
        <w:tc>
          <w:tcPr>
            <w:tcW w:w="0" w:type="dxa"/>
            <w:vAlign w:val="bottom"/>
          </w:tcPr>
          <w:p>
            <w:pPr>
              <w:spacing w:after="0"/>
              <w:rPr>
                <w:sz w:val="1"/>
                <w:szCs w:val="1"/>
                <w:color w:val="auto"/>
              </w:rPr>
            </w:pPr>
          </w:p>
        </w:tc>
      </w:tr>
      <w:tr>
        <w:trPr>
          <w:trHeight w:val="186"/>
        </w:trPr>
        <w:tc>
          <w:tcPr>
            <w:tcW w:w="706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360" w:type="dxa"/>
            <w:vAlign w:val="bottom"/>
          </w:tcPr>
          <w:p>
            <w:pPr>
              <w:spacing w:after="0"/>
              <w:rPr>
                <w:sz w:val="16"/>
                <w:szCs w:val="16"/>
                <w:color w:val="auto"/>
              </w:rPr>
            </w:pPr>
          </w:p>
        </w:tc>
        <w:tc>
          <w:tcPr>
            <w:tcW w:w="16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3,713,560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3,705,814</w:t>
            </w:r>
          </w:p>
        </w:tc>
        <w:tc>
          <w:tcPr>
            <w:tcW w:w="0" w:type="dxa"/>
            <w:vAlign w:val="bottom"/>
          </w:tcPr>
          <w:p>
            <w:pPr>
              <w:spacing w:after="0"/>
              <w:rPr>
                <w:sz w:val="1"/>
                <w:szCs w:val="1"/>
                <w:color w:val="auto"/>
              </w:rPr>
            </w:pPr>
          </w:p>
        </w:tc>
      </w:tr>
      <w:tr>
        <w:trPr>
          <w:trHeight w:val="185"/>
        </w:trPr>
        <w:tc>
          <w:tcPr>
            <w:tcW w:w="706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1,497,757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1,434,201</w:t>
            </w:r>
          </w:p>
        </w:tc>
        <w:tc>
          <w:tcPr>
            <w:tcW w:w="0" w:type="dxa"/>
            <w:vAlign w:val="bottom"/>
          </w:tcPr>
          <w:p>
            <w:pPr>
              <w:spacing w:after="0"/>
              <w:rPr>
                <w:sz w:val="1"/>
                <w:szCs w:val="1"/>
                <w:color w:val="auto"/>
              </w:rPr>
            </w:pPr>
          </w:p>
        </w:tc>
      </w:tr>
      <w:tr>
        <w:trPr>
          <w:trHeight w:val="186"/>
        </w:trPr>
        <w:tc>
          <w:tcPr>
            <w:tcW w:w="7060" w:type="dxa"/>
            <w:vAlign w:val="bottom"/>
            <w:tcBorders>
              <w:bottom w:val="single" w:sz="8" w:color="CCEEFF"/>
            </w:tcBorders>
          </w:tcPr>
          <w:p>
            <w:pPr>
              <w:ind w:left="220"/>
              <w:spacing w:after="0" w:line="186" w:lineRule="exact"/>
              <w:rPr>
                <w:sz w:val="20"/>
                <w:szCs w:val="20"/>
                <w:color w:val="auto"/>
              </w:rPr>
            </w:pPr>
            <w:r>
              <w:rPr>
                <w:rFonts w:ascii="Times New Roman" w:cs="Times New Roman" w:eastAsia="Times New Roman" w:hAnsi="Times New Roman"/>
                <w:sz w:val="18"/>
                <w:szCs w:val="18"/>
                <w:color w:val="auto"/>
              </w:rPr>
              <w:t>Treasury stock, at cost</w:t>
            </w: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(84,357)</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(83,615)</w:t>
            </w:r>
          </w:p>
        </w:tc>
        <w:tc>
          <w:tcPr>
            <w:tcW w:w="0" w:type="dxa"/>
            <w:vAlign w:val="bottom"/>
          </w:tcPr>
          <w:p>
            <w:pPr>
              <w:spacing w:after="0"/>
              <w:rPr>
                <w:sz w:val="1"/>
                <w:szCs w:val="1"/>
                <w:color w:val="auto"/>
              </w:rPr>
            </w:pPr>
          </w:p>
        </w:tc>
      </w:tr>
      <w:tr>
        <w:trPr>
          <w:trHeight w:val="179"/>
        </w:trPr>
        <w:tc>
          <w:tcPr>
            <w:tcW w:w="70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5,255,100</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5,184,450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134860" cy="117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174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4500" w:type="dxa"/>
            <w:vAlign w:val="bottom"/>
            <w:gridSpan w:val="3"/>
          </w:tcPr>
          <w:p>
            <w:pPr>
              <w:jc w:val="center"/>
              <w:ind w:right="600"/>
              <w:spacing w:after="0" w:line="195" w:lineRule="exact"/>
              <w:rPr>
                <w:sz w:val="20"/>
                <w:szCs w:val="20"/>
                <w:color w:val="auto"/>
              </w:rPr>
            </w:pPr>
            <w:r>
              <w:rPr>
                <w:rFonts w:ascii="Times New Roman" w:cs="Times New Roman" w:eastAsia="Times New Roman" w:hAnsi="Times New Roman"/>
                <w:sz w:val="18"/>
                <w:szCs w:val="18"/>
                <w:color w:val="auto"/>
                <w:w w:val="97"/>
              </w:rPr>
              <w:t>Interest Rate Range</w:t>
            </w:r>
          </w:p>
        </w:tc>
        <w:tc>
          <w:tcPr>
            <w:tcW w:w="2560" w:type="dxa"/>
            <w:vAlign w:val="bottom"/>
            <w:gridSpan w:val="3"/>
          </w:tcPr>
          <w:p>
            <w:pPr>
              <w:jc w:val="center"/>
              <w:ind w:right="880"/>
              <w:spacing w:after="0" w:line="195" w:lineRule="exact"/>
              <w:rPr>
                <w:sz w:val="20"/>
                <w:szCs w:val="20"/>
                <w:color w:val="auto"/>
              </w:rPr>
            </w:pPr>
            <w:r>
              <w:rPr>
                <w:rFonts w:ascii="Times New Roman" w:cs="Times New Roman" w:eastAsia="Times New Roman" w:hAnsi="Times New Roman"/>
                <w:sz w:val="18"/>
                <w:szCs w:val="18"/>
                <w:color w:val="auto"/>
                <w:w w:val="97"/>
              </w:rPr>
              <w:t>Maturity Date Range</w:t>
            </w: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6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0.00% to 0.99%</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6"/>
              </w:rPr>
              <w:t>2023 to 2033</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2,302</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3240" w:type="dxa"/>
            <w:vAlign w:val="bottom"/>
            <w:gridSpan w:val="2"/>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1.00% to 1.99%</w:t>
            </w:r>
          </w:p>
        </w:tc>
        <w:tc>
          <w:tcPr>
            <w:tcW w:w="100" w:type="dxa"/>
            <w:vAlign w:val="bottom"/>
          </w:tcPr>
          <w:p>
            <w:pPr>
              <w:spacing w:after="0"/>
              <w:rPr>
                <w:sz w:val="16"/>
                <w:szCs w:val="16"/>
                <w:color w:val="auto"/>
              </w:rPr>
            </w:pPr>
          </w:p>
        </w:tc>
        <w:tc>
          <w:tcPr>
            <w:tcW w:w="2460" w:type="dxa"/>
            <w:vAlign w:val="bottom"/>
            <w:gridSpan w:val="2"/>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2023 to 2039</w:t>
            </w:r>
          </w:p>
        </w:tc>
        <w:tc>
          <w:tcPr>
            <w:tcW w:w="62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9,157</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9,341</w:t>
            </w: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2.00% to 2.99%</w:t>
            </w:r>
          </w:p>
        </w:tc>
        <w:tc>
          <w:tcPr>
            <w:tcW w:w="1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2022 to 2058</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311,863</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312,751</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3240" w:type="dxa"/>
            <w:vAlign w:val="bottom"/>
            <w:gridSpan w:val="2"/>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3.00% to 3.99%</w:t>
            </w:r>
          </w:p>
        </w:tc>
        <w:tc>
          <w:tcPr>
            <w:tcW w:w="100" w:type="dxa"/>
            <w:vAlign w:val="bottom"/>
          </w:tcPr>
          <w:p>
            <w:pPr>
              <w:spacing w:after="0"/>
              <w:rPr>
                <w:sz w:val="16"/>
                <w:szCs w:val="16"/>
                <w:color w:val="auto"/>
              </w:rPr>
            </w:pPr>
          </w:p>
        </w:tc>
        <w:tc>
          <w:tcPr>
            <w:tcW w:w="2460" w:type="dxa"/>
            <w:vAlign w:val="bottom"/>
            <w:gridSpan w:val="2"/>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2022 to 2056</w:t>
            </w:r>
          </w:p>
        </w:tc>
        <w:tc>
          <w:tcPr>
            <w:tcW w:w="62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1,357,393</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1,359,284</w:t>
            </w: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4.00% to 4.99%</w:t>
            </w:r>
          </w:p>
        </w:tc>
        <w:tc>
          <w:tcPr>
            <w:tcW w:w="1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2023 to 2059</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1,284,508</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1,286,024</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3240" w:type="dxa"/>
            <w:vAlign w:val="bottom"/>
            <w:gridSpan w:val="2"/>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5.00% to 5.99%</w:t>
            </w:r>
          </w:p>
        </w:tc>
        <w:tc>
          <w:tcPr>
            <w:tcW w:w="100" w:type="dxa"/>
            <w:vAlign w:val="bottom"/>
          </w:tcPr>
          <w:p>
            <w:pPr>
              <w:spacing w:after="0"/>
              <w:rPr>
                <w:sz w:val="16"/>
                <w:szCs w:val="16"/>
                <w:color w:val="auto"/>
              </w:rPr>
            </w:pPr>
          </w:p>
        </w:tc>
        <w:tc>
          <w:tcPr>
            <w:tcW w:w="2460" w:type="dxa"/>
            <w:vAlign w:val="bottom"/>
            <w:gridSpan w:val="2"/>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2023 to 2043</w:t>
            </w:r>
          </w:p>
        </w:tc>
        <w:tc>
          <w:tcPr>
            <w:tcW w:w="62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15,917</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16,119</w:t>
            </w: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6.00% to 6.99%</w:t>
            </w:r>
          </w:p>
        </w:tc>
        <w:tc>
          <w:tcPr>
            <w:tcW w:w="1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2022 to 2036</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32,446</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32,475</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3240" w:type="dxa"/>
            <w:vAlign w:val="bottom"/>
            <w:gridSpan w:val="2"/>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7.00% to 7.99%</w:t>
            </w:r>
          </w:p>
        </w:tc>
        <w:tc>
          <w:tcPr>
            <w:tcW w:w="100" w:type="dxa"/>
            <w:vAlign w:val="bottom"/>
          </w:tcPr>
          <w:p>
            <w:pPr>
              <w:spacing w:after="0"/>
              <w:rPr>
                <w:sz w:val="16"/>
                <w:szCs w:val="16"/>
                <w:color w:val="auto"/>
              </w:rPr>
            </w:pPr>
          </w:p>
        </w:tc>
        <w:tc>
          <w:tcPr>
            <w:tcW w:w="2460" w:type="dxa"/>
            <w:vAlign w:val="bottom"/>
            <w:gridSpan w:val="2"/>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2022 to 2027</w:t>
            </w:r>
          </w:p>
        </w:tc>
        <w:tc>
          <w:tcPr>
            <w:tcW w:w="62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28,799</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28,980</w:t>
            </w: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8.00% to 8.99%</w:t>
            </w:r>
          </w:p>
        </w:tc>
        <w:tc>
          <w:tcPr>
            <w:tcW w:w="1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2025 to 2025</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2,651</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186"/>
        </w:trPr>
        <w:tc>
          <w:tcPr>
            <w:tcW w:w="12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2"/>
          </w:tcPr>
          <w:p>
            <w:pPr>
              <w:jc w:val="center"/>
              <w:ind w:right="1860"/>
              <w:spacing w:after="0" w:line="186" w:lineRule="exact"/>
              <w:rPr>
                <w:sz w:val="20"/>
                <w:szCs w:val="20"/>
                <w:color w:val="auto"/>
              </w:rPr>
            </w:pPr>
            <w:r>
              <w:rPr>
                <w:rFonts w:ascii="Times New Roman" w:cs="Times New Roman" w:eastAsia="Times New Roman" w:hAnsi="Times New Roman"/>
                <w:sz w:val="18"/>
                <w:szCs w:val="18"/>
                <w:color w:val="auto"/>
                <w:w w:val="98"/>
              </w:rPr>
              <w:t>9.00% to 9.99%</w:t>
            </w:r>
          </w:p>
        </w:tc>
        <w:tc>
          <w:tcPr>
            <w:tcW w:w="10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gridSpan w:val="2"/>
          </w:tcPr>
          <w:p>
            <w:pPr>
              <w:jc w:val="center"/>
              <w:ind w:right="980"/>
              <w:spacing w:after="0" w:line="186" w:lineRule="exact"/>
              <w:rPr>
                <w:sz w:val="20"/>
                <w:szCs w:val="20"/>
                <w:color w:val="auto"/>
              </w:rPr>
            </w:pPr>
            <w:r>
              <w:rPr>
                <w:rFonts w:ascii="Times New Roman" w:cs="Times New Roman" w:eastAsia="Times New Roman" w:hAnsi="Times New Roman"/>
                <w:sz w:val="18"/>
                <w:szCs w:val="18"/>
                <w:color w:val="auto"/>
                <w:w w:val="96"/>
              </w:rPr>
              <w:t>2026 to 2026</w:t>
            </w: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11,800</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179"/>
        </w:trPr>
        <w:tc>
          <w:tcPr>
            <w:tcW w:w="1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3,056,836</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3,061,887</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60" w:type="dxa"/>
            <w:vAlign w:val="bottom"/>
            <w:gridSpan w:val="6"/>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Dec 2023</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410,000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185"/>
        </w:trPr>
        <w:tc>
          <w:tcPr>
            <w:tcW w:w="450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rPr>
              <w:t>Unsecured notes payable:</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0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Amortizing notes at 3.00% due 2022</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10,273</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20,470</w:t>
            </w:r>
          </w:p>
        </w:tc>
        <w:tc>
          <w:tcPr>
            <w:tcW w:w="0" w:type="dxa"/>
            <w:vAlign w:val="bottom"/>
          </w:tcPr>
          <w:p>
            <w:pPr>
              <w:spacing w:after="0"/>
              <w:rPr>
                <w:sz w:val="1"/>
                <w:szCs w:val="1"/>
                <w:color w:val="auto"/>
              </w:rPr>
            </w:pPr>
          </w:p>
        </w:tc>
      </w:tr>
      <w:tr>
        <w:trPr>
          <w:trHeight w:val="185"/>
        </w:trPr>
        <w:tc>
          <w:tcPr>
            <w:tcW w:w="4500" w:type="dxa"/>
            <w:vAlign w:val="bottom"/>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rPr>
              <w:t>Notes at 2.40% due 2031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85"/>
        </w:trPr>
        <w:tc>
          <w:tcPr>
            <w:tcW w:w="450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Notes at 2.704% due 2030</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5"/>
        </w:trPr>
        <w:tc>
          <w:tcPr>
            <w:tcW w:w="4500" w:type="dxa"/>
            <w:vAlign w:val="bottom"/>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1,125,000</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186"/>
        </w:trPr>
        <w:tc>
          <w:tcPr>
            <w:tcW w:w="450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Notes at 4.28%, due 2049</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w w:val="99"/>
              </w:rPr>
              <w:t>Notes ranging from 5.64% to 5.95%, due 2022 through 2034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40,000</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179"/>
        </w:trPr>
        <w:tc>
          <w:tcPr>
            <w:tcW w:w="4500" w:type="dxa"/>
            <w:vAlign w:val="bottom"/>
            <w:gridSpan w:val="3"/>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6,042,109</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5,947,357</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0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131,746</w:t>
            </w:r>
          </w:p>
        </w:tc>
        <w:tc>
          <w:tcPr>
            <w:tcW w:w="2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132,146</w:t>
            </w:r>
          </w:p>
        </w:tc>
        <w:tc>
          <w:tcPr>
            <w:tcW w:w="0" w:type="dxa"/>
            <w:vAlign w:val="bottom"/>
          </w:tcPr>
          <w:p>
            <w:pPr>
              <w:spacing w:after="0"/>
              <w:rPr>
                <w:sz w:val="1"/>
                <w:szCs w:val="1"/>
                <w:color w:val="auto"/>
              </w:rPr>
            </w:pPr>
          </w:p>
        </w:tc>
      </w:tr>
      <w:tr>
        <w:trPr>
          <w:trHeight w:val="179"/>
        </w:trPr>
        <w:tc>
          <w:tcPr>
            <w:tcW w:w="4500" w:type="dxa"/>
            <w:vAlign w:val="bottom"/>
            <w:gridSpan w:val="3"/>
          </w:tcPr>
          <w:p>
            <w:pPr>
              <w:spacing w:after="0" w:line="179"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5,910,363</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5,815,211</w:t>
            </w:r>
          </w:p>
        </w:tc>
        <w:tc>
          <w:tcPr>
            <w:tcW w:w="0" w:type="dxa"/>
            <w:vAlign w:val="bottom"/>
          </w:tcPr>
          <w:p>
            <w:pPr>
              <w:spacing w:after="0"/>
              <w:rPr>
                <w:sz w:val="1"/>
                <w:szCs w:val="1"/>
                <w:color w:val="auto"/>
              </w:rPr>
            </w:pPr>
          </w:p>
        </w:tc>
      </w:tr>
      <w:tr>
        <w:trPr>
          <w:trHeight w:val="185"/>
        </w:trPr>
        <w:tc>
          <w:tcPr>
            <w:tcW w:w="450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Less: debt issuance costs</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38,403</w:t>
            </w:r>
          </w:p>
        </w:tc>
        <w:tc>
          <w:tcPr>
            <w:tcW w:w="2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35,707</w:t>
            </w:r>
          </w:p>
        </w:tc>
        <w:tc>
          <w:tcPr>
            <w:tcW w:w="0" w:type="dxa"/>
            <w:vAlign w:val="bottom"/>
          </w:tcPr>
          <w:p>
            <w:pPr>
              <w:spacing w:after="0"/>
              <w:rPr>
                <w:sz w:val="1"/>
                <w:szCs w:val="1"/>
                <w:color w:val="auto"/>
              </w:rPr>
            </w:pPr>
          </w:p>
        </w:tc>
      </w:tr>
      <w:tr>
        <w:trPr>
          <w:trHeight w:val="179"/>
        </w:trPr>
        <w:tc>
          <w:tcPr>
            <w:tcW w:w="7060" w:type="dxa"/>
            <w:vAlign w:val="bottom"/>
            <w:tcBorders>
              <w:bottom w:val="single" w:sz="8" w:color="CCEEFF"/>
            </w:tcBorders>
            <w:gridSpan w:val="6"/>
          </w:tcPr>
          <w:p>
            <w:pPr>
              <w:spacing w:after="0" w:line="179"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6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5,871,960</w:t>
            </w: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5,779,504</w:t>
            </w:r>
          </w:p>
        </w:tc>
        <w:tc>
          <w:tcPr>
            <w:tcW w:w="0" w:type="dxa"/>
            <w:vAlign w:val="bottom"/>
          </w:tcPr>
          <w:p>
            <w:pPr>
              <w:spacing w:after="0"/>
              <w:rPr>
                <w:sz w:val="1"/>
                <w:szCs w:val="1"/>
                <w:color w:val="auto"/>
              </w:rPr>
            </w:pPr>
          </w:p>
        </w:tc>
      </w:tr>
      <w:tr>
        <w:trPr>
          <w:trHeight w:val="179"/>
        </w:trPr>
        <w:tc>
          <w:tcPr>
            <w:tcW w:w="1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500" w:type="dxa"/>
            <w:vAlign w:val="bottom"/>
            <w:gridSpan w:val="3"/>
          </w:tcPr>
          <w:p>
            <w:pPr>
              <w:spacing w:after="0" w:line="179" w:lineRule="exact"/>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Borders>
              <w:bottom w:val="single" w:sz="8" w:color="auto"/>
            </w:tcBorders>
          </w:tcPr>
          <w:p>
            <w:pPr>
              <w:jc w:val="right"/>
              <w:ind w:right="457"/>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11,127,060</w:t>
            </w:r>
          </w:p>
        </w:tc>
        <w:tc>
          <w:tcPr>
            <w:tcW w:w="220" w:type="dxa"/>
            <w:vAlign w:val="bottom"/>
          </w:tcPr>
          <w:p>
            <w:pPr>
              <w:spacing w:after="0"/>
              <w:rPr>
                <w:sz w:val="15"/>
                <w:szCs w:val="15"/>
                <w:color w:val="auto"/>
              </w:rPr>
            </w:pPr>
          </w:p>
        </w:tc>
        <w:tc>
          <w:tcPr>
            <w:tcW w:w="580" w:type="dxa"/>
            <w:vAlign w:val="bottom"/>
            <w:tcBorders>
              <w:bottom w:val="single" w:sz="8" w:color="auto"/>
            </w:tcBorders>
          </w:tcPr>
          <w:p>
            <w:pPr>
              <w:jc w:val="right"/>
              <w:ind w:right="39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10,963,954</w:t>
            </w:r>
          </w:p>
        </w:tc>
        <w:tc>
          <w:tcPr>
            <w:tcW w:w="0" w:type="dxa"/>
            <w:vAlign w:val="bottom"/>
          </w:tcPr>
          <w:p>
            <w:pPr>
              <w:spacing w:after="0"/>
              <w:rPr>
                <w:sz w:val="1"/>
                <w:szCs w:val="1"/>
                <w:color w:val="auto"/>
              </w:rPr>
            </w:pPr>
          </w:p>
        </w:tc>
      </w:tr>
      <w:tr>
        <w:trPr>
          <w:trHeight w:val="20"/>
        </w:trPr>
        <w:tc>
          <w:tcPr>
            <w:tcW w:w="70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06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204470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CONSOLIDATED STATEMENTS OF EQUITY</w:t>
      </w:r>
    </w:p>
    <w:p>
      <w:pPr>
        <w:jc w:val="center"/>
        <w:spacing w:after="0" w:line="197" w:lineRule="auto"/>
        <w:rPr>
          <w:sz w:val="20"/>
          <w:szCs w:val="20"/>
          <w:color w:val="auto"/>
        </w:rPr>
      </w:pPr>
      <w:r>
        <w:rPr>
          <w:rFonts w:ascii="Times New Roman" w:cs="Times New Roman" w:eastAsia="Times New Roman" w:hAnsi="Times New Roman"/>
          <w:sz w:val="21"/>
          <w:szCs w:val="21"/>
          <w:color w:val="auto"/>
        </w:rPr>
        <w:t>(In thousands of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2" w:lineRule="exact"/>
              <w:rPr>
                <w:sz w:val="20"/>
                <w:szCs w:val="20"/>
                <w:color w:val="auto"/>
              </w:rPr>
            </w:pPr>
            <w:r>
              <w:rPr>
                <w:rFonts w:ascii="Times New Roman" w:cs="Times New Roman" w:eastAsia="Times New Roman" w:hAnsi="Times New Roman"/>
                <w:sz w:val="16"/>
                <w:szCs w:val="16"/>
                <w:color w:val="auto"/>
              </w:rPr>
              <w:t>Common</w:t>
            </w:r>
          </w:p>
        </w:tc>
        <w:tc>
          <w:tcPr>
            <w:tcW w:w="120" w:type="dxa"/>
            <w:vAlign w:val="bottom"/>
          </w:tcPr>
          <w:p>
            <w:pPr>
              <w:spacing w:after="0"/>
              <w:rPr>
                <w:sz w:val="14"/>
                <w:szCs w:val="14"/>
                <w:color w:val="auto"/>
              </w:rPr>
            </w:pPr>
          </w:p>
        </w:tc>
        <w:tc>
          <w:tcPr>
            <w:tcW w:w="88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6"/>
                <w:szCs w:val="16"/>
                <w:color w:val="auto"/>
              </w:rPr>
              <w:t>Excess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60"/>
              <w:spacing w:after="0" w:line="172" w:lineRule="exact"/>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line="172"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9"/>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tcPr>
          <w:p>
            <w:pPr>
              <w:spacing w:after="0"/>
              <w:rPr>
                <w:sz w:val="17"/>
                <w:szCs w:val="17"/>
                <w:color w:val="auto"/>
              </w:rPr>
            </w:pPr>
          </w:p>
        </w:tc>
        <w:tc>
          <w:tcPr>
            <w:tcW w:w="8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Total</w:t>
            </w:r>
          </w:p>
        </w:tc>
      </w:tr>
      <w:tr>
        <w:trPr>
          <w:trHeight w:val="165"/>
        </w:trPr>
        <w:tc>
          <w:tcPr>
            <w:tcW w:w="640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Balance at December 31, 2021</w:t>
            </w:r>
          </w:p>
        </w:tc>
        <w:tc>
          <w:tcPr>
            <w:tcW w:w="1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128,050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3,705,814</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1,434,201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(83,615)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5,184,450</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199,376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199,376</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Dividends declared and paid ($0.2682 per share)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(67,821)</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(67,821)</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Dividends declared ($0.2682 per share)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(67,863)</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(67,863)</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(93,833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4,070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4,117</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Repurchase of stock (21,290 shares)</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(1,012)</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(1,012)</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Equity compensation plan (57,052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Exercise of stock options (28,516 shares)</w:t>
            </w:r>
          </w:p>
        </w:tc>
        <w:tc>
          <w:tcPr>
            <w:tcW w:w="10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998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1,012</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2,716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2,580</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261</w:t>
            </w:r>
          </w:p>
        </w:tc>
      </w:tr>
      <w:tr>
        <w:trPr>
          <w:trHeight w:val="165"/>
        </w:trPr>
        <w:tc>
          <w:tcPr>
            <w:tcW w:w="6400" w:type="dxa"/>
            <w:vAlign w:val="bottom"/>
            <w:tcBorders>
              <w:top w:val="single" w:sz="8" w:color="CCEEFF"/>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Balance at March 31, 2022</w:t>
            </w:r>
          </w:p>
        </w:tc>
        <w:tc>
          <w:tcPr>
            <w:tcW w:w="1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128,140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3,713,560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1,497,757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(84,357)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5,255,100</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CONSOLIDATED STATEMENTS OF EQUITY</w:t>
      </w:r>
    </w:p>
    <w:p>
      <w:pPr>
        <w:jc w:val="center"/>
        <w:spacing w:after="0" w:line="197" w:lineRule="auto"/>
        <w:rPr>
          <w:sz w:val="20"/>
          <w:szCs w:val="20"/>
          <w:color w:val="auto"/>
        </w:rPr>
      </w:pPr>
      <w:r>
        <w:rPr>
          <w:rFonts w:ascii="Times New Roman" w:cs="Times New Roman" w:eastAsia="Times New Roman" w:hAnsi="Times New Roman"/>
          <w:sz w:val="21"/>
          <w:szCs w:val="21"/>
          <w:color w:val="auto"/>
        </w:rPr>
        <w:t>(In thousands of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2" w:lineRule="exact"/>
              <w:rPr>
                <w:sz w:val="20"/>
                <w:szCs w:val="20"/>
                <w:color w:val="auto"/>
              </w:rPr>
            </w:pPr>
            <w:r>
              <w:rPr>
                <w:rFonts w:ascii="Times New Roman" w:cs="Times New Roman" w:eastAsia="Times New Roman" w:hAnsi="Times New Roman"/>
                <w:sz w:val="16"/>
                <w:szCs w:val="16"/>
                <w:color w:val="auto"/>
              </w:rPr>
              <w:t>Common</w:t>
            </w:r>
          </w:p>
        </w:tc>
        <w:tc>
          <w:tcPr>
            <w:tcW w:w="120" w:type="dxa"/>
            <w:vAlign w:val="bottom"/>
          </w:tcPr>
          <w:p>
            <w:pPr>
              <w:spacing w:after="0"/>
              <w:rPr>
                <w:sz w:val="14"/>
                <w:szCs w:val="14"/>
                <w:color w:val="auto"/>
              </w:rPr>
            </w:pPr>
          </w:p>
        </w:tc>
        <w:tc>
          <w:tcPr>
            <w:tcW w:w="88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6"/>
                <w:szCs w:val="16"/>
                <w:color w:val="auto"/>
              </w:rPr>
              <w:t>Excess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60"/>
              <w:spacing w:after="0" w:line="172" w:lineRule="exact"/>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line="172"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9"/>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tcPr>
          <w:p>
            <w:pPr>
              <w:spacing w:after="0"/>
              <w:rPr>
                <w:sz w:val="17"/>
                <w:szCs w:val="17"/>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Total</w:t>
            </w:r>
          </w:p>
        </w:tc>
      </w:tr>
      <w:tr>
        <w:trPr>
          <w:trHeight w:val="166"/>
        </w:trPr>
        <w:tc>
          <w:tcPr>
            <w:tcW w:w="640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Balance at December 31, 2020</w:t>
            </w:r>
          </w:p>
        </w:tc>
        <w:tc>
          <w:tcPr>
            <w:tcW w:w="1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124,285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3,379,057</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1,261,862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(81,327)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4,683,877</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183,689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183,689</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Dividends declared and paid ($0.2507 per share)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(61,520)</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(61,520)</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(98,904 shares)</w:t>
            </w:r>
          </w:p>
        </w:tc>
        <w:tc>
          <w:tcPr>
            <w:tcW w:w="10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4,112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4,161</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Repurchase of stock (76,105 shares)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(3,262)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(3,262)</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Equity compensation plan (192,407 shares)</w:t>
            </w:r>
          </w:p>
        </w:tc>
        <w:tc>
          <w:tcPr>
            <w:tcW w:w="10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(97)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Exercise of stock options (20,201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704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714</w:t>
            </w:r>
          </w:p>
        </w:tc>
      </w:tr>
      <w:tr>
        <w:trPr>
          <w:trHeight w:val="172"/>
        </w:trPr>
        <w:tc>
          <w:tcPr>
            <w:tcW w:w="6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2,631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2,457</w:t>
            </w: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(31)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225</w:t>
            </w:r>
          </w:p>
        </w:tc>
      </w:tr>
      <w:tr>
        <w:trPr>
          <w:trHeight w:val="166"/>
        </w:trPr>
        <w:tc>
          <w:tcPr>
            <w:tcW w:w="64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Balance at March 31, 2021</w:t>
            </w: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124,441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3,386,376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1,383,857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(84,333)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4,810,341</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CONSOLIDATED STATEMENTS OF CASH FLOW</w:t>
      </w:r>
    </w:p>
    <w:p>
      <w:pPr>
        <w:ind w:left="4560"/>
        <w:spacing w:after="0" w:line="184" w:lineRule="auto"/>
        <w:rPr>
          <w:sz w:val="20"/>
          <w:szCs w:val="20"/>
          <w:color w:val="auto"/>
        </w:rPr>
      </w:pPr>
      <w:r>
        <w:rPr>
          <w:rFonts w:ascii="Times New Roman" w:cs="Times New Roman" w:eastAsia="Times New Roman" w:hAnsi="Times New Roman"/>
          <w:sz w:val="18"/>
          <w:szCs w:val="18"/>
          <w:color w:val="auto"/>
        </w:rPr>
        <w:t>(In thousands of dollars)</w:t>
      </w:r>
    </w:p>
    <w:p>
      <w:pPr>
        <w:ind w:left="4920"/>
        <w:spacing w:after="0"/>
        <w:rPr>
          <w:sz w:val="20"/>
          <w:szCs w:val="20"/>
          <w:color w:val="auto"/>
        </w:rPr>
      </w:pPr>
      <w:r>
        <w:rPr>
          <w:rFonts w:ascii="Times New Roman" w:cs="Times New Roman" w:eastAsia="Times New Roman" w:hAnsi="Times New Roman"/>
          <w:sz w:val="21"/>
          <w:szCs w:val="2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right"/>
              <w:ind w:right="601"/>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199"/>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6"/>
                <w:szCs w:val="16"/>
                <w:color w:val="auto"/>
              </w:rPr>
              <w:t>March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line="165" w:lineRule="exact"/>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line="165" w:lineRule="exact"/>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66"/>
        </w:trPr>
        <w:tc>
          <w:tcPr>
            <w:tcW w:w="8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gridSpan w:val="2"/>
            <w:shd w:val="clear" w:color="auto" w:fill="CCEEFF"/>
          </w:tcPr>
          <w:p>
            <w:pPr>
              <w:jc w:val="right"/>
              <w:ind w:right="121"/>
              <w:spacing w:after="0" w:line="17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199,376</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1"/>
              <w:spacing w:after="0" w:line="172"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183,689</w:t>
            </w:r>
          </w:p>
        </w:tc>
        <w:tc>
          <w:tcPr>
            <w:tcW w:w="0" w:type="dxa"/>
            <w:vAlign w:val="bottom"/>
          </w:tcPr>
          <w:p>
            <w:pPr>
              <w:spacing w:after="0"/>
              <w:rPr>
                <w:sz w:val="1"/>
                <w:szCs w:val="1"/>
                <w:color w:val="auto"/>
              </w:rPr>
            </w:pPr>
          </w:p>
        </w:tc>
      </w:tr>
      <w:tr>
        <w:trPr>
          <w:trHeight w:val="172"/>
        </w:trPr>
        <w:tc>
          <w:tcPr>
            <w:tcW w:w="82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78,346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72,944</w:t>
            </w:r>
          </w:p>
        </w:tc>
        <w:tc>
          <w:tcPr>
            <w:tcW w:w="0" w:type="dxa"/>
            <w:vAlign w:val="bottom"/>
          </w:tcPr>
          <w:p>
            <w:pPr>
              <w:spacing w:after="0"/>
              <w:rPr>
                <w:sz w:val="1"/>
                <w:szCs w:val="1"/>
                <w:color w:val="auto"/>
              </w:rPr>
            </w:pPr>
          </w:p>
        </w:tc>
      </w:tr>
      <w:tr>
        <w:trPr>
          <w:trHeight w:val="172"/>
        </w:trPr>
        <w:tc>
          <w:tcPr>
            <w:tcW w:w="8220" w:type="dxa"/>
            <w:vAlign w:val="bottom"/>
          </w:tcPr>
          <w:p>
            <w:pPr>
              <w:ind w:left="220"/>
              <w:spacing w:after="0" w:line="172" w:lineRule="exact"/>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(19,774)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19,335</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5,991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8,921</w:t>
            </w:r>
          </w:p>
        </w:tc>
        <w:tc>
          <w:tcPr>
            <w:tcW w:w="0" w:type="dxa"/>
            <w:vAlign w:val="bottom"/>
          </w:tcPr>
          <w:p>
            <w:pPr>
              <w:spacing w:after="0"/>
              <w:rPr>
                <w:sz w:val="1"/>
                <w:szCs w:val="1"/>
                <w:color w:val="auto"/>
              </w:rPr>
            </w:pPr>
          </w:p>
        </w:tc>
      </w:tr>
      <w:tr>
        <w:trPr>
          <w:trHeight w:val="172"/>
        </w:trPr>
        <w:tc>
          <w:tcPr>
            <w:tcW w:w="8220" w:type="dxa"/>
            <w:vAlign w:val="bottom"/>
          </w:tcPr>
          <w:p>
            <w:pPr>
              <w:ind w:left="220"/>
              <w:spacing w:after="0" w:line="172" w:lineRule="exact"/>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2,732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2,724</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6"/>
                <w:szCs w:val="16"/>
                <w:color w:val="auto"/>
              </w:rPr>
              <w:t>Gain on sale of utility systems and other assets</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72"/>
        </w:trPr>
        <w:tc>
          <w:tcPr>
            <w:tcW w:w="8220" w:type="dxa"/>
            <w:vAlign w:val="bottom"/>
          </w:tcPr>
          <w:p>
            <w:pPr>
              <w:ind w:left="220"/>
              <w:spacing w:after="0" w:line="172" w:lineRule="exact"/>
              <w:rPr>
                <w:sz w:val="20"/>
                <w:szCs w:val="20"/>
                <w:color w:val="auto"/>
              </w:rPr>
            </w:pPr>
            <w:r>
              <w:rPr>
                <w:rFonts w:ascii="Times New Roman" w:cs="Times New Roman" w:eastAsia="Times New Roman" w:hAnsi="Times New Roman"/>
                <w:sz w:val="16"/>
                <w:szCs w:val="16"/>
                <w:color w:val="auto"/>
              </w:rPr>
              <w:t>Net change in receivables, inventory and prepayments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49,050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30,261</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(5,354)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(53,756)</w:t>
            </w:r>
          </w:p>
        </w:tc>
        <w:tc>
          <w:tcPr>
            <w:tcW w:w="0" w:type="dxa"/>
            <w:vAlign w:val="bottom"/>
          </w:tcPr>
          <w:p>
            <w:pPr>
              <w:spacing w:after="0"/>
              <w:rPr>
                <w:sz w:val="1"/>
                <w:szCs w:val="1"/>
                <w:color w:val="auto"/>
              </w:rPr>
            </w:pPr>
          </w:p>
        </w:tc>
      </w:tr>
      <w:tr>
        <w:trPr>
          <w:trHeight w:val="172"/>
        </w:trPr>
        <w:tc>
          <w:tcPr>
            <w:tcW w:w="8220" w:type="dxa"/>
            <w:vAlign w:val="bottom"/>
          </w:tcPr>
          <w:p>
            <w:pPr>
              <w:ind w:left="220"/>
              <w:spacing w:after="0" w:line="172"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(6,363)</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(2,183)</w:t>
            </w:r>
          </w:p>
        </w:tc>
        <w:tc>
          <w:tcPr>
            <w:tcW w:w="0" w:type="dxa"/>
            <w:vAlign w:val="bottom"/>
          </w:tcPr>
          <w:p>
            <w:pPr>
              <w:spacing w:after="0"/>
              <w:rPr>
                <w:sz w:val="1"/>
                <w:szCs w:val="1"/>
                <w:color w:val="auto"/>
              </w:rPr>
            </w:pPr>
          </w:p>
        </w:tc>
      </w:tr>
      <w:tr>
        <w:trPr>
          <w:trHeight w:val="165"/>
        </w:trPr>
        <w:tc>
          <w:tcPr>
            <w:tcW w:w="822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310,604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255,481</w:t>
            </w:r>
          </w:p>
        </w:tc>
        <w:tc>
          <w:tcPr>
            <w:tcW w:w="0" w:type="dxa"/>
            <w:vAlign w:val="bottom"/>
          </w:tcPr>
          <w:p>
            <w:pPr>
              <w:spacing w:after="0"/>
              <w:rPr>
                <w:sz w:val="1"/>
                <w:szCs w:val="1"/>
                <w:color w:val="auto"/>
              </w:rPr>
            </w:pPr>
          </w:p>
        </w:tc>
      </w:tr>
      <w:tr>
        <w:trPr>
          <w:trHeight w:val="166"/>
        </w:trPr>
        <w:tc>
          <w:tcPr>
            <w:tcW w:w="82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220" w:type="dxa"/>
            <w:vAlign w:val="bottom"/>
          </w:tcPr>
          <w:p>
            <w:pPr>
              <w:ind w:left="100"/>
              <w:spacing w:after="0" w:line="145"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$1,449 and $170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(183,322)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(178,009)</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(50,009)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2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proceeds from the sale of other assets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65"/>
        </w:trPr>
        <w:tc>
          <w:tcPr>
            <w:tcW w:w="822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(233,232)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(177,712)</w:t>
            </w:r>
          </w:p>
        </w:tc>
        <w:tc>
          <w:tcPr>
            <w:tcW w:w="0" w:type="dxa"/>
            <w:vAlign w:val="bottom"/>
          </w:tcPr>
          <w:p>
            <w:pPr>
              <w:spacing w:after="0"/>
              <w:rPr>
                <w:sz w:val="1"/>
                <w:szCs w:val="1"/>
                <w:color w:val="auto"/>
              </w:rPr>
            </w:pPr>
          </w:p>
        </w:tc>
      </w:tr>
      <w:tr>
        <w:trPr>
          <w:trHeight w:val="166"/>
        </w:trPr>
        <w:tc>
          <w:tcPr>
            <w:tcW w:w="82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2,962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4,716</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172"/>
        </w:trPr>
        <w:tc>
          <w:tcPr>
            <w:tcW w:w="82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proceeds (repayments) of short-term debt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14,744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(3,305)</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Proceeds from long-term debt</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85,000</w:t>
            </w:r>
          </w:p>
        </w:tc>
        <w:tc>
          <w:tcPr>
            <w:tcW w:w="0" w:type="dxa"/>
            <w:vAlign w:val="bottom"/>
          </w:tcPr>
          <w:p>
            <w:pPr>
              <w:spacing w:after="0"/>
              <w:rPr>
                <w:sz w:val="1"/>
                <w:szCs w:val="1"/>
                <w:color w:val="auto"/>
              </w:rPr>
            </w:pPr>
          </w:p>
        </w:tc>
      </w:tr>
      <w:tr>
        <w:trPr>
          <w:trHeight w:val="172"/>
        </w:trPr>
        <w:tc>
          <w:tcPr>
            <w:tcW w:w="82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(67,023)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(46,305)</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(81,722)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(44,003)</w:t>
            </w:r>
          </w:p>
        </w:tc>
        <w:tc>
          <w:tcPr>
            <w:tcW w:w="0" w:type="dxa"/>
            <w:vAlign w:val="bottom"/>
          </w:tcPr>
          <w:p>
            <w:pPr>
              <w:spacing w:after="0"/>
              <w:rPr>
                <w:sz w:val="1"/>
                <w:szCs w:val="1"/>
                <w:color w:val="auto"/>
              </w:rPr>
            </w:pPr>
          </w:p>
        </w:tc>
      </w:tr>
      <w:tr>
        <w:trPr>
          <w:trHeight w:val="172"/>
        </w:trPr>
        <w:tc>
          <w:tcPr>
            <w:tcW w:w="82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4,117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4,161</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172"/>
        </w:trPr>
        <w:tc>
          <w:tcPr>
            <w:tcW w:w="82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(1,012)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(3,262)</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(67,821)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(61,520)</w:t>
            </w:r>
          </w:p>
        </w:tc>
        <w:tc>
          <w:tcPr>
            <w:tcW w:w="0" w:type="dxa"/>
            <w:vAlign w:val="bottom"/>
          </w:tcPr>
          <w:p>
            <w:pPr>
              <w:spacing w:after="0"/>
              <w:rPr>
                <w:sz w:val="1"/>
                <w:szCs w:val="1"/>
                <w:color w:val="auto"/>
              </w:rPr>
            </w:pPr>
          </w:p>
        </w:tc>
      </w:tr>
      <w:tr>
        <w:trPr>
          <w:trHeight w:val="172"/>
        </w:trPr>
        <w:tc>
          <w:tcPr>
            <w:tcW w:w="8220" w:type="dxa"/>
            <w:vAlign w:val="bottom"/>
            <w:tcBorders>
              <w:bottom w:val="single" w:sz="8" w:color="CCEEFF"/>
            </w:tcBorders>
          </w:tcPr>
          <w:p>
            <w:pPr>
              <w:ind w:left="100"/>
              <w:spacing w:after="0" w:line="172"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3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(29,641)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(64,550)</w:t>
            </w:r>
          </w:p>
        </w:tc>
        <w:tc>
          <w:tcPr>
            <w:tcW w:w="0" w:type="dxa"/>
            <w:vAlign w:val="bottom"/>
          </w:tcPr>
          <w:p>
            <w:pPr>
              <w:spacing w:after="0"/>
              <w:rPr>
                <w:sz w:val="1"/>
                <w:szCs w:val="1"/>
                <w:color w:val="auto"/>
              </w:rPr>
            </w:pPr>
          </w:p>
        </w:tc>
      </w:tr>
      <w:tr>
        <w:trPr>
          <w:trHeight w:val="165"/>
        </w:trPr>
        <w:tc>
          <w:tcPr>
            <w:tcW w:w="82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47,731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13,219</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10,567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166"/>
        </w:trPr>
        <w:tc>
          <w:tcPr>
            <w:tcW w:w="82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Pr>
          <w:p>
            <w:pPr>
              <w:spacing w:after="0"/>
              <w:rPr>
                <w:sz w:val="14"/>
                <w:szCs w:val="14"/>
                <w:color w:val="auto"/>
              </w:rPr>
            </w:pPr>
          </w:p>
        </w:tc>
        <w:tc>
          <w:tcPr>
            <w:tcW w:w="280" w:type="dxa"/>
            <w:vAlign w:val="bottom"/>
            <w:tcBorders>
              <w:bottom w:val="single" w:sz="8" w:color="auto"/>
            </w:tcBorders>
          </w:tcPr>
          <w:p>
            <w:pPr>
              <w:jc w:val="right"/>
              <w:ind w:right="1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58,298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18,046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620" w:type="dxa"/>
            <w:vAlign w:val="bottom"/>
            <w:gridSpan w:val="2"/>
            <w:shd w:val="clear" w:color="auto" w:fill="CCEEFF"/>
          </w:tcPr>
          <w:p>
            <w:pPr>
              <w:jc w:val="right"/>
              <w:ind w:right="121"/>
              <w:spacing w:after="0" w:line="17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74,451</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1"/>
              <w:spacing w:after="0" w:line="172"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73,014</w:t>
            </w:r>
          </w:p>
        </w:tc>
        <w:tc>
          <w:tcPr>
            <w:tcW w:w="0" w:type="dxa"/>
            <w:vAlign w:val="bottom"/>
          </w:tcPr>
          <w:p>
            <w:pPr>
              <w:spacing w:after="0"/>
              <w:rPr>
                <w:sz w:val="1"/>
                <w:szCs w:val="1"/>
                <w:color w:val="auto"/>
              </w:rPr>
            </w:pPr>
          </w:p>
        </w:tc>
      </w:tr>
      <w:tr>
        <w:trPr>
          <w:trHeight w:val="208"/>
        </w:trPr>
        <w:tc>
          <w:tcPr>
            <w:tcW w:w="8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customer advances and contributions in aid of construction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8,997</w:t>
            </w:r>
          </w:p>
        </w:tc>
        <w:tc>
          <w:tcPr>
            <w:tcW w:w="0" w:type="dxa"/>
            <w:vAlign w:val="bottom"/>
          </w:tcPr>
          <w:p>
            <w:pPr>
              <w:spacing w:after="0"/>
              <w:rPr>
                <w:sz w:val="1"/>
                <w:szCs w:val="1"/>
                <w:color w:val="auto"/>
              </w:rPr>
            </w:pPr>
          </w:p>
        </w:tc>
      </w:tr>
      <w:tr>
        <w:trPr>
          <w:trHeight w:val="317"/>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jc w:val="center"/>
        <w:ind w:right="-39"/>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w:t>
      </w:r>
    </w:p>
    <w:p>
      <w:pPr>
        <w:jc w:val="center"/>
        <w:ind w:right="-39"/>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(UNAUDITED)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 – </w:t>
      </w:r>
      <w:r>
        <w:rPr>
          <w:rFonts w:ascii="Times New Roman" w:cs="Times New Roman" w:eastAsia="Times New Roman" w:hAnsi="Times New Roman"/>
          <w:sz w:val="21"/>
          <w:szCs w:val="21"/>
          <w:b w:val="1"/>
          <w:bCs w:val="1"/>
          <w:i w:val="1"/>
          <w:iCs w:val="1"/>
          <w:color w:val="auto"/>
        </w:rPr>
        <w:t>Basis of Presentation</w:t>
      </w:r>
    </w:p>
    <w:p>
      <w:pPr>
        <w:spacing w:after="0" w:line="20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color w:val="auto"/>
        </w:rPr>
        <w:t>The accompanying unaudited consolidated balance sheets and statements of capitalization of Essential Utilities, Inc. and subsidiaries (collectively, the “Company”, “we”, “us” or “our”) at March 31, 2022, and the unaudited consolidated statements of operations and comprehensive income, of cash flows, and of equity for the three months ended March 31, 2022 and 2021,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2021. Interim results are not necessarily indicative of results for a full year. In the opinion of management, all adjustments, consisting of only recurring accruals, which are necessary to present a fair statement of its consolidated balance sheets, consolidated statements of equity, consolidated statements of operations and comprehensive income, and consolidated cash flow for the periods presented, have been made.</w:t>
      </w:r>
    </w:p>
    <w:p>
      <w:pPr>
        <w:spacing w:after="0" w:line="19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7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1"/>
          <w:szCs w:val="21"/>
          <w:color w:val="auto"/>
        </w:rPr>
        <w:t>In the preparation of these financial statements and related disclosures, we have assessed the impact that the COVID-19 pandemic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pandemic is continuing to evolve, future events and effects related to the COVID-19 pandemic cannot be determined with precision, and actual results could significantly differ from our estimates or forecasts.</w:t>
      </w:r>
    </w:p>
    <w:p>
      <w:pPr>
        <w:spacing w:after="0" w:line="179"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21"/>
          <w:szCs w:val="21"/>
          <w:color w:val="auto"/>
        </w:rPr>
        <w:t>There have been no changes to the summary of significant accounting policies previously identified in the Company’s Annual Report on Form 10-K for the year ended December 31, 2021.</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2 – </w:t>
      </w:r>
      <w:r>
        <w:rPr>
          <w:rFonts w:ascii="Times New Roman" w:cs="Times New Roman" w:eastAsia="Times New Roman" w:hAnsi="Times New Roman"/>
          <w:sz w:val="21"/>
          <w:szCs w:val="21"/>
          <w:b w:val="1"/>
          <w:bCs w:val="1"/>
          <w:i w:val="1"/>
          <w:iCs w:val="1"/>
          <w:color w:val="auto"/>
        </w:rPr>
        <w:t>Revenue Recognition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presents our revenues disaggregated by major source and customer class: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color w:val="auto"/>
              </w:rPr>
              <w:t>March 31, 2022</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March 31, 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00"/>
              <w:spacing w:after="0" w:line="130" w:lineRule="exact"/>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0" w:lineRule="exact"/>
              <w:rPr>
                <w:sz w:val="20"/>
                <w:szCs w:val="20"/>
                <w:color w:val="auto"/>
              </w:rPr>
            </w:pPr>
            <w:r>
              <w:rPr>
                <w:rFonts w:ascii="Times New Roman" w:cs="Times New Roman" w:eastAsia="Times New Roman" w:hAnsi="Times New Roman"/>
                <w:sz w:val="14"/>
                <w:szCs w:val="14"/>
                <w:color w:val="auto"/>
                <w:w w:val="99"/>
              </w:rPr>
              <w:t>Wastewater</w:t>
            </w:r>
          </w:p>
        </w:tc>
        <w:tc>
          <w:tcPr>
            <w:tcW w:w="100" w:type="dxa"/>
            <w:vAlign w:val="bottom"/>
          </w:tcPr>
          <w:p>
            <w:pPr>
              <w:spacing w:after="0"/>
              <w:rPr>
                <w:sz w:val="11"/>
                <w:szCs w:val="11"/>
                <w:color w:val="auto"/>
              </w:rPr>
            </w:pPr>
          </w:p>
        </w:tc>
        <w:tc>
          <w:tcPr>
            <w:tcW w:w="9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1"/>
                <w:szCs w:val="11"/>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tcPr>
          <w:p>
            <w:pPr>
              <w:spacing w:after="0"/>
              <w:rPr>
                <w:sz w:val="11"/>
                <w:szCs w:val="11"/>
                <w:color w:val="auto"/>
              </w:rPr>
            </w:pPr>
          </w:p>
        </w:tc>
        <w:tc>
          <w:tcPr>
            <w:tcW w:w="960" w:type="dxa"/>
            <w:vAlign w:val="bottom"/>
            <w:gridSpan w:val="2"/>
          </w:tcPr>
          <w:p>
            <w:pPr>
              <w:jc w:val="right"/>
              <w:ind w:right="480"/>
              <w:spacing w:after="0" w:line="130"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color w:val="auto"/>
                <w:w w:val="99"/>
              </w:rPr>
              <w:t>Wastewater</w:t>
            </w:r>
          </w:p>
        </w:tc>
        <w:tc>
          <w:tcPr>
            <w:tcW w:w="80" w:type="dxa"/>
            <w:vAlign w:val="bottom"/>
          </w:tcPr>
          <w:p>
            <w:pPr>
              <w:spacing w:after="0"/>
              <w:rPr>
                <w:sz w:val="11"/>
                <w:szCs w:val="11"/>
                <w:color w:val="auto"/>
              </w:rPr>
            </w:pPr>
          </w:p>
        </w:tc>
        <w:tc>
          <w:tcPr>
            <w:tcW w:w="1000" w:type="dxa"/>
            <w:vAlign w:val="bottom"/>
            <w:gridSpan w:val="2"/>
          </w:tcPr>
          <w:p>
            <w:pPr>
              <w:jc w:val="right"/>
              <w:ind w:right="300"/>
              <w:spacing w:after="0" w:line="130" w:lineRule="exact"/>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89"/>
              <w:spacing w:after="0" w:line="130"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Revenues</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Revenues</w:t>
            </w: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Revenues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152"/>
        </w:trPr>
        <w:tc>
          <w:tcPr>
            <w:tcW w:w="2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gridSpan w:val="2"/>
            <w:shd w:val="clear" w:color="auto" w:fill="CCEEFF"/>
          </w:tcPr>
          <w:p>
            <w:pPr>
              <w:jc w:val="right"/>
              <w:ind w:right="5"/>
              <w:spacing w:after="0" w:line="15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131,288</w:t>
            </w:r>
          </w:p>
        </w:tc>
        <w:tc>
          <w:tcPr>
            <w:tcW w:w="20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26,495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285,106</w:t>
            </w:r>
          </w:p>
        </w:tc>
        <w:tc>
          <w:tcPr>
            <w:tcW w:w="400" w:type="dxa"/>
            <w:vAlign w:val="bottom"/>
            <w:gridSpan w:val="2"/>
            <w:shd w:val="clear" w:color="auto" w:fill="CCEEFF"/>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132,856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24,361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214,194</w:t>
            </w:r>
          </w:p>
        </w:tc>
        <w:tc>
          <w:tcPr>
            <w:tcW w:w="1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35,120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6,065</w:t>
            </w:r>
          </w:p>
        </w:tc>
        <w:tc>
          <w:tcPr>
            <w:tcW w:w="10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57,040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33,188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4,995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41,021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Fire protection</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9,193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9,045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Industrial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7,181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1,842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6,989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957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Gas transportation &amp; storage</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79,174</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77,803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Other water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17,351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10,443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Other wastewater</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2,498</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1,750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Other utility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23,226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2,915</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9,179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3,826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6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200,133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35,402</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446,388</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2,915</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192,521</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31,551</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343,154</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3,826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Alternative revenue program</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(176)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Other and eliminations</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14,025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11,847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Consolidated</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200,748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35,375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446,212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9"/>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16,940</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192,930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31,597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343,365</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15,673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Revenues from Contracts with Customers – </w:t>
      </w:r>
      <w:r>
        <w:rPr>
          <w:rFonts w:ascii="Times New Roman" w:cs="Times New Roman" w:eastAsia="Times New Roman" w:hAnsi="Times New Roman"/>
          <w:sz w:val="21"/>
          <w:szCs w:val="21"/>
          <w:color w:val="auto"/>
        </w:rPr>
        <w:t>These revenues are composed of four main categories: water, wastewater, natural gas,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other. Water revenues represent revenues earned 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7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1"/>
          <w:szCs w:val="21"/>
          <w:b w:val="1"/>
          <w:bCs w:val="1"/>
          <w:i w:val="1"/>
          <w:iCs w:val="1"/>
          <w:color w:val="auto"/>
        </w:rPr>
        <w:t xml:space="preserve">Tariff Revenues – </w:t>
      </w:r>
      <w:r>
        <w:rPr>
          <w:rFonts w:ascii="Times New Roman" w:cs="Times New Roman" w:eastAsia="Times New Roman" w:hAnsi="Times New Roman"/>
          <w:sz w:val="21"/>
          <w:szCs w:val="21"/>
          <w:color w:val="auto"/>
        </w:rPr>
        <w:t>These revenues are categorized by customer class: residential, commercial, fire protection, industrial, gas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ind w:right="-19"/>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Utility Revenues – </w:t>
      </w:r>
      <w:r>
        <w:rPr>
          <w:rFonts w:ascii="Times New Roman" w:cs="Times New Roman" w:eastAsia="Times New Roman" w:hAnsi="Times New Roman"/>
          <w:sz w:val="21"/>
          <w:szCs w:val="21"/>
          <w:color w:val="auto"/>
        </w:rPr>
        <w:t>Other utility revenues represent revenues earned primarily from: antenna revenues, which represents fees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received from telecommunication operators that have put cellular antennas on our water towers; billing contracts, which represent fees earned from municipalities for performing billing services;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Alternative Revenue Program:</w:t>
      </w:r>
    </w:p>
    <w:p>
      <w:pPr>
        <w:spacing w:after="0" w:line="213" w:lineRule="exact"/>
        <w:rPr>
          <w:sz w:val="20"/>
          <w:szCs w:val="20"/>
          <w:color w:val="auto"/>
        </w:rPr>
      </w:pPr>
    </w:p>
    <w:p>
      <w:pPr>
        <w:ind w:left="640" w:right="20"/>
        <w:spacing w:after="0" w:line="232" w:lineRule="auto"/>
        <w:rPr>
          <w:sz w:val="20"/>
          <w:szCs w:val="20"/>
          <w:color w:val="auto"/>
        </w:rPr>
      </w:pPr>
      <w:r>
        <w:rPr>
          <w:rFonts w:ascii="Times New Roman" w:cs="Times New Roman" w:eastAsia="Times New Roman" w:hAnsi="Times New Roman"/>
          <w:sz w:val="21"/>
          <w:szCs w:val="21"/>
          <w:color w:val="auto"/>
        </w:rPr>
        <w:t>Water / Wastewater Revenues: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amounts billed, which results in either a payment from customers or a refund due to customers. The cumulative annual difference is either refunded to customers or collected from customers over a nine-month period.</w:t>
      </w:r>
    </w:p>
    <w:p>
      <w:pPr>
        <w:spacing w:after="0" w:line="1" w:lineRule="exact"/>
        <w:rPr>
          <w:sz w:val="20"/>
          <w:szCs w:val="20"/>
          <w:color w:val="auto"/>
        </w:rPr>
      </w:pPr>
    </w:p>
    <w:p>
      <w:pPr>
        <w:ind w:left="640" w:right="200"/>
        <w:spacing w:after="0" w:line="230" w:lineRule="auto"/>
        <w:rPr>
          <w:sz w:val="20"/>
          <w:szCs w:val="20"/>
          <w:color w:val="auto"/>
        </w:rPr>
      </w:pPr>
      <w:r>
        <w:rPr>
          <w:rFonts w:ascii="Times New Roman" w:cs="Times New Roman" w:eastAsia="Times New Roman" w:hAnsi="Times New Roman"/>
          <w:sz w:val="21"/>
          <w:szCs w:val="21"/>
          <w:color w:val="auto"/>
        </w:rPr>
        <w:t>Natural Gas Revenues: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91" w:lineRule="exact"/>
        <w:rPr>
          <w:sz w:val="20"/>
          <w:szCs w:val="20"/>
          <w:color w:val="auto"/>
        </w:rPr>
      </w:pPr>
    </w:p>
    <w:p>
      <w:pPr>
        <w:jc w:val="both"/>
        <w:ind w:right="240"/>
        <w:spacing w:after="0" w:line="241" w:lineRule="auto"/>
        <w:rPr>
          <w:sz w:val="20"/>
          <w:szCs w:val="20"/>
          <w:color w:val="auto"/>
        </w:rPr>
      </w:pPr>
      <w:r>
        <w:rPr>
          <w:rFonts w:ascii="Times New Roman" w:cs="Times New Roman" w:eastAsia="Times New Roman" w:hAnsi="Times New Roman"/>
          <w:sz w:val="21"/>
          <w:szCs w:val="21"/>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183"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and Eliminations – </w:t>
      </w:r>
      <w:r>
        <w:rPr>
          <w:rFonts w:ascii="Times New Roman" w:cs="Times New Roman" w:eastAsia="Times New Roman" w:hAnsi="Times New Roman"/>
          <w:sz w:val="21"/>
          <w:szCs w:val="21"/>
          <w:color w:val="auto"/>
        </w:rPr>
        <w:t>Other and eliminations consist of our non-regulated market-based revenues and intercompany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eliminations for revenue billed between our subsidiaries. Our non-regulated operations consist of utility service line protection solutions and repair services to households and gas marketing and production activities. Revenues are primarily recognized over time as service is delivered.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204470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ind w:right="-19"/>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3 – </w:t>
      </w:r>
      <w:r>
        <w:rPr>
          <w:rFonts w:ascii="Times New Roman" w:cs="Times New Roman" w:eastAsia="Times New Roman" w:hAnsi="Times New Roman"/>
          <w:sz w:val="21"/>
          <w:szCs w:val="21"/>
          <w:b w:val="1"/>
          <w:bCs w:val="1"/>
          <w:i w:val="1"/>
          <w:iCs w:val="1"/>
          <w:color w:val="auto"/>
        </w:rPr>
        <w:t>Acquisitions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Water and Wastewater Utility Acquisitions - Completed</w:t>
      </w:r>
    </w:p>
    <w:p>
      <w:pPr>
        <w:spacing w:after="0" w:line="226" w:lineRule="exact"/>
        <w:rPr>
          <w:sz w:val="20"/>
          <w:szCs w:val="20"/>
          <w:color w:val="auto"/>
        </w:rPr>
      </w:pPr>
    </w:p>
    <w:p>
      <w:pPr>
        <w:jc w:val="both"/>
        <w:ind w:right="200"/>
        <w:spacing w:after="0" w:line="241" w:lineRule="auto"/>
        <w:rPr>
          <w:sz w:val="20"/>
          <w:szCs w:val="20"/>
          <w:color w:val="auto"/>
        </w:rPr>
      </w:pPr>
      <w:r>
        <w:rPr>
          <w:rFonts w:ascii="Times New Roman" w:cs="Times New Roman" w:eastAsia="Times New Roman" w:hAnsi="Times New Roman"/>
          <w:sz w:val="21"/>
          <w:szCs w:val="21"/>
          <w:color w:val="auto"/>
        </w:rPr>
        <w:t>In March 2022, the Company acquired the wastewater system of Lower Makefield Township, which serves approximately 11,000 customer connections in Lower Makefield, Falls and Middletown townships, and Yardley Borough, Bucks County, Pennsylvania, for a cash purchase price of $53,000.</w:t>
      </w:r>
    </w:p>
    <w:p>
      <w:pPr>
        <w:spacing w:after="0" w:line="18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1"/>
          <w:szCs w:val="21"/>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purchase price allocation for these acquisitions consisted primarily of acquired property, plant and equipment.</w:t>
      </w:r>
    </w:p>
    <w:p>
      <w:pPr>
        <w:spacing w:after="0" w:line="222"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1"/>
          <w:szCs w:val="21"/>
          <w:color w:val="auto"/>
        </w:rPr>
        <w:t>The pro forma effect of the utility systems acquired is not material either individually or collectively to the Company’s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Water and Wastewater Utility Acquisitions – Pending Completion</w:t>
      </w:r>
    </w:p>
    <w:p>
      <w:pPr>
        <w:spacing w:after="0" w:line="226"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1"/>
          <w:szCs w:val="21"/>
          <w:color w:val="auto"/>
        </w:rPr>
        <w:t>In December 2021, the Company entered into a purchase agreement to acquire the water utility assets of the Southern Oaks Water System, which serves approximately 740 customers for $3,300. In October 2021, the Company entered into a purchase agreement to acquire the wastewater utility assets of the City of Beaver Falls, Pennsylvania which consists of approximately 7,600 customers for $41,250. In July 2021, the Company entered into a purchase agreement to acquire the water utility assets of Shenandoah Borough, Pennsylvania which consists of approximately 2,930 customers for $12,000. In April 2021, the Company entered into a purchase agreement to acquire certain water or wastewater utility assets of Oak Brook, Illinois which consists of approximately 4,000 customers for $12,500. In January 2021, the Company entered into purchase agreements to acquire, in separate transactions, the wastewater utility system assets of East Whiteland Township, Pennsylvania and Willistown Township, Pennsylvania which consist of approximately 10,500 customers for $72,400.</w:t>
      </w:r>
    </w:p>
    <w:p>
      <w:pPr>
        <w:spacing w:after="0" w:line="19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 closings of our acquisitions of East Whiteland Township, Willistown Township, and Oak Brook are expected to occur in the second half of 2022. The closings of our Shenandoah Borough, Beaver Falls, and Southern Oaks acquisitions are expected to occur in the first quarter of 2023. Closing for our utility acquisitions are subject to the timing of the respective regulatory approval processes.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DELCORA Purchase Agreement</w:t>
      </w:r>
    </w:p>
    <w:p>
      <w:pPr>
        <w:spacing w:after="0" w:line="211"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1"/>
          <w:szCs w:val="21"/>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the establishment of the customer trust was valid. Delaware County appealed this decision to Commonwealth Court of Pennsylvania. On March 3, 2022, the Commonwealth Court issued a decision finding that Delaware County can dissolve the Authority if it so chooses, but the purchase agreement must be upheld regardless of who is operating the system. The case was remanded back to the trial court for the entry of an order consistent with the Commonwealth Court’s opinion.</w:t>
      </w:r>
    </w:p>
    <w:p>
      <w:pPr>
        <w:spacing w:after="0" w:line="18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The administrative law judges in the regulatory approval process recommended that the Company’s application be denied, and subsequently, the Company provided exceptions to the recommended decision. On March 30, 2021, the Pennsylvania Public Utility Commission (“PUC”) ruled that the case be remanded back to the Office of Administrative Law Judge and vacated the original administrative law judges’ recommended decision (“2021 Order”). This 2021 Order was also appealed to the Commonwealth Court by Delaware County, and a decision is expected in the next several months.</w:t>
      </w:r>
    </w:p>
    <w:p>
      <w:pPr>
        <w:spacing w:after="0" w:line="177" w:lineRule="exact"/>
        <w:rPr>
          <w:sz w:val="20"/>
          <w:szCs w:val="20"/>
          <w:color w:val="auto"/>
        </w:rPr>
      </w:pPr>
    </w:p>
    <w:p>
      <w:pPr>
        <w:jc w:val="both"/>
        <w:ind w:right="140"/>
        <w:spacing w:after="0" w:line="236" w:lineRule="auto"/>
        <w:rPr>
          <w:sz w:val="20"/>
          <w:szCs w:val="20"/>
          <w:color w:val="auto"/>
        </w:rPr>
      </w:pPr>
      <w:r>
        <w:rPr>
          <w:rFonts w:ascii="Times New Roman" w:cs="Times New Roman" w:eastAsia="Times New Roman" w:hAnsi="Times New Roman"/>
          <w:sz w:val="21"/>
          <w:szCs w:val="21"/>
          <w:color w:val="auto"/>
        </w:rPr>
        <w:t>After the PUC issued the 2021 Order, on April 16, 2021, the administrative law judge issued an order staying the proceeding until the Delaware County Court lawsuit is final and unappealable. On March 25, 2022, the Company sent a letter notifying the PUC of the March 3, 2022 Commonwealth Court decision and requested that the PUC move forward with processing the application.</w:t>
      </w:r>
    </w:p>
    <w:p>
      <w:pPr>
        <w:spacing w:after="0" w:line="1"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21"/>
          <w:szCs w:val="21"/>
          <w:color w:val="auto"/>
        </w:rPr>
        <w:t>Several parties responded to the Company’s letter and referenced the issues in the second appeal before Commonwealth Court regarding the 2021 Order.</w:t>
      </w:r>
    </w:p>
    <w:p>
      <w:pPr>
        <w:spacing w:after="0" w:line="18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expected to occur in late 2022 or early 2023, subject to the timing of the regulatory approval process and Delaware County’s on-going litigation.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204470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4 – </w:t>
      </w:r>
      <w:r>
        <w:rPr>
          <w:rFonts w:ascii="Times New Roman" w:cs="Times New Roman" w:eastAsia="Times New Roman" w:hAnsi="Times New Roman"/>
          <w:sz w:val="21"/>
          <w:szCs w:val="21"/>
          <w:b w:val="1"/>
          <w:bCs w:val="1"/>
          <w:i w:val="1"/>
          <w:iCs w:val="1"/>
          <w:color w:val="auto"/>
        </w:rPr>
        <w:t>Goodwill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changes in the Company’s goodwill, by business segment:</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5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Regulated Water</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Consolidated</w:t>
            </w:r>
          </w:p>
        </w:tc>
      </w:tr>
      <w:tr>
        <w:trPr>
          <w:trHeight w:val="179"/>
        </w:trPr>
        <w:tc>
          <w:tcPr>
            <w:tcW w:w="550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Balance at December 31, 2021</w:t>
            </w:r>
          </w:p>
        </w:tc>
        <w:tc>
          <w:tcPr>
            <w:tcW w:w="440" w:type="dxa"/>
            <w:vAlign w:val="bottom"/>
            <w:tcBorders>
              <w:top w:val="single" w:sz="8" w:color="auto"/>
            </w:tcBorders>
            <w:shd w:val="clear" w:color="auto" w:fill="CCEEFF"/>
          </w:tcPr>
          <w:p>
            <w:pPr>
              <w:jc w:val="right"/>
              <w:ind w:right="25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58,527</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2,340,815</w:t>
            </w:r>
          </w:p>
        </w:tc>
      </w:tr>
      <w:tr>
        <w:trPr>
          <w:trHeight w:val="185"/>
        </w:trPr>
        <w:tc>
          <w:tcPr>
            <w:tcW w:w="5500" w:type="dxa"/>
            <w:vAlign w:val="bottom"/>
            <w:tcBorders>
              <w:bottom w:val="single" w:sz="8" w:color="CCEEFF"/>
            </w:tcBorders>
          </w:tcPr>
          <w:p>
            <w:pPr>
              <w:ind w:left="100"/>
              <w:spacing w:after="0" w:line="186" w:lineRule="exact"/>
              <w:rPr>
                <w:sz w:val="20"/>
                <w:szCs w:val="20"/>
                <w:color w:val="auto"/>
              </w:rPr>
            </w:pPr>
            <w:r>
              <w:rPr>
                <w:rFonts w:ascii="Times New Roman" w:cs="Times New Roman" w:eastAsia="Times New Roman" w:hAnsi="Times New Roman"/>
                <w:sz w:val="18"/>
                <w:szCs w:val="18"/>
                <w:color w:val="auto"/>
              </w:rPr>
              <w:t>Goodwill acquired</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79"/>
        </w:trPr>
        <w:tc>
          <w:tcPr>
            <w:tcW w:w="550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Balance at March 31, 2022</w:t>
            </w:r>
          </w:p>
        </w:tc>
        <w:tc>
          <w:tcPr>
            <w:tcW w:w="440" w:type="dxa"/>
            <w:vAlign w:val="bottom"/>
            <w:tcBorders>
              <w:bottom w:val="single" w:sz="8" w:color="auto"/>
            </w:tcBorders>
            <w:shd w:val="clear" w:color="auto" w:fill="CCEEFF"/>
          </w:tcPr>
          <w:p>
            <w:pPr>
              <w:jc w:val="right"/>
              <w:ind w:right="25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58,527</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7"/>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2,340,815</w:t>
            </w: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1"/>
          <w:szCs w:val="21"/>
          <w:color w:val="auto"/>
        </w:rPr>
        <w:t>Goodwill is not amortized but is tested for impairment annually, or more often, if circumstances indicate it is more likely than not that the fair value of a reporting unit is less than its carrying amount. When testing goodwill for impairment, the Company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or on a voluntary basis, we may perform a quantitative goodwill impairment test by determining the fair value of a reporting unit.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5 – </w:t>
      </w:r>
      <w:r>
        <w:rPr>
          <w:rFonts w:ascii="Times New Roman" w:cs="Times New Roman" w:eastAsia="Times New Roman" w:hAnsi="Times New Roman"/>
          <w:sz w:val="21"/>
          <w:szCs w:val="21"/>
          <w:b w:val="1"/>
          <w:bCs w:val="1"/>
          <w:i w:val="1"/>
          <w:iCs w:val="1"/>
          <w:color w:val="auto"/>
        </w:rPr>
        <w:t>Capitalization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Forward Equity Sale</w:t>
      </w:r>
    </w:p>
    <w:p>
      <w:pPr>
        <w:spacing w:after="0" w:line="22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1"/>
          <w:szCs w:val="21"/>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did not receive any proceeds from the sale of its common stock by the forward purchaser until settlement of the shares underlying the forward equity sale agreement. The actual proceeds to be received by the Company would have varied depending upon the settlement date, the number of shares designated for settlement on that settlement date, and the method of settlement. The forward equity sale agreement was accounted for as an equity instrument and was recorded at a fair value of $0 at inception. The fair value was not adjusted as the Company continued to meet the accounting requirements for equity instruments.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ind w:right="-19"/>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1"/>
          <w:szCs w:val="21"/>
          <w:color w:val="auto"/>
        </w:rPr>
        <w:t>On August 9, 2021, the Company settled the forward equity sale agreement in full by physical share settlement. The Company issued 6,700,000 shares and received cash proceeds of $299,739 at a forward price of $44.74 per share. Pursuant to the agreement, the forward price was computed based upon the initial forward price of $46.00 per share, adjusted for a floating interest rate factor equal to a specified daily rate less a spread and scheduled dividends during the term of the agreement. The Company used the proceeds received upon settlement of the forward equity sale agreement to fund general corporate purposes, including for water and wastewater utility acquisitions, working capital and capital expenditures. The forward equity sale agreement has now been completely settled, and there are no additional shares subject to the forward equity sale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Tangible Equity Units</w:t>
      </w:r>
    </w:p>
    <w:p>
      <w:pPr>
        <w:spacing w:after="0" w:line="22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1"/>
          <w:szCs w:val="21"/>
          <w:color w:val="auto"/>
        </w:rPr>
        <w:t>On April 23, 2019, the Company issued $690,000, less expenses of $16,358, of its tangible equity units (the “Units”), with a stated amount of $50.00 per unit. This issuance was part of the permanent financing to close the Peoples Gas Acquisition.</w:t>
      </w:r>
    </w:p>
    <w:p>
      <w:pPr>
        <w:spacing w:after="0" w:line="16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color w:val="auto"/>
        </w:rPr>
        <w:t>Each Unit consisted of a prepaid stock purchase contract and an amortizing note, each issued by the Company. As of March 31, 2022, the balance of the stock purchase contracts was 7,603,234. During April 2022, 981,919 stock purchase contracts were early settled by the holders of the contracts, resulting in the issuance of 1,166,107 shares of the Company’s common stock. On May 2, 2022, the remaining 6,621,315 stock purchase contracts were settled for 1.18758 shares of the Company’s common stock for each stock purchase contract, and in aggregate the Company issued 7,863,354 shares of its common stock. The amortizing notes had an initial principal amount of $8.62909, or $119,081 in aggregate, and yielded interest at a rate of 3.00% per year, and paid equal quarterly cash installments of $0.75000 per amortizing note (except for the July 30, 2019 installment payment, which was $0.80833 per amortizing note), that constituted a payment of interest and a partial repayment of principal, and which cash payment in the aggregate was equivalent to 6.00% per year with respect to each $50.00 stated amount of the Units. The amortizing notes represent unsecured senior obligations of the Company. The final quarterly installment payment was made on May 2, 2022, which resulted in the complete pay-off of the amortizing notes.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Long-term Debt and Loans Payable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April 15, 2021, the Company’s operating subsidiary, Aqua Ohio, Inc., issued $100,000 of first mortgage bonds, of which</w:t>
      </w:r>
    </w:p>
    <w:p>
      <w:pPr>
        <w:spacing w:after="0" w:line="2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1"/>
          <w:szCs w:val="21"/>
          <w:color w:val="auto"/>
        </w:rPr>
        <w:t>$50,000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the Aqua Pennsylvania revolving credit facility, and the balance was used to repay in full the borrowings under its existing five year unsecured revolving credit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ind w:right="-19"/>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6 – </w:t>
      </w:r>
      <w:r>
        <w:rPr>
          <w:rFonts w:ascii="Times New Roman" w:cs="Times New Roman" w:eastAsia="Times New Roman" w:hAnsi="Times New Roman"/>
          <w:sz w:val="21"/>
          <w:szCs w:val="21"/>
          <w:b w:val="1"/>
          <w:bCs w:val="1"/>
          <w:i w:val="1"/>
          <w:iCs w:val="1"/>
          <w:color w:val="auto"/>
        </w:rPr>
        <w:t>Financial Instruments</w:t>
      </w:r>
    </w:p>
    <w:p>
      <w:pPr>
        <w:spacing w:after="0" w:line="21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1"/>
          <w:szCs w:val="21"/>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ectPr>
          <w:pgSz w:w="11900" w:h="16838" w:orient="portrait"/>
          <w:cols w:equalWidth="0" w:num="1">
            <w:col w:w="11220"/>
          </w:cols>
          <w:pgMar w:left="320" w:top="114" w:right="35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Level 1: unadjusted quoted prices in active markets for identical assets or liabilities that the Company has the ability to access;</w:t>
      </w:r>
    </w:p>
    <w:p>
      <w:pPr>
        <w:spacing w:after="0" w:line="20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1"/>
          <w:szCs w:val="21"/>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Level 3: inputs that are unobservable and significant to the fair value measurement.</w:t>
      </w:r>
    </w:p>
    <w:p>
      <w:pPr>
        <w:spacing w:after="0" w:line="200" w:lineRule="exact"/>
        <w:rPr>
          <w:sz w:val="20"/>
          <w:szCs w:val="20"/>
          <w:color w:val="auto"/>
        </w:rPr>
      </w:pPr>
    </w:p>
    <w:p>
      <w:pPr>
        <w:sectPr>
          <w:pgSz w:w="11900" w:h="16838" w:orient="portrait"/>
          <w:cols w:equalWidth="0" w:num="2">
            <w:col w:w="40" w:space="340"/>
            <w:col w:w="10840"/>
          </w:cols>
          <w:pgMar w:left="320" w:top="114" w:right="359" w:bottom="1440" w:gutter="0" w:footer="0" w:header="0"/>
          <w:type w:val="continuous"/>
        </w:sectPr>
      </w:pPr>
    </w:p>
    <w:p>
      <w:pPr>
        <w:spacing w:after="0" w:line="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1"/>
          <w:szCs w:val="21"/>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March 31, 2022.</w:t>
      </w:r>
    </w:p>
    <w:p>
      <w:pPr>
        <w:spacing w:after="0" w:line="17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6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The fair value of loans payable is determined based on its carrying amount and utilizing Level 1 methods and assumptions. As of March 31, 2022 and December 31, 2021, the carrying amount of the Company’s loans payable was $79,743 and $65,000, respectively, which equates to their estimated fair value. The fair value of cash and cash equivalents, is determined based on Level 1 methods and assumptions. As of March 31, 2022 and December 31, 2021, the carrying amounts of the Company's cash and cash equivalents was $58,298 and $10,567,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2022 and December 31, 2021, the carrying amount of these securities was $27,282 and $28,576, respectively, which equates to their fair value, and is reported in the consolidated balance sheet in deferred charges and other assets.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Unrealized gain and losses on equity securities held in conjunction with our non-qualified pension plan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238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r>
      <w:tr>
        <w:trPr>
          <w:trHeight w:val="217"/>
        </w:trPr>
        <w:tc>
          <w:tcPr>
            <w:tcW w:w="85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tcBorders>
              <w:bottom w:val="single" w:sz="8" w:color="auto"/>
            </w:tcBorders>
          </w:tcPr>
          <w:p>
            <w:pPr>
              <w:spacing w:after="0"/>
              <w:rPr>
                <w:sz w:val="18"/>
                <w:szCs w:val="18"/>
                <w:color w:val="auto"/>
              </w:rPr>
            </w:pPr>
          </w:p>
        </w:tc>
      </w:tr>
      <w:tr>
        <w:trPr>
          <w:trHeight w:val="179"/>
        </w:trPr>
        <w:tc>
          <w:tcPr>
            <w:tcW w:w="852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15"/>
                <w:szCs w:val="15"/>
                <w:color w:val="auto"/>
              </w:rPr>
            </w:pPr>
          </w:p>
        </w:tc>
        <w:tc>
          <w:tcPr>
            <w:tcW w:w="10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5"/>
                <w:szCs w:val="15"/>
                <w:color w:val="auto"/>
              </w:rPr>
            </w:pPr>
          </w:p>
        </w:tc>
      </w:tr>
      <w:tr>
        <w:trPr>
          <w:trHeight w:val="179"/>
        </w:trPr>
        <w:tc>
          <w:tcPr>
            <w:tcW w:w="85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Net gain (loss) recognized during the period on equity securities</w:t>
            </w:r>
          </w:p>
        </w:tc>
        <w:tc>
          <w:tcPr>
            <w:tcW w:w="900" w:type="dxa"/>
            <w:vAlign w:val="bottom"/>
            <w:tcBorders>
              <w:top w:val="single" w:sz="8" w:color="auto"/>
            </w:tcBorders>
            <w:shd w:val="clear" w:color="auto" w:fill="CCEEFF"/>
          </w:tcPr>
          <w:p>
            <w:pPr>
              <w:jc w:val="right"/>
              <w:ind w:right="71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(278)</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57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w w:val="96"/>
              </w:rPr>
              <w:t>248</w:t>
            </w:r>
          </w:p>
        </w:tc>
      </w:tr>
      <w:tr>
        <w:trPr>
          <w:trHeight w:val="186"/>
        </w:trPr>
        <w:tc>
          <w:tcPr>
            <w:tcW w:w="8520" w:type="dxa"/>
            <w:vAlign w:val="bottom"/>
            <w:tcBorders>
              <w:bottom w:val="single" w:sz="8" w:color="CCEEFF"/>
            </w:tcBorders>
          </w:tcPr>
          <w:p>
            <w:pPr>
              <w:spacing w:after="0" w:line="186" w:lineRule="exact"/>
              <w:rPr>
                <w:sz w:val="20"/>
                <w:szCs w:val="20"/>
                <w:color w:val="auto"/>
              </w:rPr>
            </w:pPr>
            <w:r>
              <w:rPr>
                <w:rFonts w:ascii="Times New Roman" w:cs="Times New Roman" w:eastAsia="Times New Roman" w:hAnsi="Times New Roman"/>
                <w:sz w:val="18"/>
                <w:szCs w:val="18"/>
                <w:color w:val="auto"/>
              </w:rPr>
              <w:t>Less: net gain / loss recognized during the period on equity securities sold during the period</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79"/>
        </w:trPr>
        <w:tc>
          <w:tcPr>
            <w:tcW w:w="852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Unrealized gain (loss) recognized during the reporting period on equity securities still held at the reporting date</w:t>
            </w:r>
          </w:p>
        </w:tc>
        <w:tc>
          <w:tcPr>
            <w:tcW w:w="900" w:type="dxa"/>
            <w:vAlign w:val="bottom"/>
            <w:tcBorders>
              <w:bottom w:val="single" w:sz="8" w:color="auto"/>
            </w:tcBorders>
            <w:shd w:val="clear" w:color="auto" w:fill="CCEEFF"/>
          </w:tcPr>
          <w:p>
            <w:pPr>
              <w:jc w:val="right"/>
              <w:ind w:right="71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(278)</w:t>
            </w:r>
          </w:p>
        </w:tc>
        <w:tc>
          <w:tcPr>
            <w:tcW w:w="2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7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w w:val="96"/>
              </w:rPr>
              <w:t>248</w:t>
            </w:r>
          </w:p>
        </w:tc>
      </w:tr>
      <w:tr>
        <w:trPr>
          <w:trHeight w:val="20"/>
        </w:trPr>
        <w:tc>
          <w:tcPr>
            <w:tcW w:w="8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1"/>
          <w:szCs w:val="21"/>
          <w:color w:val="auto"/>
        </w:rPr>
        <w:t>The net gain (loss) recognized on equity securities is presented on the consolidated statements of operations and comprehensive income on the line item “Other.”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carrying amounts and estimated fair values of the Company’s long-term debt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60" w:type="dxa"/>
            <w:vAlign w:val="bottom"/>
          </w:tcPr>
          <w:p>
            <w:pPr>
              <w:jc w:val="center"/>
              <w:ind w:left="914"/>
              <w:spacing w:after="0"/>
              <w:rPr>
                <w:sz w:val="20"/>
                <w:szCs w:val="20"/>
                <w:color w:val="auto"/>
              </w:rPr>
            </w:pPr>
            <w:r>
              <w:rPr>
                <w:rFonts w:ascii="Times New Roman" w:cs="Times New Roman" w:eastAsia="Times New Roman" w:hAnsi="Times New Roman"/>
                <w:sz w:val="21"/>
                <w:szCs w:val="21"/>
                <w:color w:val="auto"/>
              </w:rPr>
              <w:t>March 31,</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00" w:type="dxa"/>
            <w:vAlign w:val="bottom"/>
          </w:tcPr>
          <w:p>
            <w:pPr>
              <w:jc w:val="right"/>
              <w:ind w:right="794"/>
              <w:spacing w:after="0"/>
              <w:rPr>
                <w:sz w:val="20"/>
                <w:szCs w:val="20"/>
                <w:color w:val="auto"/>
              </w:rPr>
            </w:pPr>
            <w:r>
              <w:rPr>
                <w:rFonts w:ascii="Times New Roman" w:cs="Times New Roman" w:eastAsia="Times New Roman" w:hAnsi="Times New Roman"/>
                <w:sz w:val="21"/>
                <w:szCs w:val="21"/>
                <w:color w:val="auto"/>
              </w:rPr>
              <w:t>December 31,</w:t>
            </w:r>
          </w:p>
        </w:tc>
      </w:tr>
      <w:tr>
        <w:trPr>
          <w:trHeight w:val="253"/>
        </w:trPr>
        <w:tc>
          <w:tcPr>
            <w:tcW w:w="3260" w:type="dxa"/>
            <w:vAlign w:val="bottom"/>
          </w:tcPr>
          <w:p>
            <w:pPr>
              <w:spacing w:after="0"/>
              <w:rPr>
                <w:sz w:val="21"/>
                <w:szCs w:val="21"/>
                <w:color w:val="auto"/>
              </w:rPr>
            </w:pPr>
          </w:p>
        </w:tc>
        <w:tc>
          <w:tcPr>
            <w:tcW w:w="3580" w:type="dxa"/>
            <w:vAlign w:val="bottom"/>
            <w:gridSpan w:val="2"/>
          </w:tcPr>
          <w:p>
            <w:pPr>
              <w:jc w:val="right"/>
              <w:ind w:right="194"/>
              <w:spacing w:after="0"/>
              <w:rPr>
                <w:sz w:val="20"/>
                <w:szCs w:val="20"/>
                <w:color w:val="auto"/>
              </w:rPr>
            </w:pPr>
            <w:r>
              <w:rPr>
                <w:rFonts w:ascii="Times New Roman" w:cs="Times New Roman" w:eastAsia="Times New Roman" w:hAnsi="Times New Roman"/>
                <w:sz w:val="21"/>
                <w:szCs w:val="21"/>
                <w:color w:val="auto"/>
              </w:rPr>
              <w:t>2022</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00" w:type="dxa"/>
            <w:vAlign w:val="bottom"/>
          </w:tcPr>
          <w:p>
            <w:pPr>
              <w:jc w:val="right"/>
              <w:ind w:right="1174"/>
              <w:spacing w:after="0"/>
              <w:rPr>
                <w:sz w:val="20"/>
                <w:szCs w:val="20"/>
                <w:color w:val="auto"/>
              </w:rPr>
            </w:pPr>
            <w:r>
              <w:rPr>
                <w:rFonts w:ascii="Times New Roman" w:cs="Times New Roman" w:eastAsia="Times New Roman" w:hAnsi="Times New Roman"/>
                <w:sz w:val="21"/>
                <w:szCs w:val="21"/>
                <w:color w:val="auto"/>
              </w:rPr>
              <w:t>2021</w:t>
            </w:r>
          </w:p>
        </w:tc>
      </w:tr>
      <w:tr>
        <w:trPr>
          <w:trHeight w:val="218"/>
        </w:trPr>
        <w:tc>
          <w:tcPr>
            <w:tcW w:w="326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Carrying amount</w:t>
            </w:r>
          </w:p>
        </w:tc>
        <w:tc>
          <w:tcPr>
            <w:tcW w:w="15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3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0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6,042,109</w:t>
            </w:r>
          </w:p>
        </w:tc>
        <w:tc>
          <w:tcPr>
            <w:tcW w:w="4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25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5,947,357</w:t>
            </w:r>
          </w:p>
        </w:tc>
      </w:tr>
      <w:tr>
        <w:trPr>
          <w:trHeight w:val="277"/>
        </w:trPr>
        <w:tc>
          <w:tcPr>
            <w:tcW w:w="3260" w:type="dxa"/>
            <w:vAlign w:val="bottom"/>
          </w:tcPr>
          <w:p>
            <w:pPr>
              <w:spacing w:after="0"/>
              <w:rPr>
                <w:sz w:val="20"/>
                <w:szCs w:val="20"/>
                <w:color w:val="auto"/>
              </w:rPr>
            </w:pPr>
            <w:r>
              <w:rPr>
                <w:rFonts w:ascii="Times New Roman" w:cs="Times New Roman" w:eastAsia="Times New Roman" w:hAnsi="Times New Roman"/>
                <w:sz w:val="21"/>
                <w:szCs w:val="21"/>
                <w:color w:val="auto"/>
              </w:rPr>
              <w:t>Estimated fair value</w:t>
            </w:r>
          </w:p>
        </w:tc>
        <w:tc>
          <w:tcPr>
            <w:tcW w:w="1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5,903,235</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6,482,499</w:t>
            </w:r>
          </w:p>
        </w:tc>
      </w:tr>
    </w:tbl>
    <w:p>
      <w:pPr>
        <w:spacing w:after="0" w:line="159"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21"/>
          <w:szCs w:val="21"/>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42"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1"/>
          <w:szCs w:val="21"/>
          <w:color w:val="auto"/>
        </w:rPr>
        <w:t>The Company’s customers’ advances for construction have a carrying value of $104,403 as of March 31, 2022, and $103,619 as of December 31, 2021. Their relative fair values cannot be accurately estimated because future refund payments depend on several variables, including new customer connections, customer consumption levels, and future rates. Portions of these non-interest-bearing instruments are payable annually through 2032, and amounts not paid by the respective contract expiration dates become non-refundable. The fair value of these amounts would, however, be less than their carrying value due to the non-interest-bearing feature.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7 – </w:t>
      </w:r>
      <w:r>
        <w:rPr>
          <w:rFonts w:ascii="Times New Roman" w:cs="Times New Roman" w:eastAsia="Times New Roman" w:hAnsi="Times New Roman"/>
          <w:sz w:val="21"/>
          <w:szCs w:val="21"/>
          <w:b w:val="1"/>
          <w:bCs w:val="1"/>
          <w:i w:val="1"/>
          <w:iCs w:val="1"/>
          <w:color w:val="auto"/>
        </w:rPr>
        <w:t>Net Income per Common Share</w:t>
      </w:r>
    </w:p>
    <w:p>
      <w:pPr>
        <w:spacing w:after="0" w:line="21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00" w:type="dxa"/>
            <w:vAlign w:val="bottom"/>
          </w:tcPr>
          <w:p>
            <w:pPr>
              <w:spacing w:after="0"/>
              <w:rPr>
                <w:sz w:val="21"/>
                <w:szCs w:val="21"/>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21"/>
                <w:szCs w:val="21"/>
                <w:color w:val="auto"/>
              </w:rPr>
              <w:t>Three Months Ended</w:t>
            </w:r>
          </w:p>
        </w:tc>
      </w:tr>
      <w:tr>
        <w:trPr>
          <w:trHeight w:val="253"/>
        </w:trPr>
        <w:tc>
          <w:tcPr>
            <w:tcW w:w="7900" w:type="dxa"/>
            <w:vAlign w:val="bottom"/>
          </w:tcPr>
          <w:p>
            <w:pPr>
              <w:spacing w:after="0"/>
              <w:rPr>
                <w:sz w:val="21"/>
                <w:szCs w:val="21"/>
                <w:color w:val="auto"/>
              </w:rPr>
            </w:pPr>
          </w:p>
        </w:tc>
        <w:tc>
          <w:tcPr>
            <w:tcW w:w="2200" w:type="dxa"/>
            <w:vAlign w:val="bottom"/>
            <w:tcBorders>
              <w:bottom w:val="single" w:sz="8" w:color="auto"/>
            </w:tcBorders>
            <w:gridSpan w:val="3"/>
          </w:tcPr>
          <w:p>
            <w:pPr>
              <w:jc w:val="center"/>
              <w:ind w:left="1034"/>
              <w:spacing w:after="0"/>
              <w:rPr>
                <w:sz w:val="20"/>
                <w:szCs w:val="20"/>
                <w:color w:val="auto"/>
              </w:rPr>
            </w:pPr>
            <w:r>
              <w:rPr>
                <w:rFonts w:ascii="Times New Roman" w:cs="Times New Roman" w:eastAsia="Times New Roman" w:hAnsi="Times New Roman"/>
                <w:sz w:val="21"/>
                <w:szCs w:val="21"/>
                <w:color w:val="auto"/>
                <w:w w:val="99"/>
              </w:rPr>
              <w:t>March 31,</w:t>
            </w:r>
          </w:p>
        </w:tc>
        <w:tc>
          <w:tcPr>
            <w:tcW w:w="1140" w:type="dxa"/>
            <w:vAlign w:val="bottom"/>
            <w:tcBorders>
              <w:bottom w:val="single" w:sz="8" w:color="auto"/>
            </w:tcBorders>
          </w:tcPr>
          <w:p>
            <w:pPr>
              <w:spacing w:after="0"/>
              <w:rPr>
                <w:sz w:val="21"/>
                <w:szCs w:val="21"/>
                <w:color w:val="auto"/>
              </w:rPr>
            </w:pPr>
          </w:p>
        </w:tc>
      </w:tr>
      <w:tr>
        <w:trPr>
          <w:trHeight w:val="218"/>
        </w:trPr>
        <w:tc>
          <w:tcPr>
            <w:tcW w:w="79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4"/>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4"/>
              <w:spacing w:after="0" w:line="219" w:lineRule="exact"/>
              <w:rPr>
                <w:sz w:val="20"/>
                <w:szCs w:val="20"/>
                <w:color w:val="auto"/>
              </w:rPr>
            </w:pPr>
            <w:r>
              <w:rPr>
                <w:rFonts w:ascii="Times New Roman" w:cs="Times New Roman" w:eastAsia="Times New Roman" w:hAnsi="Times New Roman"/>
                <w:sz w:val="21"/>
                <w:szCs w:val="21"/>
                <w:color w:val="auto"/>
              </w:rPr>
              <w:t>2021</w:t>
            </w:r>
          </w:p>
        </w:tc>
      </w:tr>
      <w:tr>
        <w:trPr>
          <w:trHeight w:val="218"/>
        </w:trPr>
        <w:tc>
          <w:tcPr>
            <w:tcW w:w="79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Average common shares outstanding during the period for basic computation</w:t>
            </w:r>
          </w:p>
        </w:tc>
        <w:tc>
          <w:tcPr>
            <w:tcW w:w="14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261,952</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254,565</w:t>
            </w:r>
          </w:p>
        </w:tc>
      </w:tr>
      <w:tr>
        <w:trPr>
          <w:trHeight w:val="225"/>
        </w:trPr>
        <w:tc>
          <w:tcPr>
            <w:tcW w:w="790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Effect of dilutive securities: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790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Forward equity sale agreement</w:t>
            </w:r>
          </w:p>
        </w:tc>
        <w:tc>
          <w:tcPr>
            <w:tcW w:w="144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w:t>
            </w:r>
          </w:p>
        </w:tc>
      </w:tr>
      <w:tr>
        <w:trPr>
          <w:trHeight w:val="225"/>
        </w:trPr>
        <w:tc>
          <w:tcPr>
            <w:tcW w:w="7900" w:type="dxa"/>
            <w:vAlign w:val="bottom"/>
            <w:tcBorders>
              <w:bottom w:val="single" w:sz="8" w:color="CCEEFF"/>
            </w:tcBorders>
          </w:tcPr>
          <w:p>
            <w:pPr>
              <w:ind w:left="100"/>
              <w:spacing w:after="0" w:line="225" w:lineRule="exact"/>
              <w:rPr>
                <w:sz w:val="20"/>
                <w:szCs w:val="20"/>
                <w:color w:val="auto"/>
              </w:rPr>
            </w:pPr>
            <w:r>
              <w:rPr>
                <w:rFonts w:ascii="Times New Roman" w:cs="Times New Roman" w:eastAsia="Times New Roman" w:hAnsi="Times New Roman"/>
                <w:sz w:val="21"/>
                <w:szCs w:val="21"/>
                <w:color w:val="auto"/>
              </w:rPr>
              <w:t>Employee stock-based compensation</w:t>
            </w:r>
          </w:p>
        </w:tc>
        <w:tc>
          <w:tcPr>
            <w:tcW w:w="14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rPr>
              <w:t>479</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rPr>
              <w:t>401</w:t>
            </w:r>
          </w:p>
        </w:tc>
      </w:tr>
      <w:tr>
        <w:trPr>
          <w:trHeight w:val="219"/>
        </w:trPr>
        <w:tc>
          <w:tcPr>
            <w:tcW w:w="7900" w:type="dxa"/>
            <w:vAlign w:val="bottom"/>
            <w:tcBorders>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Average common shares outstanding during the period for diluted computation</w:t>
            </w:r>
          </w:p>
        </w:tc>
        <w:tc>
          <w:tcPr>
            <w:tcW w:w="14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262,431</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254,969</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1"/>
          <w:szCs w:val="21"/>
          <w:color w:val="auto"/>
        </w:rPr>
        <w:t>For the three months ended March 31, 2022 and 2021, the average common shares outstanding during the period for basic computation includes the weighted-average impact of 9,029,461 and 9,091,179 shares, respectively, based on the minimum number of shares to be issued in April 2022 upon settlement of the stock purchase contracts issued in April 2019 under the tangible equity units.</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1"/>
          <w:szCs w:val="21"/>
          <w:color w:val="auto"/>
        </w:rPr>
        <w:t>For the three months ended March 31, 2022 and 2021, all of the Company’s outstanding employee stock options were included in the calculations of diluted net income per share as the calculated cost to exercise employee stock options was less than the average market price of the Company’s common stock during these periods. Additionally, the dilutive effect of performance share units and restricted share units granted are included in the Company’s calculation of diluted net income per share.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8 – </w:t>
      </w:r>
      <w:r>
        <w:rPr>
          <w:rFonts w:ascii="Times New Roman" w:cs="Times New Roman" w:eastAsia="Times New Roman" w:hAnsi="Times New Roman"/>
          <w:sz w:val="21"/>
          <w:szCs w:val="21"/>
          <w:b w:val="1"/>
          <w:bCs w:val="1"/>
          <w:i w:val="1"/>
          <w:iCs w:val="1"/>
          <w:color w:val="auto"/>
        </w:rPr>
        <w:t>Stock-based Compensation</w:t>
      </w:r>
    </w:p>
    <w:p>
      <w:pPr>
        <w:spacing w:after="0" w:line="21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March 31, 2022, 1,785,479 shares were still available for issuance under the Plan. No further grants may be made under the Company’s 2004 Equity Compensation Plan.</w:t>
      </w:r>
    </w:p>
    <w:p>
      <w:pPr>
        <w:spacing w:after="0" w:line="194"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Performance Share Units </w:t>
      </w:r>
      <w:r>
        <w:rPr>
          <w:rFonts w:ascii="Times New Roman" w:cs="Times New Roman" w:eastAsia="Times New Roman" w:hAnsi="Times New Roman"/>
          <w:sz w:val="21"/>
          <w:szCs w:val="21"/>
          <w:color w:val="auto"/>
        </w:rPr>
        <w:t>– A performance share unit (“PSU”) represents the right to receive a share of the Company’s common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21"/>
                <w:szCs w:val="21"/>
                <w:color w:val="auto"/>
              </w:rPr>
              <w:t>Three Months Ended</w:t>
            </w:r>
          </w:p>
        </w:tc>
        <w:tc>
          <w:tcPr>
            <w:tcW w:w="1300" w:type="dxa"/>
            <w:vAlign w:val="bottom"/>
          </w:tcPr>
          <w:p>
            <w:pPr>
              <w:spacing w:after="0"/>
              <w:rPr>
                <w:sz w:val="20"/>
                <w:szCs w:val="20"/>
                <w:color w:val="auto"/>
              </w:rPr>
            </w:pPr>
          </w:p>
        </w:tc>
      </w:tr>
      <w:tr>
        <w:trPr>
          <w:trHeight w:val="253"/>
        </w:trPr>
        <w:tc>
          <w:tcPr>
            <w:tcW w:w="67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March 31,</w:t>
            </w:r>
          </w:p>
        </w:tc>
        <w:tc>
          <w:tcPr>
            <w:tcW w:w="1300" w:type="dxa"/>
            <w:vAlign w:val="bottom"/>
            <w:tcBorders>
              <w:bottom w:val="single" w:sz="8" w:color="auto"/>
            </w:tcBorders>
          </w:tcPr>
          <w:p>
            <w:pPr>
              <w:spacing w:after="0"/>
              <w:rPr>
                <w:sz w:val="21"/>
                <w:szCs w:val="21"/>
                <w:color w:val="auto"/>
              </w:rPr>
            </w:pPr>
          </w:p>
        </w:tc>
      </w:tr>
      <w:tr>
        <w:trPr>
          <w:trHeight w:val="218"/>
        </w:trPr>
        <w:tc>
          <w:tcPr>
            <w:tcW w:w="67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4"/>
              <w:spacing w:after="0" w:line="219" w:lineRule="exact"/>
              <w:rPr>
                <w:sz w:val="20"/>
                <w:szCs w:val="20"/>
                <w:color w:val="auto"/>
              </w:rPr>
            </w:pPr>
            <w:r>
              <w:rPr>
                <w:rFonts w:ascii="Times New Roman" w:cs="Times New Roman" w:eastAsia="Times New Roman" w:hAnsi="Times New Roman"/>
                <w:sz w:val="21"/>
                <w:szCs w:val="21"/>
                <w:color w:val="auto"/>
              </w:rPr>
              <w:t>2021</w:t>
            </w:r>
          </w:p>
        </w:tc>
      </w:tr>
      <w:tr>
        <w:trPr>
          <w:trHeight w:val="218"/>
        </w:trPr>
        <w:tc>
          <w:tcPr>
            <w:tcW w:w="67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Stock-based compensation within operations and maintenance expenses</w:t>
            </w:r>
          </w:p>
        </w:tc>
        <w:tc>
          <w:tcPr>
            <w:tcW w:w="1300" w:type="dxa"/>
            <w:vAlign w:val="bottom"/>
            <w:shd w:val="clear" w:color="auto" w:fill="CCEEFF"/>
          </w:tcPr>
          <w:p>
            <w:pPr>
              <w:jc w:val="right"/>
              <w:ind w:right="107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7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1,650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3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1,641</w:t>
            </w:r>
          </w:p>
        </w:tc>
      </w:tr>
      <w:tr>
        <w:trPr>
          <w:trHeight w:val="277"/>
        </w:trPr>
        <w:tc>
          <w:tcPr>
            <w:tcW w:w="678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13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1"/>
                <w:szCs w:val="21"/>
                <w:color w:val="auto"/>
              </w:rPr>
              <w:t>467</w:t>
            </w:r>
          </w:p>
        </w:tc>
        <w:tc>
          <w:tcPr>
            <w:tcW w:w="8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462</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PSU transactions for the three months ended March 31, 2022:</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21"/>
                <w:szCs w:val="21"/>
                <w:color w:val="auto"/>
              </w:rPr>
              <w:t>Number</w:t>
            </w:r>
          </w:p>
        </w:tc>
        <w:tc>
          <w:tcPr>
            <w:tcW w:w="200" w:type="dxa"/>
            <w:vAlign w:val="bottom"/>
          </w:tcPr>
          <w:p>
            <w:pPr>
              <w:spacing w:after="0"/>
              <w:rPr>
                <w:sz w:val="20"/>
                <w:szCs w:val="20"/>
                <w:color w:val="auto"/>
              </w:rPr>
            </w:pPr>
          </w:p>
        </w:tc>
        <w:tc>
          <w:tcPr>
            <w:tcW w:w="1240" w:type="dxa"/>
            <w:vAlign w:val="bottom"/>
          </w:tcPr>
          <w:p>
            <w:pPr>
              <w:jc w:val="center"/>
              <w:ind w:right="94"/>
              <w:spacing w:after="0"/>
              <w:rPr>
                <w:sz w:val="20"/>
                <w:szCs w:val="20"/>
                <w:color w:val="auto"/>
              </w:rPr>
            </w:pPr>
            <w:r>
              <w:rPr>
                <w:rFonts w:ascii="Times New Roman" w:cs="Times New Roman" w:eastAsia="Times New Roman" w:hAnsi="Times New Roman"/>
                <w:sz w:val="21"/>
                <w:szCs w:val="21"/>
                <w:color w:val="auto"/>
                <w:w w:val="97"/>
              </w:rPr>
              <w:t>Weighted</w:t>
            </w:r>
          </w:p>
        </w:tc>
        <w:tc>
          <w:tcPr>
            <w:tcW w:w="0" w:type="dxa"/>
            <w:vAlign w:val="bottom"/>
          </w:tcPr>
          <w:p>
            <w:pPr>
              <w:spacing w:after="0"/>
              <w:rPr>
                <w:sz w:val="1"/>
                <w:szCs w:val="1"/>
                <w:color w:val="auto"/>
              </w:rPr>
            </w:pPr>
          </w:p>
        </w:tc>
      </w:tr>
      <w:tr>
        <w:trPr>
          <w:trHeight w:val="225"/>
        </w:trPr>
        <w:tc>
          <w:tcPr>
            <w:tcW w:w="46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760" w:type="dxa"/>
            <w:vAlign w:val="bottom"/>
            <w:gridSpan w:val="2"/>
          </w:tcPr>
          <w:p>
            <w:pPr>
              <w:jc w:val="center"/>
              <w:ind w:right="220"/>
              <w:spacing w:after="0" w:line="225" w:lineRule="exact"/>
              <w:rPr>
                <w:sz w:val="20"/>
                <w:szCs w:val="20"/>
                <w:color w:val="auto"/>
              </w:rPr>
            </w:pPr>
            <w:r>
              <w:rPr>
                <w:rFonts w:ascii="Times New Roman" w:cs="Times New Roman" w:eastAsia="Times New Roman" w:hAnsi="Times New Roman"/>
                <w:sz w:val="21"/>
                <w:szCs w:val="21"/>
                <w:color w:val="auto"/>
              </w:rPr>
              <w:t>of</w:t>
            </w:r>
          </w:p>
        </w:tc>
        <w:tc>
          <w:tcPr>
            <w:tcW w:w="200" w:type="dxa"/>
            <w:vAlign w:val="bottom"/>
          </w:tcPr>
          <w:p>
            <w:pPr>
              <w:spacing w:after="0"/>
              <w:rPr>
                <w:sz w:val="19"/>
                <w:szCs w:val="19"/>
                <w:color w:val="auto"/>
              </w:rPr>
            </w:pPr>
          </w:p>
        </w:tc>
        <w:tc>
          <w:tcPr>
            <w:tcW w:w="1240" w:type="dxa"/>
            <w:vAlign w:val="bottom"/>
          </w:tcPr>
          <w:p>
            <w:pPr>
              <w:jc w:val="center"/>
              <w:ind w:right="94"/>
              <w:spacing w:after="0" w:line="225" w:lineRule="exact"/>
              <w:rPr>
                <w:sz w:val="20"/>
                <w:szCs w:val="20"/>
                <w:color w:val="auto"/>
              </w:rPr>
            </w:pPr>
            <w:r>
              <w:rPr>
                <w:rFonts w:ascii="Times New Roman" w:cs="Times New Roman" w:eastAsia="Times New Roman" w:hAnsi="Times New Roman"/>
                <w:sz w:val="21"/>
                <w:szCs w:val="21"/>
                <w:color w:val="auto"/>
              </w:rPr>
              <w:t>Average</w:t>
            </w:r>
          </w:p>
        </w:tc>
        <w:tc>
          <w:tcPr>
            <w:tcW w:w="0" w:type="dxa"/>
            <w:vAlign w:val="bottom"/>
          </w:tcPr>
          <w:p>
            <w:pPr>
              <w:spacing w:after="0"/>
              <w:rPr>
                <w:sz w:val="1"/>
                <w:szCs w:val="1"/>
                <w:color w:val="auto"/>
              </w:rPr>
            </w:pPr>
          </w:p>
        </w:tc>
      </w:tr>
      <w:tr>
        <w:trPr>
          <w:trHeight w:val="253"/>
        </w:trPr>
        <w:tc>
          <w:tcPr>
            <w:tcW w:w="46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21"/>
                <w:szCs w:val="21"/>
                <w:color w:val="auto"/>
              </w:rPr>
              <w:t>Share Units</w:t>
            </w:r>
          </w:p>
        </w:tc>
        <w:tc>
          <w:tcPr>
            <w:tcW w:w="200" w:type="dxa"/>
            <w:vAlign w:val="bottom"/>
          </w:tcPr>
          <w:p>
            <w:pPr>
              <w:spacing w:after="0"/>
              <w:rPr>
                <w:sz w:val="21"/>
                <w:szCs w:val="21"/>
                <w:color w:val="auto"/>
              </w:rPr>
            </w:pPr>
          </w:p>
        </w:tc>
        <w:tc>
          <w:tcPr>
            <w:tcW w:w="1240" w:type="dxa"/>
            <w:vAlign w:val="bottom"/>
          </w:tcPr>
          <w:p>
            <w:pPr>
              <w:jc w:val="center"/>
              <w:ind w:right="94"/>
              <w:spacing w:after="0"/>
              <w:rPr>
                <w:sz w:val="20"/>
                <w:szCs w:val="20"/>
                <w:color w:val="auto"/>
              </w:rPr>
            </w:pPr>
            <w:r>
              <w:rPr>
                <w:rFonts w:ascii="Times New Roman" w:cs="Times New Roman" w:eastAsia="Times New Roman" w:hAnsi="Times New Roman"/>
                <w:sz w:val="21"/>
                <w:szCs w:val="21"/>
                <w:color w:val="auto"/>
                <w:w w:val="98"/>
              </w:rPr>
              <w:t>Fair Value</w:t>
            </w:r>
          </w:p>
        </w:tc>
        <w:tc>
          <w:tcPr>
            <w:tcW w:w="0" w:type="dxa"/>
            <w:vAlign w:val="bottom"/>
          </w:tcPr>
          <w:p>
            <w:pPr>
              <w:spacing w:after="0"/>
              <w:rPr>
                <w:sz w:val="1"/>
                <w:szCs w:val="1"/>
                <w:color w:val="auto"/>
              </w:rPr>
            </w:pPr>
          </w:p>
        </w:tc>
      </w:tr>
      <w:tr>
        <w:trPr>
          <w:trHeight w:val="218"/>
        </w:trPr>
        <w:tc>
          <w:tcPr>
            <w:tcW w:w="466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Nonvested share units at beginning of period</w:t>
            </w:r>
          </w:p>
        </w:tc>
        <w:tc>
          <w:tcPr>
            <w:tcW w:w="33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355,384</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24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42.19</w:t>
            </w:r>
          </w:p>
        </w:tc>
        <w:tc>
          <w:tcPr>
            <w:tcW w:w="0" w:type="dxa"/>
            <w:vAlign w:val="bottom"/>
          </w:tcPr>
          <w:p>
            <w:pPr>
              <w:spacing w:after="0"/>
              <w:rPr>
                <w:sz w:val="1"/>
                <w:szCs w:val="1"/>
                <w:color w:val="auto"/>
              </w:rPr>
            </w:pPr>
          </w:p>
        </w:tc>
      </w:tr>
      <w:tr>
        <w:trPr>
          <w:trHeight w:val="225"/>
        </w:trPr>
        <w:tc>
          <w:tcPr>
            <w:tcW w:w="466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Granted</w:t>
            </w:r>
          </w:p>
        </w:tc>
        <w:tc>
          <w:tcPr>
            <w:tcW w:w="49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1"/>
                <w:szCs w:val="21"/>
                <w:color w:val="auto"/>
              </w:rPr>
              <w:t>160,245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42.31</w:t>
            </w: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Forfeited</w:t>
            </w:r>
          </w:p>
        </w:tc>
        <w:tc>
          <w:tcPr>
            <w:tcW w:w="5140" w:type="dxa"/>
            <w:vAlign w:val="bottom"/>
            <w:gridSpan w:val="3"/>
            <w:shd w:val="clear" w:color="auto" w:fill="CCEEFF"/>
          </w:tcPr>
          <w:p>
            <w:pPr>
              <w:jc w:val="right"/>
              <w:ind w:right="220"/>
              <w:spacing w:after="0" w:line="225" w:lineRule="exact"/>
              <w:rPr>
                <w:sz w:val="20"/>
                <w:szCs w:val="20"/>
                <w:color w:val="auto"/>
              </w:rPr>
            </w:pPr>
            <w:r>
              <w:rPr>
                <w:rFonts w:ascii="Times New Roman" w:cs="Times New Roman" w:eastAsia="Times New Roman" w:hAnsi="Times New Roman"/>
                <w:sz w:val="21"/>
                <w:szCs w:val="21"/>
                <w:color w:val="auto"/>
              </w:rPr>
              <w:t>(3,161)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46.39</w:t>
            </w:r>
          </w:p>
        </w:tc>
        <w:tc>
          <w:tcPr>
            <w:tcW w:w="0" w:type="dxa"/>
            <w:vAlign w:val="bottom"/>
          </w:tcPr>
          <w:p>
            <w:pPr>
              <w:spacing w:after="0"/>
              <w:rPr>
                <w:sz w:val="1"/>
                <w:szCs w:val="1"/>
                <w:color w:val="auto"/>
              </w:rPr>
            </w:pPr>
          </w:p>
        </w:tc>
      </w:tr>
      <w:tr>
        <w:trPr>
          <w:trHeight w:val="219"/>
        </w:trPr>
        <w:tc>
          <w:tcPr>
            <w:tcW w:w="4660" w:type="dxa"/>
            <w:vAlign w:val="bottom"/>
          </w:tcPr>
          <w:p>
            <w:pPr>
              <w:spacing w:after="0" w:line="219" w:lineRule="exact"/>
              <w:rPr>
                <w:sz w:val="20"/>
                <w:szCs w:val="20"/>
                <w:color w:val="auto"/>
              </w:rPr>
            </w:pPr>
            <w:r>
              <w:rPr>
                <w:rFonts w:ascii="Times New Roman" w:cs="Times New Roman" w:eastAsia="Times New Roman" w:hAnsi="Times New Roman"/>
                <w:sz w:val="21"/>
                <w:szCs w:val="21"/>
                <w:color w:val="auto"/>
              </w:rPr>
              <w:t>Nonvested share units at end of period</w:t>
            </w:r>
          </w:p>
        </w:tc>
        <w:tc>
          <w:tcPr>
            <w:tcW w:w="338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512,468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line="219" w:lineRule="exact"/>
              <w:rPr>
                <w:sz w:val="20"/>
                <w:szCs w:val="20"/>
                <w:color w:val="auto"/>
              </w:rPr>
            </w:pPr>
            <w:r>
              <w:rPr>
                <w:rFonts w:ascii="Times New Roman" w:cs="Times New Roman" w:eastAsia="Times New Roman" w:hAnsi="Times New Roman"/>
                <w:sz w:val="21"/>
                <w:szCs w:val="21"/>
                <w:color w:val="auto"/>
              </w:rPr>
              <w:t>42.20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380" w:type="dxa"/>
            <w:vAlign w:val="bottom"/>
            <w:vMerge w:val="restart"/>
          </w:tcPr>
          <w:p>
            <w:pPr>
              <w:jc w:val="right"/>
              <w:ind w:right="2194"/>
              <w:spacing w:after="0"/>
              <w:rPr>
                <w:sz w:val="20"/>
                <w:szCs w:val="20"/>
                <w:color w:val="auto"/>
              </w:rPr>
            </w:pPr>
            <w:r>
              <w:rPr>
                <w:rFonts w:ascii="Times New Roman" w:cs="Times New Roman" w:eastAsia="Times New Roman" w:hAnsi="Times New Roman"/>
                <w:sz w:val="21"/>
                <w:szCs w:val="21"/>
                <w:color w:val="auto"/>
              </w:rPr>
              <w:t>19</w:t>
            </w: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4"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1"/>
          <w:szCs w:val="21"/>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three months ended March 31, 2022 and 2021 was $42.31 and $43.23,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Units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restricted stock unit (“RSU”) represents the right to receive a share of the Company’s common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21"/>
                <w:szCs w:val="21"/>
                <w:color w:val="auto"/>
              </w:rPr>
              <w:t>Three Months Ended</w:t>
            </w:r>
          </w:p>
        </w:tc>
        <w:tc>
          <w:tcPr>
            <w:tcW w:w="1200" w:type="dxa"/>
            <w:vAlign w:val="bottom"/>
          </w:tcPr>
          <w:p>
            <w:pPr>
              <w:spacing w:after="0"/>
              <w:rPr>
                <w:sz w:val="21"/>
                <w:szCs w:val="21"/>
                <w:color w:val="auto"/>
              </w:rPr>
            </w:pPr>
          </w:p>
        </w:tc>
      </w:tr>
      <w:tr>
        <w:trPr>
          <w:trHeight w:val="253"/>
        </w:trPr>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March 31,</w:t>
            </w:r>
          </w:p>
        </w:tc>
        <w:tc>
          <w:tcPr>
            <w:tcW w:w="1200" w:type="dxa"/>
            <w:vAlign w:val="bottom"/>
            <w:tcBorders>
              <w:bottom w:val="single" w:sz="8" w:color="auto"/>
            </w:tcBorders>
          </w:tcPr>
          <w:p>
            <w:pPr>
              <w:spacing w:after="0"/>
              <w:rPr>
                <w:sz w:val="21"/>
                <w:szCs w:val="21"/>
                <w:color w:val="auto"/>
              </w:rPr>
            </w:pPr>
          </w:p>
        </w:tc>
      </w:tr>
      <w:tr>
        <w:trPr>
          <w:trHeight w:val="218"/>
        </w:trPr>
        <w:tc>
          <w:tcPr>
            <w:tcW w:w="65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4"/>
              <w:spacing w:after="0" w:line="219" w:lineRule="exact"/>
              <w:rPr>
                <w:sz w:val="20"/>
                <w:szCs w:val="20"/>
                <w:color w:val="auto"/>
              </w:rPr>
            </w:pPr>
            <w:r>
              <w:rPr>
                <w:rFonts w:ascii="Times New Roman" w:cs="Times New Roman" w:eastAsia="Times New Roman" w:hAnsi="Times New Roman"/>
                <w:sz w:val="21"/>
                <w:szCs w:val="21"/>
                <w:color w:val="auto"/>
                <w:w w:val="99"/>
              </w:rPr>
              <w:t>2021</w:t>
            </w:r>
          </w:p>
        </w:tc>
      </w:tr>
      <w:tr>
        <w:trPr>
          <w:trHeight w:val="219"/>
        </w:trPr>
        <w:tc>
          <w:tcPr>
            <w:tcW w:w="65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Stock-based compensation within operations and maintenance expenses</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7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777</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604</w:t>
            </w:r>
          </w:p>
        </w:tc>
      </w:tr>
      <w:tr>
        <w:trPr>
          <w:trHeight w:val="277"/>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219</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169</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RSU transactions for the three months ended March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Number</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ind w:right="114"/>
              <w:spacing w:after="0"/>
              <w:rPr>
                <w:sz w:val="20"/>
                <w:szCs w:val="20"/>
                <w:color w:val="auto"/>
              </w:rPr>
            </w:pPr>
            <w:r>
              <w:rPr>
                <w:rFonts w:ascii="Times New Roman" w:cs="Times New Roman" w:eastAsia="Times New Roman" w:hAnsi="Times New Roman"/>
                <w:sz w:val="21"/>
                <w:szCs w:val="21"/>
                <w:color w:val="auto"/>
                <w:w w:val="97"/>
              </w:rPr>
              <w:t>Weighted</w:t>
            </w:r>
          </w:p>
        </w:tc>
      </w:tr>
      <w:tr>
        <w:trPr>
          <w:trHeight w:val="225"/>
        </w:trPr>
        <w:tc>
          <w:tcPr>
            <w:tcW w:w="7940" w:type="dxa"/>
            <w:vAlign w:val="bottom"/>
          </w:tcPr>
          <w:p>
            <w:pPr>
              <w:spacing w:after="0"/>
              <w:rPr>
                <w:sz w:val="19"/>
                <w:szCs w:val="19"/>
                <w:color w:val="auto"/>
              </w:rPr>
            </w:pPr>
          </w:p>
        </w:tc>
        <w:tc>
          <w:tcPr>
            <w:tcW w:w="1480" w:type="dxa"/>
            <w:vAlign w:val="bottom"/>
          </w:tcPr>
          <w:p>
            <w:pPr>
              <w:jc w:val="center"/>
              <w:spacing w:after="0" w:line="225" w:lineRule="exact"/>
              <w:rPr>
                <w:sz w:val="20"/>
                <w:szCs w:val="20"/>
                <w:color w:val="auto"/>
              </w:rPr>
            </w:pPr>
            <w:r>
              <w:rPr>
                <w:rFonts w:ascii="Times New Roman" w:cs="Times New Roman" w:eastAsia="Times New Roman" w:hAnsi="Times New Roman"/>
                <w:sz w:val="21"/>
                <w:szCs w:val="21"/>
                <w:color w:val="auto"/>
              </w:rPr>
              <w:t>of</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134"/>
              <w:spacing w:after="0" w:line="225" w:lineRule="exact"/>
              <w:rPr>
                <w:sz w:val="20"/>
                <w:szCs w:val="20"/>
                <w:color w:val="auto"/>
              </w:rPr>
            </w:pPr>
            <w:r>
              <w:rPr>
                <w:rFonts w:ascii="Times New Roman" w:cs="Times New Roman" w:eastAsia="Times New Roman" w:hAnsi="Times New Roman"/>
                <w:sz w:val="21"/>
                <w:szCs w:val="21"/>
                <w:color w:val="auto"/>
                <w:w w:val="98"/>
              </w:rPr>
              <w:t>Average</w:t>
            </w:r>
          </w:p>
        </w:tc>
      </w:tr>
      <w:tr>
        <w:trPr>
          <w:trHeight w:val="253"/>
        </w:trPr>
        <w:tc>
          <w:tcPr>
            <w:tcW w:w="794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Stock Units</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21"/>
                <w:szCs w:val="21"/>
                <w:color w:val="auto"/>
                <w:w w:val="98"/>
              </w:rPr>
              <w:t>Fair Value</w:t>
            </w:r>
          </w:p>
        </w:tc>
      </w:tr>
      <w:tr>
        <w:trPr>
          <w:trHeight w:val="219"/>
        </w:trPr>
        <w:tc>
          <w:tcPr>
            <w:tcW w:w="79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Nonvested stock units at beginning of period</w:t>
            </w:r>
          </w:p>
        </w:tc>
        <w:tc>
          <w:tcPr>
            <w:tcW w:w="14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193,687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3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43.76</w:t>
            </w:r>
          </w:p>
        </w:tc>
      </w:tr>
      <w:tr>
        <w:trPr>
          <w:trHeight w:val="225"/>
        </w:trPr>
        <w:tc>
          <w:tcPr>
            <w:tcW w:w="794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Granted</w:t>
            </w:r>
          </w:p>
        </w:tc>
        <w:tc>
          <w:tcPr>
            <w:tcW w:w="14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71,570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45.10</w:t>
            </w:r>
          </w:p>
        </w:tc>
      </w:tr>
      <w:tr>
        <w:trPr>
          <w:trHeight w:val="225"/>
        </w:trPr>
        <w:tc>
          <w:tcPr>
            <w:tcW w:w="794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Stock units vested and issued</w:t>
            </w:r>
          </w:p>
        </w:tc>
        <w:tc>
          <w:tcPr>
            <w:tcW w:w="148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(54,079)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36.63</w:t>
            </w:r>
          </w:p>
        </w:tc>
      </w:tr>
      <w:tr>
        <w:trPr>
          <w:trHeight w:val="225"/>
        </w:trPr>
        <w:tc>
          <w:tcPr>
            <w:tcW w:w="7940" w:type="dxa"/>
            <w:vAlign w:val="bottom"/>
            <w:tcBorders>
              <w:bottom w:val="single" w:sz="8" w:color="CCEEFF"/>
            </w:tcBorders>
          </w:tcPr>
          <w:p>
            <w:pPr>
              <w:ind w:left="100"/>
              <w:spacing w:after="0" w:line="225" w:lineRule="exact"/>
              <w:rPr>
                <w:sz w:val="20"/>
                <w:szCs w:val="20"/>
                <w:color w:val="auto"/>
              </w:rPr>
            </w:pPr>
            <w:r>
              <w:rPr>
                <w:rFonts w:ascii="Times New Roman" w:cs="Times New Roman" w:eastAsia="Times New Roman" w:hAnsi="Times New Roman"/>
                <w:sz w:val="21"/>
                <w:szCs w:val="21"/>
                <w:color w:val="auto"/>
              </w:rPr>
              <w:t>Forfeited</w:t>
            </w:r>
          </w:p>
        </w:tc>
        <w:tc>
          <w:tcPr>
            <w:tcW w:w="14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rPr>
              <w:t>(653)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rPr>
              <w:t>43.77</w:t>
            </w:r>
          </w:p>
        </w:tc>
      </w:tr>
      <w:tr>
        <w:trPr>
          <w:trHeight w:val="219"/>
        </w:trPr>
        <w:tc>
          <w:tcPr>
            <w:tcW w:w="7940" w:type="dxa"/>
            <w:vAlign w:val="bottom"/>
            <w:tcBorders>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Nonvested stock units at end of period</w:t>
            </w:r>
          </w:p>
        </w:tc>
        <w:tc>
          <w:tcPr>
            <w:tcW w:w="148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210,525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46.08</w:t>
            </w:r>
          </w:p>
        </w:tc>
      </w:tr>
      <w:tr>
        <w:trPr>
          <w:trHeight w:val="20"/>
        </w:trPr>
        <w:tc>
          <w:tcPr>
            <w:tcW w:w="7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21"/>
          <w:szCs w:val="21"/>
          <w:color w:val="auto"/>
        </w:rPr>
        <w:t>The per unit weighted-average fair value at the date of grant for RSUs granted during the three months ended March 31, 2022 and 2021 was $45.10 and $44.44, respectively.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Options </w:t>
      </w:r>
      <w:r>
        <w:rPr>
          <w:rFonts w:ascii="Times New Roman" w:cs="Times New Roman" w:eastAsia="Times New Roman" w:hAnsi="Times New Roman"/>
          <w:sz w:val="21"/>
          <w:szCs w:val="21"/>
          <w:color w:val="auto"/>
        </w:rPr>
        <w:t>– A stock option represents the option to purchase a number of shares of common stock of the Company as specified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1"/>
                <w:szCs w:val="21"/>
                <w:color w:val="auto"/>
              </w:rPr>
            </w:pPr>
          </w:p>
        </w:tc>
        <w:tc>
          <w:tcPr>
            <w:tcW w:w="3380" w:type="dxa"/>
            <w:vAlign w:val="bottom"/>
            <w:gridSpan w:val="4"/>
          </w:tcPr>
          <w:p>
            <w:pPr>
              <w:jc w:val="center"/>
              <w:ind w:left="434"/>
              <w:spacing w:after="0"/>
              <w:rPr>
                <w:sz w:val="20"/>
                <w:szCs w:val="20"/>
                <w:color w:val="auto"/>
              </w:rPr>
            </w:pPr>
            <w:r>
              <w:rPr>
                <w:rFonts w:ascii="Times New Roman" w:cs="Times New Roman" w:eastAsia="Times New Roman" w:hAnsi="Times New Roman"/>
                <w:sz w:val="21"/>
                <w:szCs w:val="21"/>
                <w:color w:val="auto"/>
              </w:rPr>
              <w:t>Three Months Ended</w:t>
            </w:r>
          </w:p>
        </w:tc>
        <w:tc>
          <w:tcPr>
            <w:tcW w:w="540" w:type="dxa"/>
            <w:vAlign w:val="bottom"/>
          </w:tcPr>
          <w:p>
            <w:pPr>
              <w:spacing w:after="0"/>
              <w:rPr>
                <w:sz w:val="21"/>
                <w:szCs w:val="21"/>
                <w:color w:val="auto"/>
              </w:rPr>
            </w:pPr>
          </w:p>
        </w:tc>
      </w:tr>
      <w:tr>
        <w:trPr>
          <w:trHeight w:val="253"/>
        </w:trPr>
        <w:tc>
          <w:tcPr>
            <w:tcW w:w="73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right="654"/>
              <w:spacing w:after="0"/>
              <w:rPr>
                <w:sz w:val="20"/>
                <w:szCs w:val="20"/>
                <w:color w:val="auto"/>
              </w:rPr>
            </w:pPr>
            <w:r>
              <w:rPr>
                <w:rFonts w:ascii="Times New Roman" w:cs="Times New Roman" w:eastAsia="Times New Roman" w:hAnsi="Times New Roman"/>
                <w:sz w:val="21"/>
                <w:szCs w:val="21"/>
                <w:color w:val="auto"/>
              </w:rPr>
              <w:t>March 31,</w:t>
            </w:r>
          </w:p>
        </w:tc>
        <w:tc>
          <w:tcPr>
            <w:tcW w:w="540" w:type="dxa"/>
            <w:vAlign w:val="bottom"/>
            <w:tcBorders>
              <w:bottom w:val="single" w:sz="8" w:color="auto"/>
            </w:tcBorders>
          </w:tcPr>
          <w:p>
            <w:pPr>
              <w:spacing w:after="0"/>
              <w:rPr>
                <w:sz w:val="21"/>
                <w:szCs w:val="21"/>
                <w:color w:val="auto"/>
              </w:rPr>
            </w:pPr>
          </w:p>
        </w:tc>
      </w:tr>
      <w:tr>
        <w:trPr>
          <w:trHeight w:val="218"/>
        </w:trPr>
        <w:tc>
          <w:tcPr>
            <w:tcW w:w="73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4"/>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4"/>
              <w:spacing w:after="0" w:line="219" w:lineRule="exact"/>
              <w:rPr>
                <w:sz w:val="20"/>
                <w:szCs w:val="20"/>
                <w:color w:val="auto"/>
              </w:rPr>
            </w:pPr>
            <w:r>
              <w:rPr>
                <w:rFonts w:ascii="Times New Roman" w:cs="Times New Roman" w:eastAsia="Times New Roman" w:hAnsi="Times New Roman"/>
                <w:sz w:val="21"/>
                <w:szCs w:val="21"/>
                <w:color w:val="auto"/>
              </w:rPr>
              <w:t>2021</w:t>
            </w:r>
          </w:p>
        </w:tc>
        <w:tc>
          <w:tcPr>
            <w:tcW w:w="540" w:type="dxa"/>
            <w:vAlign w:val="bottom"/>
            <w:tcBorders>
              <w:bottom w:val="single" w:sz="8" w:color="auto"/>
            </w:tcBorders>
          </w:tcPr>
          <w:p>
            <w:pPr>
              <w:spacing w:after="0"/>
              <w:rPr>
                <w:sz w:val="19"/>
                <w:szCs w:val="19"/>
                <w:color w:val="auto"/>
              </w:rPr>
            </w:pPr>
          </w:p>
        </w:tc>
      </w:tr>
      <w:tr>
        <w:trPr>
          <w:trHeight w:val="218"/>
        </w:trPr>
        <w:tc>
          <w:tcPr>
            <w:tcW w:w="73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Stock-based compensation within operations and maintenance expenses</w:t>
            </w:r>
          </w:p>
        </w:tc>
        <w:tc>
          <w:tcPr>
            <w:tcW w:w="1300" w:type="dxa"/>
            <w:vAlign w:val="bottom"/>
            <w:shd w:val="clear" w:color="auto" w:fill="CCEEFF"/>
          </w:tcPr>
          <w:p>
            <w:pPr>
              <w:jc w:val="right"/>
              <w:ind w:right="109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5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100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5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5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211</w:t>
            </w: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1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bl>
    <w:p>
      <w:pPr>
        <w:spacing w:after="0" w:line="265"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1"/>
          <w:szCs w:val="21"/>
          <w:color w:val="auto"/>
        </w:rPr>
        <w:t>The fair value of options was estimated at the grant date using the Black-Scholes option-pricing model. The following assumptions were used in the application of this valuation model: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96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21"/>
                <w:szCs w:val="21"/>
                <w:color w:val="auto"/>
              </w:rPr>
              <w:t>2022</w:t>
            </w:r>
          </w:p>
        </w:tc>
      </w:tr>
      <w:tr>
        <w:trPr>
          <w:trHeight w:val="258"/>
        </w:trPr>
        <w:tc>
          <w:tcPr>
            <w:tcW w:w="5960" w:type="dxa"/>
            <w:vAlign w:val="bottom"/>
          </w:tcPr>
          <w:p>
            <w:pPr>
              <w:spacing w:after="0"/>
              <w:rPr>
                <w:sz w:val="20"/>
                <w:szCs w:val="20"/>
                <w:color w:val="auto"/>
              </w:rPr>
            </w:pPr>
            <w:r>
              <w:rPr>
                <w:rFonts w:ascii="Times New Roman" w:cs="Times New Roman" w:eastAsia="Times New Roman" w:hAnsi="Times New Roman"/>
                <w:sz w:val="21"/>
                <w:szCs w:val="21"/>
                <w:color w:val="auto"/>
              </w:rPr>
              <w:t>Expected term (years)</w:t>
            </w:r>
          </w:p>
        </w:tc>
        <w:tc>
          <w:tcPr>
            <w:tcW w:w="3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5.48</w:t>
            </w:r>
          </w:p>
        </w:tc>
      </w:tr>
      <w:tr>
        <w:trPr>
          <w:trHeight w:val="27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Risk-free interest rate</w:t>
            </w:r>
          </w:p>
        </w:tc>
        <w:tc>
          <w:tcPr>
            <w:tcW w:w="3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1.92%</w:t>
            </w:r>
          </w:p>
        </w:tc>
      </w:tr>
      <w:tr>
        <w:trPr>
          <w:trHeight w:val="278"/>
        </w:trPr>
        <w:tc>
          <w:tcPr>
            <w:tcW w:w="5960" w:type="dxa"/>
            <w:vAlign w:val="bottom"/>
          </w:tcPr>
          <w:p>
            <w:pPr>
              <w:spacing w:after="0"/>
              <w:rPr>
                <w:sz w:val="20"/>
                <w:szCs w:val="20"/>
                <w:color w:val="auto"/>
              </w:rPr>
            </w:pPr>
            <w:r>
              <w:rPr>
                <w:rFonts w:ascii="Times New Roman" w:cs="Times New Roman" w:eastAsia="Times New Roman" w:hAnsi="Times New Roman"/>
                <w:sz w:val="21"/>
                <w:szCs w:val="21"/>
                <w:color w:val="auto"/>
              </w:rPr>
              <w:t>Expected volatility</w:t>
            </w: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26.50%</w:t>
            </w:r>
          </w:p>
        </w:tc>
      </w:tr>
      <w:tr>
        <w:trPr>
          <w:trHeight w:val="27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Dividend yield</w:t>
            </w:r>
          </w:p>
        </w:tc>
        <w:tc>
          <w:tcPr>
            <w:tcW w:w="3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2.37%</w:t>
            </w:r>
          </w:p>
        </w:tc>
      </w:tr>
      <w:tr>
        <w:trPr>
          <w:trHeight w:val="303"/>
        </w:trPr>
        <w:tc>
          <w:tcPr>
            <w:tcW w:w="5960" w:type="dxa"/>
            <w:vAlign w:val="bottom"/>
          </w:tcPr>
          <w:p>
            <w:pPr>
              <w:spacing w:after="0"/>
              <w:rPr>
                <w:sz w:val="20"/>
                <w:szCs w:val="20"/>
                <w:color w:val="auto"/>
              </w:rPr>
            </w:pPr>
            <w:r>
              <w:rPr>
                <w:rFonts w:ascii="Times New Roman" w:cs="Times New Roman" w:eastAsia="Times New Roman" w:hAnsi="Times New Roman"/>
                <w:sz w:val="21"/>
                <w:szCs w:val="21"/>
                <w:color w:val="auto"/>
              </w:rPr>
              <w:t>Grant date fair value per option</w:t>
            </w:r>
          </w:p>
        </w:tc>
        <w:tc>
          <w:tcPr>
            <w:tcW w:w="3720" w:type="dxa"/>
            <w:vAlign w:val="bottom"/>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9.34</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did not grant stock options during the quarter ended March 31, 2021.</w:t>
      </w:r>
    </w:p>
    <w:p>
      <w:pPr>
        <w:spacing w:after="0" w:line="20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stock option transactions for the three months ended March 31,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21"/>
                <w:szCs w:val="21"/>
                <w:color w:val="auto"/>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Weighted</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5"/>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5" w:lineRule="exact"/>
              <w:rPr>
                <w:sz w:val="20"/>
                <w:szCs w:val="20"/>
                <w:color w:val="auto"/>
              </w:rPr>
            </w:pPr>
            <w:r>
              <w:rPr>
                <w:rFonts w:ascii="Times New Roman" w:cs="Times New Roman" w:eastAsia="Times New Roman" w:hAnsi="Times New Roman"/>
                <w:sz w:val="21"/>
                <w:szCs w:val="21"/>
                <w:color w:val="auto"/>
                <w:w w:val="98"/>
              </w:rPr>
              <w:t>Average</w:t>
            </w:r>
          </w:p>
        </w:tc>
        <w:tc>
          <w:tcPr>
            <w:tcW w:w="1260" w:type="dxa"/>
            <w:vAlign w:val="bottom"/>
          </w:tcPr>
          <w:p>
            <w:pPr>
              <w:jc w:val="center"/>
              <w:spacing w:after="0" w:line="225" w:lineRule="exact"/>
              <w:rPr>
                <w:sz w:val="20"/>
                <w:szCs w:val="20"/>
                <w:color w:val="auto"/>
              </w:rPr>
            </w:pPr>
            <w:r>
              <w:rPr>
                <w:rFonts w:ascii="Times New Roman" w:cs="Times New Roman" w:eastAsia="Times New Roman" w:hAnsi="Times New Roman"/>
                <w:sz w:val="21"/>
                <w:szCs w:val="21"/>
                <w:color w:val="auto"/>
                <w:w w:val="98"/>
              </w:rPr>
              <w:t>Average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14"/>
              <w:spacing w:after="0" w:line="225" w:lineRule="exact"/>
              <w:rPr>
                <w:sz w:val="20"/>
                <w:szCs w:val="20"/>
                <w:color w:val="auto"/>
              </w:rPr>
            </w:pPr>
            <w:r>
              <w:rPr>
                <w:rFonts w:ascii="Times New Roman" w:cs="Times New Roman" w:eastAsia="Times New Roman" w:hAnsi="Times New Roman"/>
                <w:sz w:val="21"/>
                <w:szCs w:val="21"/>
                <w:color w:val="auto"/>
              </w:rPr>
              <w:t>Aggregate</w:t>
            </w:r>
          </w:p>
        </w:tc>
      </w:tr>
      <w:tr>
        <w:trPr>
          <w:trHeight w:val="225"/>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5" w:lineRule="exact"/>
              <w:rPr>
                <w:sz w:val="20"/>
                <w:szCs w:val="20"/>
                <w:color w:val="auto"/>
              </w:rPr>
            </w:pPr>
            <w:r>
              <w:rPr>
                <w:rFonts w:ascii="Times New Roman" w:cs="Times New Roman" w:eastAsia="Times New Roman" w:hAnsi="Times New Roman"/>
                <w:sz w:val="21"/>
                <w:szCs w:val="21"/>
                <w:color w:val="auto"/>
              </w:rPr>
              <w:t>Exercise</w:t>
            </w:r>
          </w:p>
        </w:tc>
        <w:tc>
          <w:tcPr>
            <w:tcW w:w="1260" w:type="dxa"/>
            <w:vAlign w:val="bottom"/>
          </w:tcPr>
          <w:p>
            <w:pPr>
              <w:jc w:val="center"/>
              <w:spacing w:after="0" w:line="225" w:lineRule="exact"/>
              <w:rPr>
                <w:sz w:val="20"/>
                <w:szCs w:val="20"/>
                <w:color w:val="auto"/>
              </w:rPr>
            </w:pPr>
            <w:r>
              <w:rPr>
                <w:rFonts w:ascii="Times New Roman" w:cs="Times New Roman" w:eastAsia="Times New Roman" w:hAnsi="Times New Roman"/>
                <w:sz w:val="21"/>
                <w:szCs w:val="21"/>
                <w:color w:val="auto"/>
              </w:rPr>
              <w:t>Remaining</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14"/>
              <w:spacing w:after="0" w:line="225" w:lineRule="exact"/>
              <w:rPr>
                <w:sz w:val="20"/>
                <w:szCs w:val="20"/>
                <w:color w:val="auto"/>
              </w:rPr>
            </w:pPr>
            <w:r>
              <w:rPr>
                <w:rFonts w:ascii="Times New Roman" w:cs="Times New Roman" w:eastAsia="Times New Roman" w:hAnsi="Times New Roman"/>
                <w:sz w:val="21"/>
                <w:szCs w:val="21"/>
                <w:color w:val="auto"/>
              </w:rPr>
              <w:t>Intrinsic</w:t>
            </w:r>
          </w:p>
        </w:tc>
      </w:tr>
      <w:tr>
        <w:trPr>
          <w:trHeight w:val="253"/>
        </w:trPr>
        <w:tc>
          <w:tcPr>
            <w:tcW w:w="5100" w:type="dxa"/>
            <w:vAlign w:val="bottom"/>
          </w:tcPr>
          <w:p>
            <w:pPr>
              <w:spacing w:after="0"/>
              <w:rPr>
                <w:sz w:val="21"/>
                <w:szCs w:val="21"/>
                <w:color w:val="auto"/>
              </w:rPr>
            </w:pP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21"/>
                <w:szCs w:val="21"/>
                <w:color w:val="auto"/>
              </w:rPr>
              <w:t>Shares</w:t>
            </w:r>
          </w:p>
        </w:tc>
        <w:tc>
          <w:tcPr>
            <w:tcW w:w="18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21"/>
                <w:szCs w:val="21"/>
                <w:color w:val="auto"/>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Life (years)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Value</w:t>
            </w:r>
          </w:p>
        </w:tc>
      </w:tr>
      <w:tr>
        <w:trPr>
          <w:trHeight w:val="218"/>
        </w:trPr>
        <w:tc>
          <w:tcPr>
            <w:tcW w:w="510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Outstanding at beginning of period</w:t>
            </w:r>
          </w:p>
        </w:tc>
        <w:tc>
          <w:tcPr>
            <w:tcW w:w="138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813,492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35.37</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5"/>
        </w:trPr>
        <w:tc>
          <w:tcPr>
            <w:tcW w:w="510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Granted</w:t>
            </w:r>
          </w:p>
        </w:tc>
        <w:tc>
          <w:tcPr>
            <w:tcW w:w="13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84,296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45.19</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510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Forfeited</w:t>
            </w:r>
          </w:p>
        </w:tc>
        <w:tc>
          <w:tcPr>
            <w:tcW w:w="1580" w:type="dxa"/>
            <w:vAlign w:val="bottom"/>
            <w:gridSpan w:val="2"/>
            <w:shd w:val="clear" w:color="auto" w:fill="CCEEFF"/>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(863)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35.94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510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Expired</w:t>
            </w:r>
          </w:p>
        </w:tc>
        <w:tc>
          <w:tcPr>
            <w:tcW w:w="158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(125)</w:t>
            </w:r>
          </w:p>
        </w:tc>
        <w:tc>
          <w:tcPr>
            <w:tcW w:w="180" w:type="dxa"/>
            <w:vAlign w:val="bottom"/>
          </w:tcPr>
          <w:p>
            <w:pPr>
              <w:spacing w:after="0"/>
              <w:rPr>
                <w:sz w:val="19"/>
                <w:szCs w:val="19"/>
                <w:color w:val="auto"/>
              </w:rPr>
            </w:pPr>
          </w:p>
        </w:tc>
        <w:tc>
          <w:tcPr>
            <w:tcW w:w="11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35.94</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510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Exercised</w:t>
            </w:r>
          </w:p>
        </w:tc>
        <w:tc>
          <w:tcPr>
            <w:tcW w:w="1580" w:type="dxa"/>
            <w:vAlign w:val="bottom"/>
            <w:gridSpan w:val="2"/>
            <w:shd w:val="clear" w:color="auto" w:fill="CCEEFF"/>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(28,516)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35.48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5100" w:type="dxa"/>
            <w:vAlign w:val="bottom"/>
          </w:tcPr>
          <w:p>
            <w:pPr>
              <w:spacing w:after="0" w:line="219" w:lineRule="exact"/>
              <w:rPr>
                <w:sz w:val="20"/>
                <w:szCs w:val="20"/>
                <w:color w:val="auto"/>
              </w:rPr>
            </w:pPr>
            <w:r>
              <w:rPr>
                <w:rFonts w:ascii="Times New Roman" w:cs="Times New Roman" w:eastAsia="Times New Roman" w:hAnsi="Times New Roman"/>
                <w:sz w:val="21"/>
                <w:szCs w:val="21"/>
                <w:color w:val="auto"/>
              </w:rPr>
              <w:t>Outstanding at end of period</w:t>
            </w:r>
          </w:p>
        </w:tc>
        <w:tc>
          <w:tcPr>
            <w:tcW w:w="138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868,284</w:t>
            </w:r>
          </w:p>
        </w:tc>
        <w:tc>
          <w:tcPr>
            <w:tcW w:w="20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1"/>
                <w:szCs w:val="21"/>
                <w:color w:val="auto"/>
              </w:rPr>
              <w:t>36.33</w:t>
            </w:r>
          </w:p>
        </w:tc>
        <w:tc>
          <w:tcPr>
            <w:tcW w:w="200" w:type="dxa"/>
            <w:vAlign w:val="bottom"/>
          </w:tcPr>
          <w:p>
            <w:pPr>
              <w:spacing w:after="0"/>
              <w:rPr>
                <w:sz w:val="19"/>
                <w:szCs w:val="19"/>
                <w:color w:val="auto"/>
              </w:rPr>
            </w:pPr>
          </w:p>
        </w:tc>
        <w:tc>
          <w:tcPr>
            <w:tcW w:w="1260" w:type="dxa"/>
            <w:vAlign w:val="bottom"/>
          </w:tcPr>
          <w:p>
            <w:pPr>
              <w:jc w:val="right"/>
              <w:spacing w:after="0" w:line="219" w:lineRule="exact"/>
              <w:rPr>
                <w:sz w:val="20"/>
                <w:szCs w:val="20"/>
                <w:color w:val="auto"/>
              </w:rPr>
            </w:pPr>
            <w:r>
              <w:rPr>
                <w:rFonts w:ascii="Times New Roman" w:cs="Times New Roman" w:eastAsia="Times New Roman" w:hAnsi="Times New Roman"/>
                <w:sz w:val="21"/>
                <w:szCs w:val="21"/>
                <w:color w:val="auto"/>
              </w:rPr>
              <w:t>7.0</w:t>
            </w:r>
          </w:p>
        </w:tc>
        <w:tc>
          <w:tcPr>
            <w:tcW w:w="42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1"/>
                <w:szCs w:val="21"/>
                <w:color w:val="auto"/>
              </w:rPr>
              <w:t>$</w:t>
            </w:r>
          </w:p>
        </w:tc>
        <w:tc>
          <w:tcPr>
            <w:tcW w:w="1340" w:type="dxa"/>
            <w:vAlign w:val="bottom"/>
          </w:tcPr>
          <w:p>
            <w:pPr>
              <w:ind w:left="320"/>
              <w:spacing w:after="0" w:line="219" w:lineRule="exact"/>
              <w:rPr>
                <w:sz w:val="20"/>
                <w:szCs w:val="20"/>
                <w:color w:val="auto"/>
              </w:rPr>
            </w:pPr>
            <w:r>
              <w:rPr>
                <w:rFonts w:ascii="Times New Roman" w:cs="Times New Roman" w:eastAsia="Times New Roman" w:hAnsi="Times New Roman"/>
                <w:sz w:val="21"/>
                <w:szCs w:val="21"/>
                <w:color w:val="auto"/>
              </w:rPr>
              <w:t>12,853,795</w:t>
            </w:r>
          </w:p>
        </w:tc>
      </w:tr>
      <w:tr>
        <w:trPr>
          <w:trHeight w:val="20"/>
        </w:trPr>
        <w:tc>
          <w:tcPr>
            <w:tcW w:w="5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5"/>
        </w:trPr>
        <w:tc>
          <w:tcPr>
            <w:tcW w:w="51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Exercisable at end of period</w:t>
            </w:r>
          </w:p>
        </w:tc>
        <w:tc>
          <w:tcPr>
            <w:tcW w:w="138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783,723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35.37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6.6</w:t>
            </w:r>
          </w:p>
        </w:tc>
        <w:tc>
          <w:tcPr>
            <w:tcW w:w="420" w:type="dxa"/>
            <w:vAlign w:val="bottom"/>
            <w:gridSpan w:val="2"/>
            <w:shd w:val="clear" w:color="auto" w:fill="CCEEFF"/>
          </w:tcPr>
          <w:p>
            <w:pPr>
              <w:jc w:val="right"/>
              <w:ind w:right="120"/>
              <w:spacing w:after="0" w:line="225" w:lineRule="exact"/>
              <w:rPr>
                <w:sz w:val="20"/>
                <w:szCs w:val="20"/>
                <w:color w:val="auto"/>
              </w:rPr>
            </w:pPr>
            <w:r>
              <w:rPr>
                <w:rFonts w:ascii="Times New Roman" w:cs="Times New Roman" w:eastAsia="Times New Roman" w:hAnsi="Times New Roman"/>
                <w:sz w:val="21"/>
                <w:szCs w:val="21"/>
                <w:color w:val="auto"/>
              </w:rPr>
              <w:t>$</w:t>
            </w:r>
          </w:p>
        </w:tc>
        <w:tc>
          <w:tcPr>
            <w:tcW w:w="1340" w:type="dxa"/>
            <w:vAlign w:val="bottom"/>
            <w:shd w:val="clear" w:color="auto" w:fill="CCEEFF"/>
          </w:tcPr>
          <w:p>
            <w:pPr>
              <w:ind w:left="320"/>
              <w:spacing w:after="0" w:line="225" w:lineRule="exact"/>
              <w:rPr>
                <w:sz w:val="20"/>
                <w:szCs w:val="20"/>
                <w:color w:val="auto"/>
              </w:rPr>
            </w:pPr>
            <w:r>
              <w:rPr>
                <w:rFonts w:ascii="Times New Roman" w:cs="Times New Roman" w:eastAsia="Times New Roman" w:hAnsi="Times New Roman"/>
                <w:sz w:val="21"/>
                <w:szCs w:val="21"/>
                <w:color w:val="auto"/>
              </w:rPr>
              <w:t>12,351,503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 </w:t>
      </w:r>
      <w:r>
        <w:rPr>
          <w:rFonts w:ascii="Times New Roman" w:cs="Times New Roman" w:eastAsia="Times New Roman" w:hAnsi="Times New Roman"/>
          <w:sz w:val="21"/>
          <w:szCs w:val="21"/>
          <w:color w:val="auto"/>
        </w:rPr>
        <w:t>Restricted stock awards provide the grantee with the rights of a shareholder, including the right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21"/>
                <w:szCs w:val="21"/>
                <w:color w:val="auto"/>
              </w:rPr>
              <w:t>Three Months Ended</w:t>
            </w:r>
          </w:p>
        </w:tc>
        <w:tc>
          <w:tcPr>
            <w:tcW w:w="1220" w:type="dxa"/>
            <w:vAlign w:val="bottom"/>
          </w:tcPr>
          <w:p>
            <w:pPr>
              <w:spacing w:after="0"/>
              <w:rPr>
                <w:sz w:val="20"/>
                <w:szCs w:val="20"/>
                <w:color w:val="auto"/>
              </w:rPr>
            </w:pPr>
          </w:p>
        </w:tc>
      </w:tr>
      <w:tr>
        <w:trPr>
          <w:trHeight w:val="253"/>
        </w:trPr>
        <w:tc>
          <w:tcPr>
            <w:tcW w:w="69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March 31,</w:t>
            </w:r>
          </w:p>
        </w:tc>
        <w:tc>
          <w:tcPr>
            <w:tcW w:w="1220" w:type="dxa"/>
            <w:vAlign w:val="bottom"/>
            <w:tcBorders>
              <w:bottom w:val="single" w:sz="8" w:color="auto"/>
            </w:tcBorders>
          </w:tcPr>
          <w:p>
            <w:pPr>
              <w:spacing w:after="0"/>
              <w:rPr>
                <w:sz w:val="21"/>
                <w:szCs w:val="21"/>
                <w:color w:val="auto"/>
              </w:rPr>
            </w:pPr>
          </w:p>
        </w:tc>
      </w:tr>
      <w:tr>
        <w:trPr>
          <w:trHeight w:val="218"/>
        </w:trPr>
        <w:tc>
          <w:tcPr>
            <w:tcW w:w="69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4"/>
              <w:spacing w:after="0" w:line="219" w:lineRule="exact"/>
              <w:rPr>
                <w:sz w:val="20"/>
                <w:szCs w:val="20"/>
                <w:color w:val="auto"/>
              </w:rPr>
            </w:pPr>
            <w:r>
              <w:rPr>
                <w:rFonts w:ascii="Times New Roman" w:cs="Times New Roman" w:eastAsia="Times New Roman" w:hAnsi="Times New Roman"/>
                <w:sz w:val="21"/>
                <w:szCs w:val="21"/>
                <w:color w:val="auto"/>
                <w:w w:val="99"/>
              </w:rPr>
              <w:t>2021</w:t>
            </w:r>
          </w:p>
        </w:tc>
      </w:tr>
      <w:tr>
        <w:trPr>
          <w:trHeight w:val="219"/>
        </w:trPr>
        <w:tc>
          <w:tcPr>
            <w:tcW w:w="69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Stock-based compensation within operations and maintenance expenses</w:t>
            </w:r>
          </w:p>
        </w:tc>
        <w:tc>
          <w:tcPr>
            <w:tcW w:w="1240" w:type="dxa"/>
            <w:vAlign w:val="bottom"/>
            <w:shd w:val="clear" w:color="auto" w:fill="CCEEFF"/>
          </w:tcPr>
          <w:p>
            <w:pPr>
              <w:jc w:val="right"/>
              <w:ind w:right="914"/>
              <w:spacing w:after="0" w:line="219" w:lineRule="exact"/>
              <w:rPr>
                <w:sz w:val="20"/>
                <w:szCs w:val="20"/>
                <w:color w:val="auto"/>
              </w:rPr>
            </w:pPr>
            <w:r>
              <w:rPr>
                <w:rFonts w:ascii="Times New Roman" w:cs="Times New Roman" w:eastAsia="Times New Roman" w:hAnsi="Times New Roman"/>
                <w:sz w:val="21"/>
                <w:szCs w:val="21"/>
                <w:color w:val="auto"/>
              </w:rPr>
              <w:t>$</w:t>
            </w:r>
          </w:p>
        </w:tc>
        <w:tc>
          <w:tcPr>
            <w:tcW w:w="7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12</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34"/>
              <w:spacing w:after="0" w:line="219" w:lineRule="exact"/>
              <w:rPr>
                <w:sz w:val="20"/>
                <w:szCs w:val="20"/>
                <w:color w:val="auto"/>
              </w:rPr>
            </w:pPr>
            <w:r>
              <w:rPr>
                <w:rFonts w:ascii="Times New Roman" w:cs="Times New Roman" w:eastAsia="Times New Roman" w:hAnsi="Times New Roman"/>
                <w:sz w:val="21"/>
                <w:szCs w:val="21"/>
                <w:color w:val="auto"/>
              </w:rPr>
              <w:t>$</w:t>
            </w:r>
          </w:p>
        </w:tc>
        <w:tc>
          <w:tcPr>
            <w:tcW w:w="12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93</w:t>
            </w:r>
          </w:p>
        </w:tc>
      </w:tr>
      <w:tr>
        <w:trPr>
          <w:trHeight w:val="277"/>
        </w:trPr>
        <w:tc>
          <w:tcPr>
            <w:tcW w:w="694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12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21"/>
                <w:szCs w:val="21"/>
                <w:color w:val="auto"/>
              </w:rPr>
              <w:t>4</w:t>
            </w:r>
          </w:p>
        </w:tc>
        <w:tc>
          <w:tcPr>
            <w:tcW w:w="7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restricted stock transactions for the three months ended March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center"/>
              <w:ind w:right="274"/>
              <w:spacing w:after="0"/>
              <w:rPr>
                <w:sz w:val="20"/>
                <w:szCs w:val="20"/>
                <w:color w:val="auto"/>
              </w:rPr>
            </w:pPr>
            <w:r>
              <w:rPr>
                <w:rFonts w:ascii="Times New Roman" w:cs="Times New Roman" w:eastAsia="Times New Roman" w:hAnsi="Times New Roman"/>
                <w:sz w:val="21"/>
                <w:szCs w:val="21"/>
                <w:color w:val="auto"/>
              </w:rPr>
              <w:t>Number</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center"/>
              <w:ind w:right="214"/>
              <w:spacing w:after="0"/>
              <w:rPr>
                <w:sz w:val="20"/>
                <w:szCs w:val="20"/>
                <w:color w:val="auto"/>
              </w:rPr>
            </w:pPr>
            <w:r>
              <w:rPr>
                <w:rFonts w:ascii="Times New Roman" w:cs="Times New Roman" w:eastAsia="Times New Roman" w:hAnsi="Times New Roman"/>
                <w:sz w:val="21"/>
                <w:szCs w:val="21"/>
                <w:color w:val="auto"/>
              </w:rPr>
              <w:t>Weighted</w:t>
            </w:r>
          </w:p>
        </w:tc>
      </w:tr>
      <w:tr>
        <w:trPr>
          <w:trHeight w:val="225"/>
        </w:trPr>
        <w:tc>
          <w:tcPr>
            <w:tcW w:w="7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center"/>
              <w:ind w:right="274"/>
              <w:spacing w:after="0" w:line="225" w:lineRule="exact"/>
              <w:rPr>
                <w:sz w:val="20"/>
                <w:szCs w:val="20"/>
                <w:color w:val="auto"/>
              </w:rPr>
            </w:pPr>
            <w:r>
              <w:rPr>
                <w:rFonts w:ascii="Times New Roman" w:cs="Times New Roman" w:eastAsia="Times New Roman" w:hAnsi="Times New Roman"/>
                <w:sz w:val="21"/>
                <w:szCs w:val="21"/>
                <w:color w:val="auto"/>
              </w:rPr>
              <w:t>of</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center"/>
              <w:ind w:right="214"/>
              <w:spacing w:after="0" w:line="225" w:lineRule="exact"/>
              <w:rPr>
                <w:sz w:val="20"/>
                <w:szCs w:val="20"/>
                <w:color w:val="auto"/>
              </w:rPr>
            </w:pPr>
            <w:r>
              <w:rPr>
                <w:rFonts w:ascii="Times New Roman" w:cs="Times New Roman" w:eastAsia="Times New Roman" w:hAnsi="Times New Roman"/>
                <w:sz w:val="21"/>
                <w:szCs w:val="21"/>
                <w:color w:val="auto"/>
                <w:w w:val="98"/>
              </w:rPr>
              <w:t>Average</w:t>
            </w:r>
          </w:p>
        </w:tc>
      </w:tr>
      <w:tr>
        <w:trPr>
          <w:trHeight w:val="253"/>
        </w:trPr>
        <w:tc>
          <w:tcPr>
            <w:tcW w:w="7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21"/>
                <w:szCs w:val="21"/>
                <w:color w:val="auto"/>
                <w:w w:val="99"/>
              </w:rPr>
              <w:t>Shares</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21"/>
                <w:szCs w:val="21"/>
                <w:color w:val="auto"/>
                <w:w w:val="98"/>
              </w:rPr>
              <w:t>Fair Value</w:t>
            </w:r>
          </w:p>
        </w:tc>
      </w:tr>
      <w:tr>
        <w:trPr>
          <w:trHeight w:val="218"/>
        </w:trPr>
        <w:tc>
          <w:tcPr>
            <w:tcW w:w="72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Nonvested restricted stock at beginning of period</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1,068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6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46.83</w:t>
            </w:r>
          </w:p>
        </w:tc>
      </w:tr>
      <w:tr>
        <w:trPr>
          <w:trHeight w:val="225"/>
        </w:trPr>
        <w:tc>
          <w:tcPr>
            <w:tcW w:w="7620" w:type="dxa"/>
            <w:vAlign w:val="bottom"/>
            <w:gridSpan w:val="2"/>
          </w:tcPr>
          <w:p>
            <w:pPr>
              <w:ind w:left="100"/>
              <w:spacing w:after="0" w:line="225" w:lineRule="exact"/>
              <w:rPr>
                <w:sz w:val="20"/>
                <w:szCs w:val="20"/>
                <w:color w:val="auto"/>
              </w:rPr>
            </w:pPr>
            <w:r>
              <w:rPr>
                <w:rFonts w:ascii="Times New Roman" w:cs="Times New Roman" w:eastAsia="Times New Roman" w:hAnsi="Times New Roman"/>
                <w:sz w:val="21"/>
                <w:szCs w:val="21"/>
                <w:color w:val="auto"/>
              </w:rPr>
              <w:t>Granted</w:t>
            </w:r>
          </w:p>
        </w:tc>
        <w:tc>
          <w:tcPr>
            <w:tcW w:w="13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r>
      <w:tr>
        <w:trPr>
          <w:trHeight w:val="225"/>
        </w:trPr>
        <w:tc>
          <w:tcPr>
            <w:tcW w:w="7620" w:type="dxa"/>
            <w:vAlign w:val="bottom"/>
            <w:gridSpan w:val="2"/>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Vested</w:t>
            </w:r>
          </w:p>
        </w:tc>
        <w:tc>
          <w:tcPr>
            <w:tcW w:w="13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r>
      <w:tr>
        <w:trPr>
          <w:trHeight w:val="218"/>
        </w:trPr>
        <w:tc>
          <w:tcPr>
            <w:tcW w:w="7260" w:type="dxa"/>
            <w:vAlign w:val="bottom"/>
          </w:tcPr>
          <w:p>
            <w:pPr>
              <w:spacing w:after="0" w:line="219" w:lineRule="exact"/>
              <w:rPr>
                <w:sz w:val="20"/>
                <w:szCs w:val="20"/>
                <w:color w:val="auto"/>
              </w:rPr>
            </w:pPr>
            <w:r>
              <w:rPr>
                <w:rFonts w:ascii="Times New Roman" w:cs="Times New Roman" w:eastAsia="Times New Roman" w:hAnsi="Times New Roman"/>
                <w:sz w:val="21"/>
                <w:szCs w:val="21"/>
                <w:color w:val="auto"/>
              </w:rPr>
              <w:t>Nonvested restricted stock at end of period</w:t>
            </w: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1,068</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6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46.83</w:t>
            </w: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68"/>
        </w:trPr>
        <w:tc>
          <w:tcPr>
            <w:tcW w:w="7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The Company did not grant restricted stock for the three months ended March 31, 2022.</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0"/>
        </w:trPr>
        <w:tc>
          <w:tcPr>
            <w:tcW w:w="7260" w:type="dxa"/>
            <w:vAlign w:val="bottom"/>
          </w:tcPr>
          <w:p>
            <w:pPr>
              <w:ind w:left="5520"/>
              <w:spacing w:after="0"/>
              <w:rPr>
                <w:sz w:val="20"/>
                <w:szCs w:val="20"/>
                <w:color w:val="auto"/>
              </w:rPr>
            </w:pPr>
            <w:r>
              <w:rPr>
                <w:rFonts w:ascii="Times New Roman" w:cs="Times New Roman" w:eastAsia="Times New Roman" w:hAnsi="Times New Roman"/>
                <w:sz w:val="21"/>
                <w:szCs w:val="21"/>
                <w:color w:val="auto"/>
              </w:rPr>
              <w:t>22</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0"/>
        </w:trPr>
        <w:tc>
          <w:tcPr>
            <w:tcW w:w="7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Awards </w:t>
      </w:r>
      <w:r>
        <w:rPr>
          <w:rFonts w:ascii="Times New Roman" w:cs="Times New Roman" w:eastAsia="Times New Roman" w:hAnsi="Times New Roman"/>
          <w:sz w:val="21"/>
          <w:szCs w:val="21"/>
          <w:color w:val="auto"/>
        </w:rPr>
        <w:t>– Stock awards represent the issuance of the Company’s common stock, without restriction. The issuance of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00" w:type="dxa"/>
            <w:vAlign w:val="bottom"/>
            <w:gridSpan w:val="6"/>
          </w:tcPr>
          <w:p>
            <w:pPr>
              <w:jc w:val="right"/>
              <w:ind w:right="1154"/>
              <w:spacing w:after="0"/>
              <w:rPr>
                <w:sz w:val="20"/>
                <w:szCs w:val="20"/>
                <w:color w:val="auto"/>
              </w:rPr>
            </w:pPr>
            <w:r>
              <w:rPr>
                <w:rFonts w:ascii="Times New Roman" w:cs="Times New Roman" w:eastAsia="Times New Roman" w:hAnsi="Times New Roman"/>
                <w:sz w:val="21"/>
                <w:szCs w:val="21"/>
                <w:color w:val="auto"/>
              </w:rPr>
              <w:t>Three Months Ended</w:t>
            </w:r>
          </w:p>
        </w:tc>
      </w:tr>
      <w:tr>
        <w:trPr>
          <w:trHeight w:val="253"/>
        </w:trPr>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21"/>
                <w:szCs w:val="21"/>
                <w:color w:val="auto"/>
              </w:rPr>
              <w:t>March 31,</w:t>
            </w:r>
          </w:p>
        </w:tc>
        <w:tc>
          <w:tcPr>
            <w:tcW w:w="1580" w:type="dxa"/>
            <w:vAlign w:val="bottom"/>
            <w:tcBorders>
              <w:bottom w:val="single" w:sz="8" w:color="auto"/>
            </w:tcBorders>
          </w:tcPr>
          <w:p>
            <w:pPr>
              <w:spacing w:after="0"/>
              <w:rPr>
                <w:sz w:val="21"/>
                <w:szCs w:val="21"/>
                <w:color w:val="auto"/>
              </w:rPr>
            </w:pPr>
          </w:p>
        </w:tc>
      </w:tr>
      <w:tr>
        <w:trPr>
          <w:trHeight w:val="218"/>
        </w:trPr>
        <w:tc>
          <w:tcPr>
            <w:tcW w:w="65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74"/>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34"/>
              <w:spacing w:after="0" w:line="219" w:lineRule="exact"/>
              <w:rPr>
                <w:sz w:val="20"/>
                <w:szCs w:val="20"/>
                <w:color w:val="auto"/>
              </w:rPr>
            </w:pPr>
            <w:r>
              <w:rPr>
                <w:rFonts w:ascii="Times New Roman" w:cs="Times New Roman" w:eastAsia="Times New Roman" w:hAnsi="Times New Roman"/>
                <w:sz w:val="21"/>
                <w:szCs w:val="21"/>
                <w:color w:val="auto"/>
                <w:w w:val="99"/>
              </w:rPr>
              <w:t>2021</w:t>
            </w:r>
          </w:p>
        </w:tc>
      </w:tr>
      <w:tr>
        <w:trPr>
          <w:trHeight w:val="218"/>
        </w:trPr>
        <w:tc>
          <w:tcPr>
            <w:tcW w:w="65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Stock-based compensation within operations and maintenance expenses</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7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192</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3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5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175</w:t>
            </w:r>
          </w:p>
        </w:tc>
      </w:tr>
      <w:tr>
        <w:trPr>
          <w:trHeight w:val="277"/>
        </w:trPr>
        <w:tc>
          <w:tcPr>
            <w:tcW w:w="6520" w:type="dxa"/>
            <w:vAlign w:val="bottom"/>
          </w:tcPr>
          <w:p>
            <w:pPr>
              <w:spacing w:after="0"/>
              <w:rPr>
                <w:sz w:val="20"/>
                <w:szCs w:val="20"/>
                <w:color w:val="auto"/>
              </w:rPr>
            </w:pPr>
            <w:r>
              <w:rPr>
                <w:rFonts w:ascii="Times New Roman" w:cs="Times New Roman" w:eastAsia="Times New Roman" w:hAnsi="Times New Roman"/>
                <w:sz w:val="21"/>
                <w:szCs w:val="21"/>
                <w:color w:val="auto"/>
              </w:rPr>
              <w:t>Income tax benefit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56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23"/>
        </w:trPr>
        <w:tc>
          <w:tcPr>
            <w:tcW w:w="922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The following table summarizes stock award transactions for the three months ended March 31, 2022: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5"/>
        </w:trPr>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21"/>
                <w:szCs w:val="21"/>
                <w:color w:val="auto"/>
              </w:rPr>
              <w:t>Number</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w w:val="97"/>
              </w:rPr>
              <w:t>Weighted</w:t>
            </w:r>
          </w:p>
        </w:tc>
      </w:tr>
      <w:tr>
        <w:trPr>
          <w:trHeight w:val="225"/>
        </w:trPr>
        <w:tc>
          <w:tcPr>
            <w:tcW w:w="6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3"/>
          </w:tcPr>
          <w:p>
            <w:pPr>
              <w:jc w:val="center"/>
              <w:ind w:right="260"/>
              <w:spacing w:after="0" w:line="225" w:lineRule="exact"/>
              <w:rPr>
                <w:sz w:val="20"/>
                <w:szCs w:val="20"/>
                <w:color w:val="auto"/>
              </w:rPr>
            </w:pPr>
            <w:r>
              <w:rPr>
                <w:rFonts w:ascii="Times New Roman" w:cs="Times New Roman" w:eastAsia="Times New Roman" w:hAnsi="Times New Roman"/>
                <w:sz w:val="21"/>
                <w:szCs w:val="21"/>
                <w:color w:val="auto"/>
              </w:rPr>
              <w:t>of</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center"/>
              <w:ind w:right="334"/>
              <w:spacing w:after="0" w:line="225" w:lineRule="exact"/>
              <w:rPr>
                <w:sz w:val="20"/>
                <w:szCs w:val="20"/>
                <w:color w:val="auto"/>
              </w:rPr>
            </w:pPr>
            <w:r>
              <w:rPr>
                <w:rFonts w:ascii="Times New Roman" w:cs="Times New Roman" w:eastAsia="Times New Roman" w:hAnsi="Times New Roman"/>
                <w:sz w:val="21"/>
                <w:szCs w:val="21"/>
                <w:color w:val="auto"/>
                <w:w w:val="98"/>
              </w:rPr>
              <w:t>Average</w:t>
            </w:r>
          </w:p>
        </w:tc>
      </w:tr>
      <w:tr>
        <w:trPr>
          <w:trHeight w:val="253"/>
        </w:trPr>
        <w:tc>
          <w:tcPr>
            <w:tcW w:w="6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21"/>
                <w:szCs w:val="21"/>
                <w:color w:val="auto"/>
                <w:w w:val="99"/>
              </w:rPr>
              <w:t>Stock Awards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w w:val="98"/>
              </w:rPr>
              <w:t>Fair Value</w:t>
            </w:r>
          </w:p>
        </w:tc>
      </w:tr>
      <w:tr>
        <w:trPr>
          <w:trHeight w:val="218"/>
        </w:trPr>
        <w:tc>
          <w:tcPr>
            <w:tcW w:w="652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Nonvested stock awards at beginning of period</w:t>
            </w: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58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w:t>
            </w:r>
          </w:p>
        </w:tc>
      </w:tr>
      <w:tr>
        <w:trPr>
          <w:trHeight w:val="225"/>
        </w:trPr>
        <w:tc>
          <w:tcPr>
            <w:tcW w:w="652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Granted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3,724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51.66</w:t>
            </w:r>
          </w:p>
        </w:tc>
      </w:tr>
      <w:tr>
        <w:trPr>
          <w:trHeight w:val="225"/>
        </w:trPr>
        <w:tc>
          <w:tcPr>
            <w:tcW w:w="652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Vested</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jc w:val="right"/>
              <w:ind w:right="280"/>
              <w:spacing w:after="0" w:line="225" w:lineRule="exact"/>
              <w:rPr>
                <w:sz w:val="20"/>
                <w:szCs w:val="20"/>
                <w:color w:val="auto"/>
              </w:rPr>
            </w:pPr>
            <w:r>
              <w:rPr>
                <w:rFonts w:ascii="Times New Roman" w:cs="Times New Roman" w:eastAsia="Times New Roman" w:hAnsi="Times New Roman"/>
                <w:sz w:val="21"/>
                <w:szCs w:val="21"/>
                <w:color w:val="auto"/>
              </w:rPr>
              <w:t>(3,724)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(51.66)</w:t>
            </w:r>
          </w:p>
        </w:tc>
      </w:tr>
      <w:tr>
        <w:trPr>
          <w:trHeight w:val="219"/>
        </w:trPr>
        <w:tc>
          <w:tcPr>
            <w:tcW w:w="6520" w:type="dxa"/>
            <w:vAlign w:val="bottom"/>
          </w:tcPr>
          <w:p>
            <w:pPr>
              <w:spacing w:after="0" w:line="219" w:lineRule="exact"/>
              <w:rPr>
                <w:sz w:val="20"/>
                <w:szCs w:val="20"/>
                <w:color w:val="auto"/>
              </w:rPr>
            </w:pPr>
            <w:r>
              <w:rPr>
                <w:rFonts w:ascii="Times New Roman" w:cs="Times New Roman" w:eastAsia="Times New Roman" w:hAnsi="Times New Roman"/>
                <w:sz w:val="21"/>
                <w:szCs w:val="21"/>
                <w:color w:val="auto"/>
              </w:rPr>
              <w:t>Nonvested stock awards at end of period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line="219" w:lineRule="exact"/>
              <w:rPr>
                <w:sz w:val="20"/>
                <w:szCs w:val="20"/>
                <w:color w:val="auto"/>
              </w:rPr>
            </w:pPr>
            <w:r>
              <w:rPr>
                <w:rFonts w:ascii="Times New Roman" w:cs="Times New Roman" w:eastAsia="Times New Roman" w:hAnsi="Times New Roman"/>
                <w:sz w:val="21"/>
                <w:szCs w:val="21"/>
                <w:color w:val="auto"/>
              </w:rPr>
              <w:t>-</w:t>
            </w:r>
          </w:p>
        </w:tc>
      </w:tr>
      <w:tr>
        <w:trPr>
          <w:trHeight w:val="20"/>
        </w:trPr>
        <w:tc>
          <w:tcPr>
            <w:tcW w:w="6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1"/>
          <w:szCs w:val="21"/>
          <w:color w:val="auto"/>
        </w:rPr>
        <w:t>The weighted-average fair value at the date of grant for stock awards granted during the three months ended March 31, 2022 and 2021 was $51.66 and $44.54,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9 – </w:t>
      </w:r>
      <w:r>
        <w:rPr>
          <w:rFonts w:ascii="Times New Roman" w:cs="Times New Roman" w:eastAsia="Times New Roman" w:hAnsi="Times New Roman"/>
          <w:sz w:val="21"/>
          <w:szCs w:val="21"/>
          <w:b w:val="1"/>
          <w:bCs w:val="1"/>
          <w:i w:val="1"/>
          <w:iCs w:val="1"/>
          <w:color w:val="auto"/>
        </w:rPr>
        <w:t>Pension Plans and Other Postretirement Benefits</w:t>
      </w:r>
    </w:p>
    <w:p>
      <w:pPr>
        <w:spacing w:after="0" w:line="213"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21"/>
          <w:szCs w:val="21"/>
          <w:color w:val="auto"/>
        </w:rPr>
        <w:t>The Company maintains a qualified defined benefit pension plan (the “Pension Plan”), a nonqualified pension plan, and other postretirement benefit plans for certain of its employees.</w:t>
      </w:r>
    </w:p>
    <w:p>
      <w:pPr>
        <w:spacing w:after="0" w:line="168" w:lineRule="exact"/>
        <w:rPr>
          <w:sz w:val="20"/>
          <w:szCs w:val="20"/>
          <w:color w:val="auto"/>
        </w:rPr>
      </w:pPr>
    </w:p>
    <w:p>
      <w:pPr>
        <w:ind w:right="1200"/>
        <w:spacing w:after="0" w:line="259" w:lineRule="auto"/>
        <w:rPr>
          <w:sz w:val="20"/>
          <w:szCs w:val="20"/>
          <w:color w:val="auto"/>
        </w:rPr>
      </w:pPr>
      <w:r>
        <w:rPr>
          <w:rFonts w:ascii="Times New Roman" w:cs="Times New Roman" w:eastAsia="Times New Roman" w:hAnsi="Times New Roman"/>
          <w:sz w:val="21"/>
          <w:szCs w:val="21"/>
          <w:color w:val="auto"/>
        </w:rPr>
        <w:t>The following tables provide the components of net periodic benefit (credit) cost for the Company’s pension and other postretirement benefit plans: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Pension Benefits</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21"/>
                <w:szCs w:val="21"/>
                <w:color w:val="auto"/>
              </w:rPr>
              <w:t>Three Months Ended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2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9"/>
              </w:rPr>
              <w:t>March 31,</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4"/>
              <w:spacing w:after="0" w:line="219" w:lineRule="exact"/>
              <w:rPr>
                <w:sz w:val="20"/>
                <w:szCs w:val="20"/>
                <w:color w:val="auto"/>
              </w:rPr>
            </w:pPr>
            <w:r>
              <w:rPr>
                <w:rFonts w:ascii="Times New Roman" w:cs="Times New Roman" w:eastAsia="Times New Roman" w:hAnsi="Times New Roman"/>
                <w:sz w:val="21"/>
                <w:szCs w:val="21"/>
                <w:color w:val="auto"/>
              </w:rPr>
              <w:t>2021</w:t>
            </w: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Service cost</w:t>
            </w:r>
          </w:p>
        </w:tc>
        <w:tc>
          <w:tcPr>
            <w:tcW w:w="2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707</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30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1,078</w:t>
            </w:r>
          </w:p>
        </w:tc>
        <w:tc>
          <w:tcPr>
            <w:tcW w:w="0" w:type="dxa"/>
            <w:vAlign w:val="bottom"/>
          </w:tcPr>
          <w:p>
            <w:pPr>
              <w:spacing w:after="0"/>
              <w:rPr>
                <w:sz w:val="1"/>
                <w:szCs w:val="1"/>
                <w:color w:val="auto"/>
              </w:rPr>
            </w:pPr>
          </w:p>
        </w:tc>
      </w:tr>
      <w:tr>
        <w:trPr>
          <w:trHeight w:val="225"/>
        </w:trPr>
        <w:tc>
          <w:tcPr>
            <w:tcW w:w="420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Interest cost</w:t>
            </w:r>
          </w:p>
        </w:tc>
        <w:tc>
          <w:tcPr>
            <w:tcW w:w="2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3,201</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3,061</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Expected return on plan assets</w:t>
            </w:r>
          </w:p>
        </w:tc>
        <w:tc>
          <w:tcPr>
            <w:tcW w:w="25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(5,895)</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(5,907)</w:t>
            </w:r>
          </w:p>
        </w:tc>
        <w:tc>
          <w:tcPr>
            <w:tcW w:w="0" w:type="dxa"/>
            <w:vAlign w:val="bottom"/>
          </w:tcPr>
          <w:p>
            <w:pPr>
              <w:spacing w:after="0"/>
              <w:rPr>
                <w:sz w:val="1"/>
                <w:szCs w:val="1"/>
                <w:color w:val="auto"/>
              </w:rPr>
            </w:pPr>
          </w:p>
        </w:tc>
      </w:tr>
      <w:tr>
        <w:trPr>
          <w:trHeight w:val="225"/>
        </w:trPr>
        <w:tc>
          <w:tcPr>
            <w:tcW w:w="420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Amortization of prior service cost</w:t>
            </w:r>
          </w:p>
        </w:tc>
        <w:tc>
          <w:tcPr>
            <w:tcW w:w="2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134</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140</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Amortization of actuarial loss</w:t>
            </w:r>
          </w:p>
        </w:tc>
        <w:tc>
          <w:tcPr>
            <w:tcW w:w="25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435</w:t>
            </w:r>
          </w:p>
        </w:tc>
        <w:tc>
          <w:tcPr>
            <w:tcW w:w="3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1,071</w:t>
            </w:r>
          </w:p>
        </w:tc>
        <w:tc>
          <w:tcPr>
            <w:tcW w:w="0" w:type="dxa"/>
            <w:vAlign w:val="bottom"/>
          </w:tcPr>
          <w:p>
            <w:pPr>
              <w:spacing w:after="0"/>
              <w:rPr>
                <w:sz w:val="1"/>
                <w:szCs w:val="1"/>
                <w:color w:val="auto"/>
              </w:rPr>
            </w:pPr>
          </w:p>
        </w:tc>
      </w:tr>
      <w:tr>
        <w:trPr>
          <w:trHeight w:val="218"/>
        </w:trPr>
        <w:tc>
          <w:tcPr>
            <w:tcW w:w="4200" w:type="dxa"/>
            <w:vAlign w:val="bottom"/>
          </w:tcPr>
          <w:p>
            <w:pPr>
              <w:spacing w:after="0" w:line="219" w:lineRule="exact"/>
              <w:rPr>
                <w:sz w:val="20"/>
                <w:szCs w:val="20"/>
                <w:color w:val="auto"/>
              </w:rPr>
            </w:pPr>
            <w:r>
              <w:rPr>
                <w:rFonts w:ascii="Times New Roman" w:cs="Times New Roman" w:eastAsia="Times New Roman" w:hAnsi="Times New Roman"/>
                <w:sz w:val="21"/>
                <w:szCs w:val="21"/>
                <w:color w:val="auto"/>
              </w:rPr>
              <w:t>Net periodic benefit credit</w:t>
            </w:r>
          </w:p>
        </w:tc>
        <w:tc>
          <w:tcPr>
            <w:tcW w:w="2500" w:type="dxa"/>
            <w:vAlign w:val="bottom"/>
          </w:tcPr>
          <w:p>
            <w:pPr>
              <w:spacing w:after="0"/>
              <w:rPr>
                <w:sz w:val="19"/>
                <w:szCs w:val="19"/>
                <w:color w:val="auto"/>
              </w:rPr>
            </w:pPr>
          </w:p>
        </w:tc>
        <w:tc>
          <w:tcPr>
            <w:tcW w:w="1340" w:type="dxa"/>
            <w:vAlign w:val="bottom"/>
            <w:tcBorders>
              <w:bottom w:val="single" w:sz="8" w:color="auto"/>
            </w:tcBorders>
          </w:tcPr>
          <w:p>
            <w:pPr>
              <w:jc w:val="right"/>
              <w:ind w:right="113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(1,418)</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49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13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(557)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500" w:type="dxa"/>
            <w:vAlign w:val="bottom"/>
            <w:vMerge w:val="restart"/>
          </w:tcPr>
          <w:p>
            <w:pPr>
              <w:jc w:val="right"/>
              <w:ind w:right="854"/>
              <w:spacing w:after="0"/>
              <w:rPr>
                <w:sz w:val="20"/>
                <w:szCs w:val="20"/>
                <w:color w:val="auto"/>
              </w:rPr>
            </w:pPr>
            <w:r>
              <w:rPr>
                <w:rFonts w:ascii="Times New Roman" w:cs="Times New Roman" w:eastAsia="Times New Roman" w:hAnsi="Times New Roman"/>
                <w:sz w:val="21"/>
                <w:szCs w:val="21"/>
                <w:color w:val="auto"/>
              </w:rPr>
              <w:t>23</w:t>
            </w: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42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gridSpan w:val="2"/>
          </w:tcPr>
          <w:p>
            <w:pPr>
              <w:jc w:val="center"/>
              <w:ind w:left="454"/>
              <w:spacing w:after="0"/>
              <w:rPr>
                <w:sz w:val="20"/>
                <w:szCs w:val="20"/>
                <w:color w:val="auto"/>
              </w:rPr>
            </w:pPr>
            <w:r>
              <w:rPr>
                <w:rFonts w:ascii="Times New Roman" w:cs="Times New Roman" w:eastAsia="Times New Roman" w:hAnsi="Times New Roman"/>
                <w:sz w:val="21"/>
                <w:szCs w:val="21"/>
                <w:color w:val="auto"/>
              </w:rPr>
              <w:t>Other</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3"/>
        </w:trPr>
        <w:tc>
          <w:tcPr>
            <w:tcW w:w="4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840" w:type="dxa"/>
            <w:vAlign w:val="bottom"/>
            <w:tcBorders>
              <w:bottom w:val="single" w:sz="8" w:color="auto"/>
            </w:tcBorders>
            <w:gridSpan w:val="5"/>
          </w:tcPr>
          <w:p>
            <w:pPr>
              <w:jc w:val="center"/>
              <w:ind w:left="594"/>
              <w:spacing w:after="0"/>
              <w:rPr>
                <w:sz w:val="20"/>
                <w:szCs w:val="20"/>
                <w:color w:val="auto"/>
              </w:rPr>
            </w:pPr>
            <w:r>
              <w:rPr>
                <w:rFonts w:ascii="Times New Roman" w:cs="Times New Roman" w:eastAsia="Times New Roman" w:hAnsi="Times New Roman"/>
                <w:sz w:val="21"/>
                <w:szCs w:val="21"/>
                <w:color w:val="auto"/>
              </w:rPr>
              <w:t>Postretirement Benefits</w:t>
            </w:r>
          </w:p>
        </w:tc>
        <w:tc>
          <w:tcPr>
            <w:tcW w:w="700" w:type="dxa"/>
            <w:vAlign w:val="bottom"/>
            <w:tcBorders>
              <w:bottom w:val="single" w:sz="8" w:color="auto"/>
            </w:tcBorders>
          </w:tcPr>
          <w:p>
            <w:pPr>
              <w:spacing w:after="0"/>
              <w:rPr>
                <w:sz w:val="21"/>
                <w:szCs w:val="21"/>
                <w:color w:val="auto"/>
              </w:rPr>
            </w:pPr>
          </w:p>
        </w:tc>
      </w:tr>
      <w:tr>
        <w:trPr>
          <w:trHeight w:val="191"/>
        </w:trPr>
        <w:tc>
          <w:tcPr>
            <w:tcW w:w="48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0" w:type="dxa"/>
            <w:vAlign w:val="bottom"/>
            <w:gridSpan w:val="4"/>
          </w:tcPr>
          <w:p>
            <w:pPr>
              <w:jc w:val="right"/>
              <w:ind w:right="415"/>
              <w:spacing w:after="0" w:line="191" w:lineRule="exact"/>
              <w:rPr>
                <w:sz w:val="20"/>
                <w:szCs w:val="20"/>
                <w:color w:val="auto"/>
              </w:rPr>
            </w:pPr>
            <w:r>
              <w:rPr>
                <w:rFonts w:ascii="Times New Roman" w:cs="Times New Roman" w:eastAsia="Times New Roman" w:hAnsi="Times New Roman"/>
                <w:sz w:val="21"/>
                <w:szCs w:val="21"/>
                <w:color w:val="auto"/>
              </w:rPr>
              <w:t>Three Months Ended</w:t>
            </w:r>
          </w:p>
        </w:tc>
        <w:tc>
          <w:tcPr>
            <w:tcW w:w="700" w:type="dxa"/>
            <w:vAlign w:val="bottom"/>
          </w:tcPr>
          <w:p>
            <w:pPr>
              <w:spacing w:after="0"/>
              <w:rPr>
                <w:sz w:val="16"/>
                <w:szCs w:val="16"/>
                <w:color w:val="auto"/>
              </w:rPr>
            </w:pPr>
          </w:p>
        </w:tc>
      </w:tr>
      <w:tr>
        <w:trPr>
          <w:trHeight w:val="253"/>
        </w:trPr>
        <w:tc>
          <w:tcPr>
            <w:tcW w:w="4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21"/>
                <w:szCs w:val="21"/>
                <w:color w:val="auto"/>
              </w:rPr>
              <w:t>March 31,</w:t>
            </w:r>
          </w:p>
        </w:tc>
        <w:tc>
          <w:tcPr>
            <w:tcW w:w="700" w:type="dxa"/>
            <w:vAlign w:val="bottom"/>
            <w:tcBorders>
              <w:bottom w:val="single" w:sz="8" w:color="auto"/>
            </w:tcBorders>
          </w:tcPr>
          <w:p>
            <w:pPr>
              <w:spacing w:after="0"/>
              <w:rPr>
                <w:sz w:val="21"/>
                <w:szCs w:val="21"/>
                <w:color w:val="auto"/>
              </w:rPr>
            </w:pPr>
          </w:p>
        </w:tc>
      </w:tr>
      <w:tr>
        <w:trPr>
          <w:trHeight w:val="219"/>
        </w:trPr>
        <w:tc>
          <w:tcPr>
            <w:tcW w:w="4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jc w:val="right"/>
              <w:ind w:right="14"/>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1"/>
                <w:szCs w:val="21"/>
                <w:color w:val="auto"/>
              </w:rPr>
              <w:t>2021</w:t>
            </w:r>
          </w:p>
        </w:tc>
        <w:tc>
          <w:tcPr>
            <w:tcW w:w="700" w:type="dxa"/>
            <w:vAlign w:val="bottom"/>
          </w:tcPr>
          <w:p>
            <w:pPr>
              <w:spacing w:after="0"/>
              <w:rPr>
                <w:sz w:val="19"/>
                <w:szCs w:val="19"/>
                <w:color w:val="auto"/>
              </w:rPr>
            </w:pPr>
          </w:p>
        </w:tc>
      </w:tr>
      <w:tr>
        <w:trPr>
          <w:trHeight w:val="218"/>
        </w:trPr>
        <w:tc>
          <w:tcPr>
            <w:tcW w:w="4860" w:type="dxa"/>
            <w:vAlign w:val="bottom"/>
            <w:tcBorders>
              <w:top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Service cost</w:t>
            </w:r>
          </w:p>
        </w:tc>
        <w:tc>
          <w:tcPr>
            <w:tcW w:w="18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78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478</w:t>
            </w: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698</w:t>
            </w:r>
          </w:p>
        </w:tc>
      </w:tr>
      <w:tr>
        <w:trPr>
          <w:trHeight w:val="225"/>
        </w:trPr>
        <w:tc>
          <w:tcPr>
            <w:tcW w:w="486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Interest cost</w:t>
            </w: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842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840</w:t>
            </w:r>
          </w:p>
        </w:tc>
      </w:tr>
      <w:tr>
        <w:trPr>
          <w:trHeight w:val="225"/>
        </w:trPr>
        <w:tc>
          <w:tcPr>
            <w:tcW w:w="486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Expected return on plan assets</w:t>
            </w: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(1,125)</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(1,039)</w:t>
            </w:r>
          </w:p>
        </w:tc>
      </w:tr>
      <w:tr>
        <w:trPr>
          <w:trHeight w:val="225"/>
        </w:trPr>
        <w:tc>
          <w:tcPr>
            <w:tcW w:w="486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Amortization of prior service credit</w:t>
            </w: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(108)</w:t>
            </w:r>
          </w:p>
        </w:tc>
      </w:tr>
      <w:tr>
        <w:trPr>
          <w:trHeight w:val="225"/>
        </w:trPr>
        <w:tc>
          <w:tcPr>
            <w:tcW w:w="486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Amortization of actuarial loss</w:t>
            </w:r>
          </w:p>
        </w:tc>
        <w:tc>
          <w:tcPr>
            <w:tcW w:w="18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(334)</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55</w:t>
            </w:r>
          </w:p>
        </w:tc>
      </w:tr>
      <w:tr>
        <w:trPr>
          <w:trHeight w:val="218"/>
        </w:trPr>
        <w:tc>
          <w:tcPr>
            <w:tcW w:w="4860" w:type="dxa"/>
            <w:vAlign w:val="bottom"/>
          </w:tcPr>
          <w:p>
            <w:pPr>
              <w:spacing w:after="0" w:line="219" w:lineRule="exact"/>
              <w:rPr>
                <w:sz w:val="20"/>
                <w:szCs w:val="20"/>
                <w:color w:val="auto"/>
              </w:rPr>
            </w:pPr>
            <w:r>
              <w:rPr>
                <w:rFonts w:ascii="Times New Roman" w:cs="Times New Roman" w:eastAsia="Times New Roman" w:hAnsi="Times New Roman"/>
                <w:sz w:val="21"/>
                <w:szCs w:val="21"/>
                <w:color w:val="auto"/>
              </w:rPr>
              <w:t>Net periodic benefit (credit) cost</w:t>
            </w:r>
          </w:p>
        </w:tc>
        <w:tc>
          <w:tcPr>
            <w:tcW w:w="1840" w:type="dxa"/>
            <w:vAlign w:val="bottom"/>
          </w:tcPr>
          <w:p>
            <w:pPr>
              <w:spacing w:after="0"/>
              <w:rPr>
                <w:sz w:val="19"/>
                <w:szCs w:val="19"/>
                <w:color w:val="auto"/>
              </w:rPr>
            </w:pPr>
          </w:p>
        </w:tc>
        <w:tc>
          <w:tcPr>
            <w:tcW w:w="1440" w:type="dxa"/>
            <w:vAlign w:val="bottom"/>
            <w:tcBorders>
              <w:bottom w:val="single" w:sz="8" w:color="auto"/>
            </w:tcBorders>
          </w:tcPr>
          <w:p>
            <w:pPr>
              <w:jc w:val="right"/>
              <w:ind w:right="123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7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(139)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446</w:t>
            </w:r>
          </w:p>
        </w:tc>
      </w:tr>
      <w:tr>
        <w:trPr>
          <w:trHeight w:val="20"/>
        </w:trPr>
        <w:tc>
          <w:tcPr>
            <w:tcW w:w="4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1"/>
          <w:szCs w:val="21"/>
          <w:color w:val="auto"/>
        </w:rPr>
        <w:t>The net periodic benefit (credit)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(credit) cost other than service cost in the consolidated statements of operations and comprehensive income on the line item “Other”.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 were no cash contributions made to the Pension Plan during the first three months of 2022.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10 – </w:t>
      </w:r>
      <w:r>
        <w:rPr>
          <w:rFonts w:ascii="Times New Roman" w:cs="Times New Roman" w:eastAsia="Times New Roman" w:hAnsi="Times New Roman"/>
          <w:sz w:val="21"/>
          <w:szCs w:val="21"/>
          <w:b w:val="1"/>
          <w:bCs w:val="1"/>
          <w:i w:val="1"/>
          <w:iCs w:val="1"/>
          <w:color w:val="auto"/>
        </w:rPr>
        <w:t>Rate Activity</w:t>
      </w:r>
    </w:p>
    <w:p>
      <w:pPr>
        <w:spacing w:after="0" w:line="22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 January 3, 2022, the Company’s natural gas operating division in Kentucky received an order from the Kentucky Public Service Commission resulting in an increase of $5,238 in annual revenues, and new rates went into effect on January 4, 2022.</w:t>
      </w:r>
    </w:p>
    <w:p>
      <w:pPr>
        <w:spacing w:after="0" w:line="16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1"/>
          <w:szCs w:val="21"/>
          <w:color w:val="auto"/>
        </w:rPr>
        <w:t>On August 20, 2021, the Company’s regulated water and wastewater operating subsidiary in Pennsylvania, Aqua Pennsylvania, filed an application with the Pennsylvania Public Utility Commission designed to increase rates by $97,685 or 17.9% on an annual basis. The Company anticipates a final order to be issued by May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 rate cases are also underway for our water and wastewater utility operating divisions in Ohio.</w:t>
      </w:r>
    </w:p>
    <w:p>
      <w:pPr>
        <w:spacing w:after="0" w:line="20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During the first three months of 2022, the Company’s two other water utility operating divisions in Ohio were granted base rate increases designed to increase total operating revenues on an annual basis by $1,378. Further, during the first three months of 2022, the Company received approval to bill infrastructure rehabilitation surcharges designed to increase total operating revenues on an annual basis by $6,789 in its water and wastewater utility operating divisions in Pennsylvania, North Carolina, and Illinois.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11 – </w:t>
      </w:r>
      <w:r>
        <w:rPr>
          <w:rFonts w:ascii="Times New Roman" w:cs="Times New Roman" w:eastAsia="Times New Roman" w:hAnsi="Times New Roman"/>
          <w:sz w:val="21"/>
          <w:szCs w:val="21"/>
          <w:b w:val="1"/>
          <w:bCs w:val="1"/>
          <w:i w:val="1"/>
          <w:iCs w:val="1"/>
          <w:color w:val="auto"/>
        </w:rPr>
        <w:t>Taxes Other than Income Taxes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provides the components of taxes other than income taxes: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Three Months Ended</w:t>
            </w:r>
          </w:p>
        </w:tc>
        <w:tc>
          <w:tcPr>
            <w:tcW w:w="1320" w:type="dxa"/>
            <w:vAlign w:val="bottom"/>
          </w:tcPr>
          <w:p>
            <w:pPr>
              <w:spacing w:after="0"/>
              <w:rPr>
                <w:sz w:val="21"/>
                <w:szCs w:val="21"/>
                <w:color w:val="auto"/>
              </w:rPr>
            </w:pPr>
          </w:p>
        </w:tc>
      </w:tr>
      <w:tr>
        <w:trPr>
          <w:trHeight w:val="253"/>
        </w:trPr>
        <w:tc>
          <w:tcPr>
            <w:tcW w:w="4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21"/>
                <w:szCs w:val="21"/>
                <w:color w:val="auto"/>
              </w:rPr>
              <w:t>March 31,</w:t>
            </w:r>
          </w:p>
        </w:tc>
        <w:tc>
          <w:tcPr>
            <w:tcW w:w="1320" w:type="dxa"/>
            <w:vAlign w:val="bottom"/>
            <w:tcBorders>
              <w:bottom w:val="single" w:sz="8" w:color="auto"/>
            </w:tcBorders>
          </w:tcPr>
          <w:p>
            <w:pPr>
              <w:spacing w:after="0"/>
              <w:rPr>
                <w:sz w:val="21"/>
                <w:szCs w:val="21"/>
                <w:color w:val="auto"/>
              </w:rPr>
            </w:pPr>
          </w:p>
        </w:tc>
      </w:tr>
      <w:tr>
        <w:trPr>
          <w:trHeight w:val="218"/>
        </w:trPr>
        <w:tc>
          <w:tcPr>
            <w:tcW w:w="486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54"/>
              <w:spacing w:after="0" w:line="219" w:lineRule="exact"/>
              <w:rPr>
                <w:sz w:val="20"/>
                <w:szCs w:val="20"/>
                <w:color w:val="auto"/>
              </w:rPr>
            </w:pPr>
            <w:r>
              <w:rPr>
                <w:rFonts w:ascii="Times New Roman" w:cs="Times New Roman" w:eastAsia="Times New Roman" w:hAnsi="Times New Roman"/>
                <w:sz w:val="21"/>
                <w:szCs w:val="21"/>
                <w:color w:val="auto"/>
              </w:rPr>
              <w:t>2021</w:t>
            </w:r>
          </w:p>
        </w:tc>
      </w:tr>
      <w:tr>
        <w:trPr>
          <w:trHeight w:val="219"/>
        </w:trPr>
        <w:tc>
          <w:tcPr>
            <w:tcW w:w="48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Property</w:t>
            </w:r>
          </w:p>
        </w:tc>
        <w:tc>
          <w:tcPr>
            <w:tcW w:w="1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76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8,014</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3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7,714</w:t>
            </w:r>
          </w:p>
        </w:tc>
      </w:tr>
      <w:tr>
        <w:trPr>
          <w:trHeight w:val="225"/>
        </w:trPr>
        <w:tc>
          <w:tcPr>
            <w:tcW w:w="486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Gross receipts, excise and franchise</w:t>
            </w:r>
          </w:p>
        </w:tc>
        <w:tc>
          <w:tcPr>
            <w:tcW w:w="1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4,100</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3,684</w:t>
            </w:r>
          </w:p>
        </w:tc>
      </w:tr>
      <w:tr>
        <w:trPr>
          <w:trHeight w:val="225"/>
        </w:trPr>
        <w:tc>
          <w:tcPr>
            <w:tcW w:w="486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Payroll</w:t>
            </w:r>
          </w:p>
        </w:tc>
        <w:tc>
          <w:tcPr>
            <w:tcW w:w="1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6,661</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6,756</w:t>
            </w:r>
          </w:p>
        </w:tc>
      </w:tr>
      <w:tr>
        <w:trPr>
          <w:trHeight w:val="225"/>
        </w:trPr>
        <w:tc>
          <w:tcPr>
            <w:tcW w:w="4860" w:type="dxa"/>
            <w:vAlign w:val="bottom"/>
          </w:tcPr>
          <w:p>
            <w:pPr>
              <w:spacing w:after="0" w:line="225" w:lineRule="exact"/>
              <w:rPr>
                <w:sz w:val="20"/>
                <w:szCs w:val="20"/>
                <w:color w:val="auto"/>
              </w:rPr>
            </w:pPr>
            <w:r>
              <w:rPr>
                <w:rFonts w:ascii="Times New Roman" w:cs="Times New Roman" w:eastAsia="Times New Roman" w:hAnsi="Times New Roman"/>
                <w:sz w:val="21"/>
                <w:szCs w:val="21"/>
                <w:color w:val="auto"/>
              </w:rPr>
              <w:t>Regulatory assessments</w:t>
            </w:r>
          </w:p>
        </w:tc>
        <w:tc>
          <w:tcPr>
            <w:tcW w:w="1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1,765</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838</w:t>
            </w:r>
          </w:p>
        </w:tc>
      </w:tr>
      <w:tr>
        <w:trPr>
          <w:trHeight w:val="225"/>
        </w:trPr>
        <w:tc>
          <w:tcPr>
            <w:tcW w:w="486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Pumping fees</w:t>
            </w:r>
          </w:p>
        </w:tc>
        <w:tc>
          <w:tcPr>
            <w:tcW w:w="1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1,375</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1,126</w:t>
            </w:r>
          </w:p>
        </w:tc>
      </w:tr>
      <w:tr>
        <w:trPr>
          <w:trHeight w:val="225"/>
        </w:trPr>
        <w:tc>
          <w:tcPr>
            <w:tcW w:w="4860" w:type="dxa"/>
            <w:vAlign w:val="bottom"/>
            <w:tcBorders>
              <w:bottom w:val="single" w:sz="8" w:color="CCEEFF"/>
            </w:tcBorders>
          </w:tcPr>
          <w:p>
            <w:pPr>
              <w:spacing w:after="0" w:line="225" w:lineRule="exact"/>
              <w:rPr>
                <w:sz w:val="20"/>
                <w:szCs w:val="20"/>
                <w:color w:val="auto"/>
              </w:rPr>
            </w:pPr>
            <w:r>
              <w:rPr>
                <w:rFonts w:ascii="Times New Roman" w:cs="Times New Roman" w:eastAsia="Times New Roman" w:hAnsi="Times New Roman"/>
                <w:sz w:val="21"/>
                <w:szCs w:val="21"/>
                <w:color w:val="auto"/>
              </w:rPr>
              <w:t>Other</w:t>
            </w:r>
          </w:p>
        </w:tc>
        <w:tc>
          <w:tcPr>
            <w:tcW w:w="18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rPr>
              <w:t>1,092</w:t>
            </w: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rPr>
              <w:t>923</w:t>
            </w:r>
          </w:p>
        </w:tc>
      </w:tr>
      <w:tr>
        <w:trPr>
          <w:trHeight w:val="218"/>
        </w:trPr>
        <w:tc>
          <w:tcPr>
            <w:tcW w:w="4860" w:type="dxa"/>
            <w:vAlign w:val="bottom"/>
            <w:tcBorders>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Total taxes other than income</w:t>
            </w:r>
          </w:p>
        </w:tc>
        <w:tc>
          <w:tcPr>
            <w:tcW w:w="18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1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76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23,007</w:t>
            </w: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9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3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21,041</w:t>
            </w:r>
          </w:p>
        </w:tc>
      </w:tr>
      <w:tr>
        <w:trPr>
          <w:trHeight w:val="20"/>
        </w:trPr>
        <w:tc>
          <w:tcPr>
            <w:tcW w:w="4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12 – </w:t>
      </w:r>
      <w:r>
        <w:rPr>
          <w:rFonts w:ascii="Times New Roman" w:cs="Times New Roman" w:eastAsia="Times New Roman" w:hAnsi="Times New Roman"/>
          <w:sz w:val="21"/>
          <w:szCs w:val="21"/>
          <w:b w:val="1"/>
          <w:bCs w:val="1"/>
          <w:i w:val="1"/>
          <w:iCs w:val="1"/>
          <w:color w:val="auto"/>
        </w:rPr>
        <w:t>Segment Information</w:t>
      </w:r>
    </w:p>
    <w:p>
      <w:pPr>
        <w:spacing w:after="0" w:line="21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1"/>
          <w:szCs w:val="21"/>
          <w:color w:val="auto"/>
        </w:rPr>
        <w:t>The Company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6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1"/>
          <w:szCs w:val="21"/>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the October 30, 2020 sale of our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 The Regulated Water and Regulated Natural Gas segments report interest expense that includes long-term debt that was pushed-down to the regulated operating subsidiaries from Essential Utilities,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presents information about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color w:val="auto"/>
                <w:w w:val="98"/>
              </w:rPr>
              <w:t>March 31, 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March 31, 2021</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60"/>
              <w:spacing w:after="0" w:line="130"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400"/>
              <w:spacing w:after="0" w:line="130" w:lineRule="exact"/>
              <w:rPr>
                <w:sz w:val="20"/>
                <w:szCs w:val="20"/>
                <w:color w:val="auto"/>
              </w:rPr>
            </w:pPr>
            <w:r>
              <w:rPr>
                <w:rFonts w:ascii="Times New Roman" w:cs="Times New Roman" w:eastAsia="Times New Roman" w:hAnsi="Times New Roman"/>
                <w:sz w:val="14"/>
                <w:szCs w:val="14"/>
                <w:color w:val="auto"/>
              </w:rPr>
              <w:t>Regulated</w:t>
            </w:r>
          </w:p>
        </w:tc>
        <w:tc>
          <w:tcPr>
            <w:tcW w:w="180" w:type="dxa"/>
            <w:vAlign w:val="bottom"/>
          </w:tcPr>
          <w:p>
            <w:pPr>
              <w:spacing w:after="0"/>
              <w:rPr>
                <w:sz w:val="11"/>
                <w:szCs w:val="11"/>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Consolidated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9"/>
              <w:spacing w:after="0" w:line="130" w:lineRule="exact"/>
              <w:rPr>
                <w:sz w:val="20"/>
                <w:szCs w:val="20"/>
                <w:color w:val="auto"/>
              </w:rPr>
            </w:pPr>
            <w:r>
              <w:rPr>
                <w:rFonts w:ascii="Times New Roman" w:cs="Times New Roman" w:eastAsia="Times New Roman" w:hAnsi="Times New Roman"/>
                <w:sz w:val="14"/>
                <w:szCs w:val="14"/>
                <w:color w:val="auto"/>
              </w:rPr>
              <w:t>Regulated</w:t>
            </w:r>
          </w:p>
        </w:tc>
        <w:tc>
          <w:tcPr>
            <w:tcW w:w="120" w:type="dxa"/>
            <w:vAlign w:val="bottom"/>
          </w:tcPr>
          <w:p>
            <w:pPr>
              <w:spacing w:after="0"/>
              <w:rPr>
                <w:sz w:val="11"/>
                <w:szCs w:val="11"/>
                <w:color w:val="auto"/>
              </w:rPr>
            </w:pPr>
          </w:p>
        </w:tc>
        <w:tc>
          <w:tcPr>
            <w:tcW w:w="800" w:type="dxa"/>
            <w:vAlign w:val="bottom"/>
            <w:gridSpan w:val="2"/>
          </w:tcPr>
          <w:p>
            <w:pPr>
              <w:jc w:val="right"/>
              <w:ind w:right="109"/>
              <w:spacing w:after="0" w:line="130" w:lineRule="exact"/>
              <w:rPr>
                <w:sz w:val="20"/>
                <w:szCs w:val="20"/>
                <w:color w:val="auto"/>
              </w:rPr>
            </w:pPr>
            <w:r>
              <w:rPr>
                <w:rFonts w:ascii="Times New Roman" w:cs="Times New Roman" w:eastAsia="Times New Roman" w:hAnsi="Times New Roman"/>
                <w:sz w:val="14"/>
                <w:szCs w:val="14"/>
                <w:color w:val="auto"/>
              </w:rPr>
              <w:t>Regulated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8"/>
              </w:rPr>
              <w:t>Natural Gas</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Water</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80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Operating revenues</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239,198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9"/>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445,183</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14,894</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699,275</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9"/>
              <w:spacing w:after="0" w:line="152" w:lineRule="exact"/>
              <w:rPr>
                <w:sz w:val="20"/>
                <w:szCs w:val="20"/>
                <w:color w:val="auto"/>
              </w:rPr>
            </w:pPr>
            <w:r>
              <w:rPr>
                <w:rFonts w:ascii="Times New Roman" w:cs="Times New Roman" w:eastAsia="Times New Roman" w:hAnsi="Times New Roman"/>
                <w:sz w:val="14"/>
                <w:szCs w:val="14"/>
                <w:color w:val="auto"/>
              </w:rPr>
              <w:t>228,353</w:t>
            </w:r>
          </w:p>
        </w:tc>
        <w:tc>
          <w:tcPr>
            <w:tcW w:w="12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343,115</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12,097</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583,565</w:t>
            </w:r>
          </w:p>
        </w:tc>
        <w:tc>
          <w:tcPr>
            <w:tcW w:w="0" w:type="dxa"/>
            <w:vAlign w:val="bottom"/>
          </w:tcPr>
          <w:p>
            <w:pPr>
              <w:spacing w:after="0"/>
              <w:rPr>
                <w:sz w:val="1"/>
                <w:szCs w:val="1"/>
                <w:color w:val="auto"/>
              </w:rPr>
            </w:pPr>
          </w:p>
        </w:tc>
      </w:tr>
      <w:tr>
        <w:trPr>
          <w:trHeight w:val="159"/>
        </w:trPr>
        <w:tc>
          <w:tcPr>
            <w:tcW w:w="28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86,088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59,452</w:t>
            </w: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(2,959)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142,581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78,347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51,326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(4,598)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125,075</w:t>
            </w: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Purchased gas</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217,306</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10,406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227,712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122,888</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9,265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132,153</w:t>
            </w:r>
          </w:p>
        </w:tc>
        <w:tc>
          <w:tcPr>
            <w:tcW w:w="0" w:type="dxa"/>
            <w:vAlign w:val="bottom"/>
          </w:tcPr>
          <w:p>
            <w:pPr>
              <w:spacing w:after="0"/>
              <w:rPr>
                <w:sz w:val="1"/>
                <w:szCs w:val="1"/>
                <w:color w:val="auto"/>
              </w:rPr>
            </w:pPr>
          </w:p>
        </w:tc>
      </w:tr>
      <w:tr>
        <w:trPr>
          <w:trHeight w:val="159"/>
        </w:trPr>
        <w:tc>
          <w:tcPr>
            <w:tcW w:w="28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48,716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29,704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78,346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45,138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27,590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216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72,944</w:t>
            </w: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Taxes other than income taxes</w:t>
            </w: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15,891</w:t>
            </w: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6,191</w:t>
            </w:r>
          </w:p>
        </w:tc>
        <w:tc>
          <w:tcPr>
            <w:tcW w:w="1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925</w:t>
            </w: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23,007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15,421</w:t>
            </w:r>
          </w:p>
        </w:tc>
        <w:tc>
          <w:tcPr>
            <w:tcW w:w="1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4,447</w:t>
            </w:r>
          </w:p>
        </w:tc>
        <w:tc>
          <w:tcPr>
            <w:tcW w:w="1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1,173</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21,041</w:t>
            </w:r>
          </w:p>
        </w:tc>
        <w:tc>
          <w:tcPr>
            <w:tcW w:w="0" w:type="dxa"/>
            <w:vAlign w:val="bottom"/>
          </w:tcPr>
          <w:p>
            <w:pPr>
              <w:spacing w:after="0"/>
              <w:rPr>
                <w:sz w:val="1"/>
                <w:szCs w:val="1"/>
                <w:color w:val="auto"/>
              </w:rPr>
            </w:pPr>
          </w:p>
        </w:tc>
      </w:tr>
      <w:tr>
        <w:trPr>
          <w:trHeight w:val="152"/>
        </w:trPr>
        <w:tc>
          <w:tcPr>
            <w:tcW w:w="28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Operating income (loss)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80"/>
              <w:spacing w:after="0" w:line="152" w:lineRule="exact"/>
              <w:rPr>
                <w:sz w:val="20"/>
                <w:szCs w:val="20"/>
                <w:color w:val="auto"/>
              </w:rPr>
            </w:pPr>
            <w:r>
              <w:rPr>
                <w:rFonts w:ascii="Times New Roman" w:cs="Times New Roman" w:eastAsia="Times New Roman" w:hAnsi="Times New Roman"/>
                <w:sz w:val="14"/>
                <w:szCs w:val="14"/>
                <w:color w:val="auto"/>
              </w:rPr>
              <w:t>88,503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132,530</w:t>
            </w:r>
          </w:p>
        </w:tc>
        <w:tc>
          <w:tcPr>
            <w:tcW w:w="180" w:type="dxa"/>
            <w:vAlign w:val="bottom"/>
          </w:tcPr>
          <w:p>
            <w:pPr>
              <w:spacing w:after="0"/>
              <w:rPr>
                <w:sz w:val="13"/>
                <w:szCs w:val="13"/>
                <w:color w:val="auto"/>
              </w:rPr>
            </w:pPr>
          </w:p>
        </w:tc>
        <w:tc>
          <w:tcPr>
            <w:tcW w:w="760" w:type="dxa"/>
            <w:vAlign w:val="bottom"/>
            <w:gridSpan w:val="2"/>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6,596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227,629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
              <w:spacing w:after="0" w:line="152" w:lineRule="exact"/>
              <w:rPr>
                <w:sz w:val="20"/>
                <w:szCs w:val="20"/>
                <w:color w:val="auto"/>
              </w:rPr>
            </w:pPr>
            <w:r>
              <w:rPr>
                <w:rFonts w:ascii="Times New Roman" w:cs="Times New Roman" w:eastAsia="Times New Roman" w:hAnsi="Times New Roman"/>
                <w:sz w:val="14"/>
                <w:szCs w:val="14"/>
                <w:color w:val="auto"/>
              </w:rPr>
              <w:t>89,447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136,864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6,041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232,352</w:t>
            </w: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Interest expense, net (a)</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27,554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20,652</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4,821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53,027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26,460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17,296</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6,626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50,382</w:t>
            </w:r>
          </w:p>
        </w:tc>
        <w:tc>
          <w:tcPr>
            <w:tcW w:w="0" w:type="dxa"/>
            <w:vAlign w:val="bottom"/>
          </w:tcPr>
          <w:p>
            <w:pPr>
              <w:spacing w:after="0"/>
              <w:rPr>
                <w:sz w:val="1"/>
                <w:szCs w:val="1"/>
                <w:color w:val="auto"/>
              </w:rPr>
            </w:pPr>
          </w:p>
        </w:tc>
      </w:tr>
      <w:tr>
        <w:trPr>
          <w:trHeight w:val="159"/>
        </w:trPr>
        <w:tc>
          <w:tcPr>
            <w:tcW w:w="28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(5,149)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(690)</w:t>
            </w:r>
          </w:p>
        </w:tc>
        <w:tc>
          <w:tcPr>
            <w:tcW w:w="18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(5,839)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(3,247)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313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(2,934)</w:t>
            </w: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(1,944)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(444)</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686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(1,702)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(1,429)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(428)</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(1,694)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(3,551)</w:t>
            </w:r>
          </w:p>
        </w:tc>
        <w:tc>
          <w:tcPr>
            <w:tcW w:w="0" w:type="dxa"/>
            <w:vAlign w:val="bottom"/>
          </w:tcPr>
          <w:p>
            <w:pPr>
              <w:spacing w:after="0"/>
              <w:rPr>
                <w:sz w:val="1"/>
                <w:szCs w:val="1"/>
                <w:color w:val="auto"/>
              </w:rPr>
            </w:pPr>
          </w:p>
        </w:tc>
      </w:tr>
      <w:tr>
        <w:trPr>
          <w:trHeight w:val="152"/>
        </w:trPr>
        <w:tc>
          <w:tcPr>
            <w:tcW w:w="28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Income before income taxes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80"/>
              <w:spacing w:after="0" w:line="152" w:lineRule="exact"/>
              <w:rPr>
                <w:sz w:val="20"/>
                <w:szCs w:val="20"/>
                <w:color w:val="auto"/>
              </w:rPr>
            </w:pPr>
            <w:r>
              <w:rPr>
                <w:rFonts w:ascii="Times New Roman" w:cs="Times New Roman" w:eastAsia="Times New Roman" w:hAnsi="Times New Roman"/>
                <w:sz w:val="14"/>
                <w:szCs w:val="14"/>
                <w:color w:val="auto"/>
              </w:rPr>
              <w:t>68,042</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113,012</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1,089</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182,143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
              <w:spacing w:after="0" w:line="152" w:lineRule="exact"/>
              <w:rPr>
                <w:sz w:val="20"/>
                <w:szCs w:val="20"/>
                <w:color w:val="auto"/>
              </w:rPr>
            </w:pPr>
            <w:r>
              <w:rPr>
                <w:rFonts w:ascii="Times New Roman" w:cs="Times New Roman" w:eastAsia="Times New Roman" w:hAnsi="Times New Roman"/>
                <w:sz w:val="14"/>
                <w:szCs w:val="14"/>
                <w:color w:val="auto"/>
              </w:rPr>
              <w:t>67,663</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119,683</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1,109</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188,455</w:t>
            </w: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(26,474)</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1,742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(17,233)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3,633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701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4,766</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tcPr>
          <w:p>
            <w:pPr>
              <w:spacing w:after="0" w:line="152"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gridSpan w:val="2"/>
          </w:tcPr>
          <w:p>
            <w:pPr>
              <w:jc w:val="right"/>
              <w:ind w:right="80"/>
              <w:spacing w:after="0" w:line="152" w:lineRule="exact"/>
              <w:rPr>
                <w:sz w:val="20"/>
                <w:szCs w:val="20"/>
                <w:color w:val="auto"/>
              </w:rPr>
            </w:pPr>
            <w:r>
              <w:rPr>
                <w:rFonts w:ascii="Times New Roman" w:cs="Times New Roman" w:eastAsia="Times New Roman" w:hAnsi="Times New Roman"/>
                <w:sz w:val="14"/>
                <w:szCs w:val="14"/>
                <w:color w:val="auto"/>
              </w:rPr>
              <w:t>60,543</w:t>
            </w:r>
          </w:p>
        </w:tc>
        <w:tc>
          <w:tcPr>
            <w:tcW w:w="24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gridSpan w:val="2"/>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139,486</w:t>
            </w:r>
          </w:p>
        </w:tc>
        <w:tc>
          <w:tcPr>
            <w:tcW w:w="180" w:type="dxa"/>
            <w:vAlign w:val="bottom"/>
            <w:tcBorders>
              <w:top w:val="single" w:sz="8" w:color="auto"/>
              <w:bottom w:val="single" w:sz="8" w:color="auto"/>
            </w:tcBorders>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(653)</w:t>
            </w: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199,376</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line="152" w:lineRule="exact"/>
              <w:rPr>
                <w:sz w:val="20"/>
                <w:szCs w:val="20"/>
                <w:color w:val="auto"/>
              </w:rPr>
            </w:pPr>
            <w:r>
              <w:rPr>
                <w:rFonts w:ascii="Times New Roman" w:cs="Times New Roman" w:eastAsia="Times New Roman" w:hAnsi="Times New Roman"/>
                <w:sz w:val="14"/>
                <w:szCs w:val="14"/>
                <w:color w:val="auto"/>
              </w:rPr>
              <w:t>64,030</w:t>
            </w: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119,251</w:t>
            </w:r>
          </w:p>
        </w:tc>
        <w:tc>
          <w:tcPr>
            <w:tcW w:w="340" w:type="dxa"/>
            <w:vAlign w:val="bottom"/>
            <w:tcBorders>
              <w:top w:val="single" w:sz="8" w:color="auto"/>
              <w:bottom w:val="single" w:sz="8" w:color="auto"/>
            </w:tcBorders>
            <w:gridSpan w:val="2"/>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408</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183,689</w:t>
            </w:r>
          </w:p>
        </w:tc>
        <w:tc>
          <w:tcPr>
            <w:tcW w:w="0" w:type="dxa"/>
            <w:vAlign w:val="bottom"/>
          </w:tcPr>
          <w:p>
            <w:pPr>
              <w:spacing w:after="0"/>
              <w:rPr>
                <w:sz w:val="1"/>
                <w:szCs w:val="1"/>
                <w:color w:val="auto"/>
              </w:rPr>
            </w:pPr>
          </w:p>
        </w:tc>
      </w:tr>
      <w:tr>
        <w:trPr>
          <w:trHeight w:val="139"/>
        </w:trPr>
        <w:tc>
          <w:tcPr>
            <w:tcW w:w="2800" w:type="dxa"/>
            <w:vAlign w:val="bottom"/>
            <w:tcBorders>
              <w:bottom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4"/>
                <w:szCs w:val="14"/>
                <w:color w:val="auto"/>
              </w:rPr>
              <w:t>100,803</w:t>
            </w:r>
          </w:p>
        </w:tc>
        <w:tc>
          <w:tcPr>
            <w:tcW w:w="24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82,122</w:t>
            </w:r>
          </w:p>
        </w:tc>
        <w:tc>
          <w:tcPr>
            <w:tcW w:w="180" w:type="dxa"/>
            <w:vAlign w:val="bottom"/>
            <w:tcBorders>
              <w:bottom w:val="single" w:sz="8" w:color="auto"/>
            </w:tcBorders>
            <w:shd w:val="clear" w:color="auto" w:fill="CCEEFF"/>
          </w:tcPr>
          <w:p>
            <w:pPr>
              <w:jc w:val="right"/>
              <w:ind w:right="29"/>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397</w:t>
            </w: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183,322</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9"/>
              <w:spacing w:after="0" w:line="139" w:lineRule="exact"/>
              <w:rPr>
                <w:sz w:val="20"/>
                <w:szCs w:val="20"/>
                <w:color w:val="auto"/>
              </w:rPr>
            </w:pPr>
            <w:r>
              <w:rPr>
                <w:rFonts w:ascii="Times New Roman" w:cs="Times New Roman" w:eastAsia="Times New Roman" w:hAnsi="Times New Roman"/>
                <w:sz w:val="14"/>
                <w:szCs w:val="14"/>
                <w:color w:val="auto"/>
              </w:rPr>
              <w:t>113,793</w:t>
            </w: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64,114</w:t>
            </w:r>
          </w:p>
        </w:tc>
        <w:tc>
          <w:tcPr>
            <w:tcW w:w="340" w:type="dxa"/>
            <w:vAlign w:val="bottom"/>
            <w:tcBorders>
              <w:bottom w:val="single" w:sz="8" w:color="auto"/>
            </w:tcBorders>
            <w:gridSpan w:val="2"/>
            <w:shd w:val="clear" w:color="auto" w:fill="CCEEFF"/>
          </w:tcPr>
          <w:p>
            <w:pPr>
              <w:jc w:val="right"/>
              <w:ind w:right="29"/>
              <w:spacing w:after="0" w:line="13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102</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178,009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6"/>
        <w:spacing w:after="0"/>
        <w:tabs>
          <w:tab w:leader="none" w:pos="1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regulated water and regulated natural gas segments report interest expense that includes long-term debt that was pushed-down to the regulated operating subsidiaries from Essential Utilities, Inc.</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March 31,</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60" w:type="dxa"/>
            <w:vAlign w:val="bottom"/>
          </w:tcPr>
          <w:p>
            <w:pPr>
              <w:jc w:val="right"/>
              <w:ind w:right="834"/>
              <w:spacing w:after="0"/>
              <w:rPr>
                <w:sz w:val="20"/>
                <w:szCs w:val="20"/>
                <w:color w:val="auto"/>
              </w:rPr>
            </w:pPr>
            <w:r>
              <w:rPr>
                <w:rFonts w:ascii="Times New Roman" w:cs="Times New Roman" w:eastAsia="Times New Roman" w:hAnsi="Times New Roman"/>
                <w:sz w:val="21"/>
                <w:szCs w:val="21"/>
                <w:color w:val="auto"/>
              </w:rPr>
              <w:t>December 31,</w:t>
            </w:r>
          </w:p>
        </w:tc>
        <w:tc>
          <w:tcPr>
            <w:tcW w:w="0" w:type="dxa"/>
            <w:vAlign w:val="bottom"/>
          </w:tcPr>
          <w:p>
            <w:pPr>
              <w:spacing w:after="0"/>
              <w:rPr>
                <w:sz w:val="1"/>
                <w:szCs w:val="1"/>
                <w:color w:val="auto"/>
              </w:rPr>
            </w:pPr>
          </w:p>
        </w:tc>
      </w:tr>
      <w:tr>
        <w:trPr>
          <w:trHeight w:val="253"/>
        </w:trPr>
        <w:tc>
          <w:tcPr>
            <w:tcW w:w="48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Total assets:</w:t>
            </w:r>
          </w:p>
        </w:tc>
        <w:tc>
          <w:tcPr>
            <w:tcW w:w="1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21"/>
                <w:szCs w:val="21"/>
                <w:color w:val="auto"/>
              </w:rPr>
              <w:t>2022</w:t>
            </w:r>
          </w:p>
        </w:tc>
        <w:tc>
          <w:tcPr>
            <w:tcW w:w="10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21"/>
                <w:szCs w:val="21"/>
                <w:color w:val="auto"/>
              </w:rPr>
              <w:t>2021</w:t>
            </w:r>
          </w:p>
        </w:tc>
        <w:tc>
          <w:tcPr>
            <w:tcW w:w="0" w:type="dxa"/>
            <w:vAlign w:val="bottom"/>
          </w:tcPr>
          <w:p>
            <w:pPr>
              <w:spacing w:after="0"/>
              <w:rPr>
                <w:sz w:val="1"/>
                <w:szCs w:val="1"/>
                <w:color w:val="auto"/>
              </w:rPr>
            </w:pPr>
          </w:p>
        </w:tc>
      </w:tr>
      <w:tr>
        <w:trPr>
          <w:trHeight w:val="218"/>
        </w:trPr>
        <w:tc>
          <w:tcPr>
            <w:tcW w:w="486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Regulated water</w:t>
            </w:r>
          </w:p>
        </w:tc>
        <w:tc>
          <w:tcPr>
            <w:tcW w:w="1940" w:type="dxa"/>
            <w:vAlign w:val="bottom"/>
            <w:shd w:val="clear" w:color="auto" w:fill="CCEEFF"/>
          </w:tcPr>
          <w:p>
            <w:pPr>
              <w:jc w:val="right"/>
              <w:ind w:right="1714"/>
              <w:spacing w:after="0" w:line="225"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8,487,684</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line="225" w:lineRule="exact"/>
              <w:rPr>
                <w:sz w:val="20"/>
                <w:szCs w:val="20"/>
                <w:color w:val="auto"/>
              </w:rPr>
            </w:pPr>
            <w:r>
              <w:rPr>
                <w:rFonts w:ascii="Times New Roman" w:cs="Times New Roman" w:eastAsia="Times New Roman" w:hAnsi="Times New Roman"/>
                <w:sz w:val="21"/>
                <w:szCs w:val="21"/>
                <w:color w:val="auto"/>
                <w:w w:val="75"/>
              </w:rPr>
              <w:t>$</w:t>
            </w:r>
          </w:p>
        </w:tc>
        <w:tc>
          <w:tcPr>
            <w:tcW w:w="256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8,403,586</w:t>
            </w:r>
          </w:p>
        </w:tc>
        <w:tc>
          <w:tcPr>
            <w:tcW w:w="0" w:type="dxa"/>
            <w:vAlign w:val="bottom"/>
          </w:tcPr>
          <w:p>
            <w:pPr>
              <w:spacing w:after="0"/>
              <w:rPr>
                <w:sz w:val="1"/>
                <w:szCs w:val="1"/>
                <w:color w:val="auto"/>
              </w:rPr>
            </w:pPr>
          </w:p>
        </w:tc>
      </w:tr>
      <w:tr>
        <w:trPr>
          <w:trHeight w:val="225"/>
        </w:trPr>
        <w:tc>
          <w:tcPr>
            <w:tcW w:w="4860" w:type="dxa"/>
            <w:vAlign w:val="bottom"/>
          </w:tcPr>
          <w:p>
            <w:pPr>
              <w:ind w:left="100"/>
              <w:spacing w:after="0" w:line="225" w:lineRule="exact"/>
              <w:rPr>
                <w:sz w:val="20"/>
                <w:szCs w:val="20"/>
                <w:color w:val="auto"/>
              </w:rPr>
            </w:pPr>
            <w:r>
              <w:rPr>
                <w:rFonts w:ascii="Times New Roman" w:cs="Times New Roman" w:eastAsia="Times New Roman" w:hAnsi="Times New Roman"/>
                <w:sz w:val="21"/>
                <w:szCs w:val="21"/>
                <w:color w:val="auto"/>
              </w:rPr>
              <w:t>Regulated natural gas</w:t>
            </w:r>
          </w:p>
        </w:tc>
        <w:tc>
          <w:tcPr>
            <w:tcW w:w="194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6,090,675</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5,960,602</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21"/>
                <w:szCs w:val="21"/>
                <w:color w:val="auto"/>
              </w:rPr>
              <w:t>Other</w:t>
            </w:r>
          </w:p>
        </w:tc>
        <w:tc>
          <w:tcPr>
            <w:tcW w:w="1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298,664</w:t>
            </w:r>
          </w:p>
        </w:tc>
        <w:tc>
          <w:tcPr>
            <w:tcW w:w="3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294,090</w:t>
            </w:r>
          </w:p>
        </w:tc>
        <w:tc>
          <w:tcPr>
            <w:tcW w:w="0" w:type="dxa"/>
            <w:vAlign w:val="bottom"/>
          </w:tcPr>
          <w:p>
            <w:pPr>
              <w:spacing w:after="0"/>
              <w:rPr>
                <w:sz w:val="1"/>
                <w:szCs w:val="1"/>
                <w:color w:val="auto"/>
              </w:rPr>
            </w:pPr>
          </w:p>
        </w:tc>
      </w:tr>
      <w:tr>
        <w:trPr>
          <w:trHeight w:val="218"/>
        </w:trPr>
        <w:tc>
          <w:tcPr>
            <w:tcW w:w="4860" w:type="dxa"/>
            <w:vAlign w:val="bottom"/>
          </w:tcPr>
          <w:p>
            <w:pPr>
              <w:ind w:left="100"/>
              <w:spacing w:after="0" w:line="219" w:lineRule="exact"/>
              <w:rPr>
                <w:sz w:val="20"/>
                <w:szCs w:val="20"/>
                <w:color w:val="auto"/>
              </w:rPr>
            </w:pPr>
            <w:r>
              <w:rPr>
                <w:rFonts w:ascii="Times New Roman" w:cs="Times New Roman" w:eastAsia="Times New Roman" w:hAnsi="Times New Roman"/>
                <w:sz w:val="21"/>
                <w:szCs w:val="21"/>
                <w:color w:val="auto"/>
              </w:rPr>
              <w:t>Consolidated</w:t>
            </w:r>
          </w:p>
        </w:tc>
        <w:tc>
          <w:tcPr>
            <w:tcW w:w="1940" w:type="dxa"/>
            <w:vAlign w:val="bottom"/>
            <w:tcBorders>
              <w:bottom w:val="single" w:sz="8" w:color="auto"/>
            </w:tcBorders>
          </w:tcPr>
          <w:p>
            <w:pPr>
              <w:jc w:val="right"/>
              <w:ind w:right="171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w w:val="99"/>
              </w:rPr>
              <w:t>14,877,023</w:t>
            </w:r>
          </w:p>
        </w:tc>
        <w:tc>
          <w:tcPr>
            <w:tcW w:w="34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line="219" w:lineRule="exact"/>
              <w:rPr>
                <w:sz w:val="20"/>
                <w:szCs w:val="20"/>
                <w:color w:val="auto"/>
              </w:rPr>
            </w:pPr>
            <w:r>
              <w:rPr>
                <w:rFonts w:ascii="Times New Roman" w:cs="Times New Roman" w:eastAsia="Times New Roman" w:hAnsi="Times New Roman"/>
                <w:sz w:val="21"/>
                <w:szCs w:val="21"/>
                <w:color w:val="auto"/>
                <w:w w:val="75"/>
              </w:rPr>
              <w:t>$</w:t>
            </w:r>
          </w:p>
        </w:tc>
        <w:tc>
          <w:tcPr>
            <w:tcW w:w="25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14,658,278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4860" w:type="dxa"/>
            <w:vAlign w:val="bottom"/>
          </w:tcPr>
          <w:p>
            <w:pPr>
              <w:spacing w:after="0"/>
              <w:rPr>
                <w:sz w:val="24"/>
                <w:szCs w:val="24"/>
                <w:color w:val="auto"/>
              </w:rPr>
            </w:pPr>
          </w:p>
        </w:tc>
        <w:tc>
          <w:tcPr>
            <w:tcW w:w="1940" w:type="dxa"/>
            <w:vAlign w:val="bottom"/>
          </w:tcPr>
          <w:p>
            <w:pPr>
              <w:jc w:val="right"/>
              <w:ind w:right="954"/>
              <w:spacing w:after="0"/>
              <w:rPr>
                <w:sz w:val="20"/>
                <w:szCs w:val="20"/>
                <w:color w:val="auto"/>
              </w:rPr>
            </w:pPr>
            <w:r>
              <w:rPr>
                <w:rFonts w:ascii="Times New Roman" w:cs="Times New Roman" w:eastAsia="Times New Roman" w:hAnsi="Times New Roman"/>
                <w:sz w:val="21"/>
                <w:szCs w:val="21"/>
                <w:color w:val="auto"/>
              </w:rPr>
              <w:t>26</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13 – </w:t>
      </w:r>
      <w:r>
        <w:rPr>
          <w:rFonts w:ascii="Times New Roman" w:cs="Times New Roman" w:eastAsia="Times New Roman" w:hAnsi="Times New Roman"/>
          <w:sz w:val="21"/>
          <w:szCs w:val="21"/>
          <w:b w:val="1"/>
          <w:bCs w:val="1"/>
          <w:i w:val="1"/>
          <w:iCs w:val="1"/>
          <w:color w:val="auto"/>
        </w:rPr>
        <w:t>Commitments and Contingencies</w:t>
      </w:r>
    </w:p>
    <w:p>
      <w:pPr>
        <w:spacing w:after="0" w:line="213"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1"/>
          <w:szCs w:val="21"/>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March 31, 2022, the aggregate amount of $16,577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March 31, 2022, estimates that approximately $2,385 of the amount accrued for these matters are probable of recovery through insurance, which amount is also reported in the Company’s consolidated balance sheet as deferred charges and other assets, net.</w:t>
      </w:r>
    </w:p>
    <w:p>
      <w:pPr>
        <w:spacing w:after="0" w:line="17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1"/>
          <w:szCs w:val="21"/>
          <w:color w:val="auto"/>
        </w:rPr>
        <w:t>During a portion of 2019, the Company initiated a do not consume advisory for some of its water customers in one division served by the Company’s Illinois subsidiary. During the second quarter of 2021, an immaterial amount was accrued for the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is vigorously defending against this claim. A claim for the expenses incurred has been submitted to the 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78"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66"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21"/>
          <w:szCs w:val="21"/>
          <w:color w:val="auto"/>
        </w:rPr>
        <w:t>In addition to the aforementioned loss contingencies, the Company self-insures its employee medical benefit program, and maintains stop-loss coverage to limit the exposure arising from these claims. The Company’s reserve for these claims totaled $2,470 at March 31, 2022 and represents a reserve for unpaid claim costs, including an estimate for the cost of incurred but not reported claims.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ind w:right="-39"/>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14 – </w:t>
      </w:r>
      <w:r>
        <w:rPr>
          <w:rFonts w:ascii="Times New Roman" w:cs="Times New Roman" w:eastAsia="Times New Roman" w:hAnsi="Times New Roman"/>
          <w:sz w:val="21"/>
          <w:szCs w:val="21"/>
          <w:b w:val="1"/>
          <w:bCs w:val="1"/>
          <w:i w:val="1"/>
          <w:iCs w:val="1"/>
          <w:color w:val="auto"/>
        </w:rPr>
        <w:t>Income Taxes</w:t>
      </w:r>
    </w:p>
    <w:p>
      <w:pPr>
        <w:spacing w:after="0" w:line="213"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1"/>
          <w:szCs w:val="21"/>
          <w:color w:val="auto"/>
        </w:rPr>
        <w:t>The Company’s effective tax rate was (9.5)% and 2.5% for the three months ended March 31, 2022 and 2021, respectively. The decrease in the effective tax rate for the first quarter is primarily attributed to an increase in our income tax benefit associated with the tax deduction for qualifying infrastructure and the amortization of the customer surcredit tax repair catch-up adjustment during the first quarter of 2022 in our Regulated Natural Gas segment. The statutory Federal tax rate is 21% for the three months ended March 31, 2022 and 2021. For states with a corporate net income tax, the state corporate net income tax rates range from 2.5% to 9.99% for all periods presented. In determining its interim tax provision, the Company reflects its estimated permanent and flow-through tax differences for the taxable year, including the basis difference for the adoption of the tangible property regulations. Qualifying utility asset improvement costs and the amortization of excess deferred income taxes caused the year-to-date effective tax rate to be significantly different from the statutory rate in both 2021 and 2022.</w:t>
      </w:r>
    </w:p>
    <w:p>
      <w:pPr>
        <w:spacing w:after="0" w:line="191"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1"/>
          <w:szCs w:val="21"/>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 tax deduction for qualifying utility asset improvement costs that were formerly capitalized for tax purposes. Consistent with the Company’s accounting for differences between book and tax expenditures in Pennsylvania, the Company is utilizing the flow-through method to account for this timing difference. In addition, the Company calculated the income tax benefits for qualifying capital expenditures made prior to March 16, 2020 (“catch-up adjustment”) and has recorded a regulatory liability for $160,655 for these income tax benefits. On May 6, 2021, the Pennsylvania Public Utility</w:t>
      </w:r>
    </w:p>
    <w:p>
      <w:pPr>
        <w:spacing w:after="0" w:line="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Commission approved a settlement order which stipulates, among other points, that the catch-up adjustment be provided to utility customers over a five-year period, and the Company can continue to use flow-through accounting for the current tax repair benefit until its next base rate case. The five-year customer surcredit for the catch-up adjustment was initiated in August 2021. During the first quarter of 2022, $12,487 of income tax benefits were amortized as refunds were being made to Peoples Natural Gas customers. In addition, the Company contributed $500 to a customer-bill payment assistance program in July 2021 and in December 2021 provided $5,000 in relief to past-due accounts for natural gas customers impacted by the COVID-19 pandemic through a rate credit fulfilling this requirement.</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ind w:left="2480"/>
        <w:spacing w:after="0" w:line="223" w:lineRule="auto"/>
        <w:rPr>
          <w:sz w:val="20"/>
          <w:szCs w:val="20"/>
          <w:color w:val="auto"/>
        </w:rPr>
      </w:pPr>
      <w:r>
        <w:rPr>
          <w:rFonts w:ascii="Times New Roman" w:cs="Times New Roman" w:eastAsia="Times New Roman" w:hAnsi="Times New Roman"/>
          <w:sz w:val="21"/>
          <w:szCs w:val="21"/>
          <w:color w:val="auto"/>
        </w:rPr>
        <w:t>NOTES TO CONSOLIDATED FINANCIAL STATEMENTS (continued)</w:t>
      </w:r>
    </w:p>
    <w:p>
      <w:pPr>
        <w:jc w:val="center"/>
        <w:ind w:right="-19"/>
        <w:spacing w:after="0" w:line="224" w:lineRule="auto"/>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Note 15 – </w:t>
      </w:r>
      <w:r>
        <w:rPr>
          <w:rFonts w:ascii="Times New Roman" w:cs="Times New Roman" w:eastAsia="Times New Roman" w:hAnsi="Times New Roman"/>
          <w:sz w:val="21"/>
          <w:szCs w:val="21"/>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Pronouncements to be adopted upon the effective date:</w:t>
      </w:r>
    </w:p>
    <w:p>
      <w:pPr>
        <w:spacing w:after="0" w:line="20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 early adoption permitted. The Company is evaluating the requirements of the updated guidance to determine the impact of adoption.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Pronouncement adopted during the year:</w:t>
      </w:r>
    </w:p>
    <w:p>
      <w:pPr>
        <w:spacing w:after="0" w:line="222"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1"/>
          <w:szCs w:val="21"/>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As permitted, we adopted this updated guidance on January 1, 2022, which did not have a material impact on our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jc w:val="center"/>
        <w:ind w:right="40"/>
        <w:spacing w:after="0" w:line="231" w:lineRule="auto"/>
        <w:rPr>
          <w:sz w:val="20"/>
          <w:szCs w:val="20"/>
          <w:color w:val="auto"/>
        </w:rPr>
      </w:pPr>
      <w:r>
        <w:rPr>
          <w:rFonts w:ascii="Times New Roman" w:cs="Times New Roman" w:eastAsia="Times New Roman" w:hAnsi="Times New Roman"/>
          <w:sz w:val="21"/>
          <w:szCs w:val="21"/>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 – Management’s Discussion and Analysis of Financial Condition and Results of Operations</w:t>
      </w: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u w:val="single" w:color="auto"/>
          <w:color w:val="auto"/>
        </w:rPr>
        <w:t>Forward-looking Statements</w:t>
      </w:r>
    </w:p>
    <w:p>
      <w:pPr>
        <w:spacing w:after="0" w:line="20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the COVID-19 pandemic, the effects of regulation, abnormal weather, geopolitical forces,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2021 under the captions “Risk Factors” and “Management’s Discussion and Analysis of Financial Condition and Results of Operations” and elsewhere in such report and those included under the captions “Risk Factors”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General Information</w:t>
      </w:r>
    </w:p>
    <w:p>
      <w:pPr>
        <w:spacing w:after="0" w:line="22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color w:val="auto"/>
        </w:rPr>
        <w:t>Essential Utilities,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Essential Utilities, Inc., which prior to its name change in February 2020 was known as Aqua America, Inc., was formed in 1968 as a holding company for its primary subsidiary, Aqua Pennsylvania, formerly known as Philadelphia Suburban Water Company. For many years, starting in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in seven other states. On March 16, 2020, the Company completed the Peoples Gas Acquisition, a natural gas distribution utility, marking its entrance into the regulated natural gas business.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utility businesses.</w:t>
      </w:r>
    </w:p>
    <w:p>
      <w:pPr>
        <w:spacing w:after="0" w:line="180"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21"/>
          <w:szCs w:val="21"/>
          <w:i w:val="1"/>
          <w:iCs w:val="1"/>
          <w:color w:val="auto"/>
        </w:rPr>
        <w:t>The following discussion and analysis of our financial condition and results of operations should be read together with our consolidated financial statements and related notes.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COVID-19 Pandemic</w:t>
      </w:r>
    </w:p>
    <w:p>
      <w:pPr>
        <w:spacing w:after="0" w:line="21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1"/>
          <w:szCs w:val="21"/>
          <w:color w:val="auto"/>
        </w:rPr>
        <w:t>We provide a critical service to our customers, which means that it is paramount that we keep our employees who operate the business safe and informed while supporting our customers and assuring the continuity of our operations. We continue to monitor the COVID-19 pandemic and take steps to mitigate the potential risks to our business. Since the start of the COVID-19 pandemic, we have implemented protective measures in the field, our plants, and within our offices, which we continuously update for changes in conditions and emerging trends and align with the recommendations of the Centers for Disease Control and Prevention and Federal, State and local health authorities. Our office employees returned to the workplace safely in 2021 and remain working in a hybrid flex schedule as positions allow. We also encouraged employees to become vaccinated. In addition, we are monitoring collections of customer utility accounts, risks present in our supply chain, and increased expenses for costs associated with workforce-related supplies, security and cleaning of company offices and operating facilities, as well as other one-time expenses above the expense amounts included in general 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Inflationary Cost Environment</w:t>
      </w:r>
    </w:p>
    <w:p>
      <w:pPr>
        <w:spacing w:after="0" w:line="22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1"/>
          <w:szCs w:val="21"/>
          <w:color w:val="auto"/>
        </w:rPr>
        <w:t>During the three months ended March 31, 2022, we experienced inflationary cost increases in our materials, labor and other operating costs, as well as supply chain pressures as a result of the COVID-19 pandemic and global uncertainties associated with the current conflict in Ukraine and sanctions imposed in response to this conflict. The price of natural gas substantially increased during the first quarter of 2022 and resulted in the significant increase in the revenue and expenses of our Regulated Natural Gas business during the three month period ended March 31, 2022, as compared to the same three month period a year earlier. We expect these pressures to continue throughout 2022. We continue to review the adequacy of our rates as approved by public utility commissions in relation to the increasing cost of providing services and the inherent regulatory lag in adjusting those rates. We also continue to work with our suppliers to monitor and address the risks present in our supply chain. While we have experienced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some delays in certain materials, we have been able to adjust our purchasing procedures to secure and stock the necessary materials without materially impacting our operations or capital investment program.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Financial Condition</w:t>
      </w:r>
    </w:p>
    <w:p>
      <w:pPr>
        <w:spacing w:after="0" w:line="20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1"/>
          <w:szCs w:val="21"/>
          <w:color w:val="auto"/>
        </w:rPr>
        <w:t>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91"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1"/>
          <w:szCs w:val="21"/>
          <w:color w:val="auto"/>
        </w:rPr>
        <w:t>During the first three months of 2022, we incurred $183,322 of capital expenditures, expended $50,009 for the acquisition of a wastewater utility system, issued $165,000 of long-term debt, and repaid debt and made sinking fund contributions and other loan repayments of $67,023. The capital expenditures were related to new and replacement water, wastewater, and natural gas mains, improvements to treatment plants, tanks, hydrants, and service lines, well and booster improvements, information technology improvements, and other enhancements and improvements. The issuance of long-term debt was for funds borrowed under our revolving credit facility and used for capital expenditures and general corporate purposes, including a municipal acquisition.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April 15, 2021, the Company’s operating subsidiary Aqua Ohio, Inc. issued $100,000 of first mortgage bonds, of which $50,000</w:t>
      </w:r>
    </w:p>
    <w:p>
      <w:pPr>
        <w:spacing w:after="0" w:line="231" w:lineRule="auto"/>
        <w:rPr>
          <w:sz w:val="20"/>
          <w:szCs w:val="20"/>
          <w:color w:val="auto"/>
        </w:rPr>
      </w:pPr>
      <w:r>
        <w:rPr>
          <w:rFonts w:ascii="Times New Roman" w:cs="Times New Roman" w:eastAsia="Times New Roman" w:hAnsi="Times New Roman"/>
          <w:sz w:val="21"/>
          <w:szCs w:val="21"/>
          <w:color w:val="auto"/>
        </w:rPr>
        <w:t>is due in 2031 and $50,000 is due in 2051, with interest rates of 2.37% and 3.35%, respectively. The proceeds from these bonds</w:t>
      </w:r>
    </w:p>
    <w:p>
      <w:pPr>
        <w:spacing w:after="0" w:line="224" w:lineRule="auto"/>
        <w:rPr>
          <w:sz w:val="20"/>
          <w:szCs w:val="20"/>
          <w:color w:val="auto"/>
        </w:rPr>
      </w:pPr>
      <w:r>
        <w:rPr>
          <w:rFonts w:ascii="Times New Roman" w:cs="Times New Roman" w:eastAsia="Times New Roman" w:hAnsi="Times New Roman"/>
          <w:sz w:val="21"/>
          <w:szCs w:val="21"/>
          <w:color w:val="auto"/>
        </w:rPr>
        <w:t>were used for general corporate purposes and to repay existing indebtedness. Further on April 19, 2021, the Company issued</w:t>
      </w:r>
    </w:p>
    <w:p>
      <w:pPr>
        <w:spacing w:after="0" w:line="237" w:lineRule="auto"/>
        <w:rPr>
          <w:sz w:val="20"/>
          <w:szCs w:val="20"/>
          <w:color w:val="auto"/>
        </w:rPr>
      </w:pPr>
      <w:r>
        <w:rPr>
          <w:rFonts w:ascii="Times New Roman" w:cs="Times New Roman" w:eastAsia="Times New Roman" w:hAnsi="Times New Roman"/>
          <w:sz w:val="21"/>
          <w:szCs w:val="21"/>
          <w:color w:val="auto"/>
        </w:rPr>
        <w:t>$400,000 of long-term debt, less expenses of $4,010, which is due in 2031 with an interest rate of 2.40%. The Company used the</w:t>
      </w:r>
    </w:p>
    <w:p>
      <w:pPr>
        <w:spacing w:after="0" w:line="224" w:lineRule="auto"/>
        <w:rPr>
          <w:sz w:val="20"/>
          <w:szCs w:val="20"/>
          <w:color w:val="auto"/>
        </w:rPr>
      </w:pPr>
      <w:r>
        <w:rPr>
          <w:rFonts w:ascii="Times New Roman" w:cs="Times New Roman" w:eastAsia="Times New Roman" w:hAnsi="Times New Roman"/>
          <w:sz w:val="21"/>
          <w:szCs w:val="21"/>
          <w:color w:val="auto"/>
        </w:rPr>
        <w:t>proceeds from this issuance to repay $50,000 of borrowings under our Aqua Pennsylvania five- year revolving credit facility, and</w:t>
      </w:r>
    </w:p>
    <w:p>
      <w:pPr>
        <w:spacing w:after="0"/>
        <w:rPr>
          <w:sz w:val="20"/>
          <w:szCs w:val="20"/>
          <w:color w:val="auto"/>
        </w:rPr>
      </w:pPr>
      <w:r>
        <w:rPr>
          <w:rFonts w:ascii="Times New Roman" w:cs="Times New Roman" w:eastAsia="Times New Roman" w:hAnsi="Times New Roman"/>
          <w:sz w:val="21"/>
          <w:szCs w:val="21"/>
          <w:color w:val="auto"/>
        </w:rPr>
        <w:t>the balance was used to repay in full the borrowings under its existing five-year unsecured revolving credit agreement.</w:t>
      </w:r>
    </w:p>
    <w:p>
      <w:pPr>
        <w:spacing w:after="0" w:line="198" w:lineRule="exact"/>
        <w:rPr>
          <w:sz w:val="20"/>
          <w:szCs w:val="20"/>
          <w:color w:val="auto"/>
        </w:rPr>
      </w:pPr>
    </w:p>
    <w:p>
      <w:pPr>
        <w:jc w:val="both"/>
        <w:ind w:right="420"/>
        <w:spacing w:after="0" w:line="241" w:lineRule="auto"/>
        <w:rPr>
          <w:sz w:val="20"/>
          <w:szCs w:val="20"/>
          <w:color w:val="auto"/>
        </w:rPr>
      </w:pPr>
      <w:r>
        <w:rPr>
          <w:rFonts w:ascii="Times New Roman" w:cs="Times New Roman" w:eastAsia="Times New Roman" w:hAnsi="Times New Roman"/>
          <w:sz w:val="21"/>
          <w:szCs w:val="21"/>
          <w:color w:val="auto"/>
        </w:rPr>
        <w:t>At March 31, 2022, we had $58,298 of cash and cash equivalents compared to $10,567 at December 31, 2021. During the first three months of 2022, we used the proceeds from long-term debt and internally generated funds to fund the cash requirements discussed above and to pay dividends.</w:t>
      </w:r>
    </w:p>
    <w:p>
      <w:pPr>
        <w:spacing w:after="0" w:line="18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1"/>
          <w:szCs w:val="21"/>
          <w:color w:val="auto"/>
        </w:rPr>
        <w:t>At March 31, 2022 our $1,000,000 unsecured revolving credit facility, which expires in December 2023, had $570,267 available for borrowing. Additionally, at March 31, 2022, we had short-term lines of credit of $235,500, of which $155,757 was available for borrowing. One of our short-term lines of credit is an Aqua Pennsylvania $100,000 364-day unsecured revolving credit facility with four banks, which is used to provide working capital, and as of March 31, 2022, $50,257 was available for borrowing. Another one of our short-term lines of credit is a Peoples Natural Gas Companies $100,000 364-day unsecured revolving credit facility with two banks, which is used to provide working capital, and as of March 31, 2022, $70,000 was available for borrowing. Our short-term lines of credit of $235,500 are subject to renewal on an annual basis. Although we believe we will be able to renew these facilities, there is no assurance that they will be renewed, or what the terms of any such renewal will be.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11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Consolidated Results of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Consolidated financial and operational highlights for the three month period ended March 31, 2022 and 2021 are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color w:val="auto"/>
                <w:w w:val="98"/>
              </w:rPr>
              <w:t>Three Months Ended March 31,</w:t>
            </w:r>
          </w:p>
        </w:tc>
        <w:tc>
          <w:tcPr>
            <w:tcW w:w="2000" w:type="dxa"/>
            <w:vAlign w:val="bottom"/>
            <w:gridSpan w:val="2"/>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rPr>
              <w:t>Increase (Decrease)</w:t>
            </w:r>
          </w:p>
        </w:tc>
        <w:tc>
          <w:tcPr>
            <w:tcW w:w="116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72"/>
              <w:spacing w:after="0" w:line="179" w:lineRule="exact"/>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2"/>
              <w:spacing w:after="0" w:line="179" w:lineRule="exact"/>
              <w:rPr>
                <w:sz w:val="20"/>
                <w:szCs w:val="20"/>
                <w:color w:val="auto"/>
              </w:rPr>
            </w:pPr>
            <w:r>
              <w:rPr>
                <w:rFonts w:ascii="Times New Roman" w:cs="Times New Roman" w:eastAsia="Times New Roman" w:hAnsi="Times New Roman"/>
                <w:sz w:val="18"/>
                <w:szCs w:val="18"/>
                <w:color w:val="auto"/>
                <w:w w:val="99"/>
              </w:rPr>
              <w:t>2021</w:t>
            </w:r>
          </w:p>
        </w:tc>
        <w:tc>
          <w:tcPr>
            <w:tcW w:w="2000" w:type="dxa"/>
            <w:vAlign w:val="bottom"/>
            <w:tcBorders>
              <w:bottom w:val="single" w:sz="8" w:color="auto"/>
            </w:tcBorders>
            <w:gridSpan w:val="2"/>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Operating revenues</w:t>
            </w:r>
          </w:p>
        </w:tc>
        <w:tc>
          <w:tcPr>
            <w:tcW w:w="4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699,275</w:t>
            </w:r>
          </w:p>
        </w:tc>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583,565</w:t>
            </w:r>
          </w:p>
        </w:tc>
        <w:tc>
          <w:tcPr>
            <w:tcW w:w="820" w:type="dxa"/>
            <w:vAlign w:val="bottom"/>
            <w:tcBorders>
              <w:bottom w:val="single" w:sz="8" w:color="auto"/>
            </w:tcBorders>
            <w:shd w:val="clear" w:color="auto" w:fill="CCEEFF"/>
          </w:tcPr>
          <w:p>
            <w:pPr>
              <w:jc w:val="right"/>
              <w:ind w:right="232"/>
              <w:spacing w:after="0" w:line="17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12"/>
              <w:spacing w:after="0" w:line="179" w:lineRule="exact"/>
              <w:rPr>
                <w:sz w:val="20"/>
                <w:szCs w:val="20"/>
                <w:color w:val="auto"/>
              </w:rPr>
            </w:pPr>
            <w:r>
              <w:rPr>
                <w:rFonts w:ascii="Times New Roman" w:cs="Times New Roman" w:eastAsia="Times New Roman" w:hAnsi="Times New Roman"/>
                <w:sz w:val="18"/>
                <w:szCs w:val="18"/>
                <w:color w:val="auto"/>
              </w:rPr>
              <w:t>115,710</w:t>
            </w:r>
          </w:p>
        </w:tc>
        <w:tc>
          <w:tcPr>
            <w:tcW w:w="1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142,581</w:t>
            </w: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125,075</w:t>
            </w:r>
          </w:p>
        </w:tc>
        <w:tc>
          <w:tcPr>
            <w:tcW w:w="820" w:type="dxa"/>
            <w:vAlign w:val="bottom"/>
            <w:tcBorders>
              <w:bottom w:val="single" w:sz="8" w:color="auto"/>
            </w:tcBorders>
          </w:tcPr>
          <w:p>
            <w:pPr>
              <w:jc w:val="right"/>
              <w:ind w:right="232"/>
              <w:spacing w:after="0" w:line="16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12"/>
              <w:spacing w:after="0" w:line="165" w:lineRule="exact"/>
              <w:rPr>
                <w:sz w:val="20"/>
                <w:szCs w:val="20"/>
                <w:color w:val="auto"/>
              </w:rPr>
            </w:pPr>
            <w:r>
              <w:rPr>
                <w:rFonts w:ascii="Times New Roman" w:cs="Times New Roman" w:eastAsia="Times New Roman" w:hAnsi="Times New Roman"/>
                <w:sz w:val="18"/>
                <w:szCs w:val="18"/>
                <w:color w:val="auto"/>
              </w:rPr>
              <w:t>17,506</w:t>
            </w:r>
          </w:p>
        </w:tc>
        <w:tc>
          <w:tcPr>
            <w:tcW w:w="11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65"/>
        </w:trPr>
        <w:tc>
          <w:tcPr>
            <w:tcW w:w="4700" w:type="dxa"/>
            <w:vAlign w:val="bottom"/>
            <w:tcBorders>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Purchased gas</w:t>
            </w:r>
          </w:p>
        </w:tc>
        <w:tc>
          <w:tcPr>
            <w:tcW w:w="46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227,712</w:t>
            </w:r>
          </w:p>
        </w:tc>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132,153</w:t>
            </w:r>
          </w:p>
        </w:tc>
        <w:tc>
          <w:tcPr>
            <w:tcW w:w="820" w:type="dxa"/>
            <w:vAlign w:val="bottom"/>
            <w:tcBorders>
              <w:bottom w:val="single" w:sz="8" w:color="auto"/>
            </w:tcBorders>
            <w:shd w:val="clear" w:color="auto" w:fill="CCEEFF"/>
          </w:tcPr>
          <w:p>
            <w:pPr>
              <w:jc w:val="right"/>
              <w:ind w:right="232"/>
              <w:spacing w:after="0" w:line="16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12"/>
              <w:spacing w:after="0" w:line="165" w:lineRule="exact"/>
              <w:rPr>
                <w:sz w:val="20"/>
                <w:szCs w:val="20"/>
                <w:color w:val="auto"/>
              </w:rPr>
            </w:pPr>
            <w:r>
              <w:rPr>
                <w:rFonts w:ascii="Times New Roman" w:cs="Times New Roman" w:eastAsia="Times New Roman" w:hAnsi="Times New Roman"/>
                <w:sz w:val="18"/>
                <w:szCs w:val="18"/>
                <w:color w:val="auto"/>
              </w:rPr>
              <w:t>95,559</w:t>
            </w:r>
          </w:p>
        </w:tc>
        <w:tc>
          <w:tcPr>
            <w:tcW w:w="116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199,376</w:t>
            </w: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183,689</w:t>
            </w:r>
          </w:p>
        </w:tc>
        <w:tc>
          <w:tcPr>
            <w:tcW w:w="820" w:type="dxa"/>
            <w:vAlign w:val="bottom"/>
            <w:tcBorders>
              <w:bottom w:val="single" w:sz="8" w:color="auto"/>
            </w:tcBorders>
          </w:tcPr>
          <w:p>
            <w:pPr>
              <w:jc w:val="right"/>
              <w:ind w:right="232"/>
              <w:spacing w:after="0" w:line="16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12"/>
              <w:spacing w:after="0" w:line="165" w:lineRule="exact"/>
              <w:rPr>
                <w:sz w:val="20"/>
                <w:szCs w:val="20"/>
                <w:color w:val="auto"/>
              </w:rPr>
            </w:pPr>
            <w:r>
              <w:rPr>
                <w:rFonts w:ascii="Times New Roman" w:cs="Times New Roman" w:eastAsia="Times New Roman" w:hAnsi="Times New Roman"/>
                <w:sz w:val="18"/>
                <w:szCs w:val="18"/>
                <w:color w:val="auto"/>
              </w:rPr>
              <w:t>15,687</w:t>
            </w:r>
          </w:p>
        </w:tc>
        <w:tc>
          <w:tcPr>
            <w:tcW w:w="11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Operating Statistics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Operations and maintenance</w:t>
            </w:r>
          </w:p>
        </w:tc>
        <w:tc>
          <w:tcPr>
            <w:tcW w:w="460" w:type="dxa"/>
            <w:vAlign w:val="bottom"/>
          </w:tcPr>
          <w:p>
            <w:pPr>
              <w:spacing w:after="0"/>
              <w:rPr>
                <w:sz w:val="16"/>
                <w:szCs w:val="16"/>
                <w:color w:val="auto"/>
              </w:rPr>
            </w:pPr>
          </w:p>
        </w:tc>
        <w:tc>
          <w:tcPr>
            <w:tcW w:w="1220" w:type="dxa"/>
            <w:vAlign w:val="bottom"/>
          </w:tcPr>
          <w:p>
            <w:pPr>
              <w:jc w:val="center"/>
              <w:ind w:right="352"/>
              <w:spacing w:after="0" w:line="186" w:lineRule="exact"/>
              <w:rPr>
                <w:sz w:val="20"/>
                <w:szCs w:val="20"/>
                <w:color w:val="auto"/>
              </w:rPr>
            </w:pPr>
            <w:r>
              <w:rPr>
                <w:rFonts w:ascii="Times New Roman" w:cs="Times New Roman" w:eastAsia="Times New Roman" w:hAnsi="Times New Roman"/>
                <w:sz w:val="18"/>
                <w:szCs w:val="18"/>
                <w:color w:val="auto"/>
                <w:w w:val="98"/>
              </w:rPr>
              <w:t>20.4%</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center"/>
              <w:ind w:right="392"/>
              <w:spacing w:after="0" w:line="186" w:lineRule="exact"/>
              <w:rPr>
                <w:sz w:val="20"/>
                <w:szCs w:val="20"/>
                <w:color w:val="auto"/>
              </w:rPr>
            </w:pPr>
            <w:r>
              <w:rPr>
                <w:rFonts w:ascii="Times New Roman" w:cs="Times New Roman" w:eastAsia="Times New Roman" w:hAnsi="Times New Roman"/>
                <w:sz w:val="18"/>
                <w:szCs w:val="18"/>
                <w:color w:val="auto"/>
                <w:w w:val="98"/>
              </w:rPr>
              <w:t>21.4%</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Purchased gas</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352"/>
              <w:spacing w:after="0" w:line="186" w:lineRule="exact"/>
              <w:rPr>
                <w:sz w:val="20"/>
                <w:szCs w:val="20"/>
                <w:color w:val="auto"/>
              </w:rPr>
            </w:pPr>
            <w:r>
              <w:rPr>
                <w:rFonts w:ascii="Times New Roman" w:cs="Times New Roman" w:eastAsia="Times New Roman" w:hAnsi="Times New Roman"/>
                <w:sz w:val="18"/>
                <w:szCs w:val="18"/>
                <w:color w:val="auto"/>
                <w:w w:val="98"/>
              </w:rPr>
              <w:t>32.6%</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392"/>
              <w:spacing w:after="0" w:line="186" w:lineRule="exact"/>
              <w:rPr>
                <w:sz w:val="20"/>
                <w:szCs w:val="20"/>
                <w:color w:val="auto"/>
              </w:rPr>
            </w:pPr>
            <w:r>
              <w:rPr>
                <w:rFonts w:ascii="Times New Roman" w:cs="Times New Roman" w:eastAsia="Times New Roman" w:hAnsi="Times New Roman"/>
                <w:sz w:val="18"/>
                <w:szCs w:val="18"/>
                <w:color w:val="auto"/>
                <w:w w:val="98"/>
              </w:rPr>
              <w:t>22.6%</w:t>
            </w: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6"/>
                <w:szCs w:val="16"/>
                <w:color w:val="auto"/>
              </w:rPr>
            </w:pPr>
          </w:p>
        </w:tc>
        <w:tc>
          <w:tcPr>
            <w:tcW w:w="1220" w:type="dxa"/>
            <w:vAlign w:val="bottom"/>
          </w:tcPr>
          <w:p>
            <w:pPr>
              <w:jc w:val="center"/>
              <w:ind w:right="372"/>
              <w:spacing w:after="0" w:line="186" w:lineRule="exact"/>
              <w:rPr>
                <w:sz w:val="20"/>
                <w:szCs w:val="20"/>
                <w:color w:val="auto"/>
              </w:rPr>
            </w:pPr>
            <w:r>
              <w:rPr>
                <w:rFonts w:ascii="Times New Roman" w:cs="Times New Roman" w:eastAsia="Times New Roman" w:hAnsi="Times New Roman"/>
                <w:sz w:val="18"/>
                <w:szCs w:val="18"/>
                <w:color w:val="auto"/>
                <w:w w:val="94"/>
              </w:rPr>
              <w:t>11.2%</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center"/>
              <w:ind w:right="392"/>
              <w:spacing w:after="0" w:line="186" w:lineRule="exact"/>
              <w:rPr>
                <w:sz w:val="20"/>
                <w:szCs w:val="20"/>
                <w:color w:val="auto"/>
              </w:rPr>
            </w:pPr>
            <w:r>
              <w:rPr>
                <w:rFonts w:ascii="Times New Roman" w:cs="Times New Roman" w:eastAsia="Times New Roman" w:hAnsi="Times New Roman"/>
                <w:sz w:val="18"/>
                <w:szCs w:val="18"/>
                <w:color w:val="auto"/>
                <w:w w:val="98"/>
              </w:rPr>
              <w:t>12.5%</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372"/>
              <w:spacing w:after="0" w:line="186" w:lineRule="exact"/>
              <w:rPr>
                <w:sz w:val="20"/>
                <w:szCs w:val="20"/>
                <w:color w:val="auto"/>
              </w:rPr>
            </w:pPr>
            <w:r>
              <w:rPr>
                <w:rFonts w:ascii="Times New Roman" w:cs="Times New Roman" w:eastAsia="Times New Roman" w:hAnsi="Times New Roman"/>
                <w:sz w:val="18"/>
                <w:szCs w:val="18"/>
                <w:color w:val="auto"/>
                <w:w w:val="95"/>
              </w:rPr>
              <w:t>3.3%</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372"/>
              <w:spacing w:after="0" w:line="186" w:lineRule="exact"/>
              <w:rPr>
                <w:sz w:val="20"/>
                <w:szCs w:val="20"/>
                <w:color w:val="auto"/>
              </w:rPr>
            </w:pPr>
            <w:r>
              <w:rPr>
                <w:rFonts w:ascii="Times New Roman" w:cs="Times New Roman" w:eastAsia="Times New Roman" w:hAnsi="Times New Roman"/>
                <w:sz w:val="18"/>
                <w:szCs w:val="18"/>
                <w:color w:val="auto"/>
                <w:w w:val="95"/>
              </w:rPr>
              <w:t>3.6%</w:t>
            </w: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460" w:type="dxa"/>
            <w:vAlign w:val="bottom"/>
          </w:tcPr>
          <w:p>
            <w:pPr>
              <w:spacing w:after="0"/>
              <w:rPr>
                <w:sz w:val="16"/>
                <w:szCs w:val="16"/>
                <w:color w:val="auto"/>
              </w:rPr>
            </w:pPr>
          </w:p>
        </w:tc>
        <w:tc>
          <w:tcPr>
            <w:tcW w:w="1220" w:type="dxa"/>
            <w:vAlign w:val="bottom"/>
          </w:tcPr>
          <w:p>
            <w:pPr>
              <w:jc w:val="center"/>
              <w:ind w:right="372"/>
              <w:spacing w:after="0" w:line="186" w:lineRule="exact"/>
              <w:rPr>
                <w:sz w:val="20"/>
                <w:szCs w:val="20"/>
                <w:color w:val="auto"/>
              </w:rPr>
            </w:pPr>
            <w:r>
              <w:rPr>
                <w:rFonts w:ascii="Times New Roman" w:cs="Times New Roman" w:eastAsia="Times New Roman" w:hAnsi="Times New Roman"/>
                <w:sz w:val="18"/>
                <w:szCs w:val="18"/>
                <w:color w:val="auto"/>
                <w:w w:val="95"/>
              </w:rPr>
              <w:t>7.6%</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center"/>
              <w:ind w:right="372"/>
              <w:spacing w:after="0" w:line="186" w:lineRule="exact"/>
              <w:rPr>
                <w:sz w:val="20"/>
                <w:szCs w:val="20"/>
                <w:color w:val="auto"/>
              </w:rPr>
            </w:pPr>
            <w:r>
              <w:rPr>
                <w:rFonts w:ascii="Times New Roman" w:cs="Times New Roman" w:eastAsia="Times New Roman" w:hAnsi="Times New Roman"/>
                <w:sz w:val="18"/>
                <w:szCs w:val="18"/>
                <w:color w:val="auto"/>
                <w:w w:val="95"/>
              </w:rPr>
              <w:t>8.6%</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352"/>
              <w:spacing w:after="0" w:line="186" w:lineRule="exact"/>
              <w:rPr>
                <w:sz w:val="20"/>
                <w:szCs w:val="20"/>
                <w:color w:val="auto"/>
              </w:rPr>
            </w:pPr>
            <w:r>
              <w:rPr>
                <w:rFonts w:ascii="Times New Roman" w:cs="Times New Roman" w:eastAsia="Times New Roman" w:hAnsi="Times New Roman"/>
                <w:sz w:val="18"/>
                <w:szCs w:val="18"/>
                <w:color w:val="auto"/>
                <w:w w:val="98"/>
              </w:rPr>
              <w:t>28.5%</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392"/>
              <w:spacing w:after="0" w:line="186" w:lineRule="exact"/>
              <w:rPr>
                <w:sz w:val="20"/>
                <w:szCs w:val="20"/>
                <w:color w:val="auto"/>
              </w:rPr>
            </w:pPr>
            <w:r>
              <w:rPr>
                <w:rFonts w:ascii="Times New Roman" w:cs="Times New Roman" w:eastAsia="Times New Roman" w:hAnsi="Times New Roman"/>
                <w:sz w:val="18"/>
                <w:szCs w:val="18"/>
                <w:color w:val="auto"/>
                <w:w w:val="98"/>
              </w:rPr>
              <w:t>31.5%</w:t>
            </w: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Effective tax rate</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352"/>
              <w:spacing w:after="0" w:line="186" w:lineRule="exact"/>
              <w:rPr>
                <w:sz w:val="20"/>
                <w:szCs w:val="20"/>
                <w:color w:val="auto"/>
              </w:rPr>
            </w:pPr>
            <w:r>
              <w:rPr>
                <w:rFonts w:ascii="Times New Roman" w:cs="Times New Roman" w:eastAsia="Times New Roman" w:hAnsi="Times New Roman"/>
                <w:sz w:val="18"/>
                <w:szCs w:val="18"/>
                <w:color w:val="auto"/>
                <w:w w:val="96"/>
              </w:rPr>
              <w:t>-9.5%</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372"/>
              <w:spacing w:after="0" w:line="186" w:lineRule="exact"/>
              <w:rPr>
                <w:sz w:val="20"/>
                <w:szCs w:val="20"/>
                <w:color w:val="auto"/>
              </w:rPr>
            </w:pPr>
            <w:r>
              <w:rPr>
                <w:rFonts w:ascii="Times New Roman" w:cs="Times New Roman" w:eastAsia="Times New Roman" w:hAnsi="Times New Roman"/>
                <w:sz w:val="18"/>
                <w:szCs w:val="18"/>
                <w:color w:val="auto"/>
                <w:w w:val="95"/>
              </w:rPr>
              <w:t>2.5%</w:t>
            </w:r>
          </w:p>
        </w:tc>
        <w:tc>
          <w:tcPr>
            <w:tcW w:w="8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1"/>
          <w:szCs w:val="21"/>
          <w:color w:val="auto"/>
        </w:rPr>
        <w:t>Consolidated operating revenues increased by $115,710 or 19.8% for the three months ended March 31, 2022, as compared to the same period in 2021. Revenues from our Regulated Water segment, Regulated Natural Gas segment and Other business segment increased by $10,845, $102,068 and $2,797, respectively. Refer below for further details on the changes on Regulated Water and Regulated Natural Gas segment revenues. The increase in our Other business segment revenue is due to higher revenues from our non-regulated natural gas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Consolidated operations and maintenance increased by $17,506 or 14.0%, primarily due to:</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increase in employee related costs of $8,448;</w:t>
      </w:r>
    </w:p>
    <w:p>
      <w:pPr>
        <w:spacing w:after="0" w:line="7" w:lineRule="exact"/>
        <w:rPr>
          <w:sz w:val="20"/>
          <w:szCs w:val="20"/>
          <w:color w:val="auto"/>
        </w:rPr>
      </w:pPr>
    </w:p>
    <w:p>
      <w:pPr>
        <w:ind w:left="320"/>
        <w:spacing w:after="0" w:line="223" w:lineRule="auto"/>
        <w:rPr>
          <w:sz w:val="20"/>
          <w:szCs w:val="20"/>
          <w:color w:val="auto"/>
        </w:rPr>
      </w:pPr>
      <w:r>
        <w:rPr>
          <w:rFonts w:ascii="Times New Roman" w:cs="Times New Roman" w:eastAsia="Times New Roman" w:hAnsi="Times New Roman"/>
          <w:sz w:val="21"/>
          <w:szCs w:val="21"/>
          <w:color w:val="auto"/>
        </w:rPr>
        <w:t>increase in production costs for water and wastewater operations of $1,526;</w:t>
      </w:r>
    </w:p>
    <w:p>
      <w:pPr>
        <w:ind w:left="640" w:right="40"/>
        <w:spacing w:after="0" w:line="228" w:lineRule="auto"/>
        <w:rPr>
          <w:sz w:val="20"/>
          <w:szCs w:val="20"/>
          <w:color w:val="auto"/>
        </w:rPr>
      </w:pPr>
      <w:r>
        <w:rPr>
          <w:rFonts w:ascii="Times New Roman" w:cs="Times New Roman" w:eastAsia="Times New Roman" w:hAnsi="Times New Roman"/>
          <w:sz w:val="21"/>
          <w:szCs w:val="21"/>
          <w:color w:val="auto"/>
        </w:rPr>
        <w:t>increase in customer assistance surcharge costs of $6,761 in our Regulated Natural Gas segment, which has an equivalent offsetting amount in revenues. These revenues and offsetting expenses increased mainly due to the increase in average gas prices during the first quarter of 2022 compared to the prior period;</w:t>
      </w:r>
    </w:p>
    <w:p>
      <w:pPr>
        <w:ind w:left="640" w:right="360"/>
        <w:spacing w:after="0" w:line="223" w:lineRule="auto"/>
        <w:rPr>
          <w:sz w:val="20"/>
          <w:szCs w:val="20"/>
          <w:color w:val="auto"/>
        </w:rPr>
      </w:pPr>
      <w:r>
        <w:rPr>
          <w:rFonts w:ascii="Times New Roman" w:cs="Times New Roman" w:eastAsia="Times New Roman" w:hAnsi="Times New Roman"/>
          <w:sz w:val="21"/>
          <w:szCs w:val="21"/>
          <w:color w:val="auto"/>
        </w:rPr>
        <w:t>additional operating costs associated with acquired and pending acquisitions of water and wastewater utility systems of $1,343;</w:t>
      </w:r>
    </w:p>
    <w:p>
      <w:pPr>
        <w:spacing w:after="0" w:line="1" w:lineRule="exact"/>
        <w:rPr>
          <w:sz w:val="20"/>
          <w:szCs w:val="20"/>
          <w:color w:val="auto"/>
        </w:rPr>
      </w:pPr>
    </w:p>
    <w:p>
      <w:pPr>
        <w:ind w:left="320"/>
        <w:spacing w:after="0" w:line="237" w:lineRule="auto"/>
        <w:rPr>
          <w:sz w:val="20"/>
          <w:szCs w:val="20"/>
          <w:color w:val="auto"/>
        </w:rPr>
      </w:pPr>
      <w:r>
        <w:rPr>
          <w:rFonts w:ascii="Times New Roman" w:cs="Times New Roman" w:eastAsia="Times New Roman" w:hAnsi="Times New Roman"/>
          <w:sz w:val="21"/>
          <w:szCs w:val="21"/>
          <w:color w:val="auto"/>
        </w:rPr>
        <w:t>increase in insurance expense of $3,261, which includes the impact of a favorable insurance reserve adjustment of $2,426</w:t>
      </w:r>
    </w:p>
    <w:p>
      <w:pPr>
        <w:ind w:left="640"/>
        <w:spacing w:after="0" w:line="223" w:lineRule="auto"/>
        <w:rPr>
          <w:sz w:val="20"/>
          <w:szCs w:val="20"/>
          <w:color w:val="auto"/>
        </w:rPr>
      </w:pPr>
      <w:r>
        <w:rPr>
          <w:rFonts w:ascii="Times New Roman" w:cs="Times New Roman" w:eastAsia="Times New Roman" w:hAnsi="Times New Roman"/>
          <w:sz w:val="21"/>
          <w:szCs w:val="21"/>
          <w:color w:val="auto"/>
        </w:rPr>
        <w:t>during the first quarter of 2021;</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0" w:lineRule="exact"/>
        <w:rPr>
          <w:sz w:val="20"/>
          <w:szCs w:val="20"/>
          <w:color w:val="auto"/>
        </w:rPr>
      </w:pPr>
    </w:p>
    <w:p>
      <w:pPr>
        <w:ind w:left="640" w:right="400"/>
        <w:spacing w:after="0" w:line="242" w:lineRule="auto"/>
        <w:rPr>
          <w:sz w:val="20"/>
          <w:szCs w:val="20"/>
          <w:color w:val="auto"/>
        </w:rPr>
      </w:pPr>
      <w:r>
        <w:rPr>
          <w:rFonts w:ascii="Times New Roman" w:cs="Times New Roman" w:eastAsia="Times New Roman" w:hAnsi="Times New Roman"/>
          <w:sz w:val="21"/>
          <w:szCs w:val="21"/>
          <w:color w:val="auto"/>
        </w:rPr>
        <w:t>expenses of $392 associated with remediating an advisory for some of our water utility customers served by our Illinois subsidiary. We expect the expenses associated with remediating the advisory to continue through 2022; and,</w:t>
      </w:r>
    </w:p>
    <w:p>
      <w:pPr>
        <w:ind w:left="320"/>
        <w:spacing w:after="0"/>
        <w:rPr>
          <w:sz w:val="20"/>
          <w:szCs w:val="20"/>
          <w:color w:val="auto"/>
        </w:rPr>
      </w:pPr>
      <w:r>
        <w:rPr>
          <w:rFonts w:ascii="Times New Roman" w:cs="Times New Roman" w:eastAsia="Times New Roman" w:hAnsi="Times New Roman"/>
          <w:sz w:val="21"/>
          <w:szCs w:val="21"/>
          <w:color w:val="auto"/>
        </w:rPr>
        <w:t>offset by the decrease in bad debt expense of $2,930.</w:t>
      </w:r>
    </w:p>
    <w:p>
      <w:pPr>
        <w:spacing w:after="0" w:line="18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Purchased gas increased by $95,559 or 72.3%. Purchased gas represents the cost of gas sold by Peoples for the regulated and non-regulated gas business and has a corresponding offset in revenue. The expense increased primarily due to the 46.9% increase in the average gas commodity prices as compared to the same period in the prior year.</w:t>
      </w:r>
    </w:p>
    <w:p>
      <w:pPr>
        <w:spacing w:after="0" w:line="179" w:lineRule="exact"/>
        <w:rPr>
          <w:sz w:val="20"/>
          <w:szCs w:val="20"/>
          <w:color w:val="auto"/>
        </w:rPr>
      </w:pPr>
    </w:p>
    <w:p>
      <w:pPr>
        <w:ind w:right="360"/>
        <w:spacing w:after="0" w:line="241" w:lineRule="auto"/>
        <w:rPr>
          <w:sz w:val="20"/>
          <w:szCs w:val="20"/>
          <w:color w:val="auto"/>
        </w:rPr>
      </w:pPr>
      <w:r>
        <w:rPr>
          <w:rFonts w:ascii="Times New Roman" w:cs="Times New Roman" w:eastAsia="Times New Roman" w:hAnsi="Times New Roman"/>
          <w:sz w:val="21"/>
          <w:szCs w:val="21"/>
          <w:color w:val="auto"/>
        </w:rPr>
        <w:t>Depreciation expense increased by $6,241 or 8.7% principally due to continued capital expenditures to expand and improve our utility facilities and our acquisitions of new utility systems. Amortization decreased by $839 or 64.2% due to a change in the amortization of a regulatory liability in 2022 in our Regulated Water segment.</w:t>
      </w:r>
    </w:p>
    <w:p>
      <w:pPr>
        <w:spacing w:after="0" w:line="18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auto"/>
        </w:rPr>
        <w:t>Taxes other than income taxes increased by $1,966 or 9.3% largely due to an increase in property, utility, and sales and use taxes in our Regulated Natural Gas segment.</w:t>
      </w:r>
    </w:p>
    <w:p>
      <w:pPr>
        <w:spacing w:after="0" w:line="155" w:lineRule="exact"/>
        <w:rPr>
          <w:sz w:val="20"/>
          <w:szCs w:val="20"/>
          <w:color w:val="auto"/>
        </w:rPr>
      </w:pPr>
    </w:p>
    <w:p>
      <w:pPr>
        <w:ind w:right="720"/>
        <w:spacing w:after="0" w:line="272" w:lineRule="auto"/>
        <w:rPr>
          <w:sz w:val="20"/>
          <w:szCs w:val="20"/>
          <w:color w:val="auto"/>
        </w:rPr>
      </w:pPr>
      <w:r>
        <w:rPr>
          <w:rFonts w:ascii="Times New Roman" w:cs="Times New Roman" w:eastAsia="Times New Roman" w:hAnsi="Times New Roman"/>
          <w:sz w:val="21"/>
          <w:szCs w:val="21"/>
          <w:color w:val="auto"/>
        </w:rPr>
        <w:t>Interest expense, net of interest income increased by $2,645 or 5.2% for the quarter primarily due to the increase in average borrowings.</w:t>
      </w:r>
    </w:p>
    <w:p>
      <w:pPr>
        <w:spacing w:after="0" w:line="14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Allowance for funds used during construction (“AFUDC”) increased by $2,905 due to an increase in the average balance of utility plant construction work in progress, to which AFUDC is applied.</w:t>
      </w:r>
    </w:p>
    <w:p>
      <w:pPr>
        <w:spacing w:after="0" w:line="1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Other income decreased by $1,769 compared to the same period in the prior year. The first quarter of 2021 included a recovery of a previously incurred cost of $1,917 that resulted in a recognition of a regulatory asset in the prior period.</w:t>
      </w:r>
    </w:p>
    <w:p>
      <w:pPr>
        <w:spacing w:after="0" w:line="15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1"/>
          <w:szCs w:val="21"/>
          <w:color w:val="auto"/>
        </w:rPr>
        <w:t>Our effective income tax rate was (9.5)% in the first quarter of 2022 and 2.5% in the first quarter of 2021. The decrease in the effective tax rate is primarily attributed to the income tax benefit associated with the tax deduction for qualifying infrastructure and the amortization of the customer surcredit tax repair catch-up adjustment during the first quarter of 2022 in our Regulated Natural Gas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increased by $15,687 or 8.5% primarily as a result of the factors described above.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Segment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Regulated Water Segment</w:t>
      </w:r>
    </w:p>
    <w:p>
      <w:pPr>
        <w:spacing w:after="0" w:line="224"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21"/>
          <w:szCs w:val="21"/>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7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tables present selected operating results and statistics for our Regulated Water segment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79"/>
        </w:trPr>
        <w:tc>
          <w:tcPr>
            <w:tcW w:w="45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2"/>
              <w:spacing w:after="0" w:line="179"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732"/>
              <w:spacing w:after="0" w:line="179" w:lineRule="exact"/>
              <w:rPr>
                <w:sz w:val="20"/>
                <w:szCs w:val="20"/>
                <w:color w:val="auto"/>
              </w:rPr>
            </w:pPr>
            <w:r>
              <w:rPr>
                <w:rFonts w:ascii="Times New Roman" w:cs="Times New Roman" w:eastAsia="Times New Roman" w:hAnsi="Times New Roman"/>
                <w:sz w:val="18"/>
                <w:szCs w:val="18"/>
                <w:color w:val="auto"/>
                <w:w w:val="99"/>
              </w:rPr>
              <w:t>2021</w:t>
            </w: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12"/>
              <w:spacing w:after="0" w:line="179" w:lineRule="exact"/>
              <w:rPr>
                <w:sz w:val="20"/>
                <w:szCs w:val="20"/>
                <w:color w:val="auto"/>
              </w:rPr>
            </w:pPr>
            <w:r>
              <w:rPr>
                <w:rFonts w:ascii="Times New Roman" w:cs="Times New Roman" w:eastAsia="Times New Roman" w:hAnsi="Times New Roman"/>
                <w:sz w:val="18"/>
                <w:szCs w:val="18"/>
                <w:color w:val="auto"/>
                <w:w w:val="98"/>
              </w:rPr>
              <w:t>Increase (Decrease)</w:t>
            </w: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58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Operating revenues</w:t>
            </w:r>
          </w:p>
        </w:tc>
        <w:tc>
          <w:tcPr>
            <w:tcW w:w="4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239,198</w:t>
            </w:r>
          </w:p>
        </w:tc>
        <w:tc>
          <w:tcPr>
            <w:tcW w:w="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center"/>
              <w:ind w:left="732"/>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228,353</w:t>
            </w:r>
          </w:p>
        </w:tc>
        <w:tc>
          <w:tcPr>
            <w:tcW w:w="1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332"/>
              <w:spacing w:after="0" w:line="179" w:lineRule="exact"/>
              <w:rPr>
                <w:sz w:val="20"/>
                <w:szCs w:val="20"/>
                <w:color w:val="auto"/>
              </w:rPr>
            </w:pPr>
            <w:r>
              <w:rPr>
                <w:rFonts w:ascii="Times New Roman" w:cs="Times New Roman" w:eastAsia="Times New Roman" w:hAnsi="Times New Roman"/>
                <w:sz w:val="18"/>
                <w:szCs w:val="18"/>
                <w:color w:val="auto"/>
              </w:rPr>
              <w:t>10,845</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380"/>
              <w:spacing w:after="0" w:line="179"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8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tcPr>
          <w:p>
            <w:pPr>
              <w:jc w:val="right"/>
              <w:ind w:right="132"/>
              <w:spacing w:after="0" w:line="16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2"/>
              <w:spacing w:after="0" w:line="165" w:lineRule="exact"/>
              <w:rPr>
                <w:sz w:val="20"/>
                <w:szCs w:val="20"/>
                <w:color w:val="auto"/>
              </w:rPr>
            </w:pPr>
            <w:r>
              <w:rPr>
                <w:rFonts w:ascii="Times New Roman" w:cs="Times New Roman" w:eastAsia="Times New Roman" w:hAnsi="Times New Roman"/>
                <w:sz w:val="18"/>
                <w:szCs w:val="18"/>
                <w:color w:val="auto"/>
              </w:rPr>
              <w:t>86,088</w:t>
            </w:r>
          </w:p>
        </w:tc>
        <w:tc>
          <w:tcPr>
            <w:tcW w:w="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ind w:left="732"/>
              <w:spacing w:after="0" w:line="16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78,347</w:t>
            </w:r>
          </w:p>
        </w:tc>
        <w:tc>
          <w:tcPr>
            <w:tcW w:w="1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332"/>
              <w:spacing w:after="0" w:line="165" w:lineRule="exact"/>
              <w:rPr>
                <w:sz w:val="20"/>
                <w:szCs w:val="20"/>
                <w:color w:val="auto"/>
              </w:rPr>
            </w:pPr>
            <w:r>
              <w:rPr>
                <w:rFonts w:ascii="Times New Roman" w:cs="Times New Roman" w:eastAsia="Times New Roman" w:hAnsi="Times New Roman"/>
                <w:sz w:val="18"/>
                <w:szCs w:val="18"/>
                <w:color w:val="auto"/>
              </w:rPr>
              <w:t>7,741</w:t>
            </w:r>
          </w:p>
        </w:tc>
        <w:tc>
          <w:tcPr>
            <w:tcW w:w="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ind w:left="380"/>
              <w:spacing w:after="0" w:line="165"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65"/>
        </w:trPr>
        <w:tc>
          <w:tcPr>
            <w:tcW w:w="4580" w:type="dxa"/>
            <w:vAlign w:val="bottom"/>
            <w:tcBorders>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60,543</w:t>
            </w:r>
          </w:p>
        </w:tc>
        <w:tc>
          <w:tcPr>
            <w:tcW w:w="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center"/>
              <w:ind w:left="732"/>
              <w:spacing w:after="0" w:line="16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64,030</w:t>
            </w:r>
          </w:p>
        </w:tc>
        <w:tc>
          <w:tcPr>
            <w:tcW w:w="18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272"/>
              <w:spacing w:after="0" w:line="165" w:lineRule="exact"/>
              <w:rPr>
                <w:sz w:val="20"/>
                <w:szCs w:val="20"/>
                <w:color w:val="auto"/>
              </w:rPr>
            </w:pPr>
            <w:r>
              <w:rPr>
                <w:rFonts w:ascii="Times New Roman" w:cs="Times New Roman" w:eastAsia="Times New Roman" w:hAnsi="Times New Roman"/>
                <w:sz w:val="18"/>
                <w:szCs w:val="18"/>
                <w:color w:val="auto"/>
              </w:rPr>
              <w:t>(3,487)</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380"/>
              <w:spacing w:after="0" w:line="165" w:lineRule="exact"/>
              <w:rPr>
                <w:sz w:val="20"/>
                <w:szCs w:val="20"/>
                <w:color w:val="auto"/>
              </w:rPr>
            </w:pPr>
            <w:r>
              <w:rPr>
                <w:rFonts w:ascii="Times New Roman" w:cs="Times New Roman" w:eastAsia="Times New Roman" w:hAnsi="Times New Roman"/>
                <w:sz w:val="18"/>
                <w:szCs w:val="18"/>
                <w:color w:val="auto"/>
                <w:w w:val="91"/>
              </w:rPr>
              <w:t>-5.4%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92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r>
      <w:tr>
        <w:trPr>
          <w:trHeight w:val="185"/>
        </w:trPr>
        <w:tc>
          <w:tcPr>
            <w:tcW w:w="538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9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86"/>
        </w:trPr>
        <w:tc>
          <w:tcPr>
            <w:tcW w:w="53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Operations and maintenance</w:t>
            </w:r>
          </w:p>
        </w:tc>
        <w:tc>
          <w:tcPr>
            <w:tcW w:w="1920" w:type="dxa"/>
            <w:vAlign w:val="bottom"/>
            <w:shd w:val="clear" w:color="auto" w:fill="CCEEFF"/>
          </w:tcPr>
          <w:p>
            <w:pPr>
              <w:jc w:val="right"/>
              <w:ind w:right="572"/>
              <w:spacing w:after="0" w:line="186" w:lineRule="exact"/>
              <w:rPr>
                <w:sz w:val="20"/>
                <w:szCs w:val="20"/>
                <w:color w:val="auto"/>
              </w:rPr>
            </w:pPr>
            <w:r>
              <w:rPr>
                <w:rFonts w:ascii="Times New Roman" w:cs="Times New Roman" w:eastAsia="Times New Roman" w:hAnsi="Times New Roman"/>
                <w:sz w:val="18"/>
                <w:szCs w:val="18"/>
                <w:color w:val="auto"/>
              </w:rPr>
              <w:t>36.0%</w:t>
            </w:r>
          </w:p>
        </w:tc>
        <w:tc>
          <w:tcPr>
            <w:tcW w:w="3820" w:type="dxa"/>
            <w:vAlign w:val="bottom"/>
            <w:shd w:val="clear" w:color="auto" w:fill="CCEEFF"/>
          </w:tcPr>
          <w:p>
            <w:pPr>
              <w:jc w:val="right"/>
              <w:ind w:right="2632"/>
              <w:spacing w:after="0" w:line="186" w:lineRule="exact"/>
              <w:rPr>
                <w:sz w:val="20"/>
                <w:szCs w:val="20"/>
                <w:color w:val="auto"/>
              </w:rPr>
            </w:pPr>
            <w:r>
              <w:rPr>
                <w:rFonts w:ascii="Times New Roman" w:cs="Times New Roman" w:eastAsia="Times New Roman" w:hAnsi="Times New Roman"/>
                <w:sz w:val="18"/>
                <w:szCs w:val="18"/>
                <w:color w:val="auto"/>
              </w:rPr>
              <w:t>34.3%</w:t>
            </w:r>
          </w:p>
        </w:tc>
      </w:tr>
      <w:tr>
        <w:trPr>
          <w:trHeight w:val="185"/>
        </w:trPr>
        <w:tc>
          <w:tcPr>
            <w:tcW w:w="53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Depreciation and amortization, net</w:t>
            </w:r>
          </w:p>
        </w:tc>
        <w:tc>
          <w:tcPr>
            <w:tcW w:w="1920" w:type="dxa"/>
            <w:vAlign w:val="bottom"/>
          </w:tcPr>
          <w:p>
            <w:pPr>
              <w:jc w:val="right"/>
              <w:ind w:right="572"/>
              <w:spacing w:after="0" w:line="186" w:lineRule="exact"/>
              <w:rPr>
                <w:sz w:val="20"/>
                <w:szCs w:val="20"/>
                <w:color w:val="auto"/>
              </w:rPr>
            </w:pPr>
            <w:r>
              <w:rPr>
                <w:rFonts w:ascii="Times New Roman" w:cs="Times New Roman" w:eastAsia="Times New Roman" w:hAnsi="Times New Roman"/>
                <w:sz w:val="18"/>
                <w:szCs w:val="18"/>
                <w:color w:val="auto"/>
              </w:rPr>
              <w:t>20.4%</w:t>
            </w:r>
          </w:p>
        </w:tc>
        <w:tc>
          <w:tcPr>
            <w:tcW w:w="3820" w:type="dxa"/>
            <w:vAlign w:val="bottom"/>
          </w:tcPr>
          <w:p>
            <w:pPr>
              <w:jc w:val="right"/>
              <w:ind w:right="2632"/>
              <w:spacing w:after="0" w:line="186" w:lineRule="exact"/>
              <w:rPr>
                <w:sz w:val="20"/>
                <w:szCs w:val="20"/>
                <w:color w:val="auto"/>
              </w:rPr>
            </w:pPr>
            <w:r>
              <w:rPr>
                <w:rFonts w:ascii="Times New Roman" w:cs="Times New Roman" w:eastAsia="Times New Roman" w:hAnsi="Times New Roman"/>
                <w:sz w:val="18"/>
                <w:szCs w:val="18"/>
                <w:color w:val="auto"/>
              </w:rPr>
              <w:t>19.8%</w:t>
            </w:r>
          </w:p>
        </w:tc>
      </w:tr>
      <w:tr>
        <w:trPr>
          <w:trHeight w:val="186"/>
        </w:trPr>
        <w:tc>
          <w:tcPr>
            <w:tcW w:w="53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920" w:type="dxa"/>
            <w:vAlign w:val="bottom"/>
            <w:shd w:val="clear" w:color="auto" w:fill="CCEEFF"/>
          </w:tcPr>
          <w:p>
            <w:pPr>
              <w:jc w:val="right"/>
              <w:ind w:right="572"/>
              <w:spacing w:after="0" w:line="186" w:lineRule="exact"/>
              <w:rPr>
                <w:sz w:val="20"/>
                <w:szCs w:val="20"/>
                <w:color w:val="auto"/>
              </w:rPr>
            </w:pPr>
            <w:r>
              <w:rPr>
                <w:rFonts w:ascii="Times New Roman" w:cs="Times New Roman" w:eastAsia="Times New Roman" w:hAnsi="Times New Roman"/>
                <w:sz w:val="18"/>
                <w:szCs w:val="18"/>
                <w:color w:val="auto"/>
              </w:rPr>
              <w:t>6.6%</w:t>
            </w:r>
          </w:p>
        </w:tc>
        <w:tc>
          <w:tcPr>
            <w:tcW w:w="3820" w:type="dxa"/>
            <w:vAlign w:val="bottom"/>
            <w:shd w:val="clear" w:color="auto" w:fill="CCEEFF"/>
          </w:tcPr>
          <w:p>
            <w:pPr>
              <w:jc w:val="right"/>
              <w:ind w:right="2632"/>
              <w:spacing w:after="0" w:line="186" w:lineRule="exact"/>
              <w:rPr>
                <w:sz w:val="20"/>
                <w:szCs w:val="20"/>
                <w:color w:val="auto"/>
              </w:rPr>
            </w:pPr>
            <w:r>
              <w:rPr>
                <w:rFonts w:ascii="Times New Roman" w:cs="Times New Roman" w:eastAsia="Times New Roman" w:hAnsi="Times New Roman"/>
                <w:sz w:val="18"/>
                <w:szCs w:val="18"/>
                <w:color w:val="auto"/>
              </w:rPr>
              <w:t>6.8%</w:t>
            </w:r>
          </w:p>
        </w:tc>
      </w:tr>
      <w:tr>
        <w:trPr>
          <w:trHeight w:val="186"/>
        </w:trPr>
        <w:tc>
          <w:tcPr>
            <w:tcW w:w="53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920" w:type="dxa"/>
            <w:vAlign w:val="bottom"/>
          </w:tcPr>
          <w:p>
            <w:pPr>
              <w:jc w:val="right"/>
              <w:ind w:right="572"/>
              <w:spacing w:after="0" w:line="186" w:lineRule="exact"/>
              <w:rPr>
                <w:sz w:val="20"/>
                <w:szCs w:val="20"/>
                <w:color w:val="auto"/>
              </w:rPr>
            </w:pPr>
            <w:r>
              <w:rPr>
                <w:rFonts w:ascii="Times New Roman" w:cs="Times New Roman" w:eastAsia="Times New Roman" w:hAnsi="Times New Roman"/>
                <w:sz w:val="18"/>
                <w:szCs w:val="18"/>
                <w:color w:val="auto"/>
              </w:rPr>
              <w:t>11.5%</w:t>
            </w:r>
          </w:p>
        </w:tc>
        <w:tc>
          <w:tcPr>
            <w:tcW w:w="3820" w:type="dxa"/>
            <w:vAlign w:val="bottom"/>
          </w:tcPr>
          <w:p>
            <w:pPr>
              <w:jc w:val="right"/>
              <w:ind w:right="2632"/>
              <w:spacing w:after="0" w:line="186" w:lineRule="exact"/>
              <w:rPr>
                <w:sz w:val="20"/>
                <w:szCs w:val="20"/>
                <w:color w:val="auto"/>
              </w:rPr>
            </w:pPr>
            <w:r>
              <w:rPr>
                <w:rFonts w:ascii="Times New Roman" w:cs="Times New Roman" w:eastAsia="Times New Roman" w:hAnsi="Times New Roman"/>
                <w:sz w:val="18"/>
                <w:szCs w:val="18"/>
                <w:color w:val="auto"/>
              </w:rPr>
              <w:t>11.6%</w:t>
            </w:r>
          </w:p>
        </w:tc>
      </w:tr>
      <w:tr>
        <w:trPr>
          <w:trHeight w:val="185"/>
        </w:trPr>
        <w:tc>
          <w:tcPr>
            <w:tcW w:w="53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shd w:val="clear" w:color="auto" w:fill="CCEEFF"/>
          </w:tcPr>
          <w:p>
            <w:pPr>
              <w:jc w:val="right"/>
              <w:ind w:right="572"/>
              <w:spacing w:after="0" w:line="186" w:lineRule="exact"/>
              <w:rPr>
                <w:sz w:val="20"/>
                <w:szCs w:val="20"/>
                <w:color w:val="auto"/>
              </w:rPr>
            </w:pPr>
            <w:r>
              <w:rPr>
                <w:rFonts w:ascii="Times New Roman" w:cs="Times New Roman" w:eastAsia="Times New Roman" w:hAnsi="Times New Roman"/>
                <w:sz w:val="18"/>
                <w:szCs w:val="18"/>
                <w:color w:val="auto"/>
              </w:rPr>
              <w:t>25.3%</w:t>
            </w:r>
          </w:p>
        </w:tc>
        <w:tc>
          <w:tcPr>
            <w:tcW w:w="3820" w:type="dxa"/>
            <w:vAlign w:val="bottom"/>
            <w:shd w:val="clear" w:color="auto" w:fill="CCEEFF"/>
          </w:tcPr>
          <w:p>
            <w:pPr>
              <w:jc w:val="right"/>
              <w:ind w:right="2632"/>
              <w:spacing w:after="0" w:line="186" w:lineRule="exact"/>
              <w:rPr>
                <w:sz w:val="20"/>
                <w:szCs w:val="20"/>
                <w:color w:val="auto"/>
              </w:rPr>
            </w:pPr>
            <w:r>
              <w:rPr>
                <w:rFonts w:ascii="Times New Roman" w:cs="Times New Roman" w:eastAsia="Times New Roman" w:hAnsi="Times New Roman"/>
                <w:sz w:val="18"/>
                <w:szCs w:val="18"/>
                <w:color w:val="auto"/>
              </w:rPr>
              <w:t>28.0%</w:t>
            </w:r>
          </w:p>
        </w:tc>
      </w:tr>
      <w:tr>
        <w:trPr>
          <w:trHeight w:val="186"/>
        </w:trPr>
        <w:tc>
          <w:tcPr>
            <w:tcW w:w="5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Effective tax rate</w:t>
            </w:r>
          </w:p>
        </w:tc>
        <w:tc>
          <w:tcPr>
            <w:tcW w:w="1920" w:type="dxa"/>
            <w:vAlign w:val="bottom"/>
            <w:shd w:val="clear" w:color="auto" w:fill="CCEEFF"/>
          </w:tcPr>
          <w:p>
            <w:pPr>
              <w:jc w:val="right"/>
              <w:ind w:right="572"/>
              <w:spacing w:after="0" w:line="186" w:lineRule="exact"/>
              <w:rPr>
                <w:sz w:val="20"/>
                <w:szCs w:val="20"/>
                <w:color w:val="auto"/>
              </w:rPr>
            </w:pPr>
            <w:r>
              <w:rPr>
                <w:rFonts w:ascii="Times New Roman" w:cs="Times New Roman" w:eastAsia="Times New Roman" w:hAnsi="Times New Roman"/>
                <w:sz w:val="18"/>
                <w:szCs w:val="18"/>
                <w:color w:val="auto"/>
              </w:rPr>
              <w:t>11.0%</w:t>
            </w:r>
          </w:p>
        </w:tc>
        <w:tc>
          <w:tcPr>
            <w:tcW w:w="3820" w:type="dxa"/>
            <w:vAlign w:val="bottom"/>
            <w:shd w:val="clear" w:color="auto" w:fill="CCEEFF"/>
          </w:tcPr>
          <w:p>
            <w:pPr>
              <w:jc w:val="right"/>
              <w:ind w:right="2632"/>
              <w:spacing w:after="0" w:line="186" w:lineRule="exact"/>
              <w:rPr>
                <w:sz w:val="20"/>
                <w:szCs w:val="20"/>
                <w:color w:val="auto"/>
              </w:rPr>
            </w:pPr>
            <w:r>
              <w:rPr>
                <w:rFonts w:ascii="Times New Roman" w:cs="Times New Roman" w:eastAsia="Times New Roman" w:hAnsi="Times New Roman"/>
                <w:sz w:val="18"/>
                <w:szCs w:val="18"/>
                <w:color w:val="auto"/>
              </w:rPr>
              <w:t>5.4%</w:t>
            </w:r>
          </w:p>
        </w:tc>
      </w:tr>
    </w:tbl>
    <w:p>
      <w:pPr>
        <w:spacing w:after="0" w:line="15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1"/>
          <w:szCs w:val="21"/>
          <w:color w:val="auto"/>
        </w:rPr>
        <w:t>Revenues increased by $10,845 or 4.7% for the first quarter of 2022 as compared to the same period in 2021, mainly due to the following:</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an increase in water and wastewater rates, including infrastructure rehabilitation surcharges, of $5,860; and,</w:t>
      </w:r>
    </w:p>
    <w:p>
      <w:pPr>
        <w:spacing w:after="0" w:line="21" w:lineRule="exact"/>
        <w:rPr>
          <w:sz w:val="20"/>
          <w:szCs w:val="20"/>
          <w:color w:val="auto"/>
        </w:rPr>
      </w:pPr>
    </w:p>
    <w:p>
      <w:pPr>
        <w:ind w:left="640" w:right="260"/>
        <w:spacing w:after="0" w:line="237" w:lineRule="auto"/>
        <w:rPr>
          <w:sz w:val="20"/>
          <w:szCs w:val="20"/>
          <w:color w:val="auto"/>
        </w:rPr>
      </w:pPr>
      <w:r>
        <w:rPr>
          <w:rFonts w:ascii="Times New Roman" w:cs="Times New Roman" w:eastAsia="Times New Roman" w:hAnsi="Times New Roman"/>
          <w:sz w:val="21"/>
          <w:szCs w:val="21"/>
          <w:color w:val="auto"/>
        </w:rPr>
        <w:t>additional water and wastewater revenues of $4,342 associated with a larger customer base due to utility acquisitions and organic growth.</w:t>
      </w:r>
    </w:p>
    <w:p>
      <w:pPr>
        <w:spacing w:after="0" w:line="1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1"/>
          <w:szCs w:val="21"/>
          <w:color w:val="auto"/>
        </w:rPr>
        <w:t>Operations and maintenance expense for the three months ended March 31, 2022 increased by $7,741 or 9.9% was primarily due to the following:</w:t>
      </w:r>
    </w:p>
    <w:p>
      <w:pPr>
        <w:spacing w:after="0" w:line="142" w:lineRule="exact"/>
        <w:rPr>
          <w:sz w:val="20"/>
          <w:szCs w:val="20"/>
          <w:color w:val="auto"/>
        </w:rPr>
      </w:pPr>
    </w:p>
    <w:p>
      <w:pPr>
        <w:ind w:left="640"/>
        <w:spacing w:after="0" w:line="242" w:lineRule="auto"/>
        <w:rPr>
          <w:sz w:val="20"/>
          <w:szCs w:val="20"/>
          <w:color w:val="auto"/>
        </w:rPr>
      </w:pPr>
      <w:r>
        <w:rPr>
          <w:rFonts w:ascii="Times New Roman" w:cs="Times New Roman" w:eastAsia="Times New Roman" w:hAnsi="Times New Roman"/>
          <w:sz w:val="21"/>
          <w:szCs w:val="21"/>
          <w:color w:val="auto"/>
        </w:rPr>
        <w:t>additional operating costs resulting from acquired water and wastewater utility systems and higher customer base of $1,343; increase in employee related costs of $3,641;</w:t>
      </w:r>
    </w:p>
    <w:p>
      <w:pPr>
        <w:ind w:left="320"/>
        <w:spacing w:after="0" w:line="223" w:lineRule="auto"/>
        <w:rPr>
          <w:sz w:val="20"/>
          <w:szCs w:val="20"/>
          <w:color w:val="auto"/>
        </w:rPr>
      </w:pPr>
      <w:r>
        <w:rPr>
          <w:rFonts w:ascii="Times New Roman" w:cs="Times New Roman" w:eastAsia="Times New Roman" w:hAnsi="Times New Roman"/>
          <w:sz w:val="21"/>
          <w:szCs w:val="21"/>
          <w:color w:val="auto"/>
        </w:rPr>
        <w:t>increase in production costs for water and wastewater operations of $1,526;</w:t>
      </w:r>
    </w:p>
    <w:p>
      <w:pPr>
        <w:ind w:left="640" w:right="380"/>
        <w:spacing w:after="0" w:line="230" w:lineRule="auto"/>
        <w:rPr>
          <w:sz w:val="20"/>
          <w:szCs w:val="20"/>
          <w:color w:val="auto"/>
        </w:rPr>
      </w:pPr>
      <w:r>
        <w:rPr>
          <w:rFonts w:ascii="Times New Roman" w:cs="Times New Roman" w:eastAsia="Times New Roman" w:hAnsi="Times New Roman"/>
          <w:sz w:val="21"/>
          <w:szCs w:val="21"/>
          <w:color w:val="auto"/>
        </w:rPr>
        <w:t>expenses of $392 associated with remediating an advisory for some of our water utility customers served by our Illinois subsidiary. We expect the expenses associated with remediating the advisory to continue through 2022; and,</w:t>
      </w:r>
    </w:p>
    <w:p>
      <w:pPr>
        <w:ind w:left="320"/>
        <w:spacing w:after="0" w:line="223" w:lineRule="auto"/>
        <w:rPr>
          <w:sz w:val="20"/>
          <w:szCs w:val="20"/>
          <w:color w:val="auto"/>
        </w:rPr>
      </w:pPr>
      <w:r>
        <w:rPr>
          <w:rFonts w:ascii="Times New Roman" w:cs="Times New Roman" w:eastAsia="Times New Roman" w:hAnsi="Times New Roman"/>
          <w:sz w:val="21"/>
          <w:szCs w:val="21"/>
          <w:color w:val="auto"/>
        </w:rPr>
        <w:t>offset by a decrease in bad debt expense of $729.</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180975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13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1"/>
          <w:szCs w:val="21"/>
          <w:color w:val="auto"/>
        </w:rPr>
        <w:t>Depreciation and amortization increased by $3,578 or 7.9% primarily due to continued capital spend, offset by a change in the amortization of a regulated liability in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Taxes other than income taxes increased by $470 or 3.0%.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expense, net, increased by $1,094 or 4.1% for the quarter primarily due to an increase in average borrowings.</w:t>
      </w:r>
    </w:p>
    <w:p>
      <w:pPr>
        <w:spacing w:after="0" w:line="22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1"/>
          <w:szCs w:val="21"/>
          <w:color w:val="auto"/>
        </w:rPr>
        <w:t>AFUDC increased by $1,902 due to the increase in the average balance of utility plant construction work in progress, to which AFUDC is applied.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income increased by $515 or by 36.0%.</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Our effective income tax rate for our Regulated Water Segment was 11.0% in the first quarter of 2022 and 5.4% in the first quarter of 2021. The increase the effective tax rate is primarily the result of lower income tax benefit associated with the tax deduction for qualifying infrastructure in the first quarter of 2022 as compared to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Regulated Natural Gas Segment</w:t>
      </w:r>
    </w:p>
    <w:p>
      <w:pPr>
        <w:spacing w:after="0" w:line="21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1"/>
          <w:szCs w:val="21"/>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100"/>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0"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21"/>
          <w:szCs w:val="21"/>
          <w:color w:val="auto"/>
        </w:rPr>
        <w:t>The following tables present selected operating results and statistics for our Regulated Natural Gas segment, for the three months ended March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172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Increase (Decrease)</w:t>
            </w: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79"/>
        </w:trPr>
        <w:tc>
          <w:tcPr>
            <w:tcW w:w="5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Operating revenues</w:t>
            </w:r>
          </w:p>
        </w:tc>
        <w:tc>
          <w:tcPr>
            <w:tcW w:w="1120" w:type="dxa"/>
            <w:vAlign w:val="bottom"/>
            <w:tcBorders>
              <w:bottom w:val="single" w:sz="8" w:color="auto"/>
            </w:tcBorders>
            <w:shd w:val="clear" w:color="auto" w:fill="CCEEFF"/>
          </w:tcPr>
          <w:p>
            <w:pPr>
              <w:jc w:val="right"/>
              <w:ind w:right="492"/>
              <w:spacing w:after="0" w:line="17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445,183</w:t>
            </w:r>
          </w:p>
        </w:tc>
        <w:tc>
          <w:tcPr>
            <w:tcW w:w="1140" w:type="dxa"/>
            <w:vAlign w:val="bottom"/>
            <w:tcBorders>
              <w:bottom w:val="single" w:sz="8" w:color="auto"/>
            </w:tcBorders>
            <w:shd w:val="clear" w:color="auto" w:fill="CCEEFF"/>
          </w:tcPr>
          <w:p>
            <w:pPr>
              <w:jc w:val="right"/>
              <w:ind w:right="592"/>
              <w:spacing w:after="0" w:line="17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w w:val="99"/>
              </w:rPr>
              <w:t>343,115</w:t>
            </w:r>
          </w:p>
        </w:tc>
        <w:tc>
          <w:tcPr>
            <w:tcW w:w="760" w:type="dxa"/>
            <w:vAlign w:val="bottom"/>
            <w:tcBorders>
              <w:bottom w:val="single" w:sz="8" w:color="auto"/>
            </w:tcBorders>
            <w:shd w:val="clear" w:color="auto" w:fill="CCEEFF"/>
          </w:tcPr>
          <w:p>
            <w:pPr>
              <w:jc w:val="right"/>
              <w:ind w:right="272"/>
              <w:spacing w:after="0" w:line="17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102,068</w:t>
            </w:r>
          </w:p>
        </w:tc>
        <w:tc>
          <w:tcPr>
            <w:tcW w:w="9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tcPr>
          <w:p>
            <w:pPr>
              <w:jc w:val="right"/>
              <w:ind w:right="492"/>
              <w:spacing w:after="0" w:line="16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59,452</w:t>
            </w:r>
          </w:p>
        </w:tc>
        <w:tc>
          <w:tcPr>
            <w:tcW w:w="1140" w:type="dxa"/>
            <w:vAlign w:val="bottom"/>
            <w:tcBorders>
              <w:bottom w:val="single" w:sz="8" w:color="auto"/>
            </w:tcBorders>
          </w:tcPr>
          <w:p>
            <w:pPr>
              <w:jc w:val="right"/>
              <w:ind w:right="592"/>
              <w:spacing w:after="0" w:line="16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51,326</w:t>
            </w:r>
          </w:p>
        </w:tc>
        <w:tc>
          <w:tcPr>
            <w:tcW w:w="760" w:type="dxa"/>
            <w:vAlign w:val="bottom"/>
            <w:tcBorders>
              <w:bottom w:val="single" w:sz="8" w:color="auto"/>
            </w:tcBorders>
          </w:tcPr>
          <w:p>
            <w:pPr>
              <w:jc w:val="right"/>
              <w:ind w:right="272"/>
              <w:spacing w:after="0" w:line="16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8,126</w:t>
            </w:r>
          </w:p>
        </w:tc>
        <w:tc>
          <w:tcPr>
            <w:tcW w:w="9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65"/>
        </w:trPr>
        <w:tc>
          <w:tcPr>
            <w:tcW w:w="5100" w:type="dxa"/>
            <w:vAlign w:val="bottom"/>
            <w:tcBorders>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Purchased gas</w:t>
            </w:r>
          </w:p>
        </w:tc>
        <w:tc>
          <w:tcPr>
            <w:tcW w:w="1120" w:type="dxa"/>
            <w:vAlign w:val="bottom"/>
            <w:tcBorders>
              <w:bottom w:val="single" w:sz="8" w:color="auto"/>
            </w:tcBorders>
            <w:shd w:val="clear" w:color="auto" w:fill="CCEEFF"/>
          </w:tcPr>
          <w:p>
            <w:pPr>
              <w:jc w:val="right"/>
              <w:ind w:right="492"/>
              <w:spacing w:after="0" w:line="16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217,306</w:t>
            </w:r>
          </w:p>
        </w:tc>
        <w:tc>
          <w:tcPr>
            <w:tcW w:w="1140" w:type="dxa"/>
            <w:vAlign w:val="bottom"/>
            <w:tcBorders>
              <w:bottom w:val="single" w:sz="8" w:color="auto"/>
            </w:tcBorders>
            <w:shd w:val="clear" w:color="auto" w:fill="CCEEFF"/>
          </w:tcPr>
          <w:p>
            <w:pPr>
              <w:jc w:val="right"/>
              <w:ind w:right="592"/>
              <w:spacing w:after="0" w:line="16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w w:val="99"/>
              </w:rPr>
              <w:t>122,888</w:t>
            </w:r>
          </w:p>
        </w:tc>
        <w:tc>
          <w:tcPr>
            <w:tcW w:w="760" w:type="dxa"/>
            <w:vAlign w:val="bottom"/>
            <w:tcBorders>
              <w:bottom w:val="single" w:sz="8" w:color="auto"/>
            </w:tcBorders>
            <w:shd w:val="clear" w:color="auto" w:fill="CCEEFF"/>
          </w:tcPr>
          <w:p>
            <w:pPr>
              <w:jc w:val="right"/>
              <w:ind w:right="272"/>
              <w:spacing w:after="0" w:line="16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94,418</w:t>
            </w:r>
          </w:p>
        </w:tc>
        <w:tc>
          <w:tcPr>
            <w:tcW w:w="92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tcPr>
          <w:p>
            <w:pPr>
              <w:jc w:val="right"/>
              <w:ind w:right="492"/>
              <w:spacing w:after="0" w:line="16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139,486</w:t>
            </w:r>
          </w:p>
        </w:tc>
        <w:tc>
          <w:tcPr>
            <w:tcW w:w="1140" w:type="dxa"/>
            <w:vAlign w:val="bottom"/>
            <w:tcBorders>
              <w:bottom w:val="single" w:sz="8" w:color="auto"/>
            </w:tcBorders>
          </w:tcPr>
          <w:p>
            <w:pPr>
              <w:jc w:val="right"/>
              <w:ind w:right="592"/>
              <w:spacing w:after="0" w:line="16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w w:val="99"/>
              </w:rPr>
              <w:t>119,251</w:t>
            </w:r>
          </w:p>
        </w:tc>
        <w:tc>
          <w:tcPr>
            <w:tcW w:w="760" w:type="dxa"/>
            <w:vAlign w:val="bottom"/>
            <w:tcBorders>
              <w:bottom w:val="single" w:sz="8" w:color="auto"/>
            </w:tcBorders>
          </w:tcPr>
          <w:p>
            <w:pPr>
              <w:jc w:val="right"/>
              <w:ind w:right="272"/>
              <w:spacing w:after="0" w:line="16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20,235</w:t>
            </w:r>
          </w:p>
        </w:tc>
        <w:tc>
          <w:tcPr>
            <w:tcW w:w="9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65"/>
        </w:trPr>
        <w:tc>
          <w:tcPr>
            <w:tcW w:w="5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Operating Statistics</w:t>
            </w: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Operations and maintenance</w:t>
            </w:r>
          </w:p>
        </w:tc>
        <w:tc>
          <w:tcPr>
            <w:tcW w:w="1120" w:type="dxa"/>
            <w:vAlign w:val="bottom"/>
          </w:tcPr>
          <w:p>
            <w:pPr>
              <w:spacing w:after="0"/>
              <w:rPr>
                <w:sz w:val="16"/>
                <w:szCs w:val="16"/>
                <w:color w:val="auto"/>
              </w:rPr>
            </w:pPr>
          </w:p>
        </w:tc>
        <w:tc>
          <w:tcPr>
            <w:tcW w:w="6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13.4%</w:t>
            </w:r>
          </w:p>
        </w:tc>
        <w:tc>
          <w:tcPr>
            <w:tcW w:w="1140" w:type="dxa"/>
            <w:vAlign w:val="bottom"/>
          </w:tcPr>
          <w:p>
            <w:pPr>
              <w:spacing w:after="0"/>
              <w:rPr>
                <w:sz w:val="16"/>
                <w:szCs w:val="16"/>
                <w:color w:val="auto"/>
              </w:rPr>
            </w:pPr>
          </w:p>
        </w:tc>
        <w:tc>
          <w:tcPr>
            <w:tcW w:w="6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15.0%</w:t>
            </w: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Purchased gas</w:t>
            </w:r>
          </w:p>
        </w:tc>
        <w:tc>
          <w:tcPr>
            <w:tcW w:w="1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48.8%</w:t>
            </w: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35.8%</w:t>
            </w: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6"/>
                <w:szCs w:val="16"/>
                <w:color w:val="auto"/>
              </w:rPr>
            </w:pPr>
          </w:p>
        </w:tc>
        <w:tc>
          <w:tcPr>
            <w:tcW w:w="6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6.7%</w:t>
            </w:r>
          </w:p>
        </w:tc>
        <w:tc>
          <w:tcPr>
            <w:tcW w:w="1140" w:type="dxa"/>
            <w:vAlign w:val="bottom"/>
          </w:tcPr>
          <w:p>
            <w:pPr>
              <w:spacing w:after="0"/>
              <w:rPr>
                <w:sz w:val="16"/>
                <w:szCs w:val="16"/>
                <w:color w:val="auto"/>
              </w:rPr>
            </w:pPr>
          </w:p>
        </w:tc>
        <w:tc>
          <w:tcPr>
            <w:tcW w:w="6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8.0%</w:t>
            </w: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w:t>
            </w: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w:t>
            </w: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16"/>
                <w:szCs w:val="16"/>
                <w:color w:val="auto"/>
              </w:rPr>
            </w:pPr>
          </w:p>
        </w:tc>
        <w:tc>
          <w:tcPr>
            <w:tcW w:w="6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31.3%</w:t>
            </w:r>
          </w:p>
        </w:tc>
        <w:tc>
          <w:tcPr>
            <w:tcW w:w="1140" w:type="dxa"/>
            <w:vAlign w:val="bottom"/>
          </w:tcPr>
          <w:p>
            <w:pPr>
              <w:spacing w:after="0"/>
              <w:rPr>
                <w:sz w:val="16"/>
                <w:szCs w:val="16"/>
                <w:color w:val="auto"/>
              </w:rPr>
            </w:pPr>
          </w:p>
        </w:tc>
        <w:tc>
          <w:tcPr>
            <w:tcW w:w="6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34.8%</w:t>
            </w: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1"/>
          <w:szCs w:val="21"/>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a dollar-for-dollar basis, but do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shows the reconciliation of gross margin (non-GAAP) to operating revenues (GAAP):</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60" w:type="dxa"/>
            <w:vAlign w:val="bottom"/>
          </w:tcPr>
          <w:p>
            <w:pPr>
              <w:spacing w:after="0"/>
              <w:rPr>
                <w:sz w:val="20"/>
                <w:szCs w:val="20"/>
                <w:color w:val="auto"/>
              </w:rPr>
            </w:pPr>
          </w:p>
        </w:tc>
        <w:tc>
          <w:tcPr>
            <w:tcW w:w="3140" w:type="dxa"/>
            <w:vAlign w:val="bottom"/>
            <w:gridSpan w:val="4"/>
          </w:tcPr>
          <w:p>
            <w:pPr>
              <w:jc w:val="right"/>
              <w:ind w:right="194"/>
              <w:spacing w:after="0"/>
              <w:rPr>
                <w:sz w:val="20"/>
                <w:szCs w:val="20"/>
                <w:color w:val="auto"/>
              </w:rPr>
            </w:pPr>
            <w:r>
              <w:rPr>
                <w:rFonts w:ascii="Times New Roman" w:cs="Times New Roman" w:eastAsia="Times New Roman" w:hAnsi="Times New Roman"/>
                <w:sz w:val="21"/>
                <w:szCs w:val="21"/>
                <w:color w:val="auto"/>
              </w:rPr>
              <w:t>Three Months Ended</w:t>
            </w:r>
          </w:p>
        </w:tc>
        <w:tc>
          <w:tcPr>
            <w:tcW w:w="740" w:type="dxa"/>
            <w:vAlign w:val="bottom"/>
          </w:tcPr>
          <w:p>
            <w:pPr>
              <w:spacing w:after="0"/>
              <w:rPr>
                <w:sz w:val="20"/>
                <w:szCs w:val="20"/>
                <w:color w:val="auto"/>
              </w:rPr>
            </w:pPr>
          </w:p>
        </w:tc>
      </w:tr>
      <w:tr>
        <w:trPr>
          <w:trHeight w:val="253"/>
        </w:trPr>
        <w:tc>
          <w:tcPr>
            <w:tcW w:w="73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21"/>
                <w:szCs w:val="21"/>
                <w:color w:val="auto"/>
              </w:rPr>
              <w:t>March 31,</w:t>
            </w:r>
          </w:p>
        </w:tc>
        <w:tc>
          <w:tcPr>
            <w:tcW w:w="740" w:type="dxa"/>
            <w:vAlign w:val="bottom"/>
            <w:tcBorders>
              <w:bottom w:val="single" w:sz="8" w:color="auto"/>
            </w:tcBorders>
          </w:tcPr>
          <w:p>
            <w:pPr>
              <w:spacing w:after="0"/>
              <w:rPr>
                <w:sz w:val="21"/>
                <w:szCs w:val="21"/>
                <w:color w:val="auto"/>
              </w:rPr>
            </w:pPr>
          </w:p>
        </w:tc>
      </w:tr>
      <w:tr>
        <w:trPr>
          <w:trHeight w:val="218"/>
        </w:trPr>
        <w:tc>
          <w:tcPr>
            <w:tcW w:w="73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2022</w:t>
            </w:r>
          </w:p>
        </w:tc>
        <w:tc>
          <w:tcPr>
            <w:tcW w:w="7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2021</w:t>
            </w:r>
          </w:p>
        </w:tc>
        <w:tc>
          <w:tcPr>
            <w:tcW w:w="740" w:type="dxa"/>
            <w:vAlign w:val="bottom"/>
            <w:tcBorders>
              <w:bottom w:val="single" w:sz="8" w:color="auto"/>
            </w:tcBorders>
          </w:tcPr>
          <w:p>
            <w:pPr>
              <w:spacing w:after="0"/>
              <w:rPr>
                <w:sz w:val="19"/>
                <w:szCs w:val="19"/>
                <w:color w:val="auto"/>
              </w:rPr>
            </w:pPr>
          </w:p>
        </w:tc>
      </w:tr>
      <w:tr>
        <w:trPr>
          <w:trHeight w:val="218"/>
        </w:trPr>
        <w:tc>
          <w:tcPr>
            <w:tcW w:w="73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Operating revenues (GAAP)</w:t>
            </w:r>
          </w:p>
        </w:tc>
        <w:tc>
          <w:tcPr>
            <w:tcW w:w="1140" w:type="dxa"/>
            <w:vAlign w:val="bottom"/>
            <w:shd w:val="clear" w:color="auto" w:fill="CCEEFF"/>
          </w:tcPr>
          <w:p>
            <w:pPr>
              <w:jc w:val="right"/>
              <w:ind w:right="91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7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w w:val="99"/>
              </w:rPr>
              <w:t>445,183</w:t>
            </w: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1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7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343,115</w:t>
            </w:r>
          </w:p>
        </w:tc>
      </w:tr>
      <w:tr>
        <w:trPr>
          <w:trHeight w:val="225"/>
        </w:trPr>
        <w:tc>
          <w:tcPr>
            <w:tcW w:w="7360" w:type="dxa"/>
            <w:vAlign w:val="bottom"/>
            <w:tcBorders>
              <w:bottom w:val="single" w:sz="8" w:color="CCEEFF"/>
            </w:tcBorders>
          </w:tcPr>
          <w:p>
            <w:pPr>
              <w:spacing w:after="0" w:line="225" w:lineRule="exact"/>
              <w:rPr>
                <w:sz w:val="20"/>
                <w:szCs w:val="20"/>
                <w:color w:val="auto"/>
              </w:rPr>
            </w:pPr>
            <w:r>
              <w:rPr>
                <w:rFonts w:ascii="Times New Roman" w:cs="Times New Roman" w:eastAsia="Times New Roman" w:hAnsi="Times New Roman"/>
                <w:sz w:val="21"/>
                <w:szCs w:val="21"/>
                <w:color w:val="auto"/>
              </w:rPr>
              <w:t>Purchased gas</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w w:val="99"/>
              </w:rPr>
              <w:t>217,306</w:t>
            </w:r>
          </w:p>
        </w:tc>
        <w:tc>
          <w:tcPr>
            <w:tcW w:w="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1"/>
                <w:szCs w:val="21"/>
                <w:color w:val="auto"/>
              </w:rPr>
              <w:t>122,888</w:t>
            </w:r>
          </w:p>
        </w:tc>
      </w:tr>
      <w:tr>
        <w:trPr>
          <w:trHeight w:val="218"/>
        </w:trPr>
        <w:tc>
          <w:tcPr>
            <w:tcW w:w="7360" w:type="dxa"/>
            <w:vAlign w:val="bottom"/>
            <w:tcBorders>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21"/>
                <w:szCs w:val="21"/>
                <w:color w:val="auto"/>
              </w:rPr>
              <w:t>Gross margin (non-GAAP)</w:t>
            </w:r>
          </w:p>
        </w:tc>
        <w:tc>
          <w:tcPr>
            <w:tcW w:w="1140" w:type="dxa"/>
            <w:vAlign w:val="bottom"/>
            <w:tcBorders>
              <w:bottom w:val="single" w:sz="8" w:color="auto"/>
            </w:tcBorders>
            <w:shd w:val="clear" w:color="auto" w:fill="CCEEFF"/>
          </w:tcPr>
          <w:p>
            <w:pPr>
              <w:jc w:val="right"/>
              <w:ind w:right="91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72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w w:val="99"/>
              </w:rPr>
              <w:t>227,877</w:t>
            </w:r>
          </w:p>
        </w:tc>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1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740" w:type="dxa"/>
            <w:vAlign w:val="bottom"/>
            <w:tcBorders>
              <w:bottom w:val="single" w:sz="8" w:color="auto"/>
            </w:tcBorders>
            <w:shd w:val="clear" w:color="auto" w:fill="CCEEFF"/>
          </w:tcPr>
          <w:p>
            <w:pPr>
              <w:jc w:val="right"/>
              <w:spacing w:after="0" w:line="219" w:lineRule="exact"/>
              <w:rPr>
                <w:sz w:val="20"/>
                <w:szCs w:val="20"/>
                <w:color w:val="auto"/>
              </w:rPr>
            </w:pPr>
            <w:r>
              <w:rPr>
                <w:rFonts w:ascii="Times New Roman" w:cs="Times New Roman" w:eastAsia="Times New Roman" w:hAnsi="Times New Roman"/>
                <w:sz w:val="21"/>
                <w:szCs w:val="21"/>
                <w:color w:val="auto"/>
              </w:rPr>
              <w:t>220,227</w:t>
            </w:r>
          </w:p>
        </w:tc>
      </w:tr>
      <w:tr>
        <w:trPr>
          <w:trHeight w:val="20"/>
        </w:trPr>
        <w:tc>
          <w:tcPr>
            <w:tcW w:w="7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1"/>
          <w:szCs w:val="21"/>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Operating revenues from the Regulated Natural Gas segment increased by $102,068 or 29.7% due to:</w:t>
      </w:r>
    </w:p>
    <w:p>
      <w:pPr>
        <w:spacing w:after="0" w:line="222" w:lineRule="exact"/>
        <w:rPr>
          <w:sz w:val="20"/>
          <w:szCs w:val="20"/>
          <w:color w:val="auto"/>
        </w:rPr>
      </w:pPr>
    </w:p>
    <w:p>
      <w:pPr>
        <w:ind w:left="5520" w:right="3200" w:hanging="4876"/>
        <w:spacing w:after="0" w:line="259" w:lineRule="auto"/>
        <w:rPr>
          <w:sz w:val="20"/>
          <w:szCs w:val="20"/>
          <w:color w:val="auto"/>
        </w:rPr>
      </w:pPr>
      <w:r>
        <w:rPr>
          <w:rFonts w:ascii="Times New Roman" w:cs="Times New Roman" w:eastAsia="Times New Roman" w:hAnsi="Times New Roman"/>
          <w:sz w:val="21"/>
          <w:szCs w:val="21"/>
          <w:color w:val="auto"/>
        </w:rPr>
        <w:t>impact of higher gas cost of $94,418 during the quarter as compared to the prior quarter;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161925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ESSENTIAL UTILITIES, INC. AND SUBSIDIARIES</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MANAGEMENT’S DISCUSSION AND ANALYSIS OF</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1"/>
          <w:szCs w:val="21"/>
          <w:color w:val="auto"/>
        </w:rPr>
        <w:t>(In thousands of dollars, except per share amounts)</w:t>
      </w:r>
    </w:p>
    <w:p>
      <w:pPr>
        <w:spacing w:after="0" w:line="200" w:lineRule="exact"/>
        <w:rPr>
          <w:sz w:val="20"/>
          <w:szCs w:val="20"/>
          <w:color w:val="auto"/>
        </w:rPr>
      </w:pPr>
    </w:p>
    <w:p>
      <w:pPr>
        <w:spacing w:after="0" w:line="210" w:lineRule="exact"/>
        <w:rPr>
          <w:sz w:val="20"/>
          <w:szCs w:val="20"/>
          <w:color w:val="auto"/>
        </w:rPr>
      </w:pPr>
    </w:p>
    <w:p>
      <w:pPr>
        <w:ind w:left="640" w:right="580"/>
        <w:spacing w:after="0" w:line="242" w:lineRule="auto"/>
        <w:rPr>
          <w:sz w:val="20"/>
          <w:szCs w:val="20"/>
          <w:color w:val="auto"/>
        </w:rPr>
      </w:pPr>
      <w:r>
        <w:rPr>
          <w:rFonts w:ascii="Times New Roman" w:cs="Times New Roman" w:eastAsia="Times New Roman" w:hAnsi="Times New Roman"/>
          <w:sz w:val="21"/>
          <w:szCs w:val="21"/>
          <w:color w:val="auto"/>
        </w:rPr>
        <w:t>higher usage of $7,812 due to colder weather during the first quarter of 2022 as compared to the same period in 2021; increase in customer assistance surcharge of $6,761, which has an equivalent offsetting amount in operations and</w:t>
      </w:r>
    </w:p>
    <w:p>
      <w:pPr>
        <w:ind w:left="640" w:right="280"/>
        <w:spacing w:after="0" w:line="223" w:lineRule="auto"/>
        <w:rPr>
          <w:sz w:val="20"/>
          <w:szCs w:val="20"/>
          <w:color w:val="auto"/>
        </w:rPr>
      </w:pPr>
      <w:r>
        <w:rPr>
          <w:rFonts w:ascii="Times New Roman" w:cs="Times New Roman" w:eastAsia="Times New Roman" w:hAnsi="Times New Roman"/>
          <w:sz w:val="21"/>
          <w:szCs w:val="21"/>
          <w:color w:val="auto"/>
        </w:rPr>
        <w:t>maintenance expense. These revenues and offsetting expenses increased mainly due to the increase in average gas prices during the first quarter of 2022 compared to the prior period;</w:t>
      </w:r>
    </w:p>
    <w:p>
      <w:pPr>
        <w:spacing w:after="0" w:line="1" w:lineRule="exact"/>
        <w:rPr>
          <w:sz w:val="20"/>
          <w:szCs w:val="20"/>
          <w:color w:val="auto"/>
        </w:rPr>
      </w:pPr>
    </w:p>
    <w:p>
      <w:pPr>
        <w:ind w:left="640" w:right="5100"/>
        <w:spacing w:after="0" w:line="248" w:lineRule="auto"/>
        <w:rPr>
          <w:sz w:val="20"/>
          <w:szCs w:val="20"/>
          <w:color w:val="auto"/>
        </w:rPr>
      </w:pPr>
      <w:r>
        <w:rPr>
          <w:rFonts w:ascii="Times New Roman" w:cs="Times New Roman" w:eastAsia="Times New Roman" w:hAnsi="Times New Roman"/>
          <w:sz w:val="21"/>
          <w:szCs w:val="21"/>
          <w:color w:val="auto"/>
        </w:rPr>
        <w:t>increase of $4,737 due to higher rates and other surcharges; and, offset by the tax repair surcredits to customers of $12,487.</w:t>
      </w:r>
    </w:p>
    <w:p>
      <w:pPr>
        <w:spacing w:after="0" w:line="16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Operations and maintenance expense for the three months ended March 31, 2022 increased by $8,126 or 15.8% primarily due to the following:</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increase in employee related costs of $4,183;</w:t>
      </w:r>
    </w:p>
    <w:p>
      <w:pPr>
        <w:spacing w:after="0" w:line="7" w:lineRule="exact"/>
        <w:rPr>
          <w:sz w:val="20"/>
          <w:szCs w:val="20"/>
          <w:color w:val="auto"/>
        </w:rPr>
      </w:pPr>
    </w:p>
    <w:p>
      <w:pPr>
        <w:ind w:left="640" w:right="500"/>
        <w:spacing w:after="0" w:line="248" w:lineRule="auto"/>
        <w:rPr>
          <w:sz w:val="20"/>
          <w:szCs w:val="20"/>
          <w:color w:val="auto"/>
        </w:rPr>
      </w:pPr>
      <w:r>
        <w:rPr>
          <w:rFonts w:ascii="Times New Roman" w:cs="Times New Roman" w:eastAsia="Times New Roman" w:hAnsi="Times New Roman"/>
          <w:sz w:val="21"/>
          <w:szCs w:val="21"/>
          <w:color w:val="auto"/>
        </w:rPr>
        <w:t>increase in customer assistance surcharge costs of $6,761, which has an equivalent offsetting amount in revenues; and, offset by a decrease in bad debt expense of $629.</w:t>
      </w:r>
    </w:p>
    <w:p>
      <w:pPr>
        <w:spacing w:after="0" w:line="166"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1"/>
          <w:szCs w:val="21"/>
          <w:color w:val="auto"/>
        </w:rPr>
        <w:t>Purchased gas increased by $94,418 or 76.8%. The increase is largely due to the 46.9% increase in the average gas commodity prices in the first quarter of 2022 as compared to the prior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Depreciation and amortization increased by $2,114 or 7.7% primarily due to continued capital spend.</w:t>
      </w:r>
    </w:p>
    <w:p>
      <w:pPr>
        <w:spacing w:after="0" w:line="20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21"/>
          <w:szCs w:val="21"/>
          <w:color w:val="auto"/>
        </w:rPr>
        <w:t>Taxes other than income taxes increased by $1,744 or 39.2% mainly due to an increase in property, utility, and sales and use taxes during the first quarter of 2022 as compared to the same period in 2021.</w:t>
      </w:r>
    </w:p>
    <w:p>
      <w:pPr>
        <w:spacing w:after="0" w:line="14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Interest expense, net, increased by $3,356 or 19.4% for the quarter due to additional borrowings pushed down by Essential Utilities, Inc.</w:t>
      </w:r>
    </w:p>
    <w:p>
      <w:pPr>
        <w:spacing w:after="0" w:line="142"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1"/>
          <w:szCs w:val="21"/>
          <w:color w:val="auto"/>
        </w:rPr>
        <w:t>AFUDC increased by $1,003 due to the increase in the average balance of utility plant construction work in progress, to which AFUDC is applied.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income increased by $16 or by 3.7%.</w:t>
      </w:r>
    </w:p>
    <w:p>
      <w:pPr>
        <w:spacing w:after="0" w:line="209"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1"/>
          <w:szCs w:val="21"/>
          <w:color w:val="auto"/>
        </w:rPr>
        <w:t>Our effective income tax rate was (23.4)% in the first quarter of 2022 and 0.4% in the first quarter of 2021. The decrease in the effective tax rate is primarily attributed to the decrease in the income tax benefit associated with the tax deduction for qualifying infrastructure and the amortization of the catch-up adjustment during the first quarter of 2022 in our Regulated Natural Gas segment.</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u w:val="single" w:color="auto"/>
          <w:color w:val="auto"/>
        </w:rPr>
        <w:t>Impact of Recent Accounting Pronouncements</w:t>
      </w:r>
    </w:p>
    <w:p>
      <w:pPr>
        <w:spacing w:after="0" w:line="20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21"/>
          <w:szCs w:val="21"/>
          <w:color w:val="auto"/>
        </w:rPr>
        <w:t xml:space="preserve">We describe the impact of recent accounting pronouncements in Note 15, </w:t>
      </w:r>
      <w:r>
        <w:rPr>
          <w:rFonts w:ascii="Times New Roman" w:cs="Times New Roman" w:eastAsia="Times New Roman" w:hAnsi="Times New Roman"/>
          <w:sz w:val="21"/>
          <w:szCs w:val="21"/>
          <w:i w:val="1"/>
          <w:iCs w:val="1"/>
          <w:color w:val="auto"/>
        </w:rPr>
        <w:t>Recent Accounting Pronouncements</w:t>
      </w:r>
      <w:r>
        <w:rPr>
          <w:rFonts w:ascii="Times New Roman" w:cs="Times New Roman" w:eastAsia="Times New Roman" w:hAnsi="Times New Roman"/>
          <w:sz w:val="21"/>
          <w:szCs w:val="21"/>
          <w:color w:val="auto"/>
        </w:rPr>
        <w:t>, to the consolidated financial statements in this report.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204470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 – Quantitative and Qualitative Disclosures About Market Risk</w:t>
      </w:r>
    </w:p>
    <w:p>
      <w:pPr>
        <w:spacing w:after="0" w:line="20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We are subject to market risks in the normal course of business, including changes in interest rates and equity prices. Refer to Item 7A of the Company’s Annual Report on Form 10-K for the year ended December 31, 2021, filed March 1, 2022, for additional information on market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 Controls and Procedures</w:t>
      </w:r>
    </w:p>
    <w:p>
      <w:pPr>
        <w:spacing w:after="0" w:line="222" w:lineRule="exact"/>
        <w:rPr>
          <w:sz w:val="20"/>
          <w:szCs w:val="20"/>
          <w:color w:val="auto"/>
        </w:rPr>
      </w:pPr>
    </w:p>
    <w:p>
      <w:pPr>
        <w:ind w:left="640" w:hanging="634"/>
        <w:spacing w:after="0"/>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w:t>
      </w:r>
    </w:p>
    <w:p>
      <w:pPr>
        <w:spacing w:after="0" w:line="209"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4" w:lineRule="exact"/>
        <w:rPr>
          <w:sz w:val="20"/>
          <w:szCs w:val="20"/>
          <w:color w:val="auto"/>
        </w:rPr>
      </w:pPr>
    </w:p>
    <w:p>
      <w:pPr>
        <w:ind w:left="640" w:hanging="634"/>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w:t>
      </w:r>
    </w:p>
    <w:p>
      <w:pPr>
        <w:spacing w:after="0" w:line="209"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1"/>
          <w:szCs w:val="21"/>
          <w:color w:val="auto"/>
        </w:rPr>
        <w:t>We are in the process of implementing a new enterprise resource planning (ERP) system for our Regulated Water business segment that enhances our business and financial processes and standardizes some of our information technology systems with our other segments. In connection with this new ERP implementation, we have updated our internal controls over financial reporting, as necessary, to accommodate modifications in our Regulated Water business processes and accounting procedures. The next phase of the ERP implementation will address the Regulated Water business segment’s customer information system, which includes customer billing, and is expected to go live in the second half of 2023.</w:t>
      </w:r>
    </w:p>
    <w:p>
      <w:pPr>
        <w:spacing w:after="0" w:line="19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auto"/>
        </w:rPr>
        <w:t>Except as described above, there were no changes in our internal control over financial reporting, during the quarter ended March 31, 2022 that have materially affected, or are reasonably likely to materially affect, our internal control over financial reporting.</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 Legal Proceedings</w:t>
      </w:r>
    </w:p>
    <w:p>
      <w:pPr>
        <w:spacing w:after="0" w:line="22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1A – Risk Factors</w:t>
      </w:r>
    </w:p>
    <w:p>
      <w:pPr>
        <w:spacing w:after="0" w:line="22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1"/>
          <w:szCs w:val="21"/>
          <w:color w:val="auto"/>
        </w:rPr>
        <w:t>Please review the risks disclosed in our Annual Report on Form 10-K for the year ended December 31, 2021, under “Part 1, Item 1A – Risk Factors.”</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 – Unregistered Sales of Equity Securities and Use of Proceeds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Company’s purchases of its common stock for the quarter ended March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860" w:type="dxa"/>
            <w:vAlign w:val="bottom"/>
            <w:gridSpan w:val="5"/>
          </w:tcPr>
          <w:p>
            <w:pPr>
              <w:ind w:left="600"/>
              <w:spacing w:after="0"/>
              <w:rPr>
                <w:sz w:val="20"/>
                <w:szCs w:val="20"/>
                <w:color w:val="auto"/>
              </w:rPr>
            </w:pPr>
            <w:r>
              <w:rPr>
                <w:rFonts w:ascii="Times New Roman" w:cs="Times New Roman" w:eastAsia="Times New Roman" w:hAnsi="Times New Roman"/>
                <w:sz w:val="21"/>
                <w:szCs w:val="21"/>
                <w:color w:val="auto"/>
              </w:rPr>
              <w:t>Issuer Purchases of Equity Securities</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1"/>
                <w:szCs w:val="21"/>
                <w:color w:val="auto"/>
              </w:rPr>
              <w:t>Total</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Maximum</w:t>
            </w: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Number of</w:t>
            </w: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Number of</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Shares</w:t>
            </w: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Shares</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Purchased</w:t>
            </w: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that May</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as Part of</w:t>
            </w: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Yet be</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4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1"/>
                <w:szCs w:val="21"/>
                <w:color w:val="auto"/>
              </w:rPr>
              <w:t>Total</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Publicly</w:t>
            </w: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Purchased</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4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1"/>
                <w:szCs w:val="21"/>
                <w:color w:val="auto"/>
              </w:rPr>
              <w:t>Number</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1"/>
                <w:szCs w:val="21"/>
                <w:color w:val="auto"/>
              </w:rPr>
              <w:t>Average</w:t>
            </w:r>
          </w:p>
        </w:tc>
        <w:tc>
          <w:tcPr>
            <w:tcW w:w="19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Announced</w:t>
            </w: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Under the</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4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1"/>
                <w:szCs w:val="21"/>
                <w:color w:val="auto"/>
              </w:rPr>
              <w:t>of Shares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1"/>
                <w:szCs w:val="21"/>
                <w:color w:val="auto"/>
              </w:rPr>
              <w:t>Price Paid</w:t>
            </w:r>
          </w:p>
        </w:tc>
        <w:tc>
          <w:tcPr>
            <w:tcW w:w="190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1"/>
                <w:szCs w:val="21"/>
                <w:color w:val="auto"/>
              </w:rPr>
              <w:t>Plans or</w:t>
            </w: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Plan or</w:t>
            </w:r>
          </w:p>
        </w:tc>
        <w:tc>
          <w:tcPr>
            <w:tcW w:w="0" w:type="dxa"/>
            <w:vAlign w:val="bottom"/>
          </w:tcPr>
          <w:p>
            <w:pPr>
              <w:spacing w:after="0"/>
              <w:rPr>
                <w:sz w:val="1"/>
                <w:szCs w:val="1"/>
                <w:color w:val="auto"/>
              </w:rPr>
            </w:pPr>
          </w:p>
        </w:tc>
      </w:tr>
      <w:tr>
        <w:trPr>
          <w:trHeight w:val="226"/>
        </w:trPr>
        <w:tc>
          <w:tcPr>
            <w:tcW w:w="2440" w:type="dxa"/>
            <w:vAlign w:val="bottom"/>
            <w:gridSpan w:val="2"/>
          </w:tcPr>
          <w:p>
            <w:pPr>
              <w:spacing w:after="0" w:line="226" w:lineRule="exact"/>
              <w:rPr>
                <w:sz w:val="20"/>
                <w:szCs w:val="20"/>
                <w:color w:val="auto"/>
              </w:rPr>
            </w:pPr>
            <w:r>
              <w:rPr>
                <w:rFonts w:ascii="Times New Roman" w:cs="Times New Roman" w:eastAsia="Times New Roman" w:hAnsi="Times New Roman"/>
                <w:sz w:val="21"/>
                <w:szCs w:val="21"/>
                <w:color w:val="auto"/>
              </w:rPr>
              <w:t>Period</w:t>
            </w:r>
          </w:p>
        </w:tc>
        <w:tc>
          <w:tcPr>
            <w:tcW w:w="600" w:type="dxa"/>
            <w:vAlign w:val="bottom"/>
          </w:tcPr>
          <w:p>
            <w:pPr>
              <w:spacing w:after="0"/>
              <w:rPr>
                <w:sz w:val="19"/>
                <w:szCs w:val="19"/>
                <w:color w:val="auto"/>
              </w:rPr>
            </w:pPr>
          </w:p>
        </w:tc>
        <w:tc>
          <w:tcPr>
            <w:tcW w:w="214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1"/>
                <w:szCs w:val="21"/>
                <w:color w:val="auto"/>
              </w:rPr>
              <w:t>Purchased (1)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1"/>
                <w:szCs w:val="21"/>
                <w:color w:val="auto"/>
              </w:rPr>
              <w:t>per Share</w:t>
            </w:r>
          </w:p>
        </w:tc>
        <w:tc>
          <w:tcPr>
            <w:tcW w:w="1900" w:type="dxa"/>
            <w:vAlign w:val="bottom"/>
            <w:gridSpan w:val="2"/>
          </w:tcPr>
          <w:p>
            <w:pPr>
              <w:jc w:val="right"/>
              <w:ind w:right="200"/>
              <w:spacing w:after="0" w:line="226" w:lineRule="exact"/>
              <w:rPr>
                <w:sz w:val="20"/>
                <w:szCs w:val="20"/>
                <w:color w:val="auto"/>
              </w:rPr>
            </w:pPr>
            <w:r>
              <w:rPr>
                <w:rFonts w:ascii="Times New Roman" w:cs="Times New Roman" w:eastAsia="Times New Roman" w:hAnsi="Times New Roman"/>
                <w:sz w:val="21"/>
                <w:szCs w:val="21"/>
                <w:color w:val="auto"/>
              </w:rPr>
              <w:t>Programs</w:t>
            </w:r>
          </w:p>
        </w:tc>
        <w:tc>
          <w:tcPr>
            <w:tcW w:w="164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Programs</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21"/>
                <w:szCs w:val="21"/>
                <w:color w:val="auto"/>
              </w:rPr>
              <w:t>January 1 - 31, 2022</w:t>
            </w:r>
          </w:p>
        </w:tc>
        <w:tc>
          <w:tcPr>
            <w:tcW w:w="60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21"/>
                <w:szCs w:val="21"/>
                <w:color w:val="auto"/>
              </w:rPr>
              <w:t>256</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4"/>
              <w:spacing w:after="0" w:line="205" w:lineRule="exact"/>
              <w:rPr>
                <w:sz w:val="20"/>
                <w:szCs w:val="20"/>
                <w:color w:val="auto"/>
              </w:rPr>
            </w:pPr>
            <w:r>
              <w:rPr>
                <w:rFonts w:ascii="Times New Roman" w:cs="Times New Roman" w:eastAsia="Times New Roman" w:hAnsi="Times New Roman"/>
                <w:sz w:val="21"/>
                <w:szCs w:val="21"/>
                <w:color w:val="auto"/>
                <w:w w:val="94"/>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21"/>
                <w:szCs w:val="21"/>
                <w:color w:val="auto"/>
              </w:rPr>
              <w:t>53.61</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5"/>
        </w:trPr>
        <w:tc>
          <w:tcPr>
            <w:tcW w:w="2440" w:type="dxa"/>
            <w:vAlign w:val="bottom"/>
            <w:gridSpan w:val="2"/>
          </w:tcPr>
          <w:p>
            <w:pPr>
              <w:spacing w:after="0" w:line="225" w:lineRule="exact"/>
              <w:rPr>
                <w:sz w:val="20"/>
                <w:szCs w:val="20"/>
                <w:color w:val="auto"/>
              </w:rPr>
            </w:pPr>
            <w:r>
              <w:rPr>
                <w:rFonts w:ascii="Times New Roman" w:cs="Times New Roman" w:eastAsia="Times New Roman" w:hAnsi="Times New Roman"/>
                <w:sz w:val="21"/>
                <w:szCs w:val="21"/>
                <w:color w:val="auto"/>
              </w:rPr>
              <w:t>February 1 - 28, 2022</w:t>
            </w:r>
          </w:p>
        </w:tc>
        <w:tc>
          <w:tcPr>
            <w:tcW w:w="26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1"/>
                <w:szCs w:val="21"/>
                <w:color w:val="auto"/>
              </w:rPr>
              <w:t>21,004</w:t>
            </w:r>
          </w:p>
        </w:tc>
        <w:tc>
          <w:tcPr>
            <w:tcW w:w="80" w:type="dxa"/>
            <w:vAlign w:val="bottom"/>
          </w:tcPr>
          <w:p>
            <w:pPr>
              <w:spacing w:after="0"/>
              <w:rPr>
                <w:sz w:val="19"/>
                <w:szCs w:val="19"/>
                <w:color w:val="auto"/>
              </w:rPr>
            </w:pPr>
          </w:p>
        </w:tc>
        <w:tc>
          <w:tcPr>
            <w:tcW w:w="1000" w:type="dxa"/>
            <w:vAlign w:val="bottom"/>
          </w:tcPr>
          <w:p>
            <w:pPr>
              <w:jc w:val="right"/>
              <w:ind w:right="774"/>
              <w:spacing w:after="0" w:line="225" w:lineRule="exact"/>
              <w:rPr>
                <w:sz w:val="20"/>
                <w:szCs w:val="20"/>
                <w:color w:val="auto"/>
              </w:rPr>
            </w:pPr>
            <w:r>
              <w:rPr>
                <w:rFonts w:ascii="Times New Roman" w:cs="Times New Roman" w:eastAsia="Times New Roman" w:hAnsi="Times New Roman"/>
                <w:sz w:val="21"/>
                <w:szCs w:val="21"/>
                <w:color w:val="auto"/>
                <w:w w:val="94"/>
              </w:rPr>
              <w:t>$</w:t>
            </w:r>
          </w:p>
        </w:tc>
        <w:tc>
          <w:tcPr>
            <w:tcW w:w="120" w:type="dxa"/>
            <w:vAlign w:val="bottom"/>
          </w:tcPr>
          <w:p>
            <w:pPr>
              <w:spacing w:after="0"/>
              <w:rPr>
                <w:sz w:val="19"/>
                <w:szCs w:val="19"/>
                <w:color w:val="auto"/>
              </w:rPr>
            </w:pP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47.48</w:t>
            </w:r>
          </w:p>
        </w:tc>
        <w:tc>
          <w:tcPr>
            <w:tcW w:w="180" w:type="dxa"/>
            <w:vAlign w:val="bottom"/>
          </w:tcPr>
          <w:p>
            <w:pPr>
              <w:spacing w:after="0"/>
              <w:rPr>
                <w:sz w:val="19"/>
                <w:szCs w:val="19"/>
                <w:color w:val="auto"/>
              </w:rPr>
            </w:pPr>
          </w:p>
        </w:tc>
        <w:tc>
          <w:tcPr>
            <w:tcW w:w="17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19"/>
                <w:szCs w:val="19"/>
                <w:color w:val="auto"/>
              </w:rPr>
            </w:pPr>
          </w:p>
        </w:tc>
        <w:tc>
          <w:tcPr>
            <w:tcW w:w="164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5"/>
        </w:trPr>
        <w:tc>
          <w:tcPr>
            <w:tcW w:w="244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March 1 - 31, 2022</w:t>
            </w:r>
          </w:p>
        </w:tc>
        <w:tc>
          <w:tcPr>
            <w:tcW w:w="2660" w:type="dxa"/>
            <w:vAlign w:val="bottom"/>
            <w:gridSpan w:val="2"/>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30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74"/>
              <w:spacing w:after="0" w:line="225" w:lineRule="exact"/>
              <w:rPr>
                <w:sz w:val="20"/>
                <w:szCs w:val="20"/>
                <w:color w:val="auto"/>
              </w:rPr>
            </w:pPr>
            <w:r>
              <w:rPr>
                <w:rFonts w:ascii="Times New Roman" w:cs="Times New Roman" w:eastAsia="Times New Roman" w:hAnsi="Times New Roman"/>
                <w:sz w:val="21"/>
                <w:szCs w:val="21"/>
                <w:color w:val="auto"/>
                <w:w w:val="94"/>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47.93</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line="225"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19"/>
        </w:trPr>
        <w:tc>
          <w:tcPr>
            <w:tcW w:w="2440" w:type="dxa"/>
            <w:vAlign w:val="bottom"/>
            <w:gridSpan w:val="2"/>
          </w:tcPr>
          <w:p>
            <w:pPr>
              <w:spacing w:after="0" w:line="219" w:lineRule="exact"/>
              <w:rPr>
                <w:sz w:val="20"/>
                <w:szCs w:val="20"/>
                <w:color w:val="auto"/>
              </w:rPr>
            </w:pPr>
            <w:r>
              <w:rPr>
                <w:rFonts w:ascii="Times New Roman" w:cs="Times New Roman" w:eastAsia="Times New Roman" w:hAnsi="Times New Roman"/>
                <w:sz w:val="21"/>
                <w:szCs w:val="21"/>
                <w:color w:val="auto"/>
              </w:rPr>
              <w:t>Total</w:t>
            </w:r>
          </w:p>
        </w:tc>
        <w:tc>
          <w:tcPr>
            <w:tcW w:w="600" w:type="dxa"/>
            <w:vAlign w:val="bottom"/>
          </w:tcPr>
          <w:p>
            <w:pPr>
              <w:spacing w:after="0"/>
              <w:rPr>
                <w:sz w:val="19"/>
                <w:szCs w:val="19"/>
                <w:color w:val="auto"/>
              </w:rPr>
            </w:pPr>
          </w:p>
        </w:tc>
        <w:tc>
          <w:tcPr>
            <w:tcW w:w="20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21,290</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74"/>
              <w:spacing w:after="0" w:line="219" w:lineRule="exact"/>
              <w:rPr>
                <w:sz w:val="20"/>
                <w:szCs w:val="20"/>
                <w:color w:val="auto"/>
              </w:rPr>
            </w:pPr>
            <w:r>
              <w:rPr>
                <w:rFonts w:ascii="Times New Roman" w:cs="Times New Roman" w:eastAsia="Times New Roman" w:hAnsi="Times New Roman"/>
                <w:sz w:val="21"/>
                <w:szCs w:val="21"/>
                <w:color w:val="auto"/>
                <w:w w:val="94"/>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47.56</w:t>
            </w:r>
          </w:p>
        </w:tc>
        <w:tc>
          <w:tcPr>
            <w:tcW w:w="18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right="100" w:hanging="316"/>
        <w:spacing w:after="0" w:line="239" w:lineRule="auto"/>
        <w:tabs>
          <w:tab w:leader="none" w:pos="6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amounts consist of 21,290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1"/>
        </w:trPr>
        <w:tc>
          <w:tcPr>
            <w:tcW w:w="152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1"/>
                <w:szCs w:val="21"/>
                <w:color w:val="0563C1"/>
                <w:w w:val="99"/>
              </w:rPr>
              <w:t>Table of Contents</w:t>
            </w:r>
          </w:p>
        </w:tc>
        <w:tc>
          <w:tcPr>
            <w:tcW w:w="640" w:type="dxa"/>
            <w:vAlign w:val="bottom"/>
            <w:gridSpan w:val="2"/>
          </w:tcPr>
          <w:p>
            <w:pPr>
              <w:spacing w:after="0"/>
              <w:rPr>
                <w:sz w:val="21"/>
                <w:szCs w:val="21"/>
                <w:color w:val="auto"/>
              </w:rPr>
            </w:pPr>
          </w:p>
        </w:tc>
        <w:tc>
          <w:tcPr>
            <w:tcW w:w="190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799"/>
        </w:trPr>
        <w:tc>
          <w:tcPr>
            <w:tcW w:w="21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Item 6 – Exhibits</w:t>
            </w:r>
          </w:p>
        </w:tc>
        <w:tc>
          <w:tcPr>
            <w:tcW w:w="1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06"/>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21"/>
                <w:szCs w:val="21"/>
                <w:b w:val="1"/>
                <w:bCs w:val="1"/>
                <w:color w:val="auto"/>
              </w:rPr>
              <w:t>Exhibit No.</w:t>
            </w:r>
          </w:p>
        </w:tc>
        <w:tc>
          <w:tcPr>
            <w:tcW w:w="9080" w:type="dxa"/>
            <w:vAlign w:val="bottom"/>
            <w:gridSpan w:val="6"/>
          </w:tcPr>
          <w:p>
            <w:pPr>
              <w:ind w:left="60"/>
              <w:spacing w:after="0"/>
              <w:rPr>
                <w:sz w:val="20"/>
                <w:szCs w:val="20"/>
                <w:color w:val="auto"/>
              </w:rPr>
            </w:pPr>
            <w:r>
              <w:rPr>
                <w:rFonts w:ascii="Times New Roman" w:cs="Times New Roman" w:eastAsia="Times New Roman" w:hAnsi="Times New Roman"/>
                <w:sz w:val="21"/>
                <w:szCs w:val="21"/>
                <w:b w:val="1"/>
                <w:bCs w:val="1"/>
                <w:color w:val="auto"/>
              </w:rPr>
              <w:t>Description</w:t>
            </w:r>
          </w:p>
        </w:tc>
      </w:tr>
      <w:tr>
        <w:trPr>
          <w:trHeight w:val="192"/>
        </w:trPr>
        <w:tc>
          <w:tcPr>
            <w:tcW w:w="1520" w:type="dxa"/>
            <w:vAlign w:val="bottom"/>
            <w:tcBorders>
              <w:top w:val="single" w:sz="8" w:color="auto"/>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21"/>
                <w:szCs w:val="21"/>
                <w:color w:val="auto"/>
              </w:rPr>
              <w:t>31.1*</w:t>
            </w:r>
          </w:p>
        </w:tc>
        <w:tc>
          <w:tcPr>
            <w:tcW w:w="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080" w:type="dxa"/>
            <w:vAlign w:val="bottom"/>
            <w:tcBorders>
              <w:top w:val="single" w:sz="8" w:color="auto"/>
            </w:tcBorders>
            <w:gridSpan w:val="6"/>
            <w:shd w:val="clear" w:color="auto" w:fill="CCEEFF"/>
          </w:tcPr>
          <w:p>
            <w:pPr>
              <w:spacing w:after="0" w:line="192" w:lineRule="exact"/>
              <w:rPr>
                <w:sz w:val="20"/>
                <w:szCs w:val="20"/>
                <w:color w:val="auto"/>
              </w:rPr>
            </w:pPr>
            <w:r>
              <w:rPr>
                <w:rFonts w:ascii="Times New Roman" w:cs="Times New Roman" w:eastAsia="Times New Roman" w:hAnsi="Times New Roman"/>
                <w:sz w:val="21"/>
                <w:szCs w:val="21"/>
                <w:color w:val="0563C1"/>
              </w:rPr>
              <w:t>Certification of Chief Executive Officer, filed pursuant to Rule 13a-14(a) under the Securities and</w:t>
            </w:r>
          </w:p>
        </w:tc>
      </w:tr>
      <w:tr>
        <w:trPr>
          <w:trHeight w:val="225"/>
        </w:trPr>
        <w:tc>
          <w:tcPr>
            <w:tcW w:w="15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360" w:type="dxa"/>
            <w:vAlign w:val="bottom"/>
            <w:tcBorders>
              <w:top w:val="single" w:sz="8" w:color="0563C1"/>
            </w:tcBorders>
            <w:gridSpan w:val="5"/>
            <w:shd w:val="clear" w:color="auto" w:fill="CCEEFF"/>
          </w:tcPr>
          <w:p>
            <w:pPr>
              <w:spacing w:after="0" w:line="205" w:lineRule="exact"/>
              <w:rPr>
                <w:sz w:val="20"/>
                <w:szCs w:val="20"/>
                <w:color w:val="auto"/>
              </w:rPr>
            </w:pPr>
            <w:r>
              <w:rPr>
                <w:rFonts w:ascii="Times New Roman" w:cs="Times New Roman" w:eastAsia="Times New Roman" w:hAnsi="Times New Roman"/>
                <w:sz w:val="21"/>
                <w:szCs w:val="21"/>
                <w:color w:val="0563C1"/>
              </w:rPr>
              <w:t>Exchange Act of 1934</w:t>
            </w:r>
          </w:p>
        </w:tc>
        <w:tc>
          <w:tcPr>
            <w:tcW w:w="720" w:type="dxa"/>
            <w:vAlign w:val="bottom"/>
            <w:tcBorders>
              <w:top w:val="single" w:sz="8" w:color="CCEEFF"/>
            </w:tcBorders>
            <w:shd w:val="clear" w:color="auto" w:fill="CCEEFF"/>
          </w:tcPr>
          <w:p>
            <w:pPr>
              <w:spacing w:after="0"/>
              <w:rPr>
                <w:sz w:val="19"/>
                <w:szCs w:val="19"/>
                <w:color w:val="auto"/>
              </w:rPr>
            </w:pPr>
          </w:p>
        </w:tc>
      </w:tr>
      <w:tr>
        <w:trPr>
          <w:trHeight w:val="225"/>
        </w:trPr>
        <w:tc>
          <w:tcPr>
            <w:tcW w:w="15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900" w:type="dxa"/>
            <w:vAlign w:val="bottom"/>
            <w:tcBorders>
              <w:top w:val="single" w:sz="8" w:color="0563C1"/>
            </w:tcBorders>
          </w:tcPr>
          <w:p>
            <w:pPr>
              <w:spacing w:after="0"/>
              <w:rPr>
                <w:sz w:val="19"/>
                <w:szCs w:val="19"/>
                <w:color w:val="auto"/>
              </w:rPr>
            </w:pPr>
          </w:p>
        </w:tc>
        <w:tc>
          <w:tcPr>
            <w:tcW w:w="5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r>
      <w:tr>
        <w:trPr>
          <w:trHeight w:val="199"/>
        </w:trPr>
        <w:tc>
          <w:tcPr>
            <w:tcW w:w="15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21"/>
                <w:szCs w:val="21"/>
                <w:color w:val="auto"/>
              </w:rPr>
              <w:t>31.2*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80" w:type="dxa"/>
            <w:vAlign w:val="bottom"/>
            <w:gridSpan w:val="6"/>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Certification of Chief Financial Officer, filed pursuant to Rule 13a-14(a) under the Securities and</w:t>
            </w:r>
          </w:p>
        </w:tc>
      </w:tr>
      <w:tr>
        <w:trPr>
          <w:trHeight w:val="225"/>
        </w:trPr>
        <w:tc>
          <w:tcPr>
            <w:tcW w:w="15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300" w:type="dxa"/>
            <w:vAlign w:val="bottom"/>
            <w:tcBorders>
              <w:top w:val="single" w:sz="8" w:color="0563C1"/>
            </w:tcBorders>
            <w:gridSpan w:val="4"/>
            <w:shd w:val="clear" w:color="auto" w:fill="CCEEFF"/>
          </w:tcPr>
          <w:p>
            <w:pPr>
              <w:spacing w:after="0" w:line="205" w:lineRule="exact"/>
              <w:rPr>
                <w:sz w:val="20"/>
                <w:szCs w:val="20"/>
                <w:color w:val="auto"/>
              </w:rPr>
            </w:pPr>
            <w:r>
              <w:rPr>
                <w:rFonts w:ascii="Times New Roman" w:cs="Times New Roman" w:eastAsia="Times New Roman" w:hAnsi="Times New Roman"/>
                <w:sz w:val="21"/>
                <w:szCs w:val="21"/>
                <w:color w:val="0563C1"/>
              </w:rPr>
              <w:t>Exchange Act of 1934</w:t>
            </w:r>
          </w:p>
        </w:tc>
        <w:tc>
          <w:tcPr>
            <w:tcW w:w="780" w:type="dxa"/>
            <w:vAlign w:val="bottom"/>
            <w:tcBorders>
              <w:top w:val="single" w:sz="8" w:color="CCEEFF"/>
            </w:tcBorders>
            <w:gridSpan w:val="2"/>
            <w:shd w:val="clear" w:color="auto" w:fill="CCEEFF"/>
          </w:tcPr>
          <w:p>
            <w:pPr>
              <w:spacing w:after="0"/>
              <w:rPr>
                <w:sz w:val="19"/>
                <w:szCs w:val="19"/>
                <w:color w:val="auto"/>
              </w:rPr>
            </w:pPr>
          </w:p>
        </w:tc>
      </w:tr>
      <w:tr>
        <w:trPr>
          <w:trHeight w:val="225"/>
        </w:trPr>
        <w:tc>
          <w:tcPr>
            <w:tcW w:w="15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900" w:type="dxa"/>
            <w:vAlign w:val="bottom"/>
            <w:tcBorders>
              <w:top w:val="single" w:sz="8" w:color="0563C1"/>
            </w:tcBorders>
          </w:tcPr>
          <w:p>
            <w:pPr>
              <w:spacing w:after="0"/>
              <w:rPr>
                <w:sz w:val="19"/>
                <w:szCs w:val="19"/>
                <w:color w:val="auto"/>
              </w:rPr>
            </w:pPr>
          </w:p>
        </w:tc>
        <w:tc>
          <w:tcPr>
            <w:tcW w:w="5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r>
      <w:tr>
        <w:trPr>
          <w:trHeight w:val="205"/>
        </w:trPr>
        <w:tc>
          <w:tcPr>
            <w:tcW w:w="15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21"/>
                <w:szCs w:val="21"/>
                <w:color w:val="auto"/>
              </w:rPr>
              <w:t>32.1*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80" w:type="dxa"/>
            <w:vAlign w:val="bottom"/>
            <w:gridSpan w:val="6"/>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Certification of Chief Executive Officer, furnished pursuant to 18 U.S.C. Section 1350</w:t>
            </w:r>
          </w:p>
        </w:tc>
      </w:tr>
      <w:tr>
        <w:trPr>
          <w:trHeight w:val="225"/>
        </w:trPr>
        <w:tc>
          <w:tcPr>
            <w:tcW w:w="15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900" w:type="dxa"/>
            <w:vAlign w:val="bottom"/>
            <w:tcBorders>
              <w:top w:val="single" w:sz="8" w:color="0563C1"/>
            </w:tcBorders>
          </w:tcPr>
          <w:p>
            <w:pPr>
              <w:spacing w:after="0"/>
              <w:rPr>
                <w:sz w:val="19"/>
                <w:szCs w:val="19"/>
                <w:color w:val="auto"/>
              </w:rPr>
            </w:pPr>
          </w:p>
        </w:tc>
        <w:tc>
          <w:tcPr>
            <w:tcW w:w="53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r>
      <w:tr>
        <w:trPr>
          <w:trHeight w:val="205"/>
        </w:trPr>
        <w:tc>
          <w:tcPr>
            <w:tcW w:w="15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21"/>
                <w:szCs w:val="21"/>
                <w:color w:val="auto"/>
              </w:rPr>
              <w:t>32.2*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80" w:type="dxa"/>
            <w:vAlign w:val="bottom"/>
            <w:gridSpan w:val="6"/>
            <w:shd w:val="clear" w:color="auto" w:fill="CCEEFF"/>
          </w:tcPr>
          <w:p>
            <w:pPr>
              <w:spacing w:after="0" w:line="199" w:lineRule="exact"/>
              <w:rPr>
                <w:sz w:val="20"/>
                <w:szCs w:val="20"/>
                <w:color w:val="auto"/>
              </w:rPr>
            </w:pPr>
            <w:r>
              <w:rPr>
                <w:rFonts w:ascii="Times New Roman" w:cs="Times New Roman" w:eastAsia="Times New Roman" w:hAnsi="Times New Roman"/>
                <w:sz w:val="21"/>
                <w:szCs w:val="21"/>
                <w:color w:val="0563C1"/>
              </w:rPr>
              <w:t>Certification of Chief Financial Officer, furnished pursuant to 18 U.S.C. Section 1350</w:t>
            </w:r>
          </w:p>
        </w:tc>
      </w:tr>
      <w:tr>
        <w:trPr>
          <w:trHeight w:val="225"/>
        </w:trPr>
        <w:tc>
          <w:tcPr>
            <w:tcW w:w="15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900" w:type="dxa"/>
            <w:vAlign w:val="bottom"/>
            <w:tcBorders>
              <w:top w:val="single" w:sz="8" w:color="0563C1"/>
            </w:tcBorders>
          </w:tcPr>
          <w:p>
            <w:pPr>
              <w:spacing w:after="0"/>
              <w:rPr>
                <w:sz w:val="19"/>
                <w:szCs w:val="19"/>
                <w:color w:val="auto"/>
              </w:rPr>
            </w:pPr>
          </w:p>
        </w:tc>
        <w:tc>
          <w:tcPr>
            <w:tcW w:w="53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r>
      <w:tr>
        <w:trPr>
          <w:trHeight w:val="198"/>
        </w:trPr>
        <w:tc>
          <w:tcPr>
            <w:tcW w:w="21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21"/>
                <w:szCs w:val="21"/>
                <w:color w:val="auto"/>
              </w:rPr>
              <w:t>101.INS</w:t>
            </w:r>
          </w:p>
        </w:tc>
        <w:tc>
          <w:tcPr>
            <w:tcW w:w="908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21"/>
                <w:szCs w:val="21"/>
                <w:color w:val="auto"/>
              </w:rPr>
              <w:t>Inline XBRL Instance Document – The instance document does not appear in the Interactive Data File</w:t>
            </w:r>
          </w:p>
        </w:tc>
      </w:tr>
      <w:tr>
        <w:trPr>
          <w:trHeight w:val="266"/>
        </w:trPr>
        <w:tc>
          <w:tcPr>
            <w:tcW w:w="1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21"/>
                <w:szCs w:val="21"/>
                <w:color w:val="auto"/>
              </w:rPr>
              <w:t>because its XBRL tags are embedded within the Inline XBRL document.</w:t>
            </w:r>
          </w:p>
        </w:tc>
      </w:tr>
      <w:tr>
        <w:trPr>
          <w:trHeight w:val="225"/>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5"/>
        </w:trPr>
        <w:tc>
          <w:tcPr>
            <w:tcW w:w="216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21"/>
                <w:szCs w:val="21"/>
                <w:color w:val="auto"/>
              </w:rPr>
              <w:t>101.SCH</w:t>
            </w:r>
          </w:p>
        </w:tc>
        <w:tc>
          <w:tcPr>
            <w:tcW w:w="9080" w:type="dxa"/>
            <w:vAlign w:val="bottom"/>
            <w:gridSpan w:val="6"/>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Inline XBRL Taxonomy Extension Schema Document</w:t>
            </w:r>
          </w:p>
        </w:tc>
      </w:tr>
      <w:tr>
        <w:trPr>
          <w:trHeight w:val="225"/>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5"/>
        </w:trPr>
        <w:tc>
          <w:tcPr>
            <w:tcW w:w="216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21"/>
                <w:szCs w:val="21"/>
                <w:color w:val="auto"/>
              </w:rPr>
              <w:t>101.CAL</w:t>
            </w:r>
          </w:p>
        </w:tc>
        <w:tc>
          <w:tcPr>
            <w:tcW w:w="9080" w:type="dxa"/>
            <w:vAlign w:val="bottom"/>
            <w:gridSpan w:val="6"/>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Inline XBRL Taxonomy Extension Calculation Linkbase Document</w:t>
            </w:r>
          </w:p>
        </w:tc>
      </w:tr>
      <w:tr>
        <w:trPr>
          <w:trHeight w:val="225"/>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5"/>
        </w:trPr>
        <w:tc>
          <w:tcPr>
            <w:tcW w:w="216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21"/>
                <w:szCs w:val="21"/>
                <w:color w:val="auto"/>
              </w:rPr>
              <w:t>101.DEF</w:t>
            </w:r>
          </w:p>
        </w:tc>
        <w:tc>
          <w:tcPr>
            <w:tcW w:w="9080" w:type="dxa"/>
            <w:vAlign w:val="bottom"/>
            <w:gridSpan w:val="6"/>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Inline XBRL Taxonomy Extension Definition Linkbase Document</w:t>
            </w:r>
          </w:p>
        </w:tc>
      </w:tr>
      <w:tr>
        <w:trPr>
          <w:trHeight w:val="225"/>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5"/>
        </w:trPr>
        <w:tc>
          <w:tcPr>
            <w:tcW w:w="216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21"/>
                <w:szCs w:val="21"/>
                <w:color w:val="auto"/>
              </w:rPr>
              <w:t>101.LAB</w:t>
            </w:r>
          </w:p>
        </w:tc>
        <w:tc>
          <w:tcPr>
            <w:tcW w:w="9080" w:type="dxa"/>
            <w:vAlign w:val="bottom"/>
            <w:gridSpan w:val="6"/>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Inline XBRL Taxonomy Extension Label Linkbase Document</w:t>
            </w:r>
          </w:p>
        </w:tc>
      </w:tr>
      <w:tr>
        <w:trPr>
          <w:trHeight w:val="225"/>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5"/>
        </w:trPr>
        <w:tc>
          <w:tcPr>
            <w:tcW w:w="216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21"/>
                <w:szCs w:val="21"/>
                <w:color w:val="auto"/>
              </w:rPr>
              <w:t>101.PRES</w:t>
            </w:r>
          </w:p>
        </w:tc>
        <w:tc>
          <w:tcPr>
            <w:tcW w:w="9080" w:type="dxa"/>
            <w:vAlign w:val="bottom"/>
            <w:gridSpan w:val="6"/>
            <w:shd w:val="clear" w:color="auto" w:fill="CCEEFF"/>
          </w:tcPr>
          <w:p>
            <w:pPr>
              <w:spacing w:after="0" w:line="225" w:lineRule="exact"/>
              <w:rPr>
                <w:sz w:val="20"/>
                <w:szCs w:val="20"/>
                <w:color w:val="auto"/>
              </w:rPr>
            </w:pPr>
            <w:r>
              <w:rPr>
                <w:rFonts w:ascii="Times New Roman" w:cs="Times New Roman" w:eastAsia="Times New Roman" w:hAnsi="Times New Roman"/>
                <w:sz w:val="21"/>
                <w:szCs w:val="21"/>
                <w:color w:val="auto"/>
              </w:rPr>
              <w:t>Inline XBRL Taxonomy Extension Presentation Linkbase Document</w:t>
            </w:r>
          </w:p>
        </w:tc>
      </w:tr>
      <w:tr>
        <w:trPr>
          <w:trHeight w:val="447"/>
        </w:trPr>
        <w:tc>
          <w:tcPr>
            <w:tcW w:w="1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104</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The cover page from the Company’s Quarterly Report on Form 10-Q for the quarter ended March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34860" cy="294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29464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21"/>
          <w:szCs w:val="21"/>
          <w:color w:val="auto"/>
        </w:rPr>
        <w:t>2022, formatted in Inline XBRL (included in Exhibit 101)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u w:val="single" w:color="auto"/>
          <w:color w:val="0563C1"/>
        </w:rPr>
        <w:t>Table of Contents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SIGNATURES</w:t>
      </w:r>
    </w:p>
    <w:p>
      <w:pPr>
        <w:spacing w:after="0" w:line="9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executed on its behalf by the undersigned thereunto duly authorized.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10, 2022</w:t>
      </w:r>
    </w:p>
    <w:p>
      <w:pPr>
        <w:spacing w:after="0" w:line="18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6985</wp:posOffset>
            </wp:positionV>
            <wp:extent cx="31299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Registrant</w:t>
      </w:r>
    </w:p>
    <w:p>
      <w:pPr>
        <w:spacing w:after="0" w:line="200" w:lineRule="exact"/>
        <w:rPr>
          <w:sz w:val="20"/>
          <w:szCs w:val="20"/>
          <w:color w:val="auto"/>
        </w:rPr>
      </w:pPr>
    </w:p>
    <w:p>
      <w:pPr>
        <w:spacing w:after="0" w:line="3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6985</wp:posOffset>
            </wp:positionV>
            <wp:extent cx="31299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ind w:left="6320"/>
        <w:spacing w:after="0"/>
        <w:rPr>
          <w:sz w:val="20"/>
          <w:szCs w:val="20"/>
          <w:color w:val="auto"/>
        </w:rPr>
      </w:pPr>
      <w:r>
        <w:rPr>
          <w:rFonts w:ascii="Times New Roman" w:cs="Times New Roman" w:eastAsia="Times New Roman" w:hAnsi="Times New Roman"/>
          <w:sz w:val="21"/>
          <w:szCs w:val="21"/>
          <w:color w:val="auto"/>
        </w:rPr>
        <w:t>Christopher H. Franklin</w:t>
      </w:r>
    </w:p>
    <w:p>
      <w:pPr>
        <w:ind w:left="6320"/>
        <w:spacing w:after="0" w:line="223" w:lineRule="auto"/>
        <w:rPr>
          <w:sz w:val="20"/>
          <w:szCs w:val="20"/>
          <w:color w:val="auto"/>
        </w:rPr>
      </w:pPr>
      <w:r>
        <w:rPr>
          <w:rFonts w:ascii="Times New Roman" w:cs="Times New Roman" w:eastAsia="Times New Roman" w:hAnsi="Times New Roman"/>
          <w:sz w:val="21"/>
          <w:szCs w:val="21"/>
          <w:color w:val="auto"/>
        </w:rPr>
        <w:t>Chairman, President and</w:t>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3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6985</wp:posOffset>
            </wp:positionV>
            <wp:extent cx="31299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ind w:left="6320"/>
        <w:spacing w:after="0"/>
        <w:rPr>
          <w:sz w:val="20"/>
          <w:szCs w:val="20"/>
          <w:color w:val="auto"/>
        </w:rPr>
      </w:pPr>
      <w:r>
        <w:rPr>
          <w:rFonts w:ascii="Times New Roman" w:cs="Times New Roman" w:eastAsia="Times New Roman" w:hAnsi="Times New Roman"/>
          <w:sz w:val="21"/>
          <w:szCs w:val="21"/>
          <w:color w:val="auto"/>
        </w:rPr>
        <w:t>Daniel J. Schuller</w:t>
      </w:r>
    </w:p>
    <w:p>
      <w:pPr>
        <w:ind w:left="6320"/>
        <w:spacing w:after="0" w:line="223" w:lineRule="auto"/>
        <w:rPr>
          <w:sz w:val="20"/>
          <w:szCs w:val="20"/>
          <w:color w:val="auto"/>
        </w:rPr>
      </w:pPr>
      <w:r>
        <w:rPr>
          <w:rFonts w:ascii="Times New Roman" w:cs="Times New Roman" w:eastAsia="Times New Roman" w:hAnsi="Times New Roman"/>
          <w:sz w:val="21"/>
          <w:szCs w:val="21"/>
          <w:color w:val="auto"/>
        </w:rPr>
        <w:t>Executive Vice President and</w:t>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160"/>
          </w:cols>
          <w:pgMar w:left="320" w:top="114" w:right="419" w:bottom="1440" w:gutter="0" w:footer="0" w:header="0"/>
        </w:sectPr>
      </w:pPr>
    </w:p>
    <w:bookmarkStart w:id="43" w:name="page44"/>
    <w:bookmarkEnd w:id="43"/>
    <w:p>
      <w:pPr>
        <w:ind w:left="89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598170</wp:posOffset>
            </wp:positionH>
            <wp:positionV relativeFrom="page">
              <wp:posOffset>6193155</wp:posOffset>
            </wp:positionV>
            <wp:extent cx="636905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69050" cy="50800"/>
                    </a:xfrm>
                    <a:prstGeom prst="rect">
                      <a:avLst/>
                    </a:prstGeom>
                    <a:noFill/>
                  </pic:spPr>
                </pic:pic>
              </a:graphicData>
            </a:graphic>
          </wp:anchor>
        </w:drawing>
        <w:t>Exhibit 31.1</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AND EXCHANGE ACT OF 1934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Christopher H. Franklin, certify that:</w:t>
      </w:r>
    </w:p>
    <w:p>
      <w:pPr>
        <w:spacing w:after="0" w:line="179" w:lineRule="exact"/>
        <w:rPr>
          <w:sz w:val="20"/>
          <w:szCs w:val="20"/>
          <w:color w:val="auto"/>
        </w:rPr>
      </w:pPr>
    </w:p>
    <w:p>
      <w:pPr>
        <w:ind w:left="320" w:hanging="318"/>
        <w:spacing w:after="0"/>
        <w:tabs>
          <w:tab w:leader="none" w:pos="3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Essential Utilities, Inc.;</w:t>
      </w:r>
    </w:p>
    <w:p>
      <w:pPr>
        <w:spacing w:after="0" w:line="2" w:lineRule="exact"/>
        <w:rPr>
          <w:rFonts w:ascii="Times New Roman" w:cs="Times New Roman" w:eastAsia="Times New Roman" w:hAnsi="Times New Roman"/>
          <w:sz w:val="19"/>
          <w:szCs w:val="19"/>
          <w:color w:val="auto"/>
        </w:rPr>
      </w:pPr>
    </w:p>
    <w:p>
      <w:pPr>
        <w:ind w:left="320" w:right="100" w:hanging="318"/>
        <w:spacing w:after="0" w:line="213" w:lineRule="auto"/>
        <w:tabs>
          <w:tab w:leader="none" w:pos="3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9"/>
          <w:szCs w:val="19"/>
          <w:color w:val="auto"/>
        </w:rPr>
      </w:pPr>
    </w:p>
    <w:p>
      <w:pPr>
        <w:ind w:left="320" w:right="120" w:hanging="318"/>
        <w:spacing w:after="0" w:line="213" w:lineRule="auto"/>
        <w:tabs>
          <w:tab w:leader="none" w:pos="3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9"/>
          <w:szCs w:val="19"/>
          <w:color w:val="auto"/>
        </w:rPr>
      </w:pPr>
    </w:p>
    <w:p>
      <w:pPr>
        <w:ind w:left="320" w:right="320" w:hanging="318"/>
        <w:spacing w:after="0" w:line="213" w:lineRule="auto"/>
        <w:tabs>
          <w:tab w:leader="none" w:pos="3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9"/>
          <w:szCs w:val="19"/>
          <w:color w:val="auto"/>
        </w:rPr>
      </w:pPr>
    </w:p>
    <w:p>
      <w:pPr>
        <w:ind w:left="640" w:right="220" w:hanging="320"/>
        <w:spacing w:after="0" w:line="214" w:lineRule="auto"/>
        <w:tabs>
          <w:tab w:leader="none" w:pos="64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9"/>
          <w:szCs w:val="19"/>
          <w:color w:val="auto"/>
        </w:rPr>
      </w:pPr>
    </w:p>
    <w:p>
      <w:pPr>
        <w:ind w:left="640" w:right="120" w:hanging="320"/>
        <w:spacing w:after="0" w:line="213" w:lineRule="auto"/>
        <w:tabs>
          <w:tab w:leader="none" w:pos="64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40" w:right="320" w:hanging="320"/>
        <w:spacing w:after="0" w:line="213" w:lineRule="auto"/>
        <w:tabs>
          <w:tab w:leader="none" w:pos="64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9"/>
          <w:szCs w:val="19"/>
          <w:color w:val="auto"/>
        </w:rPr>
      </w:pPr>
    </w:p>
    <w:p>
      <w:pPr>
        <w:ind w:left="640" w:right="100" w:hanging="320"/>
        <w:spacing w:after="0" w:line="214" w:lineRule="auto"/>
        <w:tabs>
          <w:tab w:leader="none" w:pos="64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9"/>
          <w:szCs w:val="19"/>
          <w:color w:val="auto"/>
        </w:rPr>
      </w:pPr>
    </w:p>
    <w:p>
      <w:pPr>
        <w:ind w:left="320" w:right="260" w:hanging="318"/>
        <w:spacing w:after="0" w:line="213" w:lineRule="auto"/>
        <w:tabs>
          <w:tab w:leader="none" w:pos="3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9"/>
          <w:szCs w:val="19"/>
          <w:color w:val="auto"/>
        </w:rPr>
      </w:pPr>
    </w:p>
    <w:p>
      <w:pPr>
        <w:ind w:left="640" w:hanging="320"/>
        <w:spacing w:after="0" w:line="213" w:lineRule="auto"/>
        <w:tabs>
          <w:tab w:leader="none" w:pos="64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9"/>
          <w:szCs w:val="19"/>
          <w:color w:val="auto"/>
        </w:rPr>
      </w:pPr>
    </w:p>
    <w:p>
      <w:pPr>
        <w:ind w:left="640" w:right="300" w:hanging="320"/>
        <w:spacing w:after="0" w:line="228" w:lineRule="auto"/>
        <w:tabs>
          <w:tab w:leader="none" w:pos="64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Christopher H. Franklin</w:t>
      </w:r>
    </w:p>
    <w:p>
      <w:pPr>
        <w:ind w:left="120"/>
        <w:spacing w:after="0" w:line="189"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3028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ind w:left="120"/>
        <w:spacing w:after="0" w:line="189"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0"/>
        <w:spacing w:after="0" w:line="180" w:lineRule="auto"/>
        <w:rPr>
          <w:sz w:val="20"/>
          <w:szCs w:val="20"/>
          <w:color w:val="auto"/>
        </w:rPr>
      </w:pPr>
      <w:r>
        <w:rPr>
          <w:rFonts w:ascii="Times New Roman" w:cs="Times New Roman" w:eastAsia="Times New Roman" w:hAnsi="Times New Roman"/>
          <w:sz w:val="20"/>
          <w:szCs w:val="20"/>
          <w:color w:val="auto"/>
        </w:rPr>
        <w:t>May 10, 2022</w:t>
      </w:r>
    </w:p>
    <w:p>
      <w:pPr>
        <w:sectPr>
          <w:pgSz w:w="11900" w:h="16838" w:orient="portrait"/>
          <w:cols w:equalWidth="0" w:num="1">
            <w:col w:w="9960"/>
          </w:cols>
          <w:pgMar w:left="960" w:top="78" w:right="9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9"/>
          <w:szCs w:val="19"/>
          <w:color w:val="auto"/>
        </w:rPr>
        <w:t>Exhibit 31.2</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CERTIFICATION OF CHIEF FINANCIAL OFFICER, PURSUANT TO RULE 13A-14(A) UNDER THE SECURITIES AND</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EXCHANGE ACT OF 1934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Daniel J. Schuller, certify that:</w:t>
      </w:r>
    </w:p>
    <w:p>
      <w:pPr>
        <w:spacing w:after="0" w:line="179" w:lineRule="exact"/>
        <w:rPr>
          <w:sz w:val="20"/>
          <w:szCs w:val="20"/>
          <w:color w:val="auto"/>
        </w:rPr>
      </w:pPr>
    </w:p>
    <w:p>
      <w:pPr>
        <w:ind w:left="320" w:hanging="318"/>
        <w:spacing w:after="0"/>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Essential Utilities, Inc.;</w:t>
      </w:r>
    </w:p>
    <w:p>
      <w:pPr>
        <w:spacing w:after="0" w:line="2" w:lineRule="exact"/>
        <w:rPr>
          <w:rFonts w:ascii="Times New Roman" w:cs="Times New Roman" w:eastAsia="Times New Roman" w:hAnsi="Times New Roman"/>
          <w:sz w:val="19"/>
          <w:szCs w:val="19"/>
          <w:color w:val="auto"/>
        </w:rPr>
      </w:pPr>
    </w:p>
    <w:p>
      <w:pPr>
        <w:ind w:left="320" w:right="100" w:hanging="318"/>
        <w:spacing w:after="0" w:line="213"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9"/>
          <w:szCs w:val="19"/>
          <w:color w:val="auto"/>
        </w:rPr>
      </w:pPr>
    </w:p>
    <w:p>
      <w:pPr>
        <w:ind w:left="320" w:right="120" w:hanging="318"/>
        <w:spacing w:after="0" w:line="213"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9"/>
          <w:szCs w:val="19"/>
          <w:color w:val="auto"/>
        </w:rPr>
      </w:pPr>
    </w:p>
    <w:p>
      <w:pPr>
        <w:ind w:left="320" w:right="320" w:hanging="318"/>
        <w:spacing w:after="0" w:line="213"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9"/>
          <w:szCs w:val="19"/>
          <w:color w:val="auto"/>
        </w:rPr>
      </w:pPr>
    </w:p>
    <w:p>
      <w:pPr>
        <w:ind w:left="640" w:right="220" w:hanging="320"/>
        <w:spacing w:after="0" w:line="214" w:lineRule="auto"/>
        <w:tabs>
          <w:tab w:leader="none" w:pos="64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9"/>
          <w:szCs w:val="19"/>
          <w:color w:val="auto"/>
        </w:rPr>
      </w:pPr>
    </w:p>
    <w:p>
      <w:pPr>
        <w:ind w:left="640" w:right="120" w:hanging="320"/>
        <w:spacing w:after="0" w:line="213" w:lineRule="auto"/>
        <w:tabs>
          <w:tab w:leader="none" w:pos="64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640" w:right="320" w:hanging="320"/>
        <w:spacing w:after="0" w:line="213" w:lineRule="auto"/>
        <w:tabs>
          <w:tab w:leader="none" w:pos="64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9"/>
          <w:szCs w:val="19"/>
          <w:color w:val="auto"/>
        </w:rPr>
      </w:pPr>
    </w:p>
    <w:p>
      <w:pPr>
        <w:ind w:left="640" w:right="100" w:hanging="320"/>
        <w:spacing w:after="0" w:line="214" w:lineRule="auto"/>
        <w:tabs>
          <w:tab w:leader="none" w:pos="64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9"/>
          <w:szCs w:val="19"/>
          <w:color w:val="auto"/>
        </w:rPr>
      </w:pPr>
    </w:p>
    <w:p>
      <w:pPr>
        <w:ind w:left="320" w:right="260" w:hanging="318"/>
        <w:spacing w:after="0" w:line="213"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9"/>
          <w:szCs w:val="19"/>
          <w:color w:val="auto"/>
        </w:rPr>
      </w:pPr>
    </w:p>
    <w:p>
      <w:pPr>
        <w:ind w:left="640" w:hanging="320"/>
        <w:spacing w:after="0" w:line="213" w:lineRule="auto"/>
        <w:tabs>
          <w:tab w:leader="none" w:pos="64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9"/>
          <w:szCs w:val="19"/>
          <w:color w:val="auto"/>
        </w:rPr>
      </w:pPr>
    </w:p>
    <w:p>
      <w:pPr>
        <w:ind w:left="640" w:right="300" w:hanging="320"/>
        <w:spacing w:after="0" w:line="228" w:lineRule="auto"/>
        <w:tabs>
          <w:tab w:leader="none" w:pos="64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Daniel J. Schuller</w:t>
      </w:r>
    </w:p>
    <w:p>
      <w:pPr>
        <w:ind w:left="120"/>
        <w:spacing w:after="0" w:line="197" w:lineRule="auto"/>
        <w:rPr>
          <w:sz w:val="20"/>
          <w:szCs w:val="20"/>
          <w:color w:val="auto"/>
        </w:rPr>
      </w:pPr>
      <w:r>
        <w:rPr>
          <w:rFonts w:ascii="Times New Roman" w:cs="Times New Roman" w:eastAsia="Times New Roman" w:hAnsi="Times New Roman"/>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32473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47390" cy="825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1"/>
          <w:szCs w:val="21"/>
          <w:color w:val="auto"/>
        </w:rPr>
        <w:t>Executive Vice President and Chief Financial Officer</w:t>
      </w:r>
    </w:p>
    <w:p>
      <w:pPr>
        <w:ind w:left="120"/>
        <w:spacing w:after="0"/>
        <w:rPr>
          <w:sz w:val="20"/>
          <w:szCs w:val="20"/>
          <w:color w:val="auto"/>
        </w:rPr>
      </w:pPr>
      <w:r>
        <w:rPr>
          <w:rFonts w:ascii="Times New Roman" w:cs="Times New Roman" w:eastAsia="Times New Roman" w:hAnsi="Times New Roman"/>
          <w:sz w:val="21"/>
          <w:szCs w:val="21"/>
          <w:color w:val="auto"/>
        </w:rPr>
        <w:t>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248285</wp:posOffset>
            </wp:positionV>
            <wp:extent cx="636905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69050" cy="50800"/>
                    </a:xfrm>
                    <a:prstGeom prst="rect">
                      <a:avLst/>
                    </a:prstGeom>
                    <a:noFill/>
                  </pic:spPr>
                </pic:pic>
              </a:graphicData>
            </a:graphic>
          </wp:anchor>
        </w:drawing>
      </w:r>
    </w:p>
    <w:p>
      <w:pPr>
        <w:sectPr>
          <w:pgSz w:w="11900" w:h="16838" w:orient="portrait"/>
          <w:cols w:equalWidth="0" w:num="1">
            <w:col w:w="9960"/>
          </w:cols>
          <w:pgMar w:left="960" w:top="104" w:right="979" w:bottom="1440" w:gutter="0" w:footer="0" w:header="0"/>
        </w:sectPr>
      </w:pPr>
    </w:p>
    <w:bookmarkStart w:id="45" w:name="page46"/>
    <w:bookmarkEnd w:id="45"/>
    <w:p>
      <w:pPr>
        <w:ind w:left="8860"/>
        <w:spacing w:after="0"/>
        <w:rPr>
          <w:sz w:val="20"/>
          <w:szCs w:val="20"/>
          <w:color w:val="auto"/>
        </w:rPr>
      </w:pPr>
      <w:r>
        <w:rPr>
          <w:rFonts w:ascii="Times New Roman" w:cs="Times New Roman" w:eastAsia="Times New Roman" w:hAnsi="Times New Roman"/>
          <w:sz w:val="21"/>
          <w:szCs w:val="21"/>
          <w:color w:val="auto"/>
        </w:rPr>
        <w:t>Exhibit 32.1</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CERTIFICATION OF CHIEF EXECUTIVE OFFICER PURSUANT TO</w:t>
      </w:r>
    </w:p>
    <w:p>
      <w:pPr>
        <w:jc w:val="center"/>
        <w:ind w:right="40"/>
        <w:spacing w:after="0"/>
        <w:rPr>
          <w:sz w:val="20"/>
          <w:szCs w:val="20"/>
          <w:color w:val="auto"/>
        </w:rPr>
      </w:pPr>
      <w:r>
        <w:rPr>
          <w:rFonts w:ascii="Times New Roman" w:cs="Times New Roman" w:eastAsia="Times New Roman" w:hAnsi="Times New Roman"/>
          <w:sz w:val="21"/>
          <w:szCs w:val="21"/>
          <w:color w:val="auto"/>
        </w:rPr>
        <w:t>18 U.S.C. SECTION 1350</w:t>
      </w:r>
    </w:p>
    <w:p>
      <w:pPr>
        <w:spacing w:after="0" w:line="200" w:lineRule="exact"/>
        <w:rPr>
          <w:sz w:val="20"/>
          <w:szCs w:val="20"/>
          <w:color w:val="auto"/>
        </w:rPr>
      </w:pPr>
    </w:p>
    <w:p>
      <w:pPr>
        <w:spacing w:after="0" w:line="383" w:lineRule="exact"/>
        <w:rPr>
          <w:sz w:val="20"/>
          <w:szCs w:val="20"/>
          <w:color w:val="auto"/>
        </w:rPr>
      </w:pPr>
    </w:p>
    <w:p>
      <w:pPr>
        <w:jc w:val="both"/>
        <w:ind w:right="300"/>
        <w:spacing w:after="0" w:line="183" w:lineRule="auto"/>
        <w:rPr>
          <w:sz w:val="20"/>
          <w:szCs w:val="20"/>
          <w:color w:val="auto"/>
        </w:rPr>
      </w:pPr>
      <w:r>
        <w:rPr>
          <w:rFonts w:ascii="Times New Roman" w:cs="Times New Roman" w:eastAsia="Times New Roman" w:hAnsi="Times New Roman"/>
          <w:sz w:val="20"/>
          <w:szCs w:val="20"/>
          <w:color w:val="auto"/>
        </w:rPr>
        <w:t>In connection with the Quarterly Report on Form 10-Q for the period ended March 31, 2022 of Essential Utilities, Inc. (the “Company”) as filed with the Securities and Exchange Commission on the date hereof (the “Report”), I, Christopher H. Franklin, President and Chief Executive Officer of the Company, certify, pursuant to 18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1350, as adopted pursuant to Section 906 of the Sarbanes-Oxley Act of 2002, that, to my knowledge:</w:t>
      </w:r>
    </w:p>
    <w:p>
      <w:pPr>
        <w:spacing w:after="0" w:line="251" w:lineRule="exact"/>
        <w:rPr>
          <w:sz w:val="20"/>
          <w:szCs w:val="20"/>
          <w:color w:val="auto"/>
        </w:rPr>
      </w:pPr>
    </w:p>
    <w:p>
      <w:pPr>
        <w:ind w:left="320" w:hanging="318"/>
        <w:spacing w:after="0" w:line="223" w:lineRule="auto"/>
        <w:tabs>
          <w:tab w:leader="none" w:pos="3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(15 U.S.C. Section 78m or Section 78o(d)); and</w:t>
      </w:r>
    </w:p>
    <w:p>
      <w:pPr>
        <w:spacing w:after="0" w:line="67" w:lineRule="exact"/>
        <w:rPr>
          <w:rFonts w:ascii="Times New Roman" w:cs="Times New Roman" w:eastAsia="Times New Roman" w:hAnsi="Times New Roman"/>
          <w:sz w:val="21"/>
          <w:szCs w:val="21"/>
          <w:color w:val="auto"/>
        </w:rPr>
      </w:pPr>
    </w:p>
    <w:p>
      <w:pPr>
        <w:ind w:left="320" w:right="560" w:hanging="318"/>
        <w:spacing w:after="0" w:line="216" w:lineRule="auto"/>
        <w:tabs>
          <w:tab w:leader="none" w:pos="3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Christopher H. Franklin</w:t>
      </w:r>
    </w:p>
    <w:p>
      <w:pPr>
        <w:ind w:left="120"/>
        <w:spacing w:after="0" w:line="189"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2902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ind w:left="120"/>
        <w:spacing w:after="0" w:line="189"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0"/>
        <w:spacing w:after="0"/>
        <w:rPr>
          <w:sz w:val="20"/>
          <w:szCs w:val="20"/>
          <w:color w:val="auto"/>
        </w:rPr>
      </w:pPr>
      <w:r>
        <w:rPr>
          <w:rFonts w:ascii="Times New Roman" w:cs="Times New Roman" w:eastAsia="Times New Roman" w:hAnsi="Times New Roman"/>
          <w:sz w:val="21"/>
          <w:szCs w:val="21"/>
          <w:color w:val="auto"/>
        </w:rPr>
        <w:t>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240030</wp:posOffset>
            </wp:positionV>
            <wp:extent cx="636905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69050" cy="50800"/>
                    </a:xfrm>
                    <a:prstGeom prst="rect">
                      <a:avLst/>
                    </a:prstGeom>
                    <a:noFill/>
                  </pic:spPr>
                </pic:pic>
              </a:graphicData>
            </a:graphic>
          </wp:anchor>
        </w:drawing>
      </w:r>
    </w:p>
    <w:p>
      <w:pPr>
        <w:sectPr>
          <w:pgSz w:w="11900" w:h="16838" w:orient="portrait"/>
          <w:cols w:equalWidth="0" w:num="1">
            <w:col w:w="9960"/>
          </w:cols>
          <w:pgMar w:left="960" w:top="74" w:right="979" w:bottom="1440" w:gutter="0" w:footer="0" w:header="0"/>
        </w:sectPr>
      </w:pPr>
    </w:p>
    <w:bookmarkStart w:id="46" w:name="page47"/>
    <w:bookmarkEnd w:id="46"/>
    <w:p>
      <w:pPr>
        <w:ind w:left="8860"/>
        <w:spacing w:after="0"/>
        <w:rPr>
          <w:sz w:val="20"/>
          <w:szCs w:val="20"/>
          <w:color w:val="auto"/>
        </w:rPr>
      </w:pPr>
      <w:r>
        <w:rPr>
          <w:rFonts w:ascii="Times New Roman" w:cs="Times New Roman" w:eastAsia="Times New Roman" w:hAnsi="Times New Roman"/>
          <w:sz w:val="21"/>
          <w:szCs w:val="21"/>
          <w:color w:val="auto"/>
        </w:rPr>
        <w:t>Exhibit 32.2</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CERTIFICATION OF CHIEF FINANCIAL OFFICER PURSUANT TO</w:t>
      </w:r>
    </w:p>
    <w:p>
      <w:pPr>
        <w:jc w:val="center"/>
        <w:ind w:right="40"/>
        <w:spacing w:after="0"/>
        <w:rPr>
          <w:sz w:val="20"/>
          <w:szCs w:val="20"/>
          <w:color w:val="auto"/>
        </w:rPr>
      </w:pPr>
      <w:r>
        <w:rPr>
          <w:rFonts w:ascii="Times New Roman" w:cs="Times New Roman" w:eastAsia="Times New Roman" w:hAnsi="Times New Roman"/>
          <w:sz w:val="21"/>
          <w:szCs w:val="21"/>
          <w:color w:val="auto"/>
        </w:rPr>
        <w:t>18 U.S.C. SECTION 1350</w:t>
      </w:r>
    </w:p>
    <w:p>
      <w:pPr>
        <w:spacing w:after="0" w:line="200" w:lineRule="exact"/>
        <w:rPr>
          <w:sz w:val="20"/>
          <w:szCs w:val="20"/>
          <w:color w:val="auto"/>
        </w:rPr>
      </w:pPr>
    </w:p>
    <w:p>
      <w:pPr>
        <w:spacing w:after="0" w:line="383" w:lineRule="exact"/>
        <w:rPr>
          <w:sz w:val="20"/>
          <w:szCs w:val="20"/>
          <w:color w:val="auto"/>
        </w:rPr>
      </w:pPr>
    </w:p>
    <w:p>
      <w:pPr>
        <w:ind w:right="200"/>
        <w:spacing w:after="0" w:line="193"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March 31, 2022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3" w:lineRule="exact"/>
        <w:rPr>
          <w:sz w:val="20"/>
          <w:szCs w:val="20"/>
          <w:color w:val="auto"/>
        </w:rPr>
      </w:pPr>
    </w:p>
    <w:p>
      <w:pPr>
        <w:ind w:left="320" w:hanging="318"/>
        <w:spacing w:after="0" w:line="223" w:lineRule="auto"/>
        <w:tabs>
          <w:tab w:leader="none" w:pos="3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(15 U.S.C. Section 78m or Section 78o(d)); and</w:t>
      </w:r>
    </w:p>
    <w:p>
      <w:pPr>
        <w:spacing w:after="0" w:line="67" w:lineRule="exact"/>
        <w:rPr>
          <w:rFonts w:ascii="Times New Roman" w:cs="Times New Roman" w:eastAsia="Times New Roman" w:hAnsi="Times New Roman"/>
          <w:sz w:val="21"/>
          <w:szCs w:val="21"/>
          <w:color w:val="auto"/>
        </w:rPr>
      </w:pPr>
    </w:p>
    <w:p>
      <w:pPr>
        <w:ind w:left="320" w:right="560" w:hanging="318"/>
        <w:spacing w:after="0" w:line="216" w:lineRule="auto"/>
        <w:tabs>
          <w:tab w:leader="none" w:pos="3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 Daniel J. Schuller</w:t>
      </w:r>
    </w:p>
    <w:p>
      <w:pPr>
        <w:ind w:left="120"/>
        <w:spacing w:after="0" w:line="197" w:lineRule="auto"/>
        <w:rPr>
          <w:sz w:val="20"/>
          <w:szCs w:val="20"/>
          <w:color w:val="auto"/>
        </w:rPr>
      </w:pPr>
      <w:r>
        <w:rPr>
          <w:rFonts w:ascii="Times New Roman" w:cs="Times New Roman" w:eastAsia="Times New Roman" w:hAnsi="Times New Roman"/>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33401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1"/>
          <w:szCs w:val="21"/>
          <w:color w:val="auto"/>
        </w:rPr>
        <w:t>Executive Vice President and Chief Financial Officer</w:t>
      </w:r>
    </w:p>
    <w:p>
      <w:pPr>
        <w:ind w:left="120"/>
        <w:spacing w:after="0"/>
        <w:rPr>
          <w:sz w:val="20"/>
          <w:szCs w:val="20"/>
          <w:color w:val="auto"/>
        </w:rPr>
      </w:pPr>
      <w:r>
        <w:rPr>
          <w:rFonts w:ascii="Times New Roman" w:cs="Times New Roman" w:eastAsia="Times New Roman" w:hAnsi="Times New Roman"/>
          <w:sz w:val="21"/>
          <w:szCs w:val="21"/>
          <w:color w:val="auto"/>
        </w:rPr>
        <w:t>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248285</wp:posOffset>
            </wp:positionV>
            <wp:extent cx="636905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69050" cy="50800"/>
                    </a:xfrm>
                    <a:prstGeom prst="rect">
                      <a:avLst/>
                    </a:prstGeom>
                    <a:noFill/>
                  </pic:spPr>
                </pic:pic>
              </a:graphicData>
            </a:graphic>
          </wp:anchor>
        </w:drawing>
      </w:r>
    </w:p>
    <w:sectPr>
      <w:pgSz w:w="11900" w:h="16838" w:orient="portrait"/>
      <w:cols w:equalWidth="0" w:num="1">
        <w:col w:w="9960"/>
      </w:cols>
      <w:pgMar w:left="960" w:top="7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
      <w:numFmt w:val="bullet"/>
      <w:start w:val="1"/>
    </w:lvl>
  </w:abstractNum>
  <w:abstractNum w:abstractNumId="4">
    <w:nsid w:val="1F16E9E8"/>
    <w:multiLevelType w:val="hybridMultilevel"/>
    <w:lvl w:ilvl="0">
      <w:lvlJc w:val="left"/>
      <w:lvlText w:val=" "/>
      <w:numFmt w:val="bullet"/>
      <w:start w:val="1"/>
    </w:lvl>
  </w:abstractNum>
  <w:abstractNum w:abstractNumId="5">
    <w:nsid w:val="1190CDE7"/>
    <w:multiLevelType w:val="hybridMultilevel"/>
    <w:lvl w:ilvl="0">
      <w:lvlJc w:val="left"/>
      <w:lvlText w:val=" "/>
      <w:numFmt w:val="bullet"/>
      <w:start w:val="1"/>
    </w:lvl>
  </w:abstractNum>
  <w:abstractNum w:abstractNumId="6">
    <w:nsid w:val="66EF438D"/>
    <w:multiLevelType w:val="hybridMultilevel"/>
    <w:lvl w:ilvl="0">
      <w:lvlJc w:val="left"/>
      <w:lvlText w:val=" "/>
      <w:numFmt w:val="bullet"/>
      <w:start w:val="1"/>
    </w:lvl>
  </w:abstractNum>
  <w:abstractNum w:abstractNumId="7">
    <w:nsid w:val="140E0F76"/>
    <w:multiLevelType w:val="hybridMultilevel"/>
    <w:lvl w:ilvl="0">
      <w:lvlJc w:val="left"/>
      <w:lvlText w:val=" "/>
      <w:numFmt w:val="bullet"/>
      <w:start w:val="1"/>
    </w:lvl>
  </w:abstractNum>
  <w:abstractNum w:abstractNumId="8">
    <w:nsid w:val="3352255A"/>
    <w:multiLevelType w:val="hybridMultilevel"/>
    <w:lvl w:ilvl="0">
      <w:lvlJc w:val="left"/>
      <w:lvlText w:val=" "/>
      <w:numFmt w:val="bullet"/>
      <w:start w:val="1"/>
    </w:lvl>
  </w:abstractNum>
  <w:abstractNum w:abstractNumId="9">
    <w:nsid w:val="109CF92E"/>
    <w:multiLevelType w:val="hybridMultilevel"/>
    <w:lvl w:ilvl="0">
      <w:lvlJc w:val="left"/>
      <w:lvlText w:val=" "/>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2022-05-10T15:47:22Z</dcterms:created>
  <dcterms:modified xsi:type="dcterms:W3CDTF">2022-05-10T15:47:22Z</dcterms:modified>
</cp:coreProperties>
</file>