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line="222" w:lineRule="auto"/>
        <w:rPr>
          <w:sz w:val="20"/>
          <w:szCs w:val="20"/>
          <w:color w:val="auto"/>
        </w:rPr>
      </w:pPr>
      <w:r>
        <w:rPr>
          <w:rFonts w:ascii="Arial" w:cs="Arial" w:eastAsia="Arial" w:hAnsi="Arial"/>
          <w:sz w:val="19"/>
          <w:szCs w:val="19"/>
          <w:b w:val="1"/>
          <w:bCs w:val="1"/>
          <w:color w:val="auto"/>
        </w:rPr>
        <w:t>UNITED STATES</w:t>
      </w:r>
    </w:p>
    <w:p>
      <w:pPr>
        <w:jc w:val="center"/>
        <w:spacing w:after="0" w:line="222" w:lineRule="auto"/>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192" w:lineRule="auto"/>
        <w:rPr>
          <w:sz w:val="20"/>
          <w:szCs w:val="20"/>
          <w:color w:val="auto"/>
        </w:rPr>
      </w:pPr>
      <w:r>
        <w:rPr>
          <w:rFonts w:ascii="Arial" w:cs="Arial" w:eastAsia="Arial" w:hAnsi="Arial"/>
          <w:sz w:val="19"/>
          <w:szCs w:val="19"/>
          <w:color w:val="auto"/>
        </w:rPr>
        <w:t>(Mark One)</w:t>
      </w:r>
    </w:p>
    <w:p>
      <w:pPr>
        <w:spacing w:after="0" w:line="1" w:lineRule="exact"/>
        <w:rPr>
          <w:sz w:val="24"/>
          <w:szCs w:val="24"/>
          <w:color w:val="auto"/>
        </w:rPr>
      </w:pPr>
    </w:p>
    <w:p>
      <w:pPr>
        <w:ind w:left="3920" w:right="1980" w:hanging="3914"/>
        <w:spacing w:after="0" w:line="234" w:lineRule="auto"/>
        <w:rPr>
          <w:sz w:val="20"/>
          <w:szCs w:val="20"/>
          <w:color w:val="auto"/>
        </w:rPr>
      </w:pPr>
      <w:r>
        <w:rPr>
          <w:rFonts w:ascii="Arial" w:cs="Arial" w:eastAsia="Arial" w:hAnsi="Arial"/>
          <w:sz w:val="19"/>
          <w:szCs w:val="19"/>
          <w:b w:val="1"/>
          <w:bCs w:val="1"/>
          <w:color w:val="auto"/>
        </w:rPr>
        <w:t xml:space="preserve">S </w:t>
      </w:r>
      <w:r>
        <w:rPr>
          <w:rFonts w:ascii="Arial" w:cs="Arial" w:eastAsia="Arial" w:hAnsi="Arial"/>
          <w:sz w:val="19"/>
          <w:szCs w:val="19"/>
          <w:color w:val="auto"/>
        </w:rPr>
        <w:t>QUARTERLY REPORT PURSUANT TO SECTION 13 or 15 (d) OF THE SECURITIES EXCHANGE ACT OF 1934.</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quarterly period ended June 30, 2022</w:t>
      </w:r>
    </w:p>
    <w:p>
      <w:pPr>
        <w:spacing w:after="0" w:line="71" w:lineRule="exact"/>
        <w:rPr>
          <w:sz w:val="24"/>
          <w:szCs w:val="24"/>
          <w:color w:val="auto"/>
        </w:rPr>
      </w:pPr>
    </w:p>
    <w:p>
      <w:pPr>
        <w:ind w:left="2960" w:right="1920" w:hanging="2952"/>
        <w:spacing w:after="0" w:line="273" w:lineRule="auto"/>
        <w:tabs>
          <w:tab w:leader="none" w:pos="144"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TRANSITION REPORT PURSUANT TO SECTION 13 OR 15(d) OF THE SECURITIES EXCHANGE ACT OF 1934. For the transition period from_______________ to _______________</w:t>
      </w:r>
    </w:p>
    <w:p>
      <w:pPr>
        <w:spacing w:after="0" w:line="42" w:lineRule="exact"/>
        <w:rPr>
          <w:sz w:val="24"/>
          <w:szCs w:val="24"/>
          <w:color w:val="auto"/>
        </w:rPr>
      </w:pPr>
    </w:p>
    <w:p>
      <w:pPr>
        <w:ind w:left="4320"/>
        <w:spacing w:after="0"/>
        <w:rPr>
          <w:sz w:val="20"/>
          <w:szCs w:val="20"/>
          <w:color w:val="auto"/>
        </w:rPr>
      </w:pPr>
      <w:r>
        <w:rPr>
          <w:rFonts w:ascii="Arial" w:cs="Arial" w:eastAsia="Arial" w:hAnsi="Arial"/>
          <w:sz w:val="19"/>
          <w:szCs w:val="19"/>
          <w:color w:val="auto"/>
        </w:rPr>
        <w:t>Commission File Number 1-6659</w:t>
      </w:r>
    </w:p>
    <w:p>
      <w:pPr>
        <w:spacing w:after="0" w:line="167" w:lineRule="exact"/>
        <w:rPr>
          <w:sz w:val="24"/>
          <w:szCs w:val="24"/>
          <w:color w:val="auto"/>
        </w:rPr>
      </w:pPr>
    </w:p>
    <w:p>
      <w:pPr>
        <w:ind w:left="4320"/>
        <w:spacing w:after="0"/>
        <w:rPr>
          <w:sz w:val="20"/>
          <w:szCs w:val="20"/>
          <w:color w:val="auto"/>
        </w:rPr>
      </w:pPr>
      <w:r>
        <w:rPr>
          <w:rFonts w:ascii="Arial" w:cs="Arial" w:eastAsia="Arial" w:hAnsi="Arial"/>
          <w:sz w:val="19"/>
          <w:szCs w:val="19"/>
          <w:b w:val="1"/>
          <w:bCs w:val="1"/>
          <w:u w:val="single" w:color="auto"/>
          <w:color w:val="auto"/>
        </w:rPr>
        <w:t>ESSENTIAL UTILITIES, INC.</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9"/>
          <w:szCs w:val="19"/>
          <w:color w:val="auto"/>
        </w:rPr>
        <w:t>(Exact name of registrant as specified in its charter)</w:t>
      </w:r>
    </w:p>
    <w:p>
      <w:pPr>
        <w:spacing w:after="0" w:line="163" w:lineRule="exact"/>
        <w:rPr>
          <w:sz w:val="24"/>
          <w:szCs w:val="24"/>
          <w:color w:val="auto"/>
        </w:rPr>
      </w:pPr>
    </w:p>
    <w:tbl>
      <w:tblPr>
        <w:tblLayout w:type="fixed"/>
        <w:tblInd w:w="740" w:type="dxa"/>
        <w:tblCellMar>
          <w:top w:w="0" w:type="dxa"/>
          <w:left w:w="0" w:type="dxa"/>
          <w:bottom w:w="0" w:type="dxa"/>
          <w:right w:w="0" w:type="dxa"/>
        </w:tblCellMar>
      </w:tblPr>
      <w:tr>
        <w:trPr>
          <w:trHeight w:val="218"/>
        </w:trPr>
        <w:tc>
          <w:tcPr>
            <w:tcW w:w="15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88"/>
              </w:rPr>
              <w:t>Pennsylvania</w:t>
            </w:r>
          </w:p>
        </w:tc>
        <w:tc>
          <w:tcPr>
            <w:tcW w:w="2960" w:type="dxa"/>
            <w:vAlign w:val="bottom"/>
            <w:gridSpan w:val="2"/>
          </w:tcPr>
          <w:p>
            <w:pPr>
              <w:spacing w:after="0"/>
              <w:rPr>
                <w:sz w:val="18"/>
                <w:szCs w:val="18"/>
                <w:color w:val="auto"/>
              </w:rPr>
            </w:pPr>
          </w:p>
        </w:tc>
        <w:tc>
          <w:tcPr>
            <w:tcW w:w="2640" w:type="dxa"/>
            <w:vAlign w:val="bottom"/>
            <w:gridSpan w:val="4"/>
          </w:tcPr>
          <w:p>
            <w:pPr>
              <w:jc w:val="right"/>
              <w:ind w:right="40"/>
              <w:spacing w:after="0"/>
              <w:rPr>
                <w:sz w:val="20"/>
                <w:szCs w:val="20"/>
                <w:color w:val="auto"/>
              </w:rPr>
            </w:pPr>
            <w:r>
              <w:rPr>
                <w:rFonts w:ascii="Arial" w:cs="Arial" w:eastAsia="Arial" w:hAnsi="Arial"/>
                <w:sz w:val="19"/>
                <w:szCs w:val="19"/>
                <w:color w:val="auto"/>
              </w:rPr>
              <w:t>23-1702594</w:t>
            </w:r>
          </w:p>
        </w:tc>
        <w:tc>
          <w:tcPr>
            <w:tcW w:w="220" w:type="dxa"/>
            <w:vAlign w:val="bottom"/>
          </w:tcPr>
          <w:p>
            <w:pPr>
              <w:spacing w:after="0"/>
              <w:rPr>
                <w:sz w:val="18"/>
                <w:szCs w:val="18"/>
                <w:color w:val="auto"/>
              </w:rPr>
            </w:pPr>
          </w:p>
        </w:tc>
      </w:tr>
      <w:tr>
        <w:trPr>
          <w:trHeight w:val="20"/>
        </w:trPr>
        <w:tc>
          <w:tcPr>
            <w:tcW w:w="1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7"/>
        </w:trPr>
        <w:tc>
          <w:tcPr>
            <w:tcW w:w="5480" w:type="dxa"/>
            <w:vAlign w:val="bottom"/>
            <w:gridSpan w:val="4"/>
          </w:tcPr>
          <w:p>
            <w:pPr>
              <w:jc w:val="center"/>
              <w:ind w:right="1440"/>
              <w:spacing w:after="0" w:line="187" w:lineRule="exact"/>
              <w:rPr>
                <w:sz w:val="20"/>
                <w:szCs w:val="20"/>
                <w:color w:val="auto"/>
              </w:rPr>
            </w:pPr>
            <w:r>
              <w:rPr>
                <w:rFonts w:ascii="Arial" w:cs="Arial" w:eastAsia="Arial" w:hAnsi="Arial"/>
                <w:sz w:val="19"/>
                <w:szCs w:val="19"/>
                <w:color w:val="auto"/>
                <w:w w:val="92"/>
              </w:rPr>
              <w:t>(State or other jurisdiction of</w:t>
            </w:r>
          </w:p>
        </w:tc>
        <w:tc>
          <w:tcPr>
            <w:tcW w:w="2860" w:type="dxa"/>
            <w:vAlign w:val="bottom"/>
            <w:gridSpan w:val="5"/>
          </w:tcPr>
          <w:p>
            <w:pPr>
              <w:jc w:val="center"/>
              <w:ind w:left="1346"/>
              <w:spacing w:after="0" w:line="187" w:lineRule="exact"/>
              <w:rPr>
                <w:sz w:val="20"/>
                <w:szCs w:val="20"/>
                <w:color w:val="auto"/>
              </w:rPr>
            </w:pPr>
            <w:r>
              <w:rPr>
                <w:rFonts w:ascii="Arial" w:cs="Arial" w:eastAsia="Arial" w:hAnsi="Arial"/>
                <w:sz w:val="19"/>
                <w:szCs w:val="19"/>
                <w:color w:val="auto"/>
                <w:w w:val="93"/>
              </w:rPr>
              <w:t>(I.R.S. Employer</w:t>
            </w:r>
          </w:p>
        </w:tc>
      </w:tr>
      <w:tr>
        <w:trPr>
          <w:trHeight w:val="240"/>
        </w:trPr>
        <w:tc>
          <w:tcPr>
            <w:tcW w:w="5480" w:type="dxa"/>
            <w:vAlign w:val="bottom"/>
            <w:gridSpan w:val="4"/>
          </w:tcPr>
          <w:p>
            <w:pPr>
              <w:jc w:val="center"/>
              <w:ind w:right="1440"/>
              <w:spacing w:after="0"/>
              <w:rPr>
                <w:sz w:val="20"/>
                <w:szCs w:val="20"/>
                <w:color w:val="auto"/>
              </w:rPr>
            </w:pPr>
            <w:r>
              <w:rPr>
                <w:rFonts w:ascii="Arial" w:cs="Arial" w:eastAsia="Arial" w:hAnsi="Arial"/>
                <w:sz w:val="19"/>
                <w:szCs w:val="19"/>
                <w:color w:val="auto"/>
                <w:w w:val="92"/>
              </w:rPr>
              <w:t>incorporation or organization)</w:t>
            </w:r>
          </w:p>
        </w:tc>
        <w:tc>
          <w:tcPr>
            <w:tcW w:w="2860" w:type="dxa"/>
            <w:vAlign w:val="bottom"/>
            <w:gridSpan w:val="5"/>
          </w:tcPr>
          <w:p>
            <w:pPr>
              <w:jc w:val="center"/>
              <w:ind w:left="1346"/>
              <w:spacing w:after="0"/>
              <w:rPr>
                <w:sz w:val="20"/>
                <w:szCs w:val="20"/>
                <w:color w:val="auto"/>
              </w:rPr>
            </w:pPr>
            <w:r>
              <w:rPr>
                <w:rFonts w:ascii="Arial" w:cs="Arial" w:eastAsia="Arial" w:hAnsi="Arial"/>
                <w:sz w:val="19"/>
                <w:szCs w:val="19"/>
                <w:color w:val="auto"/>
                <w:w w:val="96"/>
              </w:rPr>
              <w:t>Identification No.)</w:t>
            </w:r>
          </w:p>
        </w:tc>
      </w:tr>
      <w:tr>
        <w:trPr>
          <w:trHeight w:val="383"/>
        </w:trPr>
        <w:tc>
          <w:tcPr>
            <w:tcW w:w="5480" w:type="dxa"/>
            <w:vAlign w:val="bottom"/>
            <w:gridSpan w:val="4"/>
          </w:tcPr>
          <w:p>
            <w:pPr>
              <w:jc w:val="center"/>
              <w:ind w:right="1460"/>
              <w:spacing w:after="0"/>
              <w:rPr>
                <w:sz w:val="20"/>
                <w:szCs w:val="20"/>
                <w:color w:val="auto"/>
              </w:rPr>
            </w:pPr>
            <w:r>
              <w:rPr>
                <w:rFonts w:ascii="Arial" w:cs="Arial" w:eastAsia="Arial" w:hAnsi="Arial"/>
                <w:sz w:val="19"/>
                <w:szCs w:val="19"/>
                <w:color w:val="auto"/>
                <w:w w:val="90"/>
              </w:rPr>
              <w:t>762 W. Lancaster Avenue, Bryn Mawr, Pennsylvania</w:t>
            </w:r>
          </w:p>
        </w:tc>
        <w:tc>
          <w:tcPr>
            <w:tcW w:w="2860" w:type="dxa"/>
            <w:vAlign w:val="bottom"/>
            <w:gridSpan w:val="5"/>
          </w:tcPr>
          <w:p>
            <w:pPr>
              <w:jc w:val="right"/>
              <w:ind w:right="220"/>
              <w:spacing w:after="0"/>
              <w:rPr>
                <w:sz w:val="20"/>
                <w:szCs w:val="20"/>
                <w:color w:val="auto"/>
              </w:rPr>
            </w:pPr>
            <w:r>
              <w:rPr>
                <w:rFonts w:ascii="Arial" w:cs="Arial" w:eastAsia="Arial" w:hAnsi="Arial"/>
                <w:sz w:val="19"/>
                <w:szCs w:val="19"/>
                <w:color w:val="auto"/>
              </w:rPr>
              <w:t>19010 -3489</w:t>
            </w:r>
          </w:p>
        </w:tc>
      </w:tr>
      <w:tr>
        <w:trPr>
          <w:trHeight w:val="214"/>
        </w:trPr>
        <w:tc>
          <w:tcPr>
            <w:tcW w:w="4020" w:type="dxa"/>
            <w:vAlign w:val="bottom"/>
            <w:tcBorders>
              <w:top w:val="single" w:sz="8" w:color="auto"/>
            </w:tcBorders>
            <w:gridSpan w:val="3"/>
          </w:tcPr>
          <w:p>
            <w:pPr>
              <w:jc w:val="center"/>
              <w:spacing w:after="0" w:line="214" w:lineRule="exact"/>
              <w:rPr>
                <w:sz w:val="20"/>
                <w:szCs w:val="20"/>
                <w:color w:val="auto"/>
              </w:rPr>
            </w:pPr>
            <w:r>
              <w:rPr>
                <w:rFonts w:ascii="Arial" w:cs="Arial" w:eastAsia="Arial" w:hAnsi="Arial"/>
                <w:sz w:val="19"/>
                <w:szCs w:val="19"/>
                <w:color w:val="auto"/>
                <w:w w:val="92"/>
              </w:rPr>
              <w:t>(Address of principal executive offices)</w:t>
            </w:r>
          </w:p>
        </w:tc>
        <w:tc>
          <w:tcPr>
            <w:tcW w:w="1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center"/>
              <w:ind w:right="40"/>
              <w:spacing w:after="0" w:line="214" w:lineRule="exact"/>
              <w:rPr>
                <w:sz w:val="20"/>
                <w:szCs w:val="20"/>
                <w:color w:val="auto"/>
              </w:rPr>
            </w:pPr>
            <w:r>
              <w:rPr>
                <w:rFonts w:ascii="Arial" w:cs="Arial" w:eastAsia="Arial" w:hAnsi="Arial"/>
                <w:sz w:val="19"/>
                <w:szCs w:val="19"/>
                <w:color w:val="auto"/>
                <w:w w:val="91"/>
              </w:rPr>
              <w:t>(Zip Code)</w:t>
            </w:r>
          </w:p>
        </w:tc>
        <w:tc>
          <w:tcPr>
            <w:tcW w:w="220" w:type="dxa"/>
            <w:vAlign w:val="bottom"/>
          </w:tcPr>
          <w:p>
            <w:pPr>
              <w:spacing w:after="0"/>
              <w:rPr>
                <w:sz w:val="18"/>
                <w:szCs w:val="18"/>
                <w:color w:val="auto"/>
              </w:rPr>
            </w:pP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9"/>
          <w:szCs w:val="19"/>
          <w:u w:val="single" w:color="auto"/>
          <w:color w:val="auto"/>
        </w:rPr>
        <w:t>(610) 527-8000</w:t>
      </w:r>
    </w:p>
    <w:p>
      <w:pPr>
        <w:jc w:val="center"/>
        <w:spacing w:after="0" w:line="222" w:lineRule="auto"/>
        <w:rPr>
          <w:sz w:val="20"/>
          <w:szCs w:val="20"/>
          <w:color w:val="auto"/>
        </w:rPr>
      </w:pPr>
      <w:r>
        <w:rPr>
          <w:rFonts w:ascii="Arial" w:cs="Arial" w:eastAsia="Arial" w:hAnsi="Arial"/>
          <w:sz w:val="19"/>
          <w:szCs w:val="19"/>
          <w:color w:val="auto"/>
        </w:rPr>
        <w:t>(Registrant’s telephone number, including area code)</w:t>
      </w:r>
    </w:p>
    <w:p>
      <w:pPr>
        <w:jc w:val="center"/>
        <w:spacing w:after="0" w:line="222" w:lineRule="auto"/>
        <w:rPr>
          <w:sz w:val="20"/>
          <w:szCs w:val="20"/>
          <w:color w:val="auto"/>
        </w:rPr>
      </w:pPr>
      <w:r>
        <w:rPr>
          <w:rFonts w:ascii="Arial" w:cs="Arial" w:eastAsia="Arial" w:hAnsi="Arial"/>
          <w:sz w:val="19"/>
          <w:szCs w:val="19"/>
          <w:u w:val="single" w:color="auto"/>
          <w:color w:val="auto"/>
        </w:rPr>
        <w:t>N/A</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(Former Name, former address and former fiscal year, if changed since last report.)</w:t>
      </w:r>
    </w:p>
    <w:p>
      <w:pPr>
        <w:spacing w:after="0" w:line="171" w:lineRule="exact"/>
        <w:rPr>
          <w:sz w:val="24"/>
          <w:szCs w:val="24"/>
          <w:color w:val="auto"/>
        </w:rPr>
      </w:pPr>
    </w:p>
    <w:p>
      <w:pPr>
        <w:ind w:right="160"/>
        <w:spacing w:after="0" w:line="236" w:lineRule="auto"/>
        <w:rPr>
          <w:sz w:val="20"/>
          <w:szCs w:val="20"/>
          <w:color w:val="auto"/>
        </w:rPr>
      </w:pPr>
      <w:r>
        <w:rPr>
          <w:rFonts w:ascii="Arial" w:cs="Arial" w:eastAsia="Arial" w:hAnsi="Arial"/>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9"/>
          <w:szCs w:val="19"/>
          <w:b w:val="1"/>
          <w:bCs w:val="1"/>
          <w:color w:val="auto"/>
        </w:rPr>
        <w:t>S</w:t>
      </w:r>
      <w:r>
        <w:rPr>
          <w:rFonts w:ascii="Arial" w:cs="Arial" w:eastAsia="Arial" w:hAnsi="Arial"/>
          <w:sz w:val="19"/>
          <w:szCs w:val="19"/>
          <w:color w:val="auto"/>
        </w:rPr>
        <w:t xml:space="preserve"> No </w:t>
      </w:r>
      <w:r>
        <w:rPr>
          <w:rFonts w:ascii="Arial" w:cs="Arial" w:eastAsia="Arial" w:hAnsi="Arial"/>
          <w:sz w:val="19"/>
          <w:szCs w:val="19"/>
          <w:b w:val="1"/>
          <w:bCs w:val="1"/>
          <w:color w:val="auto"/>
        </w:rPr>
        <w:t>£</w:t>
      </w:r>
    </w:p>
    <w:p>
      <w:pPr>
        <w:spacing w:after="0" w:line="165" w:lineRule="exact"/>
        <w:rPr>
          <w:sz w:val="24"/>
          <w:szCs w:val="24"/>
          <w:color w:val="auto"/>
        </w:rPr>
      </w:pPr>
    </w:p>
    <w:p>
      <w:pPr>
        <w:ind w:right="20"/>
        <w:spacing w:after="0" w:line="236" w:lineRule="auto"/>
        <w:rPr>
          <w:sz w:val="20"/>
          <w:szCs w:val="20"/>
          <w:color w:val="auto"/>
        </w:rPr>
      </w:pPr>
      <w:r>
        <w:rPr>
          <w:rFonts w:ascii="Arial" w:cs="Arial" w:eastAsia="Arial" w:hAnsi="Arial"/>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9"/>
          <w:szCs w:val="19"/>
          <w:b w:val="1"/>
          <w:bCs w:val="1"/>
          <w:color w:val="auto"/>
        </w:rPr>
        <w:t>S</w:t>
      </w:r>
      <w:r>
        <w:rPr>
          <w:rFonts w:ascii="Arial" w:cs="Arial" w:eastAsia="Arial" w:hAnsi="Arial"/>
          <w:sz w:val="19"/>
          <w:szCs w:val="19"/>
          <w:color w:val="auto"/>
        </w:rPr>
        <w:t xml:space="preserve"> No </w:t>
      </w:r>
      <w:r>
        <w:rPr>
          <w:rFonts w:ascii="Arial" w:cs="Arial" w:eastAsia="Arial" w:hAnsi="Arial"/>
          <w:sz w:val="19"/>
          <w:szCs w:val="19"/>
          <w:b w:val="1"/>
          <w:bCs w:val="1"/>
          <w:color w:val="auto"/>
        </w:rPr>
        <w:t>£</w:t>
      </w:r>
    </w:p>
    <w:p>
      <w:pPr>
        <w:spacing w:after="0" w:line="165" w:lineRule="exact"/>
        <w:rPr>
          <w:sz w:val="24"/>
          <w:szCs w:val="24"/>
          <w:color w:val="auto"/>
        </w:rPr>
      </w:pPr>
    </w:p>
    <w:p>
      <w:pPr>
        <w:jc w:val="both"/>
        <w:ind w:right="200"/>
        <w:spacing w:after="0" w:line="236"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8" w:right="339" w:bottom="1440" w:gutter="0" w:footer="0" w:header="0"/>
        </w:sectPr>
      </w:pPr>
    </w:p>
    <w:p>
      <w:pPr>
        <w:spacing w:after="0" w:line="159"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Large Accelerated Filer </w:t>
      </w:r>
      <w:r>
        <w:rPr>
          <w:rFonts w:ascii="Arial" w:cs="Arial" w:eastAsia="Arial" w:hAnsi="Arial"/>
          <w:sz w:val="19"/>
          <w:szCs w:val="19"/>
          <w:b w:val="1"/>
          <w:bCs w:val="1"/>
          <w:color w:val="auto"/>
        </w:rPr>
        <w:t>S</w:t>
      </w:r>
    </w:p>
    <w:p>
      <w:pPr>
        <w:spacing w:after="0" w:line="229" w:lineRule="auto"/>
        <w:rPr>
          <w:sz w:val="20"/>
          <w:szCs w:val="20"/>
          <w:color w:val="auto"/>
        </w:rPr>
      </w:pPr>
      <w:r>
        <w:rPr>
          <w:rFonts w:ascii="Arial" w:cs="Arial" w:eastAsia="Arial" w:hAnsi="Arial"/>
          <w:sz w:val="19"/>
          <w:szCs w:val="19"/>
          <w:color w:val="auto"/>
        </w:rPr>
        <w:t xml:space="preserve">Non-Accelerated Filer </w:t>
      </w:r>
      <w:r>
        <w:rPr>
          <w:rFonts w:ascii="Arial" w:cs="Arial" w:eastAsia="Arial" w:hAnsi="Arial"/>
          <w:sz w:val="19"/>
          <w:szCs w:val="19"/>
          <w:b w:val="1"/>
          <w:bCs w:val="1"/>
          <w:color w:val="auto"/>
        </w:rPr>
        <w:t>£</w:t>
      </w:r>
    </w:p>
    <w:p>
      <w:pPr>
        <w:spacing w:after="0"/>
        <w:rPr>
          <w:sz w:val="20"/>
          <w:szCs w:val="20"/>
          <w:color w:val="auto"/>
        </w:rPr>
      </w:pPr>
      <w:r>
        <w:rPr>
          <w:rFonts w:ascii="Arial" w:cs="Arial" w:eastAsia="Arial" w:hAnsi="Arial"/>
          <w:sz w:val="17"/>
          <w:szCs w:val="17"/>
          <w:color w:val="auto"/>
        </w:rPr>
        <w:t xml:space="preserve">Emerging Growth Company </w:t>
      </w:r>
      <w:r>
        <w:rPr>
          <w:rFonts w:ascii="Arial" w:cs="Arial" w:eastAsia="Arial" w:hAnsi="Arial"/>
          <w:sz w:val="17"/>
          <w:szCs w:val="17"/>
          <w:b w:val="1"/>
          <w:bCs w:val="1"/>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Accelerated Filer </w:t>
      </w:r>
      <w:r>
        <w:rPr>
          <w:rFonts w:ascii="Arial" w:cs="Arial" w:eastAsia="Arial" w:hAnsi="Arial"/>
          <w:sz w:val="19"/>
          <w:szCs w:val="19"/>
          <w:b w:val="1"/>
          <w:bCs w:val="1"/>
          <w:color w:val="auto"/>
        </w:rPr>
        <w:t>£</w:t>
      </w:r>
    </w:p>
    <w:p>
      <w:pPr>
        <w:spacing w:after="0" w:line="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Smaller Reporting Company </w:t>
      </w:r>
      <w:r>
        <w:rPr>
          <w:rFonts w:ascii="Arial" w:cs="Arial" w:eastAsia="Arial" w:hAnsi="Arial"/>
          <w:sz w:val="17"/>
          <w:szCs w:val="17"/>
          <w:b w:val="1"/>
          <w:bCs w:val="1"/>
          <w:color w:val="auto"/>
        </w:rPr>
        <w:t>£</w:t>
      </w:r>
    </w:p>
    <w:p>
      <w:pPr>
        <w:spacing w:after="0" w:line="396" w:lineRule="exact"/>
        <w:rPr>
          <w:sz w:val="24"/>
          <w:szCs w:val="24"/>
          <w:color w:val="auto"/>
        </w:rPr>
      </w:pPr>
    </w:p>
    <w:p>
      <w:pPr>
        <w:sectPr>
          <w:pgSz w:w="11900" w:h="16838" w:orient="portrait"/>
          <w:cols w:equalWidth="0" w:num="2">
            <w:col w:w="6740" w:space="720"/>
            <w:col w:w="3780"/>
          </w:cols>
          <w:pgMar w:left="320" w:top="218" w:right="339" w:bottom="1440" w:gutter="0" w:footer="0" w:header="0"/>
          <w:type w:val="continuous"/>
        </w:sectPr>
      </w:pPr>
    </w:p>
    <w:p>
      <w:pPr>
        <w:ind w:right="280"/>
        <w:spacing w:after="0" w:line="246" w:lineRule="auto"/>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9"/>
          <w:szCs w:val="19"/>
          <w:b w:val="1"/>
          <w:bCs w:val="1"/>
          <w:color w:val="auto"/>
        </w:rPr>
        <w:t>£</w:t>
      </w:r>
    </w:p>
    <w:p>
      <w:pPr>
        <w:spacing w:after="0" w:line="154"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Arial" w:cs="Arial" w:eastAsia="Arial" w:hAnsi="Arial"/>
          <w:sz w:val="19"/>
          <w:szCs w:val="19"/>
          <w:b w:val="1"/>
          <w:bCs w:val="1"/>
          <w:color w:val="auto"/>
        </w:rPr>
        <w:t>£</w:t>
      </w:r>
      <w:r>
        <w:rPr>
          <w:rFonts w:ascii="Arial" w:cs="Arial" w:eastAsia="Arial" w:hAnsi="Arial"/>
          <w:sz w:val="19"/>
          <w:szCs w:val="19"/>
          <w:color w:val="auto"/>
        </w:rPr>
        <w:t xml:space="preserve"> No </w:t>
      </w:r>
      <w:r>
        <w:rPr>
          <w:rFonts w:ascii="Arial" w:cs="Arial" w:eastAsia="Arial" w:hAnsi="Arial"/>
          <w:sz w:val="19"/>
          <w:szCs w:val="19"/>
          <w:b w:val="1"/>
          <w:bCs w:val="1"/>
          <w:color w:val="auto"/>
        </w:rPr>
        <w:t>S</w:t>
      </w: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19"/>
                <w:szCs w:val="19"/>
                <w:color w:val="auto"/>
              </w:rPr>
            </w:pPr>
          </w:p>
        </w:tc>
        <w:tc>
          <w:tcPr>
            <w:tcW w:w="7860" w:type="dxa"/>
            <w:vAlign w:val="bottom"/>
            <w:gridSpan w:val="5"/>
          </w:tcPr>
          <w:p>
            <w:pPr>
              <w:ind w:left="60"/>
              <w:spacing w:after="0"/>
              <w:rPr>
                <w:sz w:val="20"/>
                <w:szCs w:val="20"/>
                <w:color w:val="auto"/>
              </w:rPr>
            </w:pPr>
            <w:r>
              <w:rPr>
                <w:rFonts w:ascii="Arial" w:cs="Arial" w:eastAsia="Arial" w:hAnsi="Arial"/>
                <w:sz w:val="19"/>
                <w:szCs w:val="19"/>
                <w:color w:val="auto"/>
              </w:rPr>
              <w:t>Securities registered pursuant to Section 12(b) of the Act:</w:t>
            </w:r>
          </w:p>
        </w:tc>
      </w:tr>
      <w:tr>
        <w:trPr>
          <w:trHeight w:val="225"/>
        </w:trPr>
        <w:tc>
          <w:tcPr>
            <w:tcW w:w="3380" w:type="dxa"/>
            <w:vAlign w:val="bottom"/>
          </w:tcPr>
          <w:p>
            <w:pPr>
              <w:jc w:val="center"/>
              <w:ind w:left="686"/>
              <w:spacing w:after="0"/>
              <w:rPr>
                <w:sz w:val="20"/>
                <w:szCs w:val="20"/>
                <w:color w:val="auto"/>
              </w:rPr>
            </w:pPr>
            <w:r>
              <w:rPr>
                <w:rFonts w:ascii="Arial" w:cs="Arial" w:eastAsia="Arial" w:hAnsi="Arial"/>
                <w:sz w:val="19"/>
                <w:szCs w:val="19"/>
                <w:color w:val="auto"/>
                <w:w w:val="89"/>
              </w:rPr>
              <w:t>Title of each class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9"/>
                <w:szCs w:val="19"/>
                <w:color w:val="auto"/>
                <w:w w:val="92"/>
              </w:rPr>
              <w:t>Trading Symbol(s)</w:t>
            </w:r>
          </w:p>
        </w:tc>
        <w:tc>
          <w:tcPr>
            <w:tcW w:w="4520" w:type="dxa"/>
            <w:vAlign w:val="bottom"/>
          </w:tcPr>
          <w:p>
            <w:pPr>
              <w:jc w:val="center"/>
              <w:spacing w:after="0"/>
              <w:rPr>
                <w:sz w:val="20"/>
                <w:szCs w:val="20"/>
                <w:color w:val="auto"/>
              </w:rPr>
            </w:pPr>
            <w:r>
              <w:rPr>
                <w:rFonts w:ascii="Arial" w:cs="Arial" w:eastAsia="Arial" w:hAnsi="Arial"/>
                <w:sz w:val="19"/>
                <w:szCs w:val="19"/>
                <w:color w:val="auto"/>
                <w:w w:val="89"/>
              </w:rPr>
              <w:t>Name of each exchange on which registered</w:t>
            </w:r>
          </w:p>
        </w:tc>
      </w:tr>
      <w:tr>
        <w:trPr>
          <w:trHeight w:val="234"/>
        </w:trPr>
        <w:tc>
          <w:tcPr>
            <w:tcW w:w="3380" w:type="dxa"/>
            <w:vAlign w:val="bottom"/>
            <w:tcBorders>
              <w:top w:val="single" w:sz="8" w:color="auto"/>
            </w:tcBorders>
          </w:tcPr>
          <w:p>
            <w:pPr>
              <w:jc w:val="center"/>
              <w:ind w:left="706"/>
              <w:spacing w:after="0"/>
              <w:rPr>
                <w:sz w:val="20"/>
                <w:szCs w:val="20"/>
                <w:color w:val="auto"/>
              </w:rPr>
            </w:pPr>
            <w:r>
              <w:rPr>
                <w:rFonts w:ascii="Arial" w:cs="Arial" w:eastAsia="Arial" w:hAnsi="Arial"/>
                <w:sz w:val="19"/>
                <w:szCs w:val="19"/>
                <w:color w:val="auto"/>
                <w:w w:val="90"/>
              </w:rPr>
              <w:t>Common stock, $0.50 par value</w:t>
            </w:r>
          </w:p>
        </w:tc>
        <w:tc>
          <w:tcPr>
            <w:tcW w:w="7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6"/>
              </w:rPr>
              <w:t>WTRG</w:t>
            </w:r>
          </w:p>
        </w:tc>
        <w:tc>
          <w:tcPr>
            <w:tcW w:w="240" w:type="dxa"/>
            <w:vAlign w:val="bottom"/>
          </w:tcPr>
          <w:p>
            <w:pPr>
              <w:spacing w:after="0"/>
              <w:rPr>
                <w:sz w:val="20"/>
                <w:szCs w:val="20"/>
                <w:color w:val="auto"/>
              </w:rPr>
            </w:pPr>
          </w:p>
        </w:tc>
        <w:tc>
          <w:tcPr>
            <w:tcW w:w="452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0"/>
              </w:rPr>
              <w:t>New York Stock Exchange</w:t>
            </w:r>
          </w:p>
        </w:tc>
      </w:tr>
    </w:tbl>
    <w:p>
      <w:pPr>
        <w:spacing w:after="0" w:line="339"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July 22, 2022</w:t>
      </w:r>
      <w:r>
        <w:rPr>
          <w:rFonts w:ascii="Arial" w:cs="Arial" w:eastAsia="Arial" w:hAnsi="Arial"/>
          <w:sz w:val="19"/>
          <w:szCs w:val="19"/>
          <w:b w:val="1"/>
          <w:bCs w:val="1"/>
          <w:color w:val="auto"/>
        </w:rPr>
        <w:t>:</w:t>
      </w:r>
      <w:r>
        <w:rPr>
          <w:rFonts w:ascii="Arial" w:cs="Arial" w:eastAsia="Arial" w:hAnsi="Arial"/>
          <w:sz w:val="19"/>
          <w:szCs w:val="19"/>
          <w:color w:val="auto"/>
        </w:rPr>
        <w:t xml:space="preserve"> 262,170,763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type w:val="continuous"/>
        </w:sectPr>
      </w:pPr>
    </w:p>
    <w:bookmarkStart w:id="1" w:name="page2"/>
    <w:bookmarkEnd w:id="1"/>
    <w:p>
      <w:pPr>
        <w:spacing w:after="0"/>
        <w:rPr>
          <w:rFonts w:ascii="Arial" w:cs="Arial" w:eastAsia="Arial" w:hAnsi="Arial"/>
          <w:sz w:val="22"/>
          <w:szCs w:val="22"/>
          <w:color w:val="0563C1"/>
        </w:rPr>
      </w:pPr>
      <w:hyperlink w:anchor="page2">
        <w:r>
          <w:rPr>
            <w:rFonts w:ascii="Arial" w:cs="Arial" w:eastAsia="Arial" w:hAnsi="Arial"/>
            <w:sz w:val="22"/>
            <w:szCs w:val="22"/>
            <w:color w:val="0563C1"/>
          </w:rPr>
          <w:t>Table of Contents</w:t>
        </w:r>
      </w:hyperlink>
    </w:p>
    <w:tbl>
      <w:tblPr>
        <w:tblLayout w:type="fixed"/>
        <w:tblInd w:w="0" w:type="dxa"/>
        <w:tblCellMar>
          <w:top w:w="0" w:type="dxa"/>
          <w:left w:w="0" w:type="dxa"/>
          <w:bottom w:w="0" w:type="dxa"/>
          <w:right w:w="0" w:type="dxa"/>
        </w:tblCellMar>
      </w:tblPr>
      <w:tr>
        <w:trPr>
          <w:trHeight w:val="294"/>
        </w:trPr>
        <w:tc>
          <w:tcPr>
            <w:tcW w:w="66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60" w:type="dxa"/>
            <w:vAlign w:val="bottom"/>
            <w:gridSpan w:val="21"/>
          </w:tcPr>
          <w:p>
            <w:pPr>
              <w:jc w:val="center"/>
              <w:ind w:right="1040"/>
              <w:spacing w:after="0"/>
              <w:rPr>
                <w:sz w:val="20"/>
                <w:szCs w:val="20"/>
                <w:color w:val="auto"/>
              </w:rPr>
            </w:pPr>
            <w:r>
              <w:rPr>
                <w:rFonts w:ascii="Arial" w:cs="Arial" w:eastAsia="Arial" w:hAnsi="Arial"/>
                <w:sz w:val="22"/>
                <w:szCs w:val="22"/>
                <w:color w:val="auto"/>
                <w:w w:val="96"/>
              </w:rPr>
              <w:t>ESSENTIAL UTILITIES, INC. AND SUBSIDIARIES</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15"/>
          </w:tcPr>
          <w:p>
            <w:pPr>
              <w:jc w:val="center"/>
              <w:ind w:right="2640"/>
              <w:spacing w:after="0"/>
              <w:rPr>
                <w:sz w:val="20"/>
                <w:szCs w:val="20"/>
                <w:color w:val="auto"/>
              </w:rPr>
            </w:pPr>
            <w:r>
              <w:rPr>
                <w:rFonts w:ascii="Arial" w:cs="Arial" w:eastAsia="Arial" w:hAnsi="Arial"/>
                <w:sz w:val="22"/>
                <w:szCs w:val="22"/>
                <w:color w:val="auto"/>
                <w:w w:val="94"/>
              </w:rPr>
              <w:t>TABLE OF CONTENTS</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22"/>
                <w:szCs w:val="22"/>
                <w:color w:val="auto"/>
              </w:rPr>
              <w:t>Page</w:t>
            </w: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80" w:type="dxa"/>
            <w:vAlign w:val="bottom"/>
            <w:gridSpan w:val="16"/>
            <w:shd w:val="clear" w:color="auto" w:fill="CCEEFF"/>
          </w:tcPr>
          <w:p>
            <w:pPr>
              <w:jc w:val="center"/>
              <w:ind w:right="2500"/>
              <w:spacing w:after="0" w:line="203" w:lineRule="exact"/>
              <w:rPr>
                <w:rFonts w:ascii="Arial" w:cs="Arial" w:eastAsia="Arial" w:hAnsi="Arial"/>
                <w:sz w:val="22"/>
                <w:szCs w:val="22"/>
                <w:color w:val="0563C1"/>
                <w:w w:val="91"/>
              </w:rPr>
            </w:pPr>
            <w:hyperlink w:anchor="page3">
              <w:r>
                <w:rPr>
                  <w:rFonts w:ascii="Arial" w:cs="Arial" w:eastAsia="Arial" w:hAnsi="Arial"/>
                  <w:sz w:val="22"/>
                  <w:szCs w:val="22"/>
                  <w:color w:val="0563C1"/>
                  <w:w w:val="91"/>
                </w:rPr>
                <w:t>Part I – Financial Information</w:t>
              </w:r>
            </w:hyperlink>
          </w:p>
        </w:tc>
        <w:tc>
          <w:tcPr>
            <w:tcW w:w="14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rFonts w:ascii="Arial" w:cs="Arial" w:eastAsia="Arial" w:hAnsi="Arial"/>
                <w:sz w:val="22"/>
                <w:szCs w:val="22"/>
                <w:color w:val="0563C1"/>
                <w:w w:val="95"/>
              </w:rPr>
            </w:pPr>
            <w:hyperlink w:anchor="page3">
              <w:r>
                <w:rPr>
                  <w:rFonts w:ascii="Arial" w:cs="Arial" w:eastAsia="Arial" w:hAnsi="Arial"/>
                  <w:sz w:val="22"/>
                  <w:szCs w:val="22"/>
                  <w:color w:val="0563C1"/>
                  <w:w w:val="95"/>
                </w:rPr>
                <w:t>Item 1.</w:t>
              </w:r>
            </w:hyperlink>
          </w:p>
        </w:tc>
        <w:tc>
          <w:tcPr>
            <w:tcW w:w="8760" w:type="dxa"/>
            <w:vAlign w:val="bottom"/>
            <w:gridSpan w:val="30"/>
            <w:shd w:val="clear" w:color="auto" w:fill="CCEEFF"/>
          </w:tcPr>
          <w:p>
            <w:pPr>
              <w:ind w:left="60"/>
              <w:spacing w:after="0" w:line="203" w:lineRule="exact"/>
              <w:rPr>
                <w:rFonts w:ascii="Arial" w:cs="Arial" w:eastAsia="Arial" w:hAnsi="Arial"/>
                <w:sz w:val="22"/>
                <w:szCs w:val="22"/>
                <w:color w:val="0563C1"/>
              </w:rPr>
            </w:pPr>
            <w:hyperlink w:anchor="page3">
              <w:r>
                <w:rPr>
                  <w:rFonts w:ascii="Arial" w:cs="Arial" w:eastAsia="Arial" w:hAnsi="Arial"/>
                  <w:sz w:val="22"/>
                  <w:szCs w:val="22"/>
                  <w:color w:val="0563C1"/>
                </w:rPr>
                <w:t>Financial Statements:</w:t>
              </w:r>
            </w:hyperlink>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tcBorders>
              <w:bottom w:val="single" w:sz="8" w:color="CCEEFF"/>
            </w:tcBorders>
            <w:shd w:val="clear" w:color="auto" w:fill="CCEEFF"/>
          </w:tcPr>
          <w:p>
            <w:pPr>
              <w:spacing w:after="0"/>
              <w:rPr>
                <w:sz w:val="18"/>
                <w:szCs w:val="18"/>
                <w:color w:val="auto"/>
              </w:rPr>
            </w:pPr>
          </w:p>
        </w:tc>
        <w:tc>
          <w:tcPr>
            <w:tcW w:w="7100" w:type="dxa"/>
            <w:vAlign w:val="bottom"/>
            <w:tcBorders>
              <w:bottom w:val="single" w:sz="8" w:color="0563C1"/>
            </w:tcBorders>
            <w:gridSpan w:val="29"/>
            <w:shd w:val="clear" w:color="auto" w:fill="CCEEFF"/>
          </w:tcPr>
          <w:p>
            <w:pPr>
              <w:spacing w:after="0" w:line="203" w:lineRule="exact"/>
              <w:rPr>
                <w:rFonts w:ascii="Arial" w:cs="Arial" w:eastAsia="Arial" w:hAnsi="Arial"/>
                <w:sz w:val="22"/>
                <w:szCs w:val="22"/>
                <w:color w:val="0563C1"/>
                <w:w w:val="87"/>
              </w:rPr>
            </w:pPr>
            <w:hyperlink w:anchor="page3">
              <w:r>
                <w:rPr>
                  <w:rFonts w:ascii="Arial" w:cs="Arial" w:eastAsia="Arial" w:hAnsi="Arial"/>
                  <w:sz w:val="22"/>
                  <w:szCs w:val="22"/>
                  <w:color w:val="0563C1"/>
                  <w:w w:val="87"/>
                </w:rPr>
                <w:t>Consolidated Balance Sheets (unaudited) – June 30, 2022 and December 31, 2021</w:t>
              </w:r>
            </w:hyperlink>
          </w:p>
        </w:tc>
        <w:tc>
          <w:tcPr>
            <w:tcW w:w="166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8760" w:type="dxa"/>
            <w:vAlign w:val="bottom"/>
            <w:gridSpan w:val="30"/>
          </w:tcPr>
          <w:p>
            <w:pPr>
              <w:spacing w:after="0"/>
              <w:rPr>
                <w:rFonts w:ascii="Arial" w:cs="Arial" w:eastAsia="Arial" w:hAnsi="Arial"/>
                <w:sz w:val="22"/>
                <w:szCs w:val="22"/>
                <w:color w:val="0563C1"/>
              </w:rPr>
            </w:pPr>
            <w:hyperlink w:anchor="page5">
              <w:r>
                <w:rPr>
                  <w:rFonts w:ascii="Arial" w:cs="Arial" w:eastAsia="Arial" w:hAnsi="Arial"/>
                  <w:sz w:val="22"/>
                  <w:szCs w:val="22"/>
                  <w:color w:val="0563C1"/>
                </w:rPr>
                <w:t>Consolidated Statements of Operations and Comprehensive Income (unaudited) –</w:t>
              </w:r>
            </w:hyperlink>
          </w:p>
        </w:tc>
        <w:tc>
          <w:tcPr>
            <w:tcW w:w="1840" w:type="dxa"/>
            <w:vAlign w:val="bottom"/>
            <w:gridSpan w:val="3"/>
            <w:vMerge w:val="restart"/>
          </w:tcPr>
          <w:p>
            <w:pPr>
              <w:jc w:val="right"/>
              <w:ind w:right="20"/>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 w:type="dxa"/>
            <w:vAlign w:val="bottom"/>
            <w:tcBorders>
              <w:top w:val="single" w:sz="8" w:color="0563C1"/>
            </w:tcBorders>
          </w:tcPr>
          <w:p>
            <w:pPr>
              <w:spacing w:after="0"/>
              <w:rPr>
                <w:sz w:val="18"/>
                <w:szCs w:val="18"/>
                <w:color w:val="auto"/>
              </w:rPr>
            </w:pPr>
          </w:p>
        </w:tc>
        <w:tc>
          <w:tcPr>
            <w:tcW w:w="60" w:type="dxa"/>
            <w:vAlign w:val="bottom"/>
            <w:tcBorders>
              <w:top w:val="single" w:sz="8" w:color="0563C1"/>
            </w:tcBorders>
          </w:tcPr>
          <w:p>
            <w:pPr>
              <w:spacing w:after="0"/>
              <w:rPr>
                <w:sz w:val="18"/>
                <w:szCs w:val="18"/>
                <w:color w:val="auto"/>
              </w:rPr>
            </w:pPr>
          </w:p>
        </w:tc>
        <w:tc>
          <w:tcPr>
            <w:tcW w:w="3940" w:type="dxa"/>
            <w:vAlign w:val="bottom"/>
            <w:tcBorders>
              <w:top w:val="single" w:sz="8" w:color="0563C1"/>
              <w:bottom w:val="single" w:sz="8" w:color="0563C1"/>
            </w:tcBorders>
            <w:gridSpan w:val="17"/>
          </w:tcPr>
          <w:p>
            <w:pPr>
              <w:spacing w:after="0" w:line="209" w:lineRule="exact"/>
              <w:rPr>
                <w:rFonts w:ascii="Arial" w:cs="Arial" w:eastAsia="Arial" w:hAnsi="Arial"/>
                <w:sz w:val="22"/>
                <w:szCs w:val="22"/>
                <w:color w:val="0563C1"/>
                <w:w w:val="87"/>
              </w:rPr>
            </w:pPr>
            <w:hyperlink w:anchor="page5">
              <w:r>
                <w:rPr>
                  <w:rFonts w:ascii="Arial" w:cs="Arial" w:eastAsia="Arial" w:hAnsi="Arial"/>
                  <w:sz w:val="22"/>
                  <w:szCs w:val="22"/>
                  <w:color w:val="0563C1"/>
                  <w:w w:val="87"/>
                </w:rPr>
                <w:t>Three Months Ended June 30, 2022 and 2021</w:t>
              </w:r>
            </w:hyperlink>
          </w:p>
        </w:tc>
        <w:tc>
          <w:tcPr>
            <w:tcW w:w="2800" w:type="dxa"/>
            <w:vAlign w:val="bottom"/>
            <w:tcBorders>
              <w:top w:val="single" w:sz="8" w:color="0563C1"/>
            </w:tcBorders>
            <w:gridSpan w:val="9"/>
          </w:tcPr>
          <w:p>
            <w:pPr>
              <w:spacing w:after="0"/>
              <w:rPr>
                <w:sz w:val="18"/>
                <w:szCs w:val="18"/>
                <w:color w:val="auto"/>
              </w:rPr>
            </w:pPr>
          </w:p>
        </w:tc>
        <w:tc>
          <w:tcPr>
            <w:tcW w:w="1700" w:type="dxa"/>
            <w:vAlign w:val="bottom"/>
            <w:gridSpan w:val="2"/>
          </w:tcPr>
          <w:p>
            <w:pPr>
              <w:spacing w:after="0"/>
              <w:rPr>
                <w:sz w:val="18"/>
                <w:szCs w:val="18"/>
                <w:color w:val="auto"/>
              </w:rPr>
            </w:pPr>
          </w:p>
        </w:tc>
        <w:tc>
          <w:tcPr>
            <w:tcW w:w="18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shd w:val="clear" w:color="auto" w:fill="CCEEFF"/>
          </w:tcPr>
          <w:p>
            <w:pPr>
              <w:spacing w:after="0"/>
              <w:rPr>
                <w:sz w:val="24"/>
                <w:szCs w:val="24"/>
                <w:color w:val="auto"/>
              </w:rPr>
            </w:pPr>
          </w:p>
        </w:tc>
        <w:tc>
          <w:tcPr>
            <w:tcW w:w="8760" w:type="dxa"/>
            <w:vAlign w:val="bottom"/>
            <w:gridSpan w:val="30"/>
            <w:shd w:val="clear" w:color="auto" w:fill="CCEEFF"/>
          </w:tcPr>
          <w:p>
            <w:pPr>
              <w:spacing w:after="0"/>
              <w:rPr>
                <w:rFonts w:ascii="Arial" w:cs="Arial" w:eastAsia="Arial" w:hAnsi="Arial"/>
                <w:sz w:val="22"/>
                <w:szCs w:val="22"/>
                <w:color w:val="0563C1"/>
              </w:rPr>
            </w:pPr>
            <w:hyperlink w:anchor="page5">
              <w:r>
                <w:rPr>
                  <w:rFonts w:ascii="Arial" w:cs="Arial" w:eastAsia="Arial" w:hAnsi="Arial"/>
                  <w:sz w:val="22"/>
                  <w:szCs w:val="22"/>
                  <w:color w:val="0563C1"/>
                </w:rPr>
                <w:t>Consolidated Statements of Operations and Comprehensive Income (unaudited) –</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6740" w:type="dxa"/>
            <w:vAlign w:val="bottom"/>
            <w:tcBorders>
              <w:top w:val="single" w:sz="8" w:color="0563C1"/>
            </w:tcBorders>
            <w:gridSpan w:val="26"/>
            <w:shd w:val="clear" w:color="auto" w:fill="CCEEFF"/>
          </w:tcPr>
          <w:p>
            <w:pPr>
              <w:spacing w:after="0" w:line="209" w:lineRule="exact"/>
              <w:rPr>
                <w:rFonts w:ascii="Arial" w:cs="Arial" w:eastAsia="Arial" w:hAnsi="Arial"/>
                <w:sz w:val="22"/>
                <w:szCs w:val="22"/>
                <w:color w:val="0563C1"/>
              </w:rPr>
            </w:pPr>
            <w:hyperlink w:anchor="page5">
              <w:r>
                <w:rPr>
                  <w:rFonts w:ascii="Arial" w:cs="Arial" w:eastAsia="Arial" w:hAnsi="Arial"/>
                  <w:sz w:val="22"/>
                  <w:szCs w:val="22"/>
                  <w:color w:val="0563C1"/>
                </w:rPr>
                <w:t>Six Months Ended June 30, 2022 and 2021</w:t>
              </w:r>
            </w:hyperlink>
          </w:p>
        </w:tc>
        <w:tc>
          <w:tcPr>
            <w:tcW w:w="1700" w:type="dxa"/>
            <w:vAlign w:val="bottom"/>
            <w:tcBorders>
              <w:top w:val="single" w:sz="8" w:color="CCEEFF"/>
            </w:tcBorders>
            <w:gridSpan w:val="2"/>
            <w:shd w:val="clear" w:color="auto" w:fill="CCEEFF"/>
          </w:tcPr>
          <w:p>
            <w:pPr>
              <w:spacing w:after="0"/>
              <w:rPr>
                <w:sz w:val="18"/>
                <w:szCs w:val="18"/>
                <w:color w:val="auto"/>
              </w:rPr>
            </w:pPr>
          </w:p>
        </w:tc>
        <w:tc>
          <w:tcPr>
            <w:tcW w:w="182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30"/>
            <w:shd w:val="clear" w:color="auto" w:fill="CCEEFF"/>
          </w:tcPr>
          <w:p>
            <w:pPr>
              <w:spacing w:after="0" w:line="203" w:lineRule="exact"/>
              <w:rPr>
                <w:rFonts w:ascii="Arial" w:cs="Arial" w:eastAsia="Arial" w:hAnsi="Arial"/>
                <w:sz w:val="22"/>
                <w:szCs w:val="22"/>
                <w:color w:val="0563C1"/>
              </w:rPr>
            </w:pPr>
            <w:hyperlink w:anchor="page7">
              <w:r>
                <w:rPr>
                  <w:rFonts w:ascii="Arial" w:cs="Arial" w:eastAsia="Arial" w:hAnsi="Arial"/>
                  <w:sz w:val="22"/>
                  <w:szCs w:val="22"/>
                  <w:color w:val="0563C1"/>
                </w:rPr>
                <w:t>Consolidated Statements of Capitalization (unaudited) –</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4520" w:type="dxa"/>
            <w:vAlign w:val="bottom"/>
            <w:tcBorders>
              <w:top w:val="single" w:sz="8" w:color="0563C1"/>
            </w:tcBorders>
            <w:gridSpan w:val="21"/>
            <w:shd w:val="clear" w:color="auto" w:fill="CCEEFF"/>
          </w:tcPr>
          <w:p>
            <w:pPr>
              <w:spacing w:after="0" w:line="209" w:lineRule="exact"/>
              <w:rPr>
                <w:rFonts w:ascii="Arial" w:cs="Arial" w:eastAsia="Arial" w:hAnsi="Arial"/>
                <w:sz w:val="22"/>
                <w:szCs w:val="22"/>
                <w:color w:val="0563C1"/>
              </w:rPr>
            </w:pPr>
            <w:hyperlink w:anchor="page7">
              <w:r>
                <w:rPr>
                  <w:rFonts w:ascii="Arial" w:cs="Arial" w:eastAsia="Arial" w:hAnsi="Arial"/>
                  <w:sz w:val="22"/>
                  <w:szCs w:val="22"/>
                  <w:color w:val="0563C1"/>
                </w:rPr>
                <w:t>June 30, 2022 and December 31, 2021</w:t>
              </w:r>
            </w:hyperlink>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gridSpan w:val="4"/>
            <w:shd w:val="clear" w:color="auto" w:fill="CCEEFF"/>
          </w:tcPr>
          <w:p>
            <w:pPr>
              <w:spacing w:after="0"/>
              <w:rPr>
                <w:sz w:val="18"/>
                <w:szCs w:val="18"/>
                <w:color w:val="auto"/>
              </w:rPr>
            </w:pPr>
          </w:p>
        </w:tc>
        <w:tc>
          <w:tcPr>
            <w:tcW w:w="182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30"/>
            <w:shd w:val="clear" w:color="auto" w:fill="CCEEFF"/>
          </w:tcPr>
          <w:p>
            <w:pPr>
              <w:spacing w:after="0" w:line="203" w:lineRule="exact"/>
              <w:rPr>
                <w:rFonts w:ascii="Arial" w:cs="Arial" w:eastAsia="Arial" w:hAnsi="Arial"/>
                <w:sz w:val="22"/>
                <w:szCs w:val="22"/>
                <w:color w:val="0563C1"/>
              </w:rPr>
            </w:pPr>
            <w:hyperlink w:anchor="page8">
              <w:r>
                <w:rPr>
                  <w:rFonts w:ascii="Arial" w:cs="Arial" w:eastAsia="Arial" w:hAnsi="Arial"/>
                  <w:sz w:val="22"/>
                  <w:szCs w:val="22"/>
                  <w:color w:val="0563C1"/>
                </w:rPr>
                <w:t>Consolidated Statements of Equity (unaudited) –</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3900" w:type="dxa"/>
            <w:vAlign w:val="bottom"/>
            <w:tcBorders>
              <w:top w:val="single" w:sz="8" w:color="0563C1"/>
            </w:tcBorders>
            <w:gridSpan w:val="16"/>
            <w:shd w:val="clear" w:color="auto" w:fill="CCEEFF"/>
          </w:tcPr>
          <w:p>
            <w:pPr>
              <w:spacing w:after="0" w:line="209" w:lineRule="exact"/>
              <w:rPr>
                <w:rFonts w:ascii="Arial" w:cs="Arial" w:eastAsia="Arial" w:hAnsi="Arial"/>
                <w:sz w:val="22"/>
                <w:szCs w:val="22"/>
                <w:color w:val="0563C1"/>
              </w:rPr>
            </w:pPr>
            <w:hyperlink w:anchor="page8">
              <w:r>
                <w:rPr>
                  <w:rFonts w:ascii="Arial" w:cs="Arial" w:eastAsia="Arial" w:hAnsi="Arial"/>
                  <w:sz w:val="22"/>
                  <w:szCs w:val="22"/>
                  <w:color w:val="0563C1"/>
                </w:rPr>
                <w:t>Six Months Ended June 30, 2022</w:t>
              </w:r>
            </w:hyperlink>
          </w:p>
        </w:tc>
        <w:tc>
          <w:tcPr>
            <w:tcW w:w="34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gridSpan w:val="4"/>
            <w:shd w:val="clear" w:color="auto" w:fill="CCEEFF"/>
          </w:tcPr>
          <w:p>
            <w:pPr>
              <w:spacing w:after="0"/>
              <w:rPr>
                <w:sz w:val="18"/>
                <w:szCs w:val="18"/>
                <w:color w:val="auto"/>
              </w:rPr>
            </w:pPr>
          </w:p>
        </w:tc>
        <w:tc>
          <w:tcPr>
            <w:tcW w:w="182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30"/>
            <w:shd w:val="clear" w:color="auto" w:fill="CCEEFF"/>
          </w:tcPr>
          <w:p>
            <w:pPr>
              <w:spacing w:after="0" w:line="203" w:lineRule="exact"/>
              <w:rPr>
                <w:rFonts w:ascii="Arial" w:cs="Arial" w:eastAsia="Arial" w:hAnsi="Arial"/>
                <w:sz w:val="22"/>
                <w:szCs w:val="22"/>
                <w:color w:val="0563C1"/>
              </w:rPr>
            </w:pPr>
            <w:hyperlink w:anchor="page8">
              <w:r>
                <w:rPr>
                  <w:rFonts w:ascii="Arial" w:cs="Arial" w:eastAsia="Arial" w:hAnsi="Arial"/>
                  <w:sz w:val="22"/>
                  <w:szCs w:val="22"/>
                  <w:color w:val="0563C1"/>
                </w:rPr>
                <w:t>Consolidated Statements of Equity (unaudited) –</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3840" w:type="dxa"/>
            <w:vAlign w:val="bottom"/>
            <w:tcBorders>
              <w:top w:val="single" w:sz="8" w:color="0563C1"/>
            </w:tcBorders>
            <w:gridSpan w:val="15"/>
            <w:shd w:val="clear" w:color="auto" w:fill="CCEEFF"/>
          </w:tcPr>
          <w:p>
            <w:pPr>
              <w:spacing w:after="0" w:line="209" w:lineRule="exact"/>
              <w:rPr>
                <w:rFonts w:ascii="Arial" w:cs="Arial" w:eastAsia="Arial" w:hAnsi="Arial"/>
                <w:sz w:val="22"/>
                <w:szCs w:val="22"/>
                <w:color w:val="0563C1"/>
              </w:rPr>
            </w:pPr>
            <w:hyperlink w:anchor="page8">
              <w:r>
                <w:rPr>
                  <w:rFonts w:ascii="Arial" w:cs="Arial" w:eastAsia="Arial" w:hAnsi="Arial"/>
                  <w:sz w:val="22"/>
                  <w:szCs w:val="22"/>
                  <w:color w:val="0563C1"/>
                </w:rPr>
                <w:t>Six Months Ended June 30, 2021</w:t>
              </w:r>
            </w:hyperlink>
          </w:p>
        </w:tc>
        <w:tc>
          <w:tcPr>
            <w:tcW w:w="34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gridSpan w:val="4"/>
            <w:shd w:val="clear" w:color="auto" w:fill="CCEEFF"/>
          </w:tcPr>
          <w:p>
            <w:pPr>
              <w:spacing w:after="0"/>
              <w:rPr>
                <w:sz w:val="18"/>
                <w:szCs w:val="18"/>
                <w:color w:val="auto"/>
              </w:rPr>
            </w:pPr>
          </w:p>
        </w:tc>
        <w:tc>
          <w:tcPr>
            <w:tcW w:w="182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30"/>
            <w:shd w:val="clear" w:color="auto" w:fill="CCEEFF"/>
          </w:tcPr>
          <w:p>
            <w:pPr>
              <w:spacing w:after="0" w:line="203" w:lineRule="exact"/>
              <w:rPr>
                <w:rFonts w:ascii="Arial" w:cs="Arial" w:eastAsia="Arial" w:hAnsi="Arial"/>
                <w:sz w:val="22"/>
                <w:szCs w:val="22"/>
                <w:color w:val="0563C1"/>
              </w:rPr>
            </w:pPr>
            <w:hyperlink w:anchor="page10">
              <w:r>
                <w:rPr>
                  <w:rFonts w:ascii="Arial" w:cs="Arial" w:eastAsia="Arial" w:hAnsi="Arial"/>
                  <w:sz w:val="22"/>
                  <w:szCs w:val="22"/>
                  <w:color w:val="0563C1"/>
                </w:rPr>
                <w:t>Consolidated Statements of Cash Flow (unaudited) –</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4240" w:type="dxa"/>
            <w:vAlign w:val="bottom"/>
            <w:tcBorders>
              <w:top w:val="single" w:sz="8" w:color="0563C1"/>
            </w:tcBorders>
            <w:gridSpan w:val="18"/>
            <w:shd w:val="clear" w:color="auto" w:fill="CCEEFF"/>
          </w:tcPr>
          <w:p>
            <w:pPr>
              <w:spacing w:after="0" w:line="209" w:lineRule="exact"/>
              <w:rPr>
                <w:rFonts w:ascii="Arial" w:cs="Arial" w:eastAsia="Arial" w:hAnsi="Arial"/>
                <w:sz w:val="22"/>
                <w:szCs w:val="22"/>
                <w:color w:val="0563C1"/>
                <w:w w:val="98"/>
              </w:rPr>
            </w:pPr>
            <w:hyperlink w:anchor="page10">
              <w:r>
                <w:rPr>
                  <w:rFonts w:ascii="Arial" w:cs="Arial" w:eastAsia="Arial" w:hAnsi="Arial"/>
                  <w:sz w:val="22"/>
                  <w:szCs w:val="22"/>
                  <w:color w:val="0563C1"/>
                  <w:w w:val="98"/>
                </w:rPr>
                <w:t>Six Months Ended June 30, 2022 and 2021,</w:t>
              </w:r>
            </w:hyperlink>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gridSpan w:val="4"/>
            <w:shd w:val="clear" w:color="auto" w:fill="CCEEFF"/>
          </w:tcPr>
          <w:p>
            <w:pPr>
              <w:spacing w:after="0"/>
              <w:rPr>
                <w:sz w:val="18"/>
                <w:szCs w:val="18"/>
                <w:color w:val="auto"/>
              </w:rPr>
            </w:pPr>
          </w:p>
        </w:tc>
        <w:tc>
          <w:tcPr>
            <w:tcW w:w="182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8760" w:type="dxa"/>
            <w:vAlign w:val="bottom"/>
            <w:gridSpan w:val="30"/>
            <w:shd w:val="clear" w:color="auto" w:fill="CCEEFF"/>
          </w:tcPr>
          <w:p>
            <w:pPr>
              <w:spacing w:after="0" w:line="203" w:lineRule="exact"/>
              <w:rPr>
                <w:rFonts w:ascii="Arial" w:cs="Arial" w:eastAsia="Arial" w:hAnsi="Arial"/>
                <w:sz w:val="22"/>
                <w:szCs w:val="22"/>
                <w:color w:val="0563C1"/>
              </w:rPr>
            </w:pPr>
            <w:hyperlink w:anchor="page11">
              <w:r>
                <w:rPr>
                  <w:rFonts w:ascii="Arial" w:cs="Arial" w:eastAsia="Arial" w:hAnsi="Arial"/>
                  <w:sz w:val="22"/>
                  <w:szCs w:val="22"/>
                  <w:color w:val="0563C1"/>
                </w:rPr>
                <w:t>Notes to Consolidated Financial Statements (unaudited)</w:t>
              </w:r>
            </w:hyperlink>
          </w:p>
        </w:tc>
        <w:tc>
          <w:tcPr>
            <w:tcW w:w="18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420" w:type="dxa"/>
            <w:vAlign w:val="bottom"/>
            <w:gridSpan w:val="31"/>
            <w:shd w:val="clear" w:color="auto" w:fill="CCEEFF"/>
          </w:tcPr>
          <w:p>
            <w:pPr>
              <w:spacing w:after="0" w:line="203" w:lineRule="exact"/>
              <w:rPr>
                <w:rFonts w:ascii="Arial" w:cs="Arial" w:eastAsia="Arial" w:hAnsi="Arial"/>
                <w:sz w:val="22"/>
                <w:szCs w:val="22"/>
                <w:color w:val="0563C1"/>
              </w:rPr>
            </w:pPr>
            <w:hyperlink w:anchor="page31">
              <w:r>
                <w:rPr>
                  <w:rFonts w:ascii="Arial" w:cs="Arial" w:eastAsia="Arial" w:hAnsi="Arial"/>
                  <w:sz w:val="22"/>
                  <w:szCs w:val="22"/>
                  <w:color w:val="0563C1"/>
                </w:rPr>
                <w:t>Item 2. Management’s Discussion and Analysis of Financial</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563C1"/>
            </w:tcBorders>
            <w:shd w:val="clear" w:color="auto" w:fill="CCEEFF"/>
          </w:tcPr>
          <w:p>
            <w:pPr>
              <w:spacing w:after="0"/>
              <w:rPr>
                <w:sz w:val="18"/>
                <w:szCs w:val="18"/>
                <w:color w:val="auto"/>
              </w:rPr>
            </w:pPr>
          </w:p>
        </w:tc>
        <w:tc>
          <w:tcPr>
            <w:tcW w:w="4600" w:type="dxa"/>
            <w:vAlign w:val="bottom"/>
            <w:tcBorders>
              <w:top w:val="single" w:sz="8" w:color="0563C1"/>
            </w:tcBorders>
            <w:gridSpan w:val="21"/>
            <w:shd w:val="clear" w:color="auto" w:fill="CCEEFF"/>
          </w:tcPr>
          <w:p>
            <w:pPr>
              <w:spacing w:after="0" w:line="209" w:lineRule="exact"/>
              <w:rPr>
                <w:rFonts w:ascii="Arial" w:cs="Arial" w:eastAsia="Arial" w:hAnsi="Arial"/>
                <w:sz w:val="22"/>
                <w:szCs w:val="22"/>
                <w:color w:val="0563C1"/>
              </w:rPr>
            </w:pPr>
            <w:hyperlink w:anchor="page31">
              <w:r>
                <w:rPr>
                  <w:rFonts w:ascii="Arial" w:cs="Arial" w:eastAsia="Arial" w:hAnsi="Arial"/>
                  <w:sz w:val="22"/>
                  <w:szCs w:val="22"/>
                  <w:color w:val="0563C1"/>
                </w:rPr>
                <w:t>Condition and Results of Operations</w:t>
              </w:r>
            </w:hyperlink>
          </w:p>
        </w:tc>
        <w:tc>
          <w:tcPr>
            <w:tcW w:w="680" w:type="dxa"/>
            <w:vAlign w:val="bottom"/>
            <w:tcBorders>
              <w:top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gridSpan w:val="4"/>
            <w:shd w:val="clear" w:color="auto" w:fill="CCEEFF"/>
          </w:tcPr>
          <w:p>
            <w:pPr>
              <w:spacing w:after="0"/>
              <w:rPr>
                <w:sz w:val="18"/>
                <w:szCs w:val="18"/>
                <w:color w:val="auto"/>
              </w:rPr>
            </w:pPr>
          </w:p>
        </w:tc>
        <w:tc>
          <w:tcPr>
            <w:tcW w:w="182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rFonts w:ascii="Arial" w:cs="Arial" w:eastAsia="Arial" w:hAnsi="Arial"/>
                <w:sz w:val="22"/>
                <w:szCs w:val="22"/>
                <w:color w:val="0563C1"/>
                <w:w w:val="95"/>
              </w:rPr>
            </w:pPr>
            <w:hyperlink w:anchor="page45">
              <w:r>
                <w:rPr>
                  <w:rFonts w:ascii="Arial" w:cs="Arial" w:eastAsia="Arial" w:hAnsi="Arial"/>
                  <w:sz w:val="22"/>
                  <w:szCs w:val="22"/>
                  <w:color w:val="0563C1"/>
                  <w:w w:val="95"/>
                </w:rPr>
                <w:t>Item 3.</w:t>
              </w:r>
            </w:hyperlink>
          </w:p>
        </w:tc>
        <w:tc>
          <w:tcPr>
            <w:tcW w:w="8760" w:type="dxa"/>
            <w:vAlign w:val="bottom"/>
            <w:gridSpan w:val="30"/>
            <w:shd w:val="clear" w:color="auto" w:fill="CCEEFF"/>
          </w:tcPr>
          <w:p>
            <w:pPr>
              <w:ind w:left="60"/>
              <w:spacing w:after="0" w:line="203" w:lineRule="exact"/>
              <w:rPr>
                <w:rFonts w:ascii="Arial" w:cs="Arial" w:eastAsia="Arial" w:hAnsi="Arial"/>
                <w:sz w:val="22"/>
                <w:szCs w:val="22"/>
                <w:color w:val="0563C1"/>
              </w:rPr>
            </w:pPr>
            <w:hyperlink w:anchor="page45">
              <w:r>
                <w:rPr>
                  <w:rFonts w:ascii="Arial" w:cs="Arial" w:eastAsia="Arial" w:hAnsi="Arial"/>
                  <w:sz w:val="22"/>
                  <w:szCs w:val="22"/>
                  <w:color w:val="0563C1"/>
                </w:rPr>
                <w:t>Quantitative and Qualitative Disclosures About Market Risk</w:t>
              </w:r>
            </w:hyperlink>
          </w:p>
        </w:tc>
        <w:tc>
          <w:tcPr>
            <w:tcW w:w="18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rFonts w:ascii="Arial" w:cs="Arial" w:eastAsia="Arial" w:hAnsi="Arial"/>
                <w:sz w:val="22"/>
                <w:szCs w:val="22"/>
                <w:color w:val="0563C1"/>
                <w:w w:val="95"/>
              </w:rPr>
            </w:pPr>
            <w:hyperlink w:anchor="page45">
              <w:r>
                <w:rPr>
                  <w:rFonts w:ascii="Arial" w:cs="Arial" w:eastAsia="Arial" w:hAnsi="Arial"/>
                  <w:sz w:val="22"/>
                  <w:szCs w:val="22"/>
                  <w:color w:val="0563C1"/>
                  <w:w w:val="95"/>
                </w:rPr>
                <w:t>Item 4.</w:t>
              </w:r>
            </w:hyperlink>
          </w:p>
        </w:tc>
        <w:tc>
          <w:tcPr>
            <w:tcW w:w="8760" w:type="dxa"/>
            <w:vAlign w:val="bottom"/>
            <w:gridSpan w:val="30"/>
            <w:shd w:val="clear" w:color="auto" w:fill="CCEEFF"/>
          </w:tcPr>
          <w:p>
            <w:pPr>
              <w:ind w:left="60"/>
              <w:spacing w:after="0" w:line="203" w:lineRule="exact"/>
              <w:rPr>
                <w:rFonts w:ascii="Arial" w:cs="Arial" w:eastAsia="Arial" w:hAnsi="Arial"/>
                <w:sz w:val="22"/>
                <w:szCs w:val="22"/>
                <w:color w:val="0563C1"/>
              </w:rPr>
            </w:pPr>
            <w:hyperlink w:anchor="page45">
              <w:r>
                <w:rPr>
                  <w:rFonts w:ascii="Arial" w:cs="Arial" w:eastAsia="Arial" w:hAnsi="Arial"/>
                  <w:sz w:val="22"/>
                  <w:szCs w:val="22"/>
                  <w:color w:val="0563C1"/>
                </w:rPr>
                <w:t>Controls and Procedures</w:t>
              </w:r>
            </w:hyperlink>
          </w:p>
        </w:tc>
        <w:tc>
          <w:tcPr>
            <w:tcW w:w="18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960" w:type="dxa"/>
            <w:vAlign w:val="bottom"/>
            <w:gridSpan w:val="15"/>
            <w:shd w:val="clear" w:color="auto" w:fill="CCEEFF"/>
          </w:tcPr>
          <w:p>
            <w:pPr>
              <w:jc w:val="center"/>
              <w:ind w:right="2620"/>
              <w:spacing w:after="0" w:line="203" w:lineRule="exact"/>
              <w:rPr>
                <w:rFonts w:ascii="Arial" w:cs="Arial" w:eastAsia="Arial" w:hAnsi="Arial"/>
                <w:sz w:val="22"/>
                <w:szCs w:val="22"/>
                <w:color w:val="0563C1"/>
                <w:w w:val="91"/>
              </w:rPr>
            </w:pPr>
            <w:hyperlink w:anchor="page45">
              <w:r>
                <w:rPr>
                  <w:rFonts w:ascii="Arial" w:cs="Arial" w:eastAsia="Arial" w:hAnsi="Arial"/>
                  <w:sz w:val="22"/>
                  <w:szCs w:val="22"/>
                  <w:color w:val="0563C1"/>
                  <w:w w:val="91"/>
                </w:rPr>
                <w:t>Part II – Other Information</w:t>
              </w:r>
            </w:hyperlink>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40" w:type="dxa"/>
            <w:vAlign w:val="bottom"/>
            <w:tcBorders>
              <w:top w:val="single" w:sz="8" w:color="0563C1"/>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rFonts w:ascii="Arial" w:cs="Arial" w:eastAsia="Arial" w:hAnsi="Arial"/>
                <w:sz w:val="22"/>
                <w:szCs w:val="22"/>
                <w:color w:val="0563C1"/>
                <w:w w:val="95"/>
              </w:rPr>
            </w:pPr>
            <w:hyperlink w:anchor="page45">
              <w:r>
                <w:rPr>
                  <w:rFonts w:ascii="Arial" w:cs="Arial" w:eastAsia="Arial" w:hAnsi="Arial"/>
                  <w:sz w:val="22"/>
                  <w:szCs w:val="22"/>
                  <w:color w:val="0563C1"/>
                  <w:w w:val="95"/>
                </w:rPr>
                <w:t>Item 1.</w:t>
              </w:r>
            </w:hyperlink>
          </w:p>
        </w:tc>
        <w:tc>
          <w:tcPr>
            <w:tcW w:w="8760" w:type="dxa"/>
            <w:vAlign w:val="bottom"/>
            <w:gridSpan w:val="30"/>
            <w:shd w:val="clear" w:color="auto" w:fill="CCEEFF"/>
          </w:tcPr>
          <w:p>
            <w:pPr>
              <w:ind w:left="60"/>
              <w:spacing w:after="0" w:line="203" w:lineRule="exact"/>
              <w:rPr>
                <w:rFonts w:ascii="Arial" w:cs="Arial" w:eastAsia="Arial" w:hAnsi="Arial"/>
                <w:sz w:val="22"/>
                <w:szCs w:val="22"/>
                <w:color w:val="0563C1"/>
              </w:rPr>
            </w:pPr>
            <w:hyperlink w:anchor="page45">
              <w:r>
                <w:rPr>
                  <w:rFonts w:ascii="Arial" w:cs="Arial" w:eastAsia="Arial" w:hAnsi="Arial"/>
                  <w:sz w:val="22"/>
                  <w:szCs w:val="22"/>
                  <w:color w:val="0563C1"/>
                </w:rPr>
                <w:t>Legal Proceedings</w:t>
              </w:r>
            </w:hyperlink>
          </w:p>
        </w:tc>
        <w:tc>
          <w:tcPr>
            <w:tcW w:w="18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20" w:type="dxa"/>
            <w:vAlign w:val="bottom"/>
            <w:gridSpan w:val="31"/>
            <w:shd w:val="clear" w:color="auto" w:fill="CCEEFF"/>
          </w:tcPr>
          <w:p>
            <w:pPr>
              <w:spacing w:after="0" w:line="203" w:lineRule="exact"/>
              <w:rPr>
                <w:rFonts w:ascii="Arial" w:cs="Arial" w:eastAsia="Arial" w:hAnsi="Arial"/>
                <w:sz w:val="22"/>
                <w:szCs w:val="22"/>
                <w:color w:val="0563C1"/>
              </w:rPr>
            </w:pPr>
            <w:hyperlink w:anchor="page45">
              <w:r>
                <w:rPr>
                  <w:rFonts w:ascii="Arial" w:cs="Arial" w:eastAsia="Arial" w:hAnsi="Arial"/>
                  <w:sz w:val="22"/>
                  <w:szCs w:val="22"/>
                  <w:color w:val="0563C1"/>
                </w:rPr>
                <w:t>Item 1A. Risk Factors</w:t>
              </w:r>
            </w:hyperlink>
          </w:p>
        </w:tc>
        <w:tc>
          <w:tcPr>
            <w:tcW w:w="18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rFonts w:ascii="Arial" w:cs="Arial" w:eastAsia="Arial" w:hAnsi="Arial"/>
                <w:sz w:val="22"/>
                <w:szCs w:val="22"/>
                <w:color w:val="0563C1"/>
                <w:w w:val="95"/>
              </w:rPr>
            </w:pPr>
            <w:hyperlink w:anchor="page46">
              <w:r>
                <w:rPr>
                  <w:rFonts w:ascii="Arial" w:cs="Arial" w:eastAsia="Arial" w:hAnsi="Arial"/>
                  <w:sz w:val="22"/>
                  <w:szCs w:val="22"/>
                  <w:color w:val="0563C1"/>
                  <w:w w:val="95"/>
                </w:rPr>
                <w:t>Item 2.</w:t>
              </w:r>
            </w:hyperlink>
          </w:p>
        </w:tc>
        <w:tc>
          <w:tcPr>
            <w:tcW w:w="8760" w:type="dxa"/>
            <w:vAlign w:val="bottom"/>
            <w:gridSpan w:val="30"/>
            <w:shd w:val="clear" w:color="auto" w:fill="CCEEFF"/>
          </w:tcPr>
          <w:p>
            <w:pPr>
              <w:ind w:left="60"/>
              <w:spacing w:after="0" w:line="203" w:lineRule="exact"/>
              <w:rPr>
                <w:rFonts w:ascii="Arial" w:cs="Arial" w:eastAsia="Arial" w:hAnsi="Arial"/>
                <w:sz w:val="22"/>
                <w:szCs w:val="22"/>
                <w:color w:val="0563C1"/>
              </w:rPr>
            </w:pPr>
            <w:hyperlink w:anchor="page46">
              <w:r>
                <w:rPr>
                  <w:rFonts w:ascii="Arial" w:cs="Arial" w:eastAsia="Arial" w:hAnsi="Arial"/>
                  <w:sz w:val="22"/>
                  <w:szCs w:val="22"/>
                  <w:color w:val="0563C1"/>
                </w:rPr>
                <w:t>Unregistered Sales of Equity Securities and Use of Proceeds</w:t>
              </w:r>
            </w:hyperlink>
          </w:p>
        </w:tc>
        <w:tc>
          <w:tcPr>
            <w:tcW w:w="18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rFonts w:ascii="Arial" w:cs="Arial" w:eastAsia="Arial" w:hAnsi="Arial"/>
                <w:sz w:val="22"/>
                <w:szCs w:val="22"/>
                <w:color w:val="0563C1"/>
                <w:w w:val="95"/>
              </w:rPr>
            </w:pPr>
            <w:hyperlink w:anchor="page47">
              <w:r>
                <w:rPr>
                  <w:rFonts w:ascii="Arial" w:cs="Arial" w:eastAsia="Arial" w:hAnsi="Arial"/>
                  <w:sz w:val="22"/>
                  <w:szCs w:val="22"/>
                  <w:color w:val="0563C1"/>
                  <w:w w:val="95"/>
                </w:rPr>
                <w:t>Item 6.</w:t>
              </w:r>
            </w:hyperlink>
          </w:p>
        </w:tc>
        <w:tc>
          <w:tcPr>
            <w:tcW w:w="8760" w:type="dxa"/>
            <w:vAlign w:val="bottom"/>
            <w:gridSpan w:val="30"/>
            <w:shd w:val="clear" w:color="auto" w:fill="CCEEFF"/>
          </w:tcPr>
          <w:p>
            <w:pPr>
              <w:ind w:left="60"/>
              <w:spacing w:after="0" w:line="203" w:lineRule="exact"/>
              <w:rPr>
                <w:rFonts w:ascii="Arial" w:cs="Arial" w:eastAsia="Arial" w:hAnsi="Arial"/>
                <w:sz w:val="22"/>
                <w:szCs w:val="22"/>
                <w:color w:val="0563C1"/>
              </w:rPr>
            </w:pPr>
            <w:hyperlink w:anchor="page47">
              <w:r>
                <w:rPr>
                  <w:rFonts w:ascii="Arial" w:cs="Arial" w:eastAsia="Arial" w:hAnsi="Arial"/>
                  <w:sz w:val="22"/>
                  <w:szCs w:val="22"/>
                  <w:color w:val="0563C1"/>
                </w:rPr>
                <w:t>Exhibits</w:t>
              </w:r>
            </w:hyperlink>
          </w:p>
        </w:tc>
        <w:tc>
          <w:tcPr>
            <w:tcW w:w="18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0563C1"/>
            </w:tcBorders>
            <w:gridSpan w:val="2"/>
            <w:shd w:val="clear" w:color="auto" w:fill="CCEEFF"/>
          </w:tcPr>
          <w:p>
            <w:pPr>
              <w:spacing w:after="0" w:line="203" w:lineRule="exact"/>
              <w:rPr>
                <w:rFonts w:ascii="Arial" w:cs="Arial" w:eastAsia="Arial" w:hAnsi="Arial"/>
                <w:sz w:val="22"/>
                <w:szCs w:val="22"/>
                <w:color w:val="0563C1"/>
                <w:w w:val="85"/>
              </w:rPr>
            </w:pPr>
            <w:hyperlink w:anchor="page48">
              <w:r>
                <w:rPr>
                  <w:rFonts w:ascii="Arial" w:cs="Arial" w:eastAsia="Arial" w:hAnsi="Arial"/>
                  <w:sz w:val="22"/>
                  <w:szCs w:val="22"/>
                  <w:color w:val="0563C1"/>
                  <w:w w:val="85"/>
                </w:rPr>
                <w:t>Signatures</w:t>
              </w:r>
            </w:hyperlink>
          </w:p>
        </w:tc>
        <w:tc>
          <w:tcPr>
            <w:tcW w:w="8500" w:type="dxa"/>
            <w:vAlign w:val="bottom"/>
            <w:tcBorders>
              <w:bottom w:val="single" w:sz="8" w:color="CCEEFF"/>
            </w:tcBorders>
            <w:gridSpan w:val="29"/>
            <w:shd w:val="clear" w:color="auto" w:fill="CCEEFF"/>
          </w:tcPr>
          <w:p>
            <w:pPr>
              <w:spacing w:after="0"/>
              <w:rPr>
                <w:sz w:val="18"/>
                <w:szCs w:val="18"/>
                <w:color w:val="auto"/>
              </w:rPr>
            </w:pPr>
          </w:p>
        </w:tc>
        <w:tc>
          <w:tcPr>
            <w:tcW w:w="1820" w:type="dxa"/>
            <w:vAlign w:val="bottom"/>
            <w:tcBorders>
              <w:bottom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80"/>
        </w:trPr>
        <w:tc>
          <w:tcPr>
            <w:tcW w:w="660" w:type="dxa"/>
            <w:vAlign w:val="bottom"/>
          </w:tcPr>
          <w:p>
            <w:pPr>
              <w:spacing w:after="0"/>
              <w:rPr>
                <w:sz w:val="24"/>
                <w:szCs w:val="24"/>
                <w:color w:val="auto"/>
              </w:rPr>
            </w:pPr>
          </w:p>
        </w:tc>
        <w:tc>
          <w:tcPr>
            <w:tcW w:w="5280" w:type="dxa"/>
            <w:vAlign w:val="bottom"/>
            <w:gridSpan w:val="24"/>
          </w:tcPr>
          <w:p>
            <w:pPr>
              <w:jc w:val="center"/>
              <w:ind w:left="4552"/>
              <w:spacing w:after="0"/>
              <w:rPr>
                <w:sz w:val="20"/>
                <w:szCs w:val="20"/>
                <w:color w:val="auto"/>
              </w:rPr>
            </w:pPr>
            <w:r>
              <w:rPr>
                <w:rFonts w:ascii="Arial" w:cs="Arial" w:eastAsia="Arial" w:hAnsi="Arial"/>
                <w:sz w:val="22"/>
                <w:szCs w:val="22"/>
                <w:color w:val="auto"/>
                <w:w w:val="81"/>
              </w:rPr>
              <w:t>1</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CONSOLIDATED BALANCE SHEETS</w:t>
      </w:r>
    </w:p>
    <w:p>
      <w:pPr>
        <w:jc w:val="center"/>
        <w:ind w:right="4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vMerge w:val="restart"/>
          </w:tcPr>
          <w:p>
            <w:pPr>
              <w:ind w:left="3940"/>
              <w:spacing w:after="0"/>
              <w:rPr>
                <w:sz w:val="20"/>
                <w:szCs w:val="20"/>
                <w:color w:val="auto"/>
              </w:rPr>
            </w:pPr>
            <w:r>
              <w:rPr>
                <w:rFonts w:ascii="Arial" w:cs="Arial" w:eastAsia="Arial" w:hAnsi="Arial"/>
                <w:sz w:val="16"/>
                <w:szCs w:val="16"/>
                <w:color w:val="auto"/>
              </w:rPr>
              <w:t>Assets</w:t>
            </w:r>
          </w:p>
        </w:tc>
        <w:tc>
          <w:tcPr>
            <w:tcW w:w="240" w:type="dxa"/>
            <w:vAlign w:val="bottom"/>
          </w:tcPr>
          <w:p>
            <w:pPr>
              <w:spacing w:after="0"/>
              <w:rPr>
                <w:sz w:val="16"/>
                <w:szCs w:val="16"/>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June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185"/>
        </w:trPr>
        <w:tc>
          <w:tcPr>
            <w:tcW w:w="84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4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Property, plant and equipment, at cost</w:t>
            </w:r>
          </w:p>
        </w:tc>
        <w:tc>
          <w:tcPr>
            <w:tcW w:w="240" w:type="dxa"/>
            <w:vAlign w:val="bottom"/>
            <w:shd w:val="clear" w:color="auto" w:fill="CCEEFF"/>
          </w:tcPr>
          <w:p>
            <w:pPr>
              <w:jc w:val="right"/>
              <w:ind w:right="84"/>
              <w:spacing w:after="0" w:line="156" w:lineRule="exact"/>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13,111,170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12,610,376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80" w:type="dxa"/>
            <w:vAlign w:val="bottom"/>
          </w:tcPr>
          <w:p>
            <w:pPr>
              <w:spacing w:after="0" w:line="162" w:lineRule="exact"/>
              <w:rPr>
                <w:sz w:val="20"/>
                <w:szCs w:val="20"/>
                <w:color w:val="auto"/>
              </w:rPr>
            </w:pPr>
            <w:r>
              <w:rPr>
                <w:rFonts w:ascii="Arial" w:cs="Arial" w:eastAsia="Arial" w:hAnsi="Arial"/>
                <w:sz w:val="16"/>
                <w:szCs w:val="16"/>
                <w:color w:val="auto"/>
              </w:rPr>
              <w:t>Less: accumulated depreciation</w:t>
            </w:r>
          </w:p>
        </w:tc>
        <w:tc>
          <w:tcPr>
            <w:tcW w:w="2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2,518,805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2,358,510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Net property, plant and equipment</w:t>
            </w: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10,592,365</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10,251,866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Current assets:</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120"/>
              <w:spacing w:after="0" w:line="162" w:lineRule="exact"/>
              <w:rPr>
                <w:sz w:val="20"/>
                <w:szCs w:val="20"/>
                <w:color w:val="auto"/>
              </w:rPr>
            </w:pPr>
            <w:r>
              <w:rPr>
                <w:rFonts w:ascii="Arial" w:cs="Arial" w:eastAsia="Arial" w:hAnsi="Arial"/>
                <w:sz w:val="16"/>
                <w:szCs w:val="16"/>
                <w:color w:val="auto"/>
              </w:rPr>
              <w:t>Cash and cash equivalents</w:t>
            </w:r>
          </w:p>
        </w:tc>
        <w:tc>
          <w:tcPr>
            <w:tcW w:w="2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12,976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10,567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Accounts receivable, net</w:t>
            </w:r>
          </w:p>
        </w:tc>
        <w:tc>
          <w:tcPr>
            <w:tcW w:w="2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143,385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141,025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120"/>
              <w:spacing w:after="0" w:line="162" w:lineRule="exact"/>
              <w:rPr>
                <w:sz w:val="20"/>
                <w:szCs w:val="20"/>
                <w:color w:val="auto"/>
              </w:rPr>
            </w:pPr>
            <w:r>
              <w:rPr>
                <w:rFonts w:ascii="Arial" w:cs="Arial" w:eastAsia="Arial" w:hAnsi="Arial"/>
                <w:sz w:val="16"/>
                <w:szCs w:val="16"/>
                <w:color w:val="auto"/>
              </w:rPr>
              <w:t>Unbilled revenues</w:t>
            </w:r>
          </w:p>
        </w:tc>
        <w:tc>
          <w:tcPr>
            <w:tcW w:w="2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79,394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119,896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Inventory - materials and supplies</w:t>
            </w:r>
          </w:p>
        </w:tc>
        <w:tc>
          <w:tcPr>
            <w:tcW w:w="2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38,193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33,756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120"/>
              <w:spacing w:after="0" w:line="162" w:lineRule="exact"/>
              <w:rPr>
                <w:sz w:val="20"/>
                <w:szCs w:val="20"/>
                <w:color w:val="auto"/>
              </w:rPr>
            </w:pPr>
            <w:r>
              <w:rPr>
                <w:rFonts w:ascii="Arial" w:cs="Arial" w:eastAsia="Arial" w:hAnsi="Arial"/>
                <w:sz w:val="16"/>
                <w:szCs w:val="16"/>
                <w:color w:val="auto"/>
              </w:rPr>
              <w:t>Inventory - gas stored</w:t>
            </w:r>
          </w:p>
        </w:tc>
        <w:tc>
          <w:tcPr>
            <w:tcW w:w="2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90,417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75,804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Prepayments and other current assets</w:t>
            </w:r>
          </w:p>
        </w:tc>
        <w:tc>
          <w:tcPr>
            <w:tcW w:w="2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31,722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36,597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120"/>
              <w:spacing w:after="0" w:line="162" w:lineRule="exact"/>
              <w:rPr>
                <w:sz w:val="20"/>
                <w:szCs w:val="20"/>
                <w:color w:val="auto"/>
              </w:rPr>
            </w:pPr>
            <w:r>
              <w:rPr>
                <w:rFonts w:ascii="Arial" w:cs="Arial" w:eastAsia="Arial" w:hAnsi="Arial"/>
                <w:sz w:val="16"/>
                <w:szCs w:val="16"/>
                <w:color w:val="auto"/>
              </w:rPr>
              <w:t>Regulatory assets</w:t>
            </w:r>
          </w:p>
        </w:tc>
        <w:tc>
          <w:tcPr>
            <w:tcW w:w="2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17,208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20,150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413,295</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437,795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Regulatory assets</w:t>
            </w:r>
          </w:p>
        </w:tc>
        <w:tc>
          <w:tcPr>
            <w:tcW w:w="2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1,511,541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1,429,840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Pr>
          <w:p>
            <w:pPr>
              <w:spacing w:after="0" w:line="162" w:lineRule="exact"/>
              <w:rPr>
                <w:sz w:val="20"/>
                <w:szCs w:val="20"/>
                <w:color w:val="auto"/>
              </w:rPr>
            </w:pPr>
            <w:r>
              <w:rPr>
                <w:rFonts w:ascii="Arial" w:cs="Arial" w:eastAsia="Arial" w:hAnsi="Arial"/>
                <w:sz w:val="16"/>
                <w:szCs w:val="16"/>
                <w:color w:val="auto"/>
              </w:rPr>
              <w:t>Deferred charges and other assets, net</w:t>
            </w:r>
          </w:p>
        </w:tc>
        <w:tc>
          <w:tcPr>
            <w:tcW w:w="2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136,764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141,955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Funds restricted for construction activity</w:t>
            </w:r>
          </w:p>
        </w:tc>
        <w:tc>
          <w:tcPr>
            <w:tcW w:w="2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1,313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Pr>
          <w:p>
            <w:pPr>
              <w:spacing w:after="0" w:line="162" w:lineRule="exact"/>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2,340,792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2,340,815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Operating lease right-of-use assets</w:t>
            </w:r>
          </w:p>
        </w:tc>
        <w:tc>
          <w:tcPr>
            <w:tcW w:w="2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44,713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48,930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Pr>
          <w:p>
            <w:pPr>
              <w:spacing w:after="0" w:line="162" w:lineRule="exact"/>
              <w:rPr>
                <w:sz w:val="20"/>
                <w:szCs w:val="20"/>
                <w:color w:val="auto"/>
              </w:rPr>
            </w:pPr>
            <w:r>
              <w:rPr>
                <w:rFonts w:ascii="Arial" w:cs="Arial" w:eastAsia="Arial" w:hAnsi="Arial"/>
                <w:sz w:val="16"/>
                <w:szCs w:val="16"/>
                <w:color w:val="auto"/>
              </w:rPr>
              <w:t>Intangible assets</w:t>
            </w:r>
          </w:p>
        </w:tc>
        <w:tc>
          <w:tcPr>
            <w:tcW w:w="2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5,381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5,764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bottom w:val="single" w:sz="8" w:color="auto"/>
            </w:tcBorders>
            <w:shd w:val="clear" w:color="auto" w:fill="CCEEFF"/>
          </w:tcPr>
          <w:p>
            <w:pPr>
              <w:jc w:val="right"/>
              <w:ind w:right="84"/>
              <w:spacing w:after="0" w:line="156"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15,046,164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14,658,278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 w:name="page4"/>
    <w:bookmarkEnd w:id="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CONSOLIDATED BALANCE SHEETS (continued)</w:t>
      </w:r>
    </w:p>
    <w:p>
      <w:pPr>
        <w:ind w:left="338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vMerge w:val="restart"/>
          </w:tcPr>
          <w:p>
            <w:pPr>
              <w:ind w:left="3420"/>
              <w:spacing w:after="0"/>
              <w:rPr>
                <w:sz w:val="20"/>
                <w:szCs w:val="20"/>
                <w:color w:val="auto"/>
              </w:rPr>
            </w:pPr>
            <w:r>
              <w:rPr>
                <w:rFonts w:ascii="Arial" w:cs="Arial" w:eastAsia="Arial" w:hAnsi="Arial"/>
                <w:sz w:val="16"/>
                <w:szCs w:val="16"/>
                <w:color w:val="auto"/>
              </w:rPr>
              <w:t>Liabilities and Equity</w:t>
            </w:r>
          </w:p>
        </w:tc>
        <w:tc>
          <w:tcPr>
            <w:tcW w:w="240" w:type="dxa"/>
            <w:vAlign w:val="bottom"/>
          </w:tcPr>
          <w:p>
            <w:pPr>
              <w:spacing w:after="0"/>
              <w:rPr>
                <w:sz w:val="16"/>
                <w:szCs w:val="16"/>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6"/>
                <w:szCs w:val="16"/>
                <w:color w:val="auto"/>
              </w:rPr>
              <w:t>June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185"/>
        </w:trPr>
        <w:tc>
          <w:tcPr>
            <w:tcW w:w="846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55"/>
        </w:trPr>
        <w:tc>
          <w:tcPr>
            <w:tcW w:w="8460" w:type="dxa"/>
            <w:vAlign w:val="bottom"/>
          </w:tcPr>
          <w:p>
            <w:pPr>
              <w:spacing w:after="0" w:line="155" w:lineRule="exact"/>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460" w:type="dxa"/>
            <w:vAlign w:val="bottom"/>
            <w:shd w:val="clear" w:color="auto" w:fill="CCEEFF"/>
          </w:tcPr>
          <w:p>
            <w:pPr>
              <w:ind w:left="120"/>
              <w:spacing w:after="0" w:line="138" w:lineRule="exact"/>
              <w:rPr>
                <w:sz w:val="20"/>
                <w:szCs w:val="20"/>
                <w:color w:val="auto"/>
              </w:rPr>
            </w:pPr>
            <w:r>
              <w:rPr>
                <w:rFonts w:ascii="Arial" w:cs="Arial" w:eastAsia="Arial" w:hAnsi="Arial"/>
                <w:sz w:val="16"/>
                <w:szCs w:val="16"/>
                <w:color w:val="auto"/>
                <w:w w:val="93"/>
              </w:rPr>
              <w:t>Common stock at $0.50 par value, authorized 600,000,000 shares, issued 265,415,337 and 256,102,388 as of June 30, 2022</w:t>
            </w:r>
          </w:p>
        </w:tc>
        <w:tc>
          <w:tcPr>
            <w:tcW w:w="24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132,707</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128,050</w:t>
            </w:r>
          </w:p>
        </w:tc>
        <w:tc>
          <w:tcPr>
            <w:tcW w:w="0" w:type="dxa"/>
            <w:vAlign w:val="bottom"/>
          </w:tcPr>
          <w:p>
            <w:pPr>
              <w:spacing w:after="0"/>
              <w:rPr>
                <w:sz w:val="1"/>
                <w:szCs w:val="1"/>
                <w:color w:val="auto"/>
              </w:rPr>
            </w:pPr>
          </w:p>
        </w:tc>
      </w:tr>
      <w:tr>
        <w:trPr>
          <w:trHeight w:val="185"/>
        </w:trPr>
        <w:tc>
          <w:tcPr>
            <w:tcW w:w="8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and December 31, 2021</w:t>
            </w:r>
          </w:p>
        </w:tc>
        <w:tc>
          <w:tcPr>
            <w:tcW w:w="240" w:type="dxa"/>
            <w:vAlign w:val="bottom"/>
            <w:vMerge w:val="continue"/>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460" w:type="dxa"/>
            <w:vAlign w:val="bottom"/>
          </w:tcPr>
          <w:p>
            <w:pPr>
              <w:ind w:left="120"/>
              <w:spacing w:after="0" w:line="162" w:lineRule="exact"/>
              <w:rPr>
                <w:sz w:val="20"/>
                <w:szCs w:val="20"/>
                <w:color w:val="auto"/>
              </w:rPr>
            </w:pPr>
            <w:r>
              <w:rPr>
                <w:rFonts w:ascii="Arial" w:cs="Arial" w:eastAsia="Arial" w:hAnsi="Arial"/>
                <w:sz w:val="16"/>
                <w:szCs w:val="16"/>
                <w:color w:val="auto"/>
              </w:rPr>
              <w:t>Capital in excess of par value</w:t>
            </w:r>
          </w:p>
        </w:tc>
        <w:tc>
          <w:tcPr>
            <w:tcW w:w="24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3,715,975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3,705,814</w:t>
            </w:r>
          </w:p>
        </w:tc>
        <w:tc>
          <w:tcPr>
            <w:tcW w:w="0" w:type="dxa"/>
            <w:vAlign w:val="bottom"/>
          </w:tcPr>
          <w:p>
            <w:pPr>
              <w:spacing w:after="0"/>
              <w:rPr>
                <w:sz w:val="1"/>
                <w:szCs w:val="1"/>
                <w:color w:val="auto"/>
              </w:rPr>
            </w:pPr>
          </w:p>
        </w:tc>
      </w:tr>
      <w:tr>
        <w:trPr>
          <w:trHeight w:val="243"/>
        </w:trPr>
        <w:tc>
          <w:tcPr>
            <w:tcW w:w="8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1,577,442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1,434,201</w:t>
            </w:r>
          </w:p>
        </w:tc>
        <w:tc>
          <w:tcPr>
            <w:tcW w:w="0" w:type="dxa"/>
            <w:vAlign w:val="bottom"/>
          </w:tcPr>
          <w:p>
            <w:pPr>
              <w:spacing w:after="0"/>
              <w:rPr>
                <w:sz w:val="1"/>
                <w:szCs w:val="1"/>
                <w:color w:val="auto"/>
              </w:rPr>
            </w:pPr>
          </w:p>
        </w:tc>
      </w:tr>
      <w:tr>
        <w:trPr>
          <w:trHeight w:val="162"/>
        </w:trPr>
        <w:tc>
          <w:tcPr>
            <w:tcW w:w="8460" w:type="dxa"/>
            <w:vAlign w:val="bottom"/>
          </w:tcPr>
          <w:p>
            <w:pPr>
              <w:ind w:left="120"/>
              <w:spacing w:after="0" w:line="162" w:lineRule="exact"/>
              <w:rPr>
                <w:sz w:val="20"/>
                <w:szCs w:val="20"/>
                <w:color w:val="auto"/>
              </w:rPr>
            </w:pPr>
            <w:r>
              <w:rPr>
                <w:rFonts w:ascii="Arial" w:cs="Arial" w:eastAsia="Arial" w:hAnsi="Arial"/>
                <w:sz w:val="16"/>
                <w:szCs w:val="16"/>
                <w:color w:val="auto"/>
              </w:rPr>
              <w:t>Treasury stock, at cost, 3,244,664 and 3,234,765 shares as of June 30, 2022 and December 31, 2021</w:t>
            </w:r>
          </w:p>
        </w:tc>
        <w:tc>
          <w:tcPr>
            <w:tcW w:w="24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(84,092)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(83,615)</w:t>
            </w:r>
          </w:p>
        </w:tc>
        <w:tc>
          <w:tcPr>
            <w:tcW w:w="0" w:type="dxa"/>
            <w:vAlign w:val="bottom"/>
          </w:tcPr>
          <w:p>
            <w:pPr>
              <w:spacing w:after="0"/>
              <w:rPr>
                <w:sz w:val="1"/>
                <w:szCs w:val="1"/>
                <w:color w:val="auto"/>
              </w:rPr>
            </w:pPr>
          </w:p>
        </w:tc>
      </w:tr>
      <w:tr>
        <w:trPr>
          <w:trHeight w:val="156"/>
        </w:trPr>
        <w:tc>
          <w:tcPr>
            <w:tcW w:w="84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5,342,032</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5,184,450</w:t>
            </w:r>
          </w:p>
        </w:tc>
        <w:tc>
          <w:tcPr>
            <w:tcW w:w="0" w:type="dxa"/>
            <w:vAlign w:val="bottom"/>
          </w:tcPr>
          <w:p>
            <w:pPr>
              <w:spacing w:after="0"/>
              <w:rPr>
                <w:sz w:val="1"/>
                <w:szCs w:val="1"/>
                <w:color w:val="auto"/>
              </w:rPr>
            </w:pPr>
          </w:p>
        </w:tc>
      </w:tr>
      <w:tr>
        <w:trPr>
          <w:trHeight w:val="155"/>
        </w:trPr>
        <w:tc>
          <w:tcPr>
            <w:tcW w:w="8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Long-term debt, excluding current portion</w:t>
            </w:r>
          </w:p>
        </w:tc>
        <w:tc>
          <w:tcPr>
            <w:tcW w:w="2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6,135,390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5,815,211</w:t>
            </w:r>
          </w:p>
        </w:tc>
        <w:tc>
          <w:tcPr>
            <w:tcW w:w="0" w:type="dxa"/>
            <w:vAlign w:val="bottom"/>
          </w:tcPr>
          <w:p>
            <w:pPr>
              <w:spacing w:after="0"/>
              <w:rPr>
                <w:sz w:val="1"/>
                <w:szCs w:val="1"/>
                <w:color w:val="auto"/>
              </w:rPr>
            </w:pPr>
          </w:p>
        </w:tc>
      </w:tr>
      <w:tr>
        <w:trPr>
          <w:trHeight w:val="162"/>
        </w:trPr>
        <w:tc>
          <w:tcPr>
            <w:tcW w:w="8460" w:type="dxa"/>
            <w:vAlign w:val="bottom"/>
          </w:tcPr>
          <w:p>
            <w:pPr>
              <w:spacing w:after="0" w:line="162" w:lineRule="exact"/>
              <w:rPr>
                <w:sz w:val="20"/>
                <w:szCs w:val="20"/>
                <w:color w:val="auto"/>
              </w:rPr>
            </w:pPr>
            <w:r>
              <w:rPr>
                <w:rFonts w:ascii="Arial" w:cs="Arial" w:eastAsia="Arial" w:hAnsi="Arial"/>
                <w:sz w:val="16"/>
                <w:szCs w:val="16"/>
                <w:color w:val="auto"/>
              </w:rPr>
              <w:t>Less: debt issuance costs</w:t>
            </w:r>
          </w:p>
        </w:tc>
        <w:tc>
          <w:tcPr>
            <w:tcW w:w="24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47,654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35,707</w:t>
            </w:r>
          </w:p>
        </w:tc>
        <w:tc>
          <w:tcPr>
            <w:tcW w:w="0" w:type="dxa"/>
            <w:vAlign w:val="bottom"/>
          </w:tcPr>
          <w:p>
            <w:pPr>
              <w:spacing w:after="0"/>
              <w:rPr>
                <w:sz w:val="1"/>
                <w:szCs w:val="1"/>
                <w:color w:val="auto"/>
              </w:rPr>
            </w:pPr>
          </w:p>
        </w:tc>
      </w:tr>
      <w:tr>
        <w:trPr>
          <w:trHeight w:val="156"/>
        </w:trPr>
        <w:tc>
          <w:tcPr>
            <w:tcW w:w="84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Long-term debt, excluding current portion, net of debt issuance costs</w:t>
            </w: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6,087,736</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5,779,504</w:t>
            </w:r>
          </w:p>
        </w:tc>
        <w:tc>
          <w:tcPr>
            <w:tcW w:w="0" w:type="dxa"/>
            <w:vAlign w:val="bottom"/>
          </w:tcPr>
          <w:p>
            <w:pPr>
              <w:spacing w:after="0"/>
              <w:rPr>
                <w:sz w:val="1"/>
                <w:szCs w:val="1"/>
                <w:color w:val="auto"/>
              </w:rPr>
            </w:pPr>
          </w:p>
        </w:tc>
      </w:tr>
      <w:tr>
        <w:trPr>
          <w:trHeight w:val="244"/>
        </w:trPr>
        <w:tc>
          <w:tcPr>
            <w:tcW w:w="8460" w:type="dxa"/>
            <w:vAlign w:val="bottom"/>
          </w:tcPr>
          <w:p>
            <w:pPr>
              <w:spacing w:after="0"/>
              <w:rPr>
                <w:sz w:val="20"/>
                <w:szCs w:val="20"/>
                <w:color w:val="auto"/>
              </w:rPr>
            </w:pPr>
            <w:r>
              <w:rPr>
                <w:rFonts w:ascii="Arial" w:cs="Arial" w:eastAsia="Arial" w:hAnsi="Arial"/>
                <w:sz w:val="16"/>
                <w:szCs w:val="16"/>
                <w:color w:val="auto"/>
              </w:rPr>
              <w:t>Commitments and contingencies (See Note 13)</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8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60" w:type="dxa"/>
            <w:vAlign w:val="bottom"/>
          </w:tcPr>
          <w:p>
            <w:pPr>
              <w:ind w:left="120"/>
              <w:spacing w:after="0" w:line="162" w:lineRule="exact"/>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120,931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132,146</w:t>
            </w:r>
          </w:p>
        </w:tc>
        <w:tc>
          <w:tcPr>
            <w:tcW w:w="0" w:type="dxa"/>
            <w:vAlign w:val="bottom"/>
          </w:tcPr>
          <w:p>
            <w:pPr>
              <w:spacing w:after="0"/>
              <w:rPr>
                <w:sz w:val="1"/>
                <w:szCs w:val="1"/>
                <w:color w:val="auto"/>
              </w:rPr>
            </w:pPr>
          </w:p>
        </w:tc>
      </w:tr>
      <w:tr>
        <w:trPr>
          <w:trHeight w:val="162"/>
        </w:trPr>
        <w:tc>
          <w:tcPr>
            <w:tcW w:w="84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Loans payable</w:t>
            </w:r>
          </w:p>
        </w:tc>
        <w:tc>
          <w:tcPr>
            <w:tcW w:w="2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4,703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65,000</w:t>
            </w:r>
          </w:p>
        </w:tc>
        <w:tc>
          <w:tcPr>
            <w:tcW w:w="0" w:type="dxa"/>
            <w:vAlign w:val="bottom"/>
          </w:tcPr>
          <w:p>
            <w:pPr>
              <w:spacing w:after="0"/>
              <w:rPr>
                <w:sz w:val="1"/>
                <w:szCs w:val="1"/>
                <w:color w:val="auto"/>
              </w:rPr>
            </w:pPr>
          </w:p>
        </w:tc>
      </w:tr>
      <w:tr>
        <w:trPr>
          <w:trHeight w:val="162"/>
        </w:trPr>
        <w:tc>
          <w:tcPr>
            <w:tcW w:w="8460" w:type="dxa"/>
            <w:vAlign w:val="bottom"/>
          </w:tcPr>
          <w:p>
            <w:pPr>
              <w:ind w:left="120"/>
              <w:spacing w:after="0" w:line="162" w:lineRule="exact"/>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194,105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192,932</w:t>
            </w:r>
          </w:p>
        </w:tc>
        <w:tc>
          <w:tcPr>
            <w:tcW w:w="0" w:type="dxa"/>
            <w:vAlign w:val="bottom"/>
          </w:tcPr>
          <w:p>
            <w:pPr>
              <w:spacing w:after="0"/>
              <w:rPr>
                <w:sz w:val="1"/>
                <w:szCs w:val="1"/>
                <w:color w:val="auto"/>
              </w:rPr>
            </w:pPr>
          </w:p>
        </w:tc>
      </w:tr>
      <w:tr>
        <w:trPr>
          <w:trHeight w:val="162"/>
        </w:trPr>
        <w:tc>
          <w:tcPr>
            <w:tcW w:w="84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Book overdraft</w:t>
            </w:r>
          </w:p>
        </w:tc>
        <w:tc>
          <w:tcPr>
            <w:tcW w:w="2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20,659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81,722</w:t>
            </w:r>
          </w:p>
        </w:tc>
        <w:tc>
          <w:tcPr>
            <w:tcW w:w="0" w:type="dxa"/>
            <w:vAlign w:val="bottom"/>
          </w:tcPr>
          <w:p>
            <w:pPr>
              <w:spacing w:after="0"/>
              <w:rPr>
                <w:sz w:val="1"/>
                <w:szCs w:val="1"/>
                <w:color w:val="auto"/>
              </w:rPr>
            </w:pPr>
          </w:p>
        </w:tc>
      </w:tr>
      <w:tr>
        <w:trPr>
          <w:trHeight w:val="162"/>
        </w:trPr>
        <w:tc>
          <w:tcPr>
            <w:tcW w:w="8460" w:type="dxa"/>
            <w:vAlign w:val="bottom"/>
          </w:tcPr>
          <w:p>
            <w:pPr>
              <w:ind w:left="120"/>
              <w:spacing w:after="0" w:line="162" w:lineRule="exact"/>
              <w:rPr>
                <w:sz w:val="20"/>
                <w:szCs w:val="20"/>
                <w:color w:val="auto"/>
              </w:rPr>
            </w:pPr>
            <w:r>
              <w:rPr>
                <w:rFonts w:ascii="Arial" w:cs="Arial" w:eastAsia="Arial" w:hAnsi="Arial"/>
                <w:sz w:val="16"/>
                <w:szCs w:val="16"/>
                <w:color w:val="auto"/>
              </w:rPr>
              <w:t>Accrued interest</w:t>
            </w:r>
          </w:p>
        </w:tc>
        <w:tc>
          <w:tcPr>
            <w:tcW w:w="24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43,384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40,815</w:t>
            </w:r>
          </w:p>
        </w:tc>
        <w:tc>
          <w:tcPr>
            <w:tcW w:w="0" w:type="dxa"/>
            <w:vAlign w:val="bottom"/>
          </w:tcPr>
          <w:p>
            <w:pPr>
              <w:spacing w:after="0"/>
              <w:rPr>
                <w:sz w:val="1"/>
                <w:szCs w:val="1"/>
                <w:color w:val="auto"/>
              </w:rPr>
            </w:pPr>
          </w:p>
        </w:tc>
      </w:tr>
      <w:tr>
        <w:trPr>
          <w:trHeight w:val="162"/>
        </w:trPr>
        <w:tc>
          <w:tcPr>
            <w:tcW w:w="84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Accrued taxes</w:t>
            </w:r>
          </w:p>
        </w:tc>
        <w:tc>
          <w:tcPr>
            <w:tcW w:w="2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34,457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37,924</w:t>
            </w:r>
          </w:p>
        </w:tc>
        <w:tc>
          <w:tcPr>
            <w:tcW w:w="0" w:type="dxa"/>
            <w:vAlign w:val="bottom"/>
          </w:tcPr>
          <w:p>
            <w:pPr>
              <w:spacing w:after="0"/>
              <w:rPr>
                <w:sz w:val="1"/>
                <w:szCs w:val="1"/>
                <w:color w:val="auto"/>
              </w:rPr>
            </w:pPr>
          </w:p>
        </w:tc>
      </w:tr>
      <w:tr>
        <w:trPr>
          <w:trHeight w:val="162"/>
        </w:trPr>
        <w:tc>
          <w:tcPr>
            <w:tcW w:w="8460" w:type="dxa"/>
            <w:vAlign w:val="bottom"/>
          </w:tcPr>
          <w:p>
            <w:pPr>
              <w:ind w:left="120"/>
              <w:spacing w:after="0" w:line="162" w:lineRule="exact"/>
              <w:rPr>
                <w:sz w:val="20"/>
                <w:szCs w:val="20"/>
                <w:color w:val="auto"/>
              </w:rPr>
            </w:pPr>
            <w:r>
              <w:rPr>
                <w:rFonts w:ascii="Arial" w:cs="Arial" w:eastAsia="Arial" w:hAnsi="Arial"/>
                <w:sz w:val="16"/>
                <w:szCs w:val="16"/>
                <w:color w:val="auto"/>
              </w:rPr>
              <w:t>Regulatory liabilities</w:t>
            </w:r>
          </w:p>
        </w:tc>
        <w:tc>
          <w:tcPr>
            <w:tcW w:w="24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1,878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162"/>
        </w:trPr>
        <w:tc>
          <w:tcPr>
            <w:tcW w:w="84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Other accrued liabilities</w:t>
            </w:r>
          </w:p>
        </w:tc>
        <w:tc>
          <w:tcPr>
            <w:tcW w:w="2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124,008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124,140</w:t>
            </w:r>
          </w:p>
        </w:tc>
        <w:tc>
          <w:tcPr>
            <w:tcW w:w="0" w:type="dxa"/>
            <w:vAlign w:val="bottom"/>
          </w:tcPr>
          <w:p>
            <w:pPr>
              <w:spacing w:after="0"/>
              <w:rPr>
                <w:sz w:val="1"/>
                <w:szCs w:val="1"/>
                <w:color w:val="auto"/>
              </w:rPr>
            </w:pPr>
          </w:p>
        </w:tc>
      </w:tr>
      <w:tr>
        <w:trPr>
          <w:trHeight w:val="156"/>
        </w:trPr>
        <w:tc>
          <w:tcPr>
            <w:tcW w:w="8460" w:type="dxa"/>
            <w:vAlign w:val="bottom"/>
          </w:tcPr>
          <w:p>
            <w:pPr>
              <w:spacing w:after="0" w:line="155" w:lineRule="exact"/>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544,125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675,063</w:t>
            </w:r>
          </w:p>
        </w:tc>
        <w:tc>
          <w:tcPr>
            <w:tcW w:w="0" w:type="dxa"/>
            <w:vAlign w:val="bottom"/>
          </w:tcPr>
          <w:p>
            <w:pPr>
              <w:spacing w:after="0"/>
              <w:rPr>
                <w:sz w:val="1"/>
                <w:szCs w:val="1"/>
                <w:color w:val="auto"/>
              </w:rPr>
            </w:pPr>
          </w:p>
        </w:tc>
      </w:tr>
      <w:tr>
        <w:trPr>
          <w:trHeight w:val="155"/>
        </w:trPr>
        <w:tc>
          <w:tcPr>
            <w:tcW w:w="8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Deferred credits and other liabilities:</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60" w:type="dxa"/>
            <w:vAlign w:val="bottom"/>
          </w:tcPr>
          <w:p>
            <w:pPr>
              <w:ind w:left="120"/>
              <w:spacing w:after="0" w:line="162" w:lineRule="exact"/>
              <w:rPr>
                <w:sz w:val="20"/>
                <w:szCs w:val="20"/>
                <w:color w:val="auto"/>
              </w:rPr>
            </w:pPr>
            <w:r>
              <w:rPr>
                <w:rFonts w:ascii="Arial" w:cs="Arial" w:eastAsia="Arial" w:hAnsi="Arial"/>
                <w:sz w:val="16"/>
                <w:szCs w:val="16"/>
                <w:color w:val="auto"/>
              </w:rPr>
              <w:t>Deferred income taxes and investment tax credits</w:t>
            </w:r>
          </w:p>
        </w:tc>
        <w:tc>
          <w:tcPr>
            <w:tcW w:w="24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1,511,182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1,406,537</w:t>
            </w:r>
          </w:p>
        </w:tc>
        <w:tc>
          <w:tcPr>
            <w:tcW w:w="0" w:type="dxa"/>
            <w:vAlign w:val="bottom"/>
          </w:tcPr>
          <w:p>
            <w:pPr>
              <w:spacing w:after="0"/>
              <w:rPr>
                <w:sz w:val="1"/>
                <w:szCs w:val="1"/>
                <w:color w:val="auto"/>
              </w:rPr>
            </w:pPr>
          </w:p>
        </w:tc>
      </w:tr>
      <w:tr>
        <w:trPr>
          <w:trHeight w:val="162"/>
        </w:trPr>
        <w:tc>
          <w:tcPr>
            <w:tcW w:w="84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Customers' advances for construction</w:t>
            </w:r>
          </w:p>
        </w:tc>
        <w:tc>
          <w:tcPr>
            <w:tcW w:w="2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109,457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103,619</w:t>
            </w:r>
          </w:p>
        </w:tc>
        <w:tc>
          <w:tcPr>
            <w:tcW w:w="0" w:type="dxa"/>
            <w:vAlign w:val="bottom"/>
          </w:tcPr>
          <w:p>
            <w:pPr>
              <w:spacing w:after="0"/>
              <w:rPr>
                <w:sz w:val="1"/>
                <w:szCs w:val="1"/>
                <w:color w:val="auto"/>
              </w:rPr>
            </w:pPr>
          </w:p>
        </w:tc>
      </w:tr>
      <w:tr>
        <w:trPr>
          <w:trHeight w:val="162"/>
        </w:trPr>
        <w:tc>
          <w:tcPr>
            <w:tcW w:w="8460" w:type="dxa"/>
            <w:vAlign w:val="bottom"/>
          </w:tcPr>
          <w:p>
            <w:pPr>
              <w:ind w:left="120"/>
              <w:spacing w:after="0" w:line="162" w:lineRule="exact"/>
              <w:rPr>
                <w:sz w:val="20"/>
                <w:szCs w:val="20"/>
                <w:color w:val="auto"/>
              </w:rPr>
            </w:pPr>
            <w:r>
              <w:rPr>
                <w:rFonts w:ascii="Arial" w:cs="Arial" w:eastAsia="Arial" w:hAnsi="Arial"/>
                <w:sz w:val="16"/>
                <w:szCs w:val="16"/>
                <w:color w:val="auto"/>
              </w:rPr>
              <w:t>Regulatory liabilities</w:t>
            </w:r>
          </w:p>
        </w:tc>
        <w:tc>
          <w:tcPr>
            <w:tcW w:w="24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755,651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769,617</w:t>
            </w:r>
          </w:p>
        </w:tc>
        <w:tc>
          <w:tcPr>
            <w:tcW w:w="0" w:type="dxa"/>
            <w:vAlign w:val="bottom"/>
          </w:tcPr>
          <w:p>
            <w:pPr>
              <w:spacing w:after="0"/>
              <w:rPr>
                <w:sz w:val="1"/>
                <w:szCs w:val="1"/>
                <w:color w:val="auto"/>
              </w:rPr>
            </w:pPr>
          </w:p>
        </w:tc>
      </w:tr>
      <w:tr>
        <w:trPr>
          <w:trHeight w:val="162"/>
        </w:trPr>
        <w:tc>
          <w:tcPr>
            <w:tcW w:w="84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Asset retirement obligations</w:t>
            </w:r>
          </w:p>
        </w:tc>
        <w:tc>
          <w:tcPr>
            <w:tcW w:w="2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1,268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1,256</w:t>
            </w:r>
          </w:p>
        </w:tc>
        <w:tc>
          <w:tcPr>
            <w:tcW w:w="0" w:type="dxa"/>
            <w:vAlign w:val="bottom"/>
          </w:tcPr>
          <w:p>
            <w:pPr>
              <w:spacing w:after="0"/>
              <w:rPr>
                <w:sz w:val="1"/>
                <w:szCs w:val="1"/>
                <w:color w:val="auto"/>
              </w:rPr>
            </w:pPr>
          </w:p>
        </w:tc>
      </w:tr>
      <w:tr>
        <w:trPr>
          <w:trHeight w:val="162"/>
        </w:trPr>
        <w:tc>
          <w:tcPr>
            <w:tcW w:w="8460" w:type="dxa"/>
            <w:vAlign w:val="bottom"/>
          </w:tcPr>
          <w:p>
            <w:pPr>
              <w:ind w:left="120"/>
              <w:spacing w:after="0" w:line="162" w:lineRule="exact"/>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41,736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48,230</w:t>
            </w:r>
          </w:p>
        </w:tc>
        <w:tc>
          <w:tcPr>
            <w:tcW w:w="0" w:type="dxa"/>
            <w:vAlign w:val="bottom"/>
          </w:tcPr>
          <w:p>
            <w:pPr>
              <w:spacing w:after="0"/>
              <w:rPr>
                <w:sz w:val="1"/>
                <w:szCs w:val="1"/>
                <w:color w:val="auto"/>
              </w:rPr>
            </w:pPr>
          </w:p>
        </w:tc>
      </w:tr>
      <w:tr>
        <w:trPr>
          <w:trHeight w:val="162"/>
        </w:trPr>
        <w:tc>
          <w:tcPr>
            <w:tcW w:w="84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Pension and other postretirement benefit liabilities</w:t>
            </w:r>
          </w:p>
        </w:tc>
        <w:tc>
          <w:tcPr>
            <w:tcW w:w="2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28,698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50,226</w:t>
            </w:r>
          </w:p>
        </w:tc>
        <w:tc>
          <w:tcPr>
            <w:tcW w:w="0" w:type="dxa"/>
            <w:vAlign w:val="bottom"/>
          </w:tcPr>
          <w:p>
            <w:pPr>
              <w:spacing w:after="0"/>
              <w:rPr>
                <w:sz w:val="1"/>
                <w:szCs w:val="1"/>
                <w:color w:val="auto"/>
              </w:rPr>
            </w:pPr>
          </w:p>
        </w:tc>
      </w:tr>
      <w:tr>
        <w:trPr>
          <w:trHeight w:val="162"/>
        </w:trPr>
        <w:tc>
          <w:tcPr>
            <w:tcW w:w="8460" w:type="dxa"/>
            <w:vAlign w:val="bottom"/>
          </w:tcPr>
          <w:p>
            <w:pPr>
              <w:ind w:left="120"/>
              <w:spacing w:after="0" w:line="162" w:lineRule="exact"/>
              <w:rPr>
                <w:sz w:val="20"/>
                <w:szCs w:val="20"/>
                <w:color w:val="auto"/>
              </w:rPr>
            </w:pPr>
            <w:r>
              <w:rPr>
                <w:rFonts w:ascii="Arial" w:cs="Arial" w:eastAsia="Arial" w:hAnsi="Arial"/>
                <w:sz w:val="16"/>
                <w:szCs w:val="16"/>
                <w:color w:val="auto"/>
              </w:rPr>
              <w:t>Other</w:t>
            </w:r>
          </w:p>
        </w:tc>
        <w:tc>
          <w:tcPr>
            <w:tcW w:w="24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28,328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43,666</w:t>
            </w:r>
          </w:p>
        </w:tc>
        <w:tc>
          <w:tcPr>
            <w:tcW w:w="0" w:type="dxa"/>
            <w:vAlign w:val="bottom"/>
          </w:tcPr>
          <w:p>
            <w:pPr>
              <w:spacing w:after="0"/>
              <w:rPr>
                <w:sz w:val="1"/>
                <w:szCs w:val="1"/>
                <w:color w:val="auto"/>
              </w:rPr>
            </w:pPr>
          </w:p>
        </w:tc>
      </w:tr>
      <w:tr>
        <w:trPr>
          <w:trHeight w:val="155"/>
        </w:trPr>
        <w:tc>
          <w:tcPr>
            <w:tcW w:w="84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Total deferred credits and other liabilities</w:t>
            </w: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2,476,320</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2,423,151</w:t>
            </w:r>
          </w:p>
        </w:tc>
        <w:tc>
          <w:tcPr>
            <w:tcW w:w="0" w:type="dxa"/>
            <w:vAlign w:val="bottom"/>
          </w:tcPr>
          <w:p>
            <w:pPr>
              <w:spacing w:after="0"/>
              <w:rPr>
                <w:sz w:val="1"/>
                <w:szCs w:val="1"/>
                <w:color w:val="auto"/>
              </w:rPr>
            </w:pPr>
          </w:p>
        </w:tc>
      </w:tr>
      <w:tr>
        <w:trPr>
          <w:trHeight w:val="155"/>
        </w:trPr>
        <w:tc>
          <w:tcPr>
            <w:tcW w:w="8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Contributions in aid of construction</w:t>
            </w:r>
          </w:p>
        </w:tc>
        <w:tc>
          <w:tcPr>
            <w:tcW w:w="2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595,951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596,110</w:t>
            </w:r>
          </w:p>
        </w:tc>
        <w:tc>
          <w:tcPr>
            <w:tcW w:w="0" w:type="dxa"/>
            <w:vAlign w:val="bottom"/>
          </w:tcPr>
          <w:p>
            <w:pPr>
              <w:spacing w:after="0"/>
              <w:rPr>
                <w:sz w:val="1"/>
                <w:szCs w:val="1"/>
                <w:color w:val="auto"/>
              </w:rPr>
            </w:pPr>
          </w:p>
        </w:tc>
      </w:tr>
      <w:tr>
        <w:trPr>
          <w:trHeight w:val="155"/>
        </w:trPr>
        <w:tc>
          <w:tcPr>
            <w:tcW w:w="8460" w:type="dxa"/>
            <w:vAlign w:val="bottom"/>
          </w:tcPr>
          <w:p>
            <w:pPr>
              <w:spacing w:after="0" w:line="155" w:lineRule="exact"/>
              <w:rPr>
                <w:sz w:val="20"/>
                <w:szCs w:val="20"/>
                <w:color w:val="auto"/>
              </w:rPr>
            </w:pPr>
            <w:r>
              <w:rPr>
                <w:rFonts w:ascii="Arial" w:cs="Arial" w:eastAsia="Arial" w:hAnsi="Arial"/>
                <w:sz w:val="16"/>
                <w:szCs w:val="16"/>
                <w:color w:val="auto"/>
              </w:rPr>
              <w:t>Total liabilities and equity</w:t>
            </w:r>
          </w:p>
        </w:tc>
        <w:tc>
          <w:tcPr>
            <w:tcW w:w="240" w:type="dxa"/>
            <w:vAlign w:val="bottom"/>
            <w:tcBorders>
              <w:top w:val="single" w:sz="8" w:color="auto"/>
              <w:bottom w:val="single" w:sz="8" w:color="auto"/>
            </w:tcBorders>
          </w:tcPr>
          <w:p>
            <w:pPr>
              <w:jc w:val="right"/>
              <w:ind w:right="84"/>
              <w:spacing w:after="0" w:line="156" w:lineRule="exact"/>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15,046,164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14,658,278</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4" w:name="page5"/>
    <w:bookmarkEnd w:id="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CONSOLIDATED STATEMENTS OF OPERATIONS AND COMPREHENSIVE INCOME</w:t>
      </w:r>
    </w:p>
    <w:p>
      <w:pPr>
        <w:jc w:val="center"/>
        <w:ind w:right="40"/>
        <w:spacing w:after="0" w:line="187" w:lineRule="auto"/>
        <w:rPr>
          <w:sz w:val="20"/>
          <w:szCs w:val="20"/>
          <w:color w:val="auto"/>
        </w:rPr>
      </w:pPr>
      <w:r>
        <w:rPr>
          <w:rFonts w:ascii="Arial" w:cs="Arial" w:eastAsia="Arial" w:hAnsi="Arial"/>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20" w:type="dxa"/>
            <w:vAlign w:val="bottom"/>
            <w:gridSpan w:val="5"/>
          </w:tcPr>
          <w:p>
            <w:pPr>
              <w:jc w:val="right"/>
              <w:ind w:right="792"/>
              <w:spacing w:after="0"/>
              <w:rPr>
                <w:sz w:val="20"/>
                <w:szCs w:val="20"/>
                <w:color w:val="auto"/>
              </w:rPr>
            </w:pPr>
            <w:r>
              <w:rPr>
                <w:rFonts w:ascii="Arial" w:cs="Arial" w:eastAsia="Arial" w:hAnsi="Arial"/>
                <w:sz w:val="22"/>
                <w:szCs w:val="22"/>
                <w:color w:val="auto"/>
              </w:rPr>
              <w:t>Three Months Ended</w:t>
            </w:r>
          </w:p>
        </w:tc>
        <w:tc>
          <w:tcPr>
            <w:tcW w:w="0" w:type="dxa"/>
            <w:vAlign w:val="bottom"/>
          </w:tcPr>
          <w:p>
            <w:pPr>
              <w:spacing w:after="0"/>
              <w:rPr>
                <w:sz w:val="1"/>
                <w:szCs w:val="1"/>
                <w:color w:val="auto"/>
              </w:rPr>
            </w:pPr>
          </w:p>
        </w:tc>
      </w:tr>
      <w:tr>
        <w:trPr>
          <w:trHeight w:val="251"/>
        </w:trPr>
        <w:tc>
          <w:tcPr>
            <w:tcW w:w="58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4"/>
          </w:tcPr>
          <w:p>
            <w:pPr>
              <w:jc w:val="right"/>
              <w:ind w:right="124"/>
              <w:spacing w:after="0" w:line="251" w:lineRule="exact"/>
              <w:rPr>
                <w:sz w:val="20"/>
                <w:szCs w:val="20"/>
                <w:color w:val="auto"/>
              </w:rPr>
            </w:pPr>
            <w:r>
              <w:rPr>
                <w:rFonts w:ascii="Arial" w:cs="Arial" w:eastAsia="Arial" w:hAnsi="Arial"/>
                <w:sz w:val="22"/>
                <w:szCs w:val="22"/>
                <w:color w:val="auto"/>
              </w:rPr>
              <w:t>June 30,</w:t>
            </w: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2"/>
              <w:spacing w:after="0" w:line="223" w:lineRule="exact"/>
              <w:rPr>
                <w:sz w:val="20"/>
                <w:szCs w:val="20"/>
                <w:color w:val="auto"/>
              </w:rPr>
            </w:pPr>
            <w:r>
              <w:rPr>
                <w:rFonts w:ascii="Arial" w:cs="Arial" w:eastAsia="Arial" w:hAnsi="Arial"/>
                <w:sz w:val="22"/>
                <w:szCs w:val="22"/>
                <w:color w:val="auto"/>
              </w:rPr>
              <w:t>2022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2"/>
              <w:spacing w:after="0" w:line="223" w:lineRule="exact"/>
              <w:rPr>
                <w:sz w:val="20"/>
                <w:szCs w:val="20"/>
                <w:color w:val="auto"/>
              </w:rPr>
            </w:pPr>
            <w:r>
              <w:rPr>
                <w:rFonts w:ascii="Arial" w:cs="Arial" w:eastAsia="Arial" w:hAnsi="Arial"/>
                <w:sz w:val="22"/>
                <w:szCs w:val="22"/>
                <w:color w:val="auto"/>
              </w:rPr>
              <w:t>2021</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Operating revenues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9"/>
                <w:szCs w:val="19"/>
                <w:color w:val="auto"/>
                <w:w w:val="75"/>
              </w:rPr>
              <w:t>$</w:t>
            </w:r>
          </w:p>
        </w:tc>
        <w:tc>
          <w:tcPr>
            <w:tcW w:w="13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448,756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397,032</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Operating expenses: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Arial" w:cs="Arial" w:eastAsia="Arial" w:hAnsi="Arial"/>
                <w:sz w:val="22"/>
                <w:szCs w:val="22"/>
                <w:color w:val="auto"/>
              </w:rPr>
              <w:t>Operations and maintenance</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Arial" w:cs="Arial" w:eastAsia="Arial" w:hAnsi="Arial"/>
                <w:sz w:val="22"/>
                <w:szCs w:val="22"/>
                <w:color w:val="auto"/>
              </w:rPr>
              <w:t>134,981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Arial" w:cs="Arial" w:eastAsia="Arial" w:hAnsi="Arial"/>
                <w:sz w:val="22"/>
                <w:szCs w:val="22"/>
                <w:color w:val="auto"/>
              </w:rPr>
              <w:t>127,515</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Purchased gas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75,143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44,897</w:t>
            </w: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Arial" w:cs="Arial" w:eastAsia="Arial" w:hAnsi="Arial"/>
                <w:sz w:val="22"/>
                <w:szCs w:val="22"/>
                <w:color w:val="auto"/>
              </w:rPr>
              <w:t>Depreciation</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Arial" w:cs="Arial" w:eastAsia="Arial" w:hAnsi="Arial"/>
                <w:sz w:val="22"/>
                <w:szCs w:val="22"/>
                <w:color w:val="auto"/>
              </w:rPr>
              <w:t>77,425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Arial" w:cs="Arial" w:eastAsia="Arial" w:hAnsi="Arial"/>
                <w:sz w:val="22"/>
                <w:szCs w:val="22"/>
                <w:color w:val="auto"/>
              </w:rPr>
              <w:t>72,764</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Amortization</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1,751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1,408</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120"/>
              <w:spacing w:after="0" w:line="229" w:lineRule="exact"/>
              <w:rPr>
                <w:sz w:val="20"/>
                <w:szCs w:val="20"/>
                <w:color w:val="auto"/>
              </w:rPr>
            </w:pPr>
            <w:r>
              <w:rPr>
                <w:rFonts w:ascii="Arial" w:cs="Arial" w:eastAsia="Arial" w:hAnsi="Arial"/>
                <w:sz w:val="22"/>
                <w:szCs w:val="22"/>
                <w:color w:val="auto"/>
              </w:rPr>
              <w:t>Taxes other than income taxes</w:t>
            </w: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21,720</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21,120</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Total operating expenses</w:t>
            </w:r>
          </w:p>
        </w:tc>
        <w:tc>
          <w:tcPr>
            <w:tcW w:w="17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311,020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267,704</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Operating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137,736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129,328</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Other expense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20"/>
              <w:spacing w:after="0" w:line="229" w:lineRule="exact"/>
              <w:rPr>
                <w:sz w:val="20"/>
                <w:szCs w:val="20"/>
                <w:color w:val="auto"/>
              </w:rPr>
            </w:pPr>
            <w:r>
              <w:rPr>
                <w:rFonts w:ascii="Arial" w:cs="Arial" w:eastAsia="Arial" w:hAnsi="Arial"/>
                <w:sz w:val="22"/>
                <w:szCs w:val="22"/>
                <w:color w:val="auto"/>
              </w:rPr>
              <w:t>Interest expense</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Arial" w:cs="Arial" w:eastAsia="Arial" w:hAnsi="Arial"/>
                <w:sz w:val="22"/>
                <w:szCs w:val="22"/>
                <w:color w:val="auto"/>
              </w:rPr>
              <w:t>55,221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Arial" w:cs="Arial" w:eastAsia="Arial" w:hAnsi="Arial"/>
                <w:sz w:val="22"/>
                <w:szCs w:val="22"/>
                <w:color w:val="auto"/>
              </w:rPr>
              <w:t>52,036</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Interest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(824)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(338)</w:t>
            </w: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Arial" w:cs="Arial" w:eastAsia="Arial" w:hAnsi="Arial"/>
                <w:sz w:val="22"/>
                <w:szCs w:val="22"/>
                <w:color w:val="auto"/>
              </w:rPr>
              <w:t>Allowance for funds used during construction</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Arial" w:cs="Arial" w:eastAsia="Arial" w:hAnsi="Arial"/>
                <w:sz w:val="22"/>
                <w:szCs w:val="22"/>
                <w:color w:val="auto"/>
              </w:rPr>
              <w:t>(6,151)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Arial" w:cs="Arial" w:eastAsia="Arial" w:hAnsi="Arial"/>
                <w:sz w:val="22"/>
                <w:szCs w:val="22"/>
                <w:color w:val="auto"/>
              </w:rPr>
              <w:t>(4,906)</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Gain on sale of other assets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(478)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(223)</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120"/>
              <w:spacing w:after="0" w:line="229" w:lineRule="exact"/>
              <w:rPr>
                <w:sz w:val="20"/>
                <w:szCs w:val="20"/>
                <w:color w:val="auto"/>
              </w:rPr>
            </w:pPr>
            <w:r>
              <w:rPr>
                <w:rFonts w:ascii="Arial" w:cs="Arial" w:eastAsia="Arial" w:hAnsi="Arial"/>
                <w:sz w:val="22"/>
                <w:szCs w:val="22"/>
                <w:color w:val="auto"/>
              </w:rPr>
              <w:t>Other</w:t>
            </w: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(423)</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(1,941)</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Income before income taxes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90,391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84,700</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spacing w:after="0" w:line="229" w:lineRule="exact"/>
              <w:rPr>
                <w:sz w:val="20"/>
                <w:szCs w:val="20"/>
                <w:color w:val="auto"/>
              </w:rPr>
            </w:pPr>
            <w:r>
              <w:rPr>
                <w:rFonts w:ascii="Arial" w:cs="Arial" w:eastAsia="Arial" w:hAnsi="Arial"/>
                <w:sz w:val="22"/>
                <w:szCs w:val="22"/>
                <w:color w:val="auto"/>
              </w:rPr>
              <w:t>Provision for income taxes</w:t>
            </w: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8,100</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3,786</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Net income</w:t>
            </w:r>
          </w:p>
        </w:tc>
        <w:tc>
          <w:tcPr>
            <w:tcW w:w="17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9"/>
                <w:szCs w:val="19"/>
                <w:color w:val="auto"/>
                <w:w w:val="75"/>
              </w:rPr>
              <w:t>$</w:t>
            </w:r>
          </w:p>
        </w:tc>
        <w:tc>
          <w:tcPr>
            <w:tcW w:w="13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82,291</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80,914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Comprehensive income</w:t>
            </w:r>
          </w:p>
        </w:tc>
        <w:tc>
          <w:tcPr>
            <w:tcW w:w="2160" w:type="dxa"/>
            <w:vAlign w:val="bottom"/>
            <w:gridSpan w:val="2"/>
            <w:shd w:val="clear" w:color="auto" w:fill="CCEEFF"/>
          </w:tcPr>
          <w:p>
            <w:pPr>
              <w:jc w:val="right"/>
              <w:ind w:right="183"/>
              <w:spacing w:after="0" w:line="229" w:lineRule="exact"/>
              <w:rPr>
                <w:sz w:val="20"/>
                <w:szCs w:val="20"/>
                <w:color w:val="auto"/>
              </w:rPr>
            </w:pPr>
            <w:r>
              <w:rPr>
                <w:rFonts w:ascii="Arial" w:cs="Arial" w:eastAsia="Arial" w:hAnsi="Arial"/>
                <w:sz w:val="22"/>
                <w:szCs w:val="22"/>
                <w:color w:val="auto"/>
              </w:rPr>
              <w:t>$</w:t>
            </w: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82,291</w:t>
            </w:r>
          </w:p>
        </w:tc>
        <w:tc>
          <w:tcPr>
            <w:tcW w:w="2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44"/>
              <w:spacing w:after="0"/>
              <w:rPr>
                <w:sz w:val="20"/>
                <w:szCs w:val="20"/>
                <w:color w:val="auto"/>
              </w:rPr>
            </w:pPr>
            <w:r>
              <w:rPr>
                <w:rFonts w:ascii="Arial" w:cs="Arial" w:eastAsia="Arial" w:hAnsi="Arial"/>
                <w:sz w:val="19"/>
                <w:szCs w:val="19"/>
                <w:color w:val="auto"/>
                <w:w w:val="75"/>
              </w:rPr>
              <w:t>$</w:t>
            </w:r>
          </w:p>
        </w:tc>
        <w:tc>
          <w:tcPr>
            <w:tcW w:w="12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80,914</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2"/>
                <w:szCs w:val="22"/>
                <w:color w:val="auto"/>
              </w:rPr>
              <w:t>Net income per common share:</w:t>
            </w:r>
          </w:p>
        </w:tc>
        <w:tc>
          <w:tcPr>
            <w:tcW w:w="1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6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Basic</w:t>
            </w:r>
          </w:p>
        </w:tc>
        <w:tc>
          <w:tcPr>
            <w:tcW w:w="2160" w:type="dxa"/>
            <w:vAlign w:val="bottom"/>
            <w:gridSpan w:val="2"/>
            <w:shd w:val="clear" w:color="auto" w:fill="CCEEFF"/>
          </w:tcPr>
          <w:p>
            <w:pPr>
              <w:jc w:val="right"/>
              <w:ind w:right="183"/>
              <w:spacing w:after="0" w:line="229" w:lineRule="exact"/>
              <w:rPr>
                <w:sz w:val="20"/>
                <w:szCs w:val="20"/>
                <w:color w:val="auto"/>
              </w:rPr>
            </w:pPr>
            <w:r>
              <w:rPr>
                <w:rFonts w:ascii="Arial" w:cs="Arial" w:eastAsia="Arial" w:hAnsi="Arial"/>
                <w:sz w:val="22"/>
                <w:szCs w:val="22"/>
                <w:color w:val="auto"/>
              </w:rPr>
              <w:t>$</w:t>
            </w: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0.31</w:t>
            </w:r>
          </w:p>
        </w:tc>
        <w:tc>
          <w:tcPr>
            <w:tcW w:w="2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44"/>
              <w:spacing w:after="0"/>
              <w:rPr>
                <w:sz w:val="20"/>
                <w:szCs w:val="20"/>
                <w:color w:val="auto"/>
              </w:rPr>
            </w:pPr>
            <w:r>
              <w:rPr>
                <w:rFonts w:ascii="Arial" w:cs="Arial" w:eastAsia="Arial" w:hAnsi="Arial"/>
                <w:sz w:val="19"/>
                <w:szCs w:val="19"/>
                <w:color w:val="auto"/>
                <w:w w:val="75"/>
              </w:rPr>
              <w:t>$</w:t>
            </w:r>
          </w:p>
        </w:tc>
        <w:tc>
          <w:tcPr>
            <w:tcW w:w="12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0.32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120"/>
              <w:spacing w:after="0" w:line="250" w:lineRule="exact"/>
              <w:rPr>
                <w:sz w:val="20"/>
                <w:szCs w:val="20"/>
                <w:color w:val="auto"/>
              </w:rPr>
            </w:pPr>
            <w:r>
              <w:rPr>
                <w:rFonts w:ascii="Arial" w:cs="Arial" w:eastAsia="Arial" w:hAnsi="Arial"/>
                <w:sz w:val="22"/>
                <w:szCs w:val="22"/>
                <w:color w:val="auto"/>
              </w:rPr>
              <w:t>Diluted</w:t>
            </w:r>
          </w:p>
        </w:tc>
        <w:tc>
          <w:tcPr>
            <w:tcW w:w="178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380" w:type="dxa"/>
            <w:vAlign w:val="bottom"/>
            <w:tcBorders>
              <w:bottom w:val="single" w:sz="8" w:color="auto"/>
            </w:tcBorders>
          </w:tcPr>
          <w:p>
            <w:pPr>
              <w:jc w:val="right"/>
              <w:ind w:right="183"/>
              <w:spacing w:after="0" w:line="210" w:lineRule="exact"/>
              <w:rPr>
                <w:sz w:val="20"/>
                <w:szCs w:val="20"/>
                <w:color w:val="auto"/>
              </w:rPr>
            </w:pPr>
            <w:r>
              <w:rPr>
                <w:rFonts w:ascii="Arial" w:cs="Arial" w:eastAsia="Arial" w:hAnsi="Arial"/>
                <w:sz w:val="19"/>
                <w:szCs w:val="19"/>
                <w:color w:val="auto"/>
                <w:w w:val="75"/>
              </w:rPr>
              <w:t>$</w:t>
            </w:r>
          </w:p>
        </w:tc>
        <w:tc>
          <w:tcPr>
            <w:tcW w:w="13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2"/>
                <w:szCs w:val="22"/>
                <w:color w:val="auto"/>
              </w:rPr>
              <w:t>0.31</w:t>
            </w:r>
          </w:p>
        </w:tc>
        <w:tc>
          <w:tcPr>
            <w:tcW w:w="220" w:type="dxa"/>
            <w:vAlign w:val="bottom"/>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2"/>
                <w:szCs w:val="22"/>
                <w:color w:val="auto"/>
              </w:rPr>
              <w:t>0.32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40" w:type="dxa"/>
            <w:vAlign w:val="bottom"/>
          </w:tcPr>
          <w:p>
            <w:pPr>
              <w:spacing w:after="0"/>
              <w:rPr>
                <w:sz w:val="20"/>
                <w:szCs w:val="20"/>
                <w:color w:val="auto"/>
              </w:rPr>
            </w:pPr>
            <w:r>
              <w:rPr>
                <w:rFonts w:ascii="Arial" w:cs="Arial" w:eastAsia="Arial" w:hAnsi="Arial"/>
                <w:sz w:val="22"/>
                <w:szCs w:val="22"/>
                <w:color w:val="auto"/>
              </w:rPr>
              <w:t>Average common shares outstanding during the period:</w:t>
            </w: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shd w:val="clear" w:color="auto" w:fill="CCEEFF"/>
          </w:tcPr>
          <w:p>
            <w:pPr>
              <w:ind w:left="120"/>
              <w:spacing w:after="0" w:line="229" w:lineRule="exact"/>
              <w:rPr>
                <w:sz w:val="20"/>
                <w:szCs w:val="20"/>
                <w:color w:val="auto"/>
              </w:rPr>
            </w:pPr>
            <w:r>
              <w:rPr>
                <w:rFonts w:ascii="Arial" w:cs="Arial" w:eastAsia="Arial" w:hAnsi="Arial"/>
                <w:sz w:val="22"/>
                <w:szCs w:val="22"/>
                <w:color w:val="auto"/>
              </w:rPr>
              <w:t>Basic</w:t>
            </w:r>
          </w:p>
        </w:tc>
        <w:tc>
          <w:tcPr>
            <w:tcW w:w="17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262,099</w:t>
            </w:r>
          </w:p>
        </w:tc>
        <w:tc>
          <w:tcPr>
            <w:tcW w:w="2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2"/>
              <w:spacing w:after="0" w:line="229" w:lineRule="exact"/>
              <w:rPr>
                <w:sz w:val="20"/>
                <w:szCs w:val="20"/>
                <w:color w:val="auto"/>
              </w:rPr>
            </w:pPr>
            <w:r>
              <w:rPr>
                <w:rFonts w:ascii="Arial" w:cs="Arial" w:eastAsia="Arial" w:hAnsi="Arial"/>
                <w:sz w:val="22"/>
                <w:szCs w:val="22"/>
                <w:color w:val="auto"/>
              </w:rPr>
              <w:t>254,769</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120"/>
              <w:spacing w:after="0" w:line="250" w:lineRule="exact"/>
              <w:rPr>
                <w:sz w:val="20"/>
                <w:szCs w:val="20"/>
                <w:color w:val="auto"/>
              </w:rPr>
            </w:pPr>
            <w:r>
              <w:rPr>
                <w:rFonts w:ascii="Arial" w:cs="Arial" w:eastAsia="Arial" w:hAnsi="Arial"/>
                <w:sz w:val="22"/>
                <w:szCs w:val="22"/>
                <w:color w:val="auto"/>
              </w:rPr>
              <w:t>Diluted</w:t>
            </w: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17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2"/>
                <w:szCs w:val="22"/>
                <w:color w:val="auto"/>
              </w:rPr>
              <w:t>262,558</w:t>
            </w:r>
          </w:p>
        </w:tc>
        <w:tc>
          <w:tcPr>
            <w:tcW w:w="220" w:type="dxa"/>
            <w:vAlign w:val="bottom"/>
          </w:tcPr>
          <w:p>
            <w:pPr>
              <w:spacing w:after="0"/>
              <w:rPr>
                <w:sz w:val="18"/>
                <w:szCs w:val="18"/>
                <w:color w:val="auto"/>
              </w:rPr>
            </w:pPr>
          </w:p>
        </w:tc>
        <w:tc>
          <w:tcPr>
            <w:tcW w:w="1660" w:type="dxa"/>
            <w:vAlign w:val="bottom"/>
            <w:tcBorders>
              <w:bottom w:val="single" w:sz="8" w:color="auto"/>
            </w:tcBorders>
          </w:tcPr>
          <w:p>
            <w:pPr>
              <w:jc w:val="right"/>
              <w:ind w:right="12"/>
              <w:spacing w:after="0" w:line="210" w:lineRule="exact"/>
              <w:rPr>
                <w:sz w:val="20"/>
                <w:szCs w:val="20"/>
                <w:color w:val="auto"/>
              </w:rPr>
            </w:pPr>
            <w:r>
              <w:rPr>
                <w:rFonts w:ascii="Arial" w:cs="Arial" w:eastAsia="Arial" w:hAnsi="Arial"/>
                <w:sz w:val="22"/>
                <w:szCs w:val="22"/>
                <w:color w:val="auto"/>
              </w:rPr>
              <w:t>255,441</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5" w:name="page6"/>
    <w:bookmarkEnd w:id="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CONSOLIDATED STATEMENTS OF OPERATIONS AND COMPREHENSIVE INCOME</w:t>
      </w:r>
    </w:p>
    <w:p>
      <w:pPr>
        <w:jc w:val="center"/>
        <w:ind w:right="40"/>
        <w:spacing w:after="0" w:line="187" w:lineRule="auto"/>
        <w:rPr>
          <w:sz w:val="20"/>
          <w:szCs w:val="20"/>
          <w:color w:val="auto"/>
        </w:rPr>
      </w:pPr>
      <w:r>
        <w:rPr>
          <w:rFonts w:ascii="Arial" w:cs="Arial" w:eastAsia="Arial" w:hAnsi="Arial"/>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40" w:type="dxa"/>
            <w:vAlign w:val="bottom"/>
            <w:gridSpan w:val="3"/>
          </w:tcPr>
          <w:p>
            <w:pPr>
              <w:jc w:val="right"/>
              <w:spacing w:after="0"/>
              <w:rPr>
                <w:sz w:val="20"/>
                <w:szCs w:val="20"/>
                <w:color w:val="auto"/>
              </w:rPr>
            </w:pPr>
            <w:r>
              <w:rPr>
                <w:rFonts w:ascii="Arial" w:cs="Arial" w:eastAsia="Arial" w:hAnsi="Arial"/>
                <w:sz w:val="22"/>
                <w:szCs w:val="22"/>
                <w:color w:val="auto"/>
              </w:rPr>
              <w:t>Six Months Ended</w:t>
            </w:r>
          </w:p>
        </w:tc>
        <w:tc>
          <w:tcPr>
            <w:tcW w:w="1040" w:type="dxa"/>
            <w:vAlign w:val="bottom"/>
          </w:tcPr>
          <w:p>
            <w:pPr>
              <w:spacing w:after="0"/>
              <w:rPr>
                <w:sz w:val="21"/>
                <w:szCs w:val="21"/>
                <w:color w:val="auto"/>
              </w:rPr>
            </w:pPr>
          </w:p>
        </w:tc>
      </w:tr>
      <w:tr>
        <w:trPr>
          <w:trHeight w:val="251"/>
        </w:trPr>
        <w:tc>
          <w:tcPr>
            <w:tcW w:w="6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right"/>
              <w:ind w:right="343"/>
              <w:spacing w:after="0" w:line="251" w:lineRule="exact"/>
              <w:rPr>
                <w:sz w:val="20"/>
                <w:szCs w:val="20"/>
                <w:color w:val="auto"/>
              </w:rPr>
            </w:pPr>
            <w:r>
              <w:rPr>
                <w:rFonts w:ascii="Arial" w:cs="Arial" w:eastAsia="Arial" w:hAnsi="Arial"/>
                <w:sz w:val="22"/>
                <w:szCs w:val="22"/>
                <w:color w:val="auto"/>
              </w:rPr>
              <w:t>June 30,</w:t>
            </w:r>
          </w:p>
        </w:tc>
        <w:tc>
          <w:tcPr>
            <w:tcW w:w="1040" w:type="dxa"/>
            <w:vAlign w:val="bottom"/>
            <w:tcBorders>
              <w:bottom w:val="single" w:sz="8" w:color="auto"/>
            </w:tcBorders>
          </w:tcPr>
          <w:p>
            <w:pPr>
              <w:spacing w:after="0"/>
              <w:rPr>
                <w:sz w:val="21"/>
                <w:szCs w:val="21"/>
                <w:color w:val="auto"/>
              </w:rPr>
            </w:pPr>
          </w:p>
        </w:tc>
      </w:tr>
      <w:tr>
        <w:trPr>
          <w:trHeight w:val="263"/>
        </w:trPr>
        <w:tc>
          <w:tcPr>
            <w:tcW w:w="618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12"/>
              <w:spacing w:after="0"/>
              <w:rPr>
                <w:sz w:val="20"/>
                <w:szCs w:val="20"/>
                <w:color w:val="auto"/>
              </w:rPr>
            </w:pPr>
            <w:r>
              <w:rPr>
                <w:rFonts w:ascii="Arial" w:cs="Arial" w:eastAsia="Arial" w:hAnsi="Arial"/>
                <w:sz w:val="22"/>
                <w:szCs w:val="22"/>
                <w:color w:val="auto"/>
              </w:rPr>
              <w:t>2022</w:t>
            </w:r>
          </w:p>
        </w:tc>
        <w:tc>
          <w:tcPr>
            <w:tcW w:w="2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color w:val="auto"/>
                <w:w w:val="85"/>
              </w:rPr>
              <w:t>2021</w:t>
            </w:r>
          </w:p>
        </w:tc>
      </w:tr>
      <w:tr>
        <w:trPr>
          <w:trHeight w:val="263"/>
        </w:trPr>
        <w:tc>
          <w:tcPr>
            <w:tcW w:w="6180" w:type="dxa"/>
            <w:vAlign w:val="bottom"/>
            <w:shd w:val="clear" w:color="auto" w:fill="CCEEFF"/>
          </w:tcPr>
          <w:p>
            <w:pPr>
              <w:spacing w:after="0"/>
              <w:rPr>
                <w:sz w:val="20"/>
                <w:szCs w:val="20"/>
                <w:color w:val="auto"/>
              </w:rPr>
            </w:pPr>
            <w:r>
              <w:rPr>
                <w:rFonts w:ascii="Arial" w:cs="Arial" w:eastAsia="Arial" w:hAnsi="Arial"/>
                <w:sz w:val="22"/>
                <w:szCs w:val="22"/>
                <w:color w:val="auto"/>
              </w:rPr>
              <w:t>Operating revenues</w:t>
            </w:r>
          </w:p>
        </w:tc>
        <w:tc>
          <w:tcPr>
            <w:tcW w:w="1780" w:type="dxa"/>
            <w:vAlign w:val="bottom"/>
            <w:gridSpan w:val="2"/>
            <w:shd w:val="clear" w:color="auto" w:fill="CCEEFF"/>
          </w:tcPr>
          <w:p>
            <w:pPr>
              <w:jc w:val="right"/>
              <w:ind w:right="203"/>
              <w:spacing w:after="0"/>
              <w:rPr>
                <w:sz w:val="20"/>
                <w:szCs w:val="20"/>
                <w:color w:val="auto"/>
              </w:rPr>
            </w:pPr>
            <w:r>
              <w:rPr>
                <w:rFonts w:ascii="Arial" w:cs="Arial" w:eastAsia="Arial" w:hAnsi="Arial"/>
                <w:sz w:val="22"/>
                <w:szCs w:val="22"/>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1,148,031</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83"/>
              <w:spacing w:after="0"/>
              <w:rPr>
                <w:sz w:val="20"/>
                <w:szCs w:val="20"/>
                <w:color w:val="auto"/>
              </w:rPr>
            </w:pPr>
            <w:r>
              <w:rPr>
                <w:rFonts w:ascii="Arial" w:cs="Arial" w:eastAsia="Arial" w:hAnsi="Arial"/>
                <w:sz w:val="19"/>
                <w:szCs w:val="19"/>
                <w:color w:val="auto"/>
                <w:w w:val="7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980,597</w:t>
            </w:r>
          </w:p>
        </w:tc>
      </w:tr>
      <w:tr>
        <w:trPr>
          <w:trHeight w:val="284"/>
        </w:trPr>
        <w:tc>
          <w:tcPr>
            <w:tcW w:w="6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3"/>
        </w:trPr>
        <w:tc>
          <w:tcPr>
            <w:tcW w:w="6180" w:type="dxa"/>
            <w:vAlign w:val="bottom"/>
            <w:shd w:val="clear" w:color="auto" w:fill="CCEEFF"/>
          </w:tcPr>
          <w:p>
            <w:pPr>
              <w:spacing w:after="0"/>
              <w:rPr>
                <w:sz w:val="20"/>
                <w:szCs w:val="20"/>
                <w:color w:val="auto"/>
              </w:rPr>
            </w:pPr>
            <w:r>
              <w:rPr>
                <w:rFonts w:ascii="Arial" w:cs="Arial" w:eastAsia="Arial" w:hAnsi="Arial"/>
                <w:sz w:val="22"/>
                <w:szCs w:val="22"/>
                <w:color w:val="auto"/>
              </w:rPr>
              <w:t>Operating expenses:</w:t>
            </w: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83"/>
        </w:trPr>
        <w:tc>
          <w:tcPr>
            <w:tcW w:w="6180" w:type="dxa"/>
            <w:vAlign w:val="bottom"/>
          </w:tcPr>
          <w:p>
            <w:pPr>
              <w:ind w:left="120"/>
              <w:spacing w:after="0"/>
              <w:rPr>
                <w:sz w:val="20"/>
                <w:szCs w:val="20"/>
                <w:color w:val="auto"/>
              </w:rPr>
            </w:pPr>
            <w:r>
              <w:rPr>
                <w:rFonts w:ascii="Arial" w:cs="Arial" w:eastAsia="Arial" w:hAnsi="Arial"/>
                <w:sz w:val="22"/>
                <w:szCs w:val="22"/>
                <w:color w:val="auto"/>
              </w:rPr>
              <w:t>Operations and maintenance</w:t>
            </w: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277,562</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252,590</w:t>
            </w:r>
          </w:p>
        </w:tc>
      </w:tr>
      <w:tr>
        <w:trPr>
          <w:trHeight w:val="283"/>
        </w:trPr>
        <w:tc>
          <w:tcPr>
            <w:tcW w:w="61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Purchased gas</w:t>
            </w: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302,855</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177,050</w:t>
            </w:r>
          </w:p>
        </w:tc>
      </w:tr>
      <w:tr>
        <w:trPr>
          <w:trHeight w:val="283"/>
        </w:trPr>
        <w:tc>
          <w:tcPr>
            <w:tcW w:w="6180" w:type="dxa"/>
            <w:vAlign w:val="bottom"/>
          </w:tcPr>
          <w:p>
            <w:pPr>
              <w:ind w:left="120"/>
              <w:spacing w:after="0"/>
              <w:rPr>
                <w:sz w:val="20"/>
                <w:szCs w:val="20"/>
                <w:color w:val="auto"/>
              </w:rPr>
            </w:pPr>
            <w:r>
              <w:rPr>
                <w:rFonts w:ascii="Arial" w:cs="Arial" w:eastAsia="Arial" w:hAnsi="Arial"/>
                <w:sz w:val="22"/>
                <w:szCs w:val="22"/>
                <w:color w:val="auto"/>
              </w:rPr>
              <w:t>Depreciation</w:t>
            </w: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155,303</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144,401</w:t>
            </w:r>
          </w:p>
        </w:tc>
      </w:tr>
      <w:tr>
        <w:trPr>
          <w:trHeight w:val="283"/>
        </w:trPr>
        <w:tc>
          <w:tcPr>
            <w:tcW w:w="61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Amortization</w:t>
            </w: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2,219</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2,715</w:t>
            </w:r>
          </w:p>
        </w:tc>
      </w:tr>
      <w:tr>
        <w:trPr>
          <w:trHeight w:val="284"/>
        </w:trPr>
        <w:tc>
          <w:tcPr>
            <w:tcW w:w="6180" w:type="dxa"/>
            <w:vAlign w:val="bottom"/>
            <w:tcBorders>
              <w:bottom w:val="single" w:sz="8" w:color="CCEEFF"/>
            </w:tcBorders>
          </w:tcPr>
          <w:p>
            <w:pPr>
              <w:ind w:left="120"/>
              <w:spacing w:after="0"/>
              <w:rPr>
                <w:sz w:val="20"/>
                <w:szCs w:val="20"/>
                <w:color w:val="auto"/>
              </w:rPr>
            </w:pPr>
            <w:r>
              <w:rPr>
                <w:rFonts w:ascii="Arial" w:cs="Arial" w:eastAsia="Arial" w:hAnsi="Arial"/>
                <w:sz w:val="22"/>
                <w:szCs w:val="22"/>
                <w:color w:val="auto"/>
              </w:rPr>
              <w:t>Taxes other than income taxes</w:t>
            </w:r>
          </w:p>
        </w:tc>
        <w:tc>
          <w:tcPr>
            <w:tcW w:w="13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44,727</w:t>
            </w:r>
          </w:p>
        </w:tc>
        <w:tc>
          <w:tcPr>
            <w:tcW w:w="2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42,161</w:t>
            </w:r>
          </w:p>
        </w:tc>
      </w:tr>
      <w:tr>
        <w:trPr>
          <w:trHeight w:val="263"/>
        </w:trPr>
        <w:tc>
          <w:tcPr>
            <w:tcW w:w="6180" w:type="dxa"/>
            <w:vAlign w:val="bottom"/>
            <w:shd w:val="clear" w:color="auto" w:fill="CCEEFF"/>
          </w:tcPr>
          <w:p>
            <w:pPr>
              <w:spacing w:after="0"/>
              <w:rPr>
                <w:sz w:val="20"/>
                <w:szCs w:val="20"/>
                <w:color w:val="auto"/>
              </w:rPr>
            </w:pPr>
            <w:r>
              <w:rPr>
                <w:rFonts w:ascii="Arial" w:cs="Arial" w:eastAsia="Arial" w:hAnsi="Arial"/>
                <w:sz w:val="22"/>
                <w:szCs w:val="22"/>
                <w:color w:val="auto"/>
              </w:rPr>
              <w:t>Total operating expenses</w:t>
            </w:r>
          </w:p>
        </w:tc>
        <w:tc>
          <w:tcPr>
            <w:tcW w:w="13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782,666</w:t>
            </w:r>
          </w:p>
        </w:tc>
        <w:tc>
          <w:tcPr>
            <w:tcW w:w="2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618,917</w:t>
            </w:r>
          </w:p>
        </w:tc>
      </w:tr>
      <w:tr>
        <w:trPr>
          <w:trHeight w:val="223"/>
        </w:trPr>
        <w:tc>
          <w:tcPr>
            <w:tcW w:w="6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84"/>
        </w:trPr>
        <w:tc>
          <w:tcPr>
            <w:tcW w:w="6180" w:type="dxa"/>
            <w:vAlign w:val="bottom"/>
            <w:shd w:val="clear" w:color="auto" w:fill="CCEEFF"/>
          </w:tcPr>
          <w:p>
            <w:pPr>
              <w:spacing w:after="0"/>
              <w:rPr>
                <w:sz w:val="20"/>
                <w:szCs w:val="20"/>
                <w:color w:val="auto"/>
              </w:rPr>
            </w:pPr>
            <w:r>
              <w:rPr>
                <w:rFonts w:ascii="Arial" w:cs="Arial" w:eastAsia="Arial" w:hAnsi="Arial"/>
                <w:sz w:val="22"/>
                <w:szCs w:val="22"/>
                <w:color w:val="auto"/>
              </w:rPr>
              <w:t>Operating income</w:t>
            </w: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365,365</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361,680</w:t>
            </w:r>
          </w:p>
        </w:tc>
      </w:tr>
      <w:tr>
        <w:trPr>
          <w:trHeight w:val="229"/>
        </w:trPr>
        <w:tc>
          <w:tcPr>
            <w:tcW w:w="6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83"/>
        </w:trPr>
        <w:tc>
          <w:tcPr>
            <w:tcW w:w="6180" w:type="dxa"/>
            <w:vAlign w:val="bottom"/>
            <w:shd w:val="clear" w:color="auto" w:fill="CCEEFF"/>
          </w:tcPr>
          <w:p>
            <w:pPr>
              <w:spacing w:after="0"/>
              <w:rPr>
                <w:sz w:val="20"/>
                <w:szCs w:val="20"/>
                <w:color w:val="auto"/>
              </w:rPr>
            </w:pPr>
            <w:r>
              <w:rPr>
                <w:rFonts w:ascii="Arial" w:cs="Arial" w:eastAsia="Arial" w:hAnsi="Arial"/>
                <w:sz w:val="22"/>
                <w:szCs w:val="22"/>
                <w:color w:val="auto"/>
              </w:rPr>
              <w:t>Other expense (income):</w:t>
            </w: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83"/>
        </w:trPr>
        <w:tc>
          <w:tcPr>
            <w:tcW w:w="6180" w:type="dxa"/>
            <w:vAlign w:val="bottom"/>
          </w:tcPr>
          <w:p>
            <w:pPr>
              <w:ind w:left="120"/>
              <w:spacing w:after="0"/>
              <w:rPr>
                <w:sz w:val="20"/>
                <w:szCs w:val="20"/>
                <w:color w:val="auto"/>
              </w:rPr>
            </w:pPr>
            <w:r>
              <w:rPr>
                <w:rFonts w:ascii="Arial" w:cs="Arial" w:eastAsia="Arial" w:hAnsi="Arial"/>
                <w:sz w:val="22"/>
                <w:szCs w:val="22"/>
                <w:color w:val="auto"/>
              </w:rPr>
              <w:t>Interest expense</w:t>
            </w: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108,857</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102,805</w:t>
            </w:r>
          </w:p>
        </w:tc>
      </w:tr>
      <w:tr>
        <w:trPr>
          <w:trHeight w:val="284"/>
        </w:trPr>
        <w:tc>
          <w:tcPr>
            <w:tcW w:w="61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Interest income</w:t>
            </w: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(1,433)</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(725)</w:t>
            </w:r>
          </w:p>
        </w:tc>
      </w:tr>
      <w:tr>
        <w:trPr>
          <w:trHeight w:val="283"/>
        </w:trPr>
        <w:tc>
          <w:tcPr>
            <w:tcW w:w="6180" w:type="dxa"/>
            <w:vAlign w:val="bottom"/>
          </w:tcPr>
          <w:p>
            <w:pPr>
              <w:ind w:left="120"/>
              <w:spacing w:after="0"/>
              <w:rPr>
                <w:sz w:val="20"/>
                <w:szCs w:val="20"/>
                <w:color w:val="auto"/>
              </w:rPr>
            </w:pPr>
            <w:r>
              <w:rPr>
                <w:rFonts w:ascii="Arial" w:cs="Arial" w:eastAsia="Arial" w:hAnsi="Arial"/>
                <w:sz w:val="22"/>
                <w:szCs w:val="22"/>
                <w:color w:val="auto"/>
              </w:rPr>
              <w:t>Allowance for funds used during construction</w:t>
            </w: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(11,990)</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(7,840)</w:t>
            </w:r>
          </w:p>
        </w:tc>
      </w:tr>
      <w:tr>
        <w:trPr>
          <w:trHeight w:val="284"/>
        </w:trPr>
        <w:tc>
          <w:tcPr>
            <w:tcW w:w="61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Gain on sale of other assets</w:t>
            </w: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(478)</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(303)</w:t>
            </w:r>
          </w:p>
        </w:tc>
      </w:tr>
      <w:tr>
        <w:trPr>
          <w:trHeight w:val="283"/>
        </w:trPr>
        <w:tc>
          <w:tcPr>
            <w:tcW w:w="6180" w:type="dxa"/>
            <w:vAlign w:val="bottom"/>
            <w:tcBorders>
              <w:bottom w:val="single" w:sz="8" w:color="CCEEFF"/>
            </w:tcBorders>
          </w:tcPr>
          <w:p>
            <w:pPr>
              <w:ind w:left="120"/>
              <w:spacing w:after="0"/>
              <w:rPr>
                <w:sz w:val="20"/>
                <w:szCs w:val="20"/>
                <w:color w:val="auto"/>
              </w:rPr>
            </w:pPr>
            <w:r>
              <w:rPr>
                <w:rFonts w:ascii="Arial" w:cs="Arial" w:eastAsia="Arial" w:hAnsi="Arial"/>
                <w:sz w:val="22"/>
                <w:szCs w:val="22"/>
                <w:color w:val="auto"/>
              </w:rPr>
              <w:t>Other</w:t>
            </w:r>
          </w:p>
        </w:tc>
        <w:tc>
          <w:tcPr>
            <w:tcW w:w="13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(2,125)</w:t>
            </w:r>
          </w:p>
        </w:tc>
        <w:tc>
          <w:tcPr>
            <w:tcW w:w="2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(5,412)</w:t>
            </w:r>
          </w:p>
        </w:tc>
      </w:tr>
      <w:tr>
        <w:trPr>
          <w:trHeight w:val="263"/>
        </w:trPr>
        <w:tc>
          <w:tcPr>
            <w:tcW w:w="6180" w:type="dxa"/>
            <w:vAlign w:val="bottom"/>
            <w:shd w:val="clear" w:color="auto" w:fill="CCEEFF"/>
          </w:tcPr>
          <w:p>
            <w:pPr>
              <w:spacing w:after="0"/>
              <w:rPr>
                <w:sz w:val="20"/>
                <w:szCs w:val="20"/>
                <w:color w:val="auto"/>
              </w:rPr>
            </w:pPr>
            <w:r>
              <w:rPr>
                <w:rFonts w:ascii="Arial" w:cs="Arial" w:eastAsia="Arial" w:hAnsi="Arial"/>
                <w:sz w:val="22"/>
                <w:szCs w:val="22"/>
                <w:color w:val="auto"/>
              </w:rPr>
              <w:t>Income before income taxes</w:t>
            </w:r>
          </w:p>
        </w:tc>
        <w:tc>
          <w:tcPr>
            <w:tcW w:w="13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272,534</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273,155</w:t>
            </w:r>
          </w:p>
        </w:tc>
      </w:tr>
      <w:tr>
        <w:trPr>
          <w:trHeight w:val="284"/>
        </w:trPr>
        <w:tc>
          <w:tcPr>
            <w:tcW w:w="6180" w:type="dxa"/>
            <w:vAlign w:val="bottom"/>
            <w:tcBorders>
              <w:bottom w:val="single" w:sz="8" w:color="CCEEFF"/>
            </w:tcBorders>
          </w:tcPr>
          <w:p>
            <w:pPr>
              <w:spacing w:after="0"/>
              <w:rPr>
                <w:sz w:val="20"/>
                <w:szCs w:val="20"/>
                <w:color w:val="auto"/>
              </w:rPr>
            </w:pPr>
            <w:r>
              <w:rPr>
                <w:rFonts w:ascii="Arial" w:cs="Arial" w:eastAsia="Arial" w:hAnsi="Arial"/>
                <w:sz w:val="22"/>
                <w:szCs w:val="22"/>
                <w:color w:val="auto"/>
              </w:rPr>
              <w:t>Provision for income taxes (benefit)</w:t>
            </w:r>
          </w:p>
        </w:tc>
        <w:tc>
          <w:tcPr>
            <w:tcW w:w="13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(9,133)</w:t>
            </w:r>
          </w:p>
        </w:tc>
        <w:tc>
          <w:tcPr>
            <w:tcW w:w="2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8,552</w:t>
            </w:r>
          </w:p>
        </w:tc>
      </w:tr>
      <w:tr>
        <w:trPr>
          <w:trHeight w:val="250"/>
        </w:trPr>
        <w:tc>
          <w:tcPr>
            <w:tcW w:w="6180" w:type="dxa"/>
            <w:vAlign w:val="bottom"/>
            <w:shd w:val="clear" w:color="auto" w:fill="CCEEFF"/>
          </w:tcPr>
          <w:p>
            <w:pPr>
              <w:spacing w:after="0" w:line="250" w:lineRule="exact"/>
              <w:rPr>
                <w:sz w:val="20"/>
                <w:szCs w:val="20"/>
                <w:color w:val="auto"/>
              </w:rPr>
            </w:pPr>
            <w:r>
              <w:rPr>
                <w:rFonts w:ascii="Arial" w:cs="Arial" w:eastAsia="Arial" w:hAnsi="Arial"/>
                <w:sz w:val="22"/>
                <w:szCs w:val="22"/>
                <w:color w:val="auto"/>
              </w:rPr>
              <w:t>Net income</w:t>
            </w:r>
          </w:p>
        </w:tc>
        <w:tc>
          <w:tcPr>
            <w:tcW w:w="1780" w:type="dxa"/>
            <w:vAlign w:val="bottom"/>
            <w:gridSpan w:val="2"/>
            <w:shd w:val="clear" w:color="auto" w:fill="CCEEFF"/>
          </w:tcPr>
          <w:p>
            <w:pPr>
              <w:jc w:val="right"/>
              <w:ind w:right="203"/>
              <w:spacing w:after="0" w:line="250" w:lineRule="exact"/>
              <w:rPr>
                <w:sz w:val="20"/>
                <w:szCs w:val="20"/>
                <w:color w:val="auto"/>
              </w:rPr>
            </w:pPr>
            <w:r>
              <w:rPr>
                <w:rFonts w:ascii="Arial" w:cs="Arial" w:eastAsia="Arial" w:hAnsi="Arial"/>
                <w:sz w:val="22"/>
                <w:szCs w:val="22"/>
                <w:color w:val="auto"/>
              </w:rPr>
              <w:t>$</w:t>
            </w:r>
          </w:p>
        </w:tc>
        <w:tc>
          <w:tcPr>
            <w:tcW w:w="146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281,667</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83"/>
              <w:spacing w:after="0"/>
              <w:rPr>
                <w:sz w:val="20"/>
                <w:szCs w:val="20"/>
                <w:color w:val="auto"/>
              </w:rPr>
            </w:pPr>
            <w:r>
              <w:rPr>
                <w:rFonts w:ascii="Arial" w:cs="Arial" w:eastAsia="Arial" w:hAnsi="Arial"/>
                <w:sz w:val="19"/>
                <w:szCs w:val="19"/>
                <w:color w:val="auto"/>
                <w:w w:val="75"/>
              </w:rPr>
              <w:t>$</w:t>
            </w:r>
          </w:p>
        </w:tc>
        <w:tc>
          <w:tcPr>
            <w:tcW w:w="104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264,603</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6180" w:type="dxa"/>
            <w:vAlign w:val="bottom"/>
            <w:shd w:val="clear" w:color="auto" w:fill="CCEEFF"/>
          </w:tcPr>
          <w:p>
            <w:pPr>
              <w:spacing w:after="0"/>
              <w:rPr>
                <w:sz w:val="20"/>
                <w:szCs w:val="20"/>
                <w:color w:val="auto"/>
              </w:rPr>
            </w:pPr>
            <w:r>
              <w:rPr>
                <w:rFonts w:ascii="Arial" w:cs="Arial" w:eastAsia="Arial" w:hAnsi="Arial"/>
                <w:sz w:val="22"/>
                <w:szCs w:val="22"/>
                <w:color w:val="auto"/>
              </w:rPr>
              <w:t>Comprehensive income</w:t>
            </w:r>
          </w:p>
        </w:tc>
        <w:tc>
          <w:tcPr>
            <w:tcW w:w="1780" w:type="dxa"/>
            <w:vAlign w:val="bottom"/>
            <w:gridSpan w:val="2"/>
            <w:shd w:val="clear" w:color="auto" w:fill="CCEEFF"/>
          </w:tcPr>
          <w:p>
            <w:pPr>
              <w:jc w:val="right"/>
              <w:ind w:right="203"/>
              <w:spacing w:after="0"/>
              <w:rPr>
                <w:sz w:val="20"/>
                <w:szCs w:val="20"/>
                <w:color w:val="auto"/>
              </w:rPr>
            </w:pPr>
            <w:r>
              <w:rPr>
                <w:rFonts w:ascii="Arial" w:cs="Arial" w:eastAsia="Arial" w:hAnsi="Arial"/>
                <w:sz w:val="22"/>
                <w:szCs w:val="22"/>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281,667</w:t>
            </w: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83"/>
              <w:spacing w:after="0"/>
              <w:rPr>
                <w:sz w:val="20"/>
                <w:szCs w:val="20"/>
                <w:color w:val="auto"/>
              </w:rPr>
            </w:pPr>
            <w:r>
              <w:rPr>
                <w:rFonts w:ascii="Arial" w:cs="Arial" w:eastAsia="Arial" w:hAnsi="Arial"/>
                <w:sz w:val="19"/>
                <w:szCs w:val="19"/>
                <w:color w:val="auto"/>
                <w:w w:val="7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264,603</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83"/>
        </w:trPr>
        <w:tc>
          <w:tcPr>
            <w:tcW w:w="6180" w:type="dxa"/>
            <w:vAlign w:val="bottom"/>
            <w:shd w:val="clear" w:color="auto" w:fill="CCEEFF"/>
          </w:tcPr>
          <w:p>
            <w:pPr>
              <w:spacing w:after="0"/>
              <w:rPr>
                <w:sz w:val="20"/>
                <w:szCs w:val="20"/>
                <w:color w:val="auto"/>
              </w:rPr>
            </w:pPr>
            <w:r>
              <w:rPr>
                <w:rFonts w:ascii="Arial" w:cs="Arial" w:eastAsia="Arial" w:hAnsi="Arial"/>
                <w:sz w:val="22"/>
                <w:szCs w:val="22"/>
                <w:color w:val="auto"/>
              </w:rPr>
              <w:t>Net income per common share:</w:t>
            </w: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310"/>
        </w:trPr>
        <w:tc>
          <w:tcPr>
            <w:tcW w:w="6180" w:type="dxa"/>
            <w:vAlign w:val="bottom"/>
          </w:tcPr>
          <w:p>
            <w:pPr>
              <w:ind w:left="120"/>
              <w:spacing w:after="0"/>
              <w:rPr>
                <w:sz w:val="20"/>
                <w:szCs w:val="20"/>
                <w:color w:val="auto"/>
              </w:rPr>
            </w:pPr>
            <w:r>
              <w:rPr>
                <w:rFonts w:ascii="Arial" w:cs="Arial" w:eastAsia="Arial" w:hAnsi="Arial"/>
                <w:sz w:val="22"/>
                <w:szCs w:val="22"/>
                <w:color w:val="auto"/>
              </w:rPr>
              <w:t>Basic</w:t>
            </w:r>
          </w:p>
        </w:tc>
        <w:tc>
          <w:tcPr>
            <w:tcW w:w="1780" w:type="dxa"/>
            <w:vAlign w:val="bottom"/>
            <w:gridSpan w:val="2"/>
          </w:tcPr>
          <w:p>
            <w:pPr>
              <w:jc w:val="right"/>
              <w:ind w:right="203"/>
              <w:spacing w:after="0"/>
              <w:rPr>
                <w:sz w:val="20"/>
                <w:szCs w:val="20"/>
                <w:color w:val="auto"/>
              </w:rPr>
            </w:pPr>
            <w:r>
              <w:rPr>
                <w:rFonts w:ascii="Arial" w:cs="Arial" w:eastAsia="Arial" w:hAnsi="Arial"/>
                <w:sz w:val="22"/>
                <w:szCs w:val="22"/>
                <w:color w:val="auto"/>
              </w:rPr>
              <w:t>$</w:t>
            </w:r>
          </w:p>
        </w:tc>
        <w:tc>
          <w:tcPr>
            <w:tcW w:w="1460" w:type="dxa"/>
            <w:vAlign w:val="bottom"/>
          </w:tcPr>
          <w:p>
            <w:pPr>
              <w:jc w:val="right"/>
              <w:spacing w:after="0"/>
              <w:rPr>
                <w:sz w:val="20"/>
                <w:szCs w:val="20"/>
                <w:color w:val="auto"/>
              </w:rPr>
            </w:pPr>
            <w:r>
              <w:rPr>
                <w:rFonts w:ascii="Arial" w:cs="Arial" w:eastAsia="Arial" w:hAnsi="Arial"/>
                <w:sz w:val="22"/>
                <w:szCs w:val="22"/>
                <w:color w:val="auto"/>
              </w:rPr>
              <w:t>1.08</w:t>
            </w:r>
          </w:p>
        </w:tc>
        <w:tc>
          <w:tcPr>
            <w:tcW w:w="200" w:type="dxa"/>
            <w:vAlign w:val="bottom"/>
          </w:tcPr>
          <w:p>
            <w:pPr>
              <w:spacing w:after="0"/>
              <w:rPr>
                <w:sz w:val="24"/>
                <w:szCs w:val="24"/>
                <w:color w:val="auto"/>
              </w:rPr>
            </w:pPr>
          </w:p>
        </w:tc>
        <w:tc>
          <w:tcPr>
            <w:tcW w:w="580" w:type="dxa"/>
            <w:vAlign w:val="bottom"/>
          </w:tcPr>
          <w:p>
            <w:pPr>
              <w:jc w:val="right"/>
              <w:ind w:right="383"/>
              <w:spacing w:after="0"/>
              <w:rPr>
                <w:sz w:val="20"/>
                <w:szCs w:val="20"/>
                <w:color w:val="auto"/>
              </w:rPr>
            </w:pPr>
            <w:r>
              <w:rPr>
                <w:rFonts w:ascii="Arial" w:cs="Arial" w:eastAsia="Arial" w:hAnsi="Arial"/>
                <w:sz w:val="19"/>
                <w:szCs w:val="19"/>
                <w:color w:val="auto"/>
                <w:w w:val="75"/>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1.04</w:t>
            </w:r>
          </w:p>
        </w:tc>
      </w:tr>
      <w:tr>
        <w:trPr>
          <w:trHeight w:val="224"/>
        </w:trPr>
        <w:tc>
          <w:tcPr>
            <w:tcW w:w="6180" w:type="dxa"/>
            <w:vAlign w:val="bottom"/>
            <w:tcBorders>
              <w:top w:val="single" w:sz="8" w:color="CCEEFF"/>
              <w:bottom w:val="single" w:sz="8" w:color="CCEEFF"/>
            </w:tcBorders>
            <w:shd w:val="clear" w:color="auto" w:fill="CCEEFF"/>
          </w:tcPr>
          <w:p>
            <w:pPr>
              <w:ind w:left="120"/>
              <w:spacing w:after="0" w:line="224" w:lineRule="exact"/>
              <w:rPr>
                <w:sz w:val="20"/>
                <w:szCs w:val="20"/>
                <w:color w:val="auto"/>
              </w:rPr>
            </w:pPr>
            <w:r>
              <w:rPr>
                <w:rFonts w:ascii="Arial" w:cs="Arial" w:eastAsia="Arial" w:hAnsi="Arial"/>
                <w:sz w:val="22"/>
                <w:szCs w:val="22"/>
                <w:color w:val="auto"/>
              </w:rPr>
              <w:t>Diluted</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Arial" w:cs="Arial" w:eastAsia="Arial" w:hAnsi="Arial"/>
                <w:sz w:val="19"/>
                <w:szCs w:val="19"/>
                <w:color w:val="auto"/>
                <w:w w:val="75"/>
              </w:rPr>
              <w:t>$</w:t>
            </w:r>
          </w:p>
        </w:tc>
        <w:tc>
          <w:tcPr>
            <w:tcW w:w="1460" w:type="dxa"/>
            <w:vAlign w:val="bottom"/>
            <w:tcBorders>
              <w:top w:val="single" w:sz="8" w:color="auto"/>
              <w:bottom w:val="single" w:sz="8" w:color="auto"/>
            </w:tcBorders>
            <w:shd w:val="clear" w:color="auto" w:fill="CCEEFF"/>
          </w:tcPr>
          <w:p>
            <w:pPr>
              <w:jc w:val="right"/>
              <w:spacing w:after="0" w:line="224" w:lineRule="exact"/>
              <w:rPr>
                <w:sz w:val="20"/>
                <w:szCs w:val="20"/>
                <w:color w:val="auto"/>
              </w:rPr>
            </w:pPr>
            <w:r>
              <w:rPr>
                <w:rFonts w:ascii="Arial" w:cs="Arial" w:eastAsia="Arial" w:hAnsi="Arial"/>
                <w:sz w:val="22"/>
                <w:szCs w:val="22"/>
                <w:color w:val="auto"/>
              </w:rPr>
              <w:t>1.07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83"/>
              <w:spacing w:after="0"/>
              <w:rPr>
                <w:sz w:val="20"/>
                <w:szCs w:val="20"/>
                <w:color w:val="auto"/>
              </w:rPr>
            </w:pPr>
            <w:r>
              <w:rPr>
                <w:rFonts w:ascii="Arial" w:cs="Arial" w:eastAsia="Arial" w:hAnsi="Arial"/>
                <w:sz w:val="19"/>
                <w:szCs w:val="19"/>
                <w:color w:val="auto"/>
                <w:w w:val="75"/>
              </w:rPr>
              <w:t>$</w:t>
            </w:r>
          </w:p>
        </w:tc>
        <w:tc>
          <w:tcPr>
            <w:tcW w:w="1040" w:type="dxa"/>
            <w:vAlign w:val="bottom"/>
            <w:tcBorders>
              <w:top w:val="single" w:sz="8" w:color="auto"/>
              <w:bottom w:val="single" w:sz="8" w:color="auto"/>
            </w:tcBorders>
            <w:shd w:val="clear" w:color="auto" w:fill="CCEEFF"/>
          </w:tcPr>
          <w:p>
            <w:pPr>
              <w:jc w:val="right"/>
              <w:spacing w:after="0" w:line="224" w:lineRule="exact"/>
              <w:rPr>
                <w:sz w:val="20"/>
                <w:szCs w:val="20"/>
                <w:color w:val="auto"/>
              </w:rPr>
            </w:pPr>
            <w:r>
              <w:rPr>
                <w:rFonts w:ascii="Arial" w:cs="Arial" w:eastAsia="Arial" w:hAnsi="Arial"/>
                <w:sz w:val="22"/>
                <w:szCs w:val="22"/>
                <w:color w:val="auto"/>
              </w:rPr>
              <w:t>1.04</w:t>
            </w:r>
          </w:p>
        </w:tc>
      </w:tr>
      <w:tr>
        <w:trPr>
          <w:trHeight w:val="20"/>
        </w:trPr>
        <w:tc>
          <w:tcPr>
            <w:tcW w:w="6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6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6180" w:type="dxa"/>
            <w:vAlign w:val="bottom"/>
            <w:shd w:val="clear" w:color="auto" w:fill="CCEEFF"/>
          </w:tcPr>
          <w:p>
            <w:pPr>
              <w:spacing w:after="0"/>
              <w:rPr>
                <w:sz w:val="20"/>
                <w:szCs w:val="20"/>
                <w:color w:val="auto"/>
              </w:rPr>
            </w:pPr>
            <w:r>
              <w:rPr>
                <w:rFonts w:ascii="Arial" w:cs="Arial" w:eastAsia="Arial" w:hAnsi="Arial"/>
                <w:sz w:val="22"/>
                <w:szCs w:val="22"/>
                <w:color w:val="auto"/>
              </w:rPr>
              <w:t>Average common shares outstanding during the period:</w:t>
            </w: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310"/>
        </w:trPr>
        <w:tc>
          <w:tcPr>
            <w:tcW w:w="6180" w:type="dxa"/>
            <w:vAlign w:val="bottom"/>
            <w:tcBorders>
              <w:bottom w:val="single" w:sz="8" w:color="CCEEFF"/>
            </w:tcBorders>
          </w:tcPr>
          <w:p>
            <w:pPr>
              <w:ind w:left="120"/>
              <w:spacing w:after="0"/>
              <w:rPr>
                <w:sz w:val="20"/>
                <w:szCs w:val="20"/>
                <w:color w:val="auto"/>
              </w:rPr>
            </w:pPr>
            <w:r>
              <w:rPr>
                <w:rFonts w:ascii="Arial" w:cs="Arial" w:eastAsia="Arial" w:hAnsi="Arial"/>
                <w:sz w:val="22"/>
                <w:szCs w:val="22"/>
                <w:color w:val="auto"/>
              </w:rPr>
              <w:t>Basic</w:t>
            </w:r>
          </w:p>
        </w:tc>
        <w:tc>
          <w:tcPr>
            <w:tcW w:w="13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262,026</w:t>
            </w:r>
          </w:p>
        </w:tc>
        <w:tc>
          <w:tcPr>
            <w:tcW w:w="2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254,667</w:t>
            </w:r>
          </w:p>
        </w:tc>
      </w:tr>
      <w:tr>
        <w:trPr>
          <w:trHeight w:val="223"/>
        </w:trPr>
        <w:tc>
          <w:tcPr>
            <w:tcW w:w="6180" w:type="dxa"/>
            <w:vAlign w:val="bottom"/>
            <w:tcBorders>
              <w:bottom w:val="single" w:sz="8" w:color="CCEEFF"/>
            </w:tcBorders>
            <w:shd w:val="clear" w:color="auto" w:fill="CCEEFF"/>
          </w:tcPr>
          <w:p>
            <w:pPr>
              <w:ind w:left="120"/>
              <w:spacing w:after="0" w:line="224" w:lineRule="exact"/>
              <w:rPr>
                <w:sz w:val="20"/>
                <w:szCs w:val="20"/>
                <w:color w:val="auto"/>
              </w:rPr>
            </w:pPr>
            <w:r>
              <w:rPr>
                <w:rFonts w:ascii="Arial" w:cs="Arial" w:eastAsia="Arial" w:hAnsi="Arial"/>
                <w:sz w:val="22"/>
                <w:szCs w:val="22"/>
                <w:color w:val="auto"/>
              </w:rPr>
              <w:t>Diluted</w:t>
            </w:r>
          </w:p>
        </w:tc>
        <w:tc>
          <w:tcPr>
            <w:tcW w:w="13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line="224" w:lineRule="exact"/>
              <w:rPr>
                <w:sz w:val="20"/>
                <w:szCs w:val="20"/>
                <w:color w:val="auto"/>
              </w:rPr>
            </w:pPr>
            <w:r>
              <w:rPr>
                <w:rFonts w:ascii="Arial" w:cs="Arial" w:eastAsia="Arial" w:hAnsi="Arial"/>
                <w:sz w:val="22"/>
                <w:szCs w:val="22"/>
                <w:color w:val="auto"/>
              </w:rPr>
              <w:t>262,545</w:t>
            </w:r>
          </w:p>
        </w:tc>
        <w:tc>
          <w:tcPr>
            <w:tcW w:w="2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line="224" w:lineRule="exact"/>
              <w:rPr>
                <w:sz w:val="20"/>
                <w:szCs w:val="20"/>
                <w:color w:val="auto"/>
              </w:rPr>
            </w:pPr>
            <w:r>
              <w:rPr>
                <w:rFonts w:ascii="Arial" w:cs="Arial" w:eastAsia="Arial" w:hAnsi="Arial"/>
                <w:sz w:val="22"/>
                <w:szCs w:val="22"/>
                <w:color w:val="auto"/>
              </w:rPr>
              <w:t>255,268</w:t>
            </w:r>
          </w:p>
        </w:tc>
      </w:tr>
      <w:tr>
        <w:trPr>
          <w:trHeight w:val="20"/>
        </w:trPr>
        <w:tc>
          <w:tcPr>
            <w:tcW w:w="6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5580" w:right="3740" w:hanging="5561"/>
        <w:spacing w:after="0" w:line="609" w:lineRule="auto"/>
        <w:rPr>
          <w:sz w:val="20"/>
          <w:szCs w:val="20"/>
          <w:color w:val="auto"/>
        </w:rPr>
      </w:pPr>
      <w:r>
        <w:rPr>
          <w:rFonts w:ascii="Arial" w:cs="Arial" w:eastAsia="Arial" w:hAnsi="Arial"/>
          <w:sz w:val="22"/>
          <w:szCs w:val="22"/>
          <w:color w:val="auto"/>
        </w:rPr>
        <w:t>The accompanying notes are an integral part of these consolidated financial statements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6" w:name="page7"/>
    <w:bookmarkEnd w:id="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CONSOLIDATED STATEMENTS OF CAPITALIZATION</w:t>
      </w:r>
    </w:p>
    <w:p>
      <w:pPr>
        <w:jc w:val="center"/>
        <w:ind w:right="40"/>
        <w:spacing w:after="0" w:line="187" w:lineRule="auto"/>
        <w:rPr>
          <w:sz w:val="20"/>
          <w:szCs w:val="20"/>
          <w:color w:val="auto"/>
        </w:rPr>
      </w:pPr>
      <w:r>
        <w:rPr>
          <w:rFonts w:ascii="Arial" w:cs="Arial" w:eastAsia="Arial" w:hAnsi="Arial"/>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ind w:right="430"/>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36"/>
        </w:trPr>
        <w:tc>
          <w:tcPr>
            <w:tcW w:w="4540" w:type="dxa"/>
            <w:vAlign w:val="bottom"/>
            <w:gridSpan w:val="3"/>
            <w:vMerge w:val="restart"/>
          </w:tcPr>
          <w:p>
            <w:pPr>
              <w:spacing w:after="0"/>
              <w:rPr>
                <w:sz w:val="20"/>
                <w:szCs w:val="20"/>
                <w:color w:val="auto"/>
              </w:rPr>
            </w:pPr>
            <w:r>
              <w:rPr>
                <w:rFonts w:ascii="Arial" w:cs="Arial" w:eastAsia="Arial" w:hAnsi="Arial"/>
                <w:sz w:val="18"/>
                <w:szCs w:val="18"/>
                <w:color w:val="auto"/>
              </w:rPr>
              <w:t>Stockholders' equity:</w:t>
            </w:r>
          </w:p>
        </w:tc>
        <w:tc>
          <w:tcPr>
            <w:tcW w:w="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83"/>
        </w:trPr>
        <w:tc>
          <w:tcPr>
            <w:tcW w:w="45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Common stock, $0.50 par value</w:t>
            </w:r>
          </w:p>
        </w:tc>
        <w:tc>
          <w:tcPr>
            <w:tcW w:w="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132,707</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128,050</w:t>
            </w:r>
          </w:p>
        </w:tc>
        <w:tc>
          <w:tcPr>
            <w:tcW w:w="0" w:type="dxa"/>
            <w:vAlign w:val="bottom"/>
          </w:tcPr>
          <w:p>
            <w:pPr>
              <w:spacing w:after="0"/>
              <w:rPr>
                <w:sz w:val="1"/>
                <w:szCs w:val="1"/>
                <w:color w:val="auto"/>
              </w:rPr>
            </w:pPr>
          </w:p>
        </w:tc>
      </w:tr>
      <w:tr>
        <w:trPr>
          <w:trHeight w:val="216"/>
        </w:trPr>
        <w:tc>
          <w:tcPr>
            <w:tcW w:w="4540" w:type="dxa"/>
            <w:vAlign w:val="bottom"/>
            <w:gridSpan w:val="3"/>
          </w:tcPr>
          <w:p>
            <w:pPr>
              <w:ind w:left="240"/>
              <w:spacing w:after="0"/>
              <w:rPr>
                <w:sz w:val="20"/>
                <w:szCs w:val="20"/>
                <w:color w:val="auto"/>
              </w:rPr>
            </w:pPr>
            <w:r>
              <w:rPr>
                <w:rFonts w:ascii="Arial" w:cs="Arial" w:eastAsia="Arial" w:hAnsi="Arial"/>
                <w:sz w:val="18"/>
                <w:szCs w:val="18"/>
                <w:color w:val="auto"/>
              </w:rPr>
              <w:t>Capital in excess of par value</w:t>
            </w: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3,715,975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3,705,814</w:t>
            </w: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1,577,442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1,434,201</w:t>
            </w:r>
          </w:p>
        </w:tc>
        <w:tc>
          <w:tcPr>
            <w:tcW w:w="0" w:type="dxa"/>
            <w:vAlign w:val="bottom"/>
          </w:tcPr>
          <w:p>
            <w:pPr>
              <w:spacing w:after="0"/>
              <w:rPr>
                <w:sz w:val="1"/>
                <w:szCs w:val="1"/>
                <w:color w:val="auto"/>
              </w:rPr>
            </w:pPr>
          </w:p>
        </w:tc>
      </w:tr>
      <w:tr>
        <w:trPr>
          <w:trHeight w:val="216"/>
        </w:trPr>
        <w:tc>
          <w:tcPr>
            <w:tcW w:w="4540" w:type="dxa"/>
            <w:vAlign w:val="bottom"/>
            <w:gridSpan w:val="3"/>
          </w:tcPr>
          <w:p>
            <w:pPr>
              <w:ind w:left="240"/>
              <w:spacing w:after="0"/>
              <w:rPr>
                <w:sz w:val="20"/>
                <w:szCs w:val="20"/>
                <w:color w:val="auto"/>
              </w:rPr>
            </w:pPr>
            <w:r>
              <w:rPr>
                <w:rFonts w:ascii="Arial" w:cs="Arial" w:eastAsia="Arial" w:hAnsi="Arial"/>
                <w:sz w:val="18"/>
                <w:szCs w:val="18"/>
                <w:color w:val="auto"/>
              </w:rPr>
              <w:t>Treasury stock, at cost</w:t>
            </w: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(84,092)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(83,615)</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Total stockholders' equity</w:t>
            </w:r>
          </w:p>
        </w:tc>
        <w:tc>
          <w:tcPr>
            <w:tcW w:w="4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5,342,032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5,184,450</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9"/>
        </w:trPr>
        <w:tc>
          <w:tcPr>
            <w:tcW w:w="70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 of subsidiaries (substantially collateralized by utility plant):</w:t>
            </w:r>
          </w:p>
        </w:tc>
        <w:tc>
          <w:tcPr>
            <w:tcW w:w="4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3300" w:type="dxa"/>
            <w:vAlign w:val="bottom"/>
            <w:gridSpan w:val="2"/>
          </w:tcPr>
          <w:p>
            <w:pPr>
              <w:jc w:val="center"/>
              <w:ind w:right="1880"/>
              <w:spacing w:after="0" w:line="176" w:lineRule="exact"/>
              <w:rPr>
                <w:sz w:val="20"/>
                <w:szCs w:val="20"/>
                <w:color w:val="auto"/>
              </w:rPr>
            </w:pPr>
            <w:r>
              <w:rPr>
                <w:rFonts w:ascii="Arial" w:cs="Arial" w:eastAsia="Arial" w:hAnsi="Arial"/>
                <w:sz w:val="18"/>
                <w:szCs w:val="18"/>
                <w:color w:val="auto"/>
                <w:w w:val="88"/>
              </w:rPr>
              <w:t>Interest Rate Range</w:t>
            </w:r>
          </w:p>
        </w:tc>
        <w:tc>
          <w:tcPr>
            <w:tcW w:w="2520" w:type="dxa"/>
            <w:vAlign w:val="bottom"/>
            <w:gridSpan w:val="3"/>
          </w:tcPr>
          <w:p>
            <w:pPr>
              <w:jc w:val="center"/>
              <w:ind w:right="920"/>
              <w:spacing w:after="0" w:line="176" w:lineRule="exact"/>
              <w:rPr>
                <w:sz w:val="20"/>
                <w:szCs w:val="20"/>
                <w:color w:val="auto"/>
              </w:rPr>
            </w:pPr>
            <w:r>
              <w:rPr>
                <w:rFonts w:ascii="Arial" w:cs="Arial" w:eastAsia="Arial" w:hAnsi="Arial"/>
                <w:sz w:val="18"/>
                <w:szCs w:val="18"/>
                <w:color w:val="auto"/>
                <w:w w:val="92"/>
              </w:rPr>
              <w:t>Maturity Date Range</w:t>
            </w:r>
          </w:p>
        </w:tc>
        <w:tc>
          <w:tcPr>
            <w:tcW w:w="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0.00% to 0.99%</w:t>
            </w: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2023 to 2033</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3300" w:type="dxa"/>
            <w:vAlign w:val="bottom"/>
            <w:gridSpan w:val="2"/>
          </w:tcPr>
          <w:p>
            <w:pPr>
              <w:jc w:val="center"/>
              <w:ind w:right="1860"/>
              <w:spacing w:after="0"/>
              <w:rPr>
                <w:sz w:val="20"/>
                <w:szCs w:val="20"/>
                <w:color w:val="auto"/>
              </w:rPr>
            </w:pPr>
            <w:r>
              <w:rPr>
                <w:rFonts w:ascii="Arial" w:cs="Arial" w:eastAsia="Arial" w:hAnsi="Arial"/>
                <w:sz w:val="18"/>
                <w:szCs w:val="18"/>
                <w:color w:val="auto"/>
                <w:w w:val="91"/>
              </w:rPr>
              <w:t>1.00% to 1.99%</w:t>
            </w:r>
          </w:p>
        </w:tc>
        <w:tc>
          <w:tcPr>
            <w:tcW w:w="40" w:type="dxa"/>
            <w:vAlign w:val="bottom"/>
          </w:tcPr>
          <w:p>
            <w:pPr>
              <w:spacing w:after="0"/>
              <w:rPr>
                <w:sz w:val="18"/>
                <w:szCs w:val="18"/>
                <w:color w:val="auto"/>
              </w:rPr>
            </w:pPr>
          </w:p>
        </w:tc>
        <w:tc>
          <w:tcPr>
            <w:tcW w:w="2480" w:type="dxa"/>
            <w:vAlign w:val="bottom"/>
            <w:gridSpan w:val="2"/>
          </w:tcPr>
          <w:p>
            <w:pPr>
              <w:jc w:val="center"/>
              <w:ind w:right="940"/>
              <w:spacing w:after="0"/>
              <w:rPr>
                <w:sz w:val="20"/>
                <w:szCs w:val="20"/>
                <w:color w:val="auto"/>
              </w:rPr>
            </w:pPr>
            <w:r>
              <w:rPr>
                <w:rFonts w:ascii="Arial" w:cs="Arial" w:eastAsia="Arial" w:hAnsi="Arial"/>
                <w:sz w:val="18"/>
                <w:szCs w:val="18"/>
                <w:color w:val="auto"/>
                <w:w w:val="89"/>
              </w:rPr>
              <w:t>2023 to 2039</w:t>
            </w: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8,892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9,341</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right="1860"/>
              <w:spacing w:after="0"/>
              <w:rPr>
                <w:sz w:val="20"/>
                <w:szCs w:val="20"/>
                <w:color w:val="auto"/>
              </w:rPr>
            </w:pPr>
            <w:r>
              <w:rPr>
                <w:rFonts w:ascii="Arial" w:cs="Arial" w:eastAsia="Arial" w:hAnsi="Arial"/>
                <w:sz w:val="18"/>
                <w:szCs w:val="18"/>
                <w:color w:val="auto"/>
                <w:w w:val="91"/>
              </w:rPr>
              <w:t>2.00% to 2.99%</w:t>
            </w:r>
          </w:p>
        </w:tc>
        <w:tc>
          <w:tcPr>
            <w:tcW w:w="4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940"/>
              <w:spacing w:after="0"/>
              <w:rPr>
                <w:sz w:val="20"/>
                <w:szCs w:val="20"/>
                <w:color w:val="auto"/>
              </w:rPr>
            </w:pPr>
            <w:r>
              <w:rPr>
                <w:rFonts w:ascii="Arial" w:cs="Arial" w:eastAsia="Arial" w:hAnsi="Arial"/>
                <w:sz w:val="18"/>
                <w:szCs w:val="18"/>
                <w:color w:val="auto"/>
                <w:w w:val="89"/>
              </w:rPr>
              <w:t>2022 to 2058</w:t>
            </w: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312,751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3300" w:type="dxa"/>
            <w:vAlign w:val="bottom"/>
            <w:gridSpan w:val="2"/>
          </w:tcPr>
          <w:p>
            <w:pPr>
              <w:jc w:val="center"/>
              <w:ind w:right="1860"/>
              <w:spacing w:after="0"/>
              <w:rPr>
                <w:sz w:val="20"/>
                <w:szCs w:val="20"/>
                <w:color w:val="auto"/>
              </w:rPr>
            </w:pPr>
            <w:r>
              <w:rPr>
                <w:rFonts w:ascii="Arial" w:cs="Arial" w:eastAsia="Arial" w:hAnsi="Arial"/>
                <w:sz w:val="18"/>
                <w:szCs w:val="18"/>
                <w:color w:val="auto"/>
                <w:w w:val="91"/>
              </w:rPr>
              <w:t>3.00% to 3.99%</w:t>
            </w:r>
          </w:p>
        </w:tc>
        <w:tc>
          <w:tcPr>
            <w:tcW w:w="40" w:type="dxa"/>
            <w:vAlign w:val="bottom"/>
          </w:tcPr>
          <w:p>
            <w:pPr>
              <w:spacing w:after="0"/>
              <w:rPr>
                <w:sz w:val="18"/>
                <w:szCs w:val="18"/>
                <w:color w:val="auto"/>
              </w:rPr>
            </w:pPr>
          </w:p>
        </w:tc>
        <w:tc>
          <w:tcPr>
            <w:tcW w:w="2480" w:type="dxa"/>
            <w:vAlign w:val="bottom"/>
            <w:gridSpan w:val="2"/>
          </w:tcPr>
          <w:p>
            <w:pPr>
              <w:jc w:val="center"/>
              <w:ind w:right="940"/>
              <w:spacing w:after="0"/>
              <w:rPr>
                <w:sz w:val="20"/>
                <w:szCs w:val="20"/>
                <w:color w:val="auto"/>
              </w:rPr>
            </w:pPr>
            <w:r>
              <w:rPr>
                <w:rFonts w:ascii="Arial" w:cs="Arial" w:eastAsia="Arial" w:hAnsi="Arial"/>
                <w:sz w:val="18"/>
                <w:szCs w:val="18"/>
                <w:color w:val="auto"/>
                <w:w w:val="89"/>
              </w:rPr>
              <w:t>2022 to 2056</w:t>
            </w: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1,355,474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1,359,284</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right="1860"/>
              <w:spacing w:after="0"/>
              <w:rPr>
                <w:sz w:val="20"/>
                <w:szCs w:val="20"/>
                <w:color w:val="auto"/>
              </w:rPr>
            </w:pPr>
            <w:r>
              <w:rPr>
                <w:rFonts w:ascii="Arial" w:cs="Arial" w:eastAsia="Arial" w:hAnsi="Arial"/>
                <w:sz w:val="18"/>
                <w:szCs w:val="18"/>
                <w:color w:val="auto"/>
                <w:w w:val="91"/>
              </w:rPr>
              <w:t>4.00% to 4.99%</w:t>
            </w:r>
          </w:p>
        </w:tc>
        <w:tc>
          <w:tcPr>
            <w:tcW w:w="4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940"/>
              <w:spacing w:after="0"/>
              <w:rPr>
                <w:sz w:val="20"/>
                <w:szCs w:val="20"/>
                <w:color w:val="auto"/>
              </w:rPr>
            </w:pPr>
            <w:r>
              <w:rPr>
                <w:rFonts w:ascii="Arial" w:cs="Arial" w:eastAsia="Arial" w:hAnsi="Arial"/>
                <w:sz w:val="18"/>
                <w:szCs w:val="18"/>
                <w:color w:val="auto"/>
                <w:w w:val="89"/>
              </w:rPr>
              <w:t>2023 to 2059</w:t>
            </w: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1,282,991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1,286,024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3300" w:type="dxa"/>
            <w:vAlign w:val="bottom"/>
            <w:gridSpan w:val="2"/>
          </w:tcPr>
          <w:p>
            <w:pPr>
              <w:jc w:val="center"/>
              <w:ind w:right="1860"/>
              <w:spacing w:after="0"/>
              <w:rPr>
                <w:sz w:val="20"/>
                <w:szCs w:val="20"/>
                <w:color w:val="auto"/>
              </w:rPr>
            </w:pPr>
            <w:r>
              <w:rPr>
                <w:rFonts w:ascii="Arial" w:cs="Arial" w:eastAsia="Arial" w:hAnsi="Arial"/>
                <w:sz w:val="18"/>
                <w:szCs w:val="18"/>
                <w:color w:val="auto"/>
                <w:w w:val="91"/>
              </w:rPr>
              <w:t>5.00% to 5.99%</w:t>
            </w:r>
          </w:p>
        </w:tc>
        <w:tc>
          <w:tcPr>
            <w:tcW w:w="40" w:type="dxa"/>
            <w:vAlign w:val="bottom"/>
          </w:tcPr>
          <w:p>
            <w:pPr>
              <w:spacing w:after="0"/>
              <w:rPr>
                <w:sz w:val="18"/>
                <w:szCs w:val="18"/>
                <w:color w:val="auto"/>
              </w:rPr>
            </w:pPr>
          </w:p>
        </w:tc>
        <w:tc>
          <w:tcPr>
            <w:tcW w:w="2480" w:type="dxa"/>
            <w:vAlign w:val="bottom"/>
            <w:gridSpan w:val="2"/>
          </w:tcPr>
          <w:p>
            <w:pPr>
              <w:jc w:val="center"/>
              <w:ind w:right="940"/>
              <w:spacing w:after="0"/>
              <w:rPr>
                <w:sz w:val="20"/>
                <w:szCs w:val="20"/>
                <w:color w:val="auto"/>
              </w:rPr>
            </w:pPr>
            <w:r>
              <w:rPr>
                <w:rFonts w:ascii="Arial" w:cs="Arial" w:eastAsia="Arial" w:hAnsi="Arial"/>
                <w:sz w:val="18"/>
                <w:szCs w:val="18"/>
                <w:color w:val="auto"/>
                <w:w w:val="89"/>
              </w:rPr>
              <w:t>2023 to 2043</w:t>
            </w: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15,715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16,119</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right="1860"/>
              <w:spacing w:after="0"/>
              <w:rPr>
                <w:sz w:val="20"/>
                <w:szCs w:val="20"/>
                <w:color w:val="auto"/>
              </w:rPr>
            </w:pPr>
            <w:r>
              <w:rPr>
                <w:rFonts w:ascii="Arial" w:cs="Arial" w:eastAsia="Arial" w:hAnsi="Arial"/>
                <w:sz w:val="18"/>
                <w:szCs w:val="18"/>
                <w:color w:val="auto"/>
                <w:w w:val="91"/>
              </w:rPr>
              <w:t>6.00% to 6.99%</w:t>
            </w:r>
          </w:p>
        </w:tc>
        <w:tc>
          <w:tcPr>
            <w:tcW w:w="4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940"/>
              <w:spacing w:after="0"/>
              <w:rPr>
                <w:sz w:val="20"/>
                <w:szCs w:val="20"/>
                <w:color w:val="auto"/>
              </w:rPr>
            </w:pPr>
            <w:r>
              <w:rPr>
                <w:rFonts w:ascii="Arial" w:cs="Arial" w:eastAsia="Arial" w:hAnsi="Arial"/>
                <w:sz w:val="18"/>
                <w:szCs w:val="18"/>
                <w:color w:val="auto"/>
                <w:w w:val="89"/>
              </w:rPr>
              <w:t>2022 to 2036</w:t>
            </w: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3300" w:type="dxa"/>
            <w:vAlign w:val="bottom"/>
            <w:gridSpan w:val="2"/>
          </w:tcPr>
          <w:p>
            <w:pPr>
              <w:jc w:val="center"/>
              <w:ind w:right="1860"/>
              <w:spacing w:after="0"/>
              <w:rPr>
                <w:sz w:val="20"/>
                <w:szCs w:val="20"/>
                <w:color w:val="auto"/>
              </w:rPr>
            </w:pPr>
            <w:r>
              <w:rPr>
                <w:rFonts w:ascii="Arial" w:cs="Arial" w:eastAsia="Arial" w:hAnsi="Arial"/>
                <w:sz w:val="18"/>
                <w:szCs w:val="18"/>
                <w:color w:val="auto"/>
                <w:w w:val="91"/>
              </w:rPr>
              <w:t>7.00% to 7.99%</w:t>
            </w:r>
          </w:p>
        </w:tc>
        <w:tc>
          <w:tcPr>
            <w:tcW w:w="40" w:type="dxa"/>
            <w:vAlign w:val="bottom"/>
          </w:tcPr>
          <w:p>
            <w:pPr>
              <w:spacing w:after="0"/>
              <w:rPr>
                <w:sz w:val="18"/>
                <w:szCs w:val="18"/>
                <w:color w:val="auto"/>
              </w:rPr>
            </w:pPr>
          </w:p>
        </w:tc>
        <w:tc>
          <w:tcPr>
            <w:tcW w:w="2480" w:type="dxa"/>
            <w:vAlign w:val="bottom"/>
            <w:gridSpan w:val="2"/>
          </w:tcPr>
          <w:p>
            <w:pPr>
              <w:jc w:val="center"/>
              <w:ind w:right="940"/>
              <w:spacing w:after="0"/>
              <w:rPr>
                <w:sz w:val="20"/>
                <w:szCs w:val="20"/>
                <w:color w:val="auto"/>
              </w:rPr>
            </w:pPr>
            <w:r>
              <w:rPr>
                <w:rFonts w:ascii="Arial" w:cs="Arial" w:eastAsia="Arial" w:hAnsi="Arial"/>
                <w:sz w:val="18"/>
                <w:szCs w:val="18"/>
                <w:color w:val="auto"/>
                <w:w w:val="89"/>
              </w:rPr>
              <w:t>2022 to 2027</w:t>
            </w: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28,504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28,980</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right="1860"/>
              <w:spacing w:after="0"/>
              <w:rPr>
                <w:sz w:val="20"/>
                <w:szCs w:val="20"/>
                <w:color w:val="auto"/>
              </w:rPr>
            </w:pPr>
            <w:r>
              <w:rPr>
                <w:rFonts w:ascii="Arial" w:cs="Arial" w:eastAsia="Arial" w:hAnsi="Arial"/>
                <w:sz w:val="18"/>
                <w:szCs w:val="18"/>
                <w:color w:val="auto"/>
                <w:w w:val="91"/>
              </w:rPr>
              <w:t>8.00% to 8.99%</w:t>
            </w:r>
          </w:p>
        </w:tc>
        <w:tc>
          <w:tcPr>
            <w:tcW w:w="4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940"/>
              <w:spacing w:after="0"/>
              <w:rPr>
                <w:sz w:val="20"/>
                <w:szCs w:val="20"/>
                <w:color w:val="auto"/>
              </w:rPr>
            </w:pPr>
            <w:r>
              <w:rPr>
                <w:rFonts w:ascii="Arial" w:cs="Arial" w:eastAsia="Arial" w:hAnsi="Arial"/>
                <w:sz w:val="18"/>
                <w:szCs w:val="18"/>
                <w:color w:val="auto"/>
                <w:w w:val="89"/>
              </w:rPr>
              <w:t>2025 to 2025</w:t>
            </w: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16"/>
        </w:trPr>
        <w:tc>
          <w:tcPr>
            <w:tcW w:w="1240" w:type="dxa"/>
            <w:vAlign w:val="bottom"/>
            <w:tcBorders>
              <w:bottom w:val="single" w:sz="8" w:color="CCEEFF"/>
            </w:tcBorders>
          </w:tcPr>
          <w:p>
            <w:pPr>
              <w:spacing w:after="0"/>
              <w:rPr>
                <w:sz w:val="18"/>
                <w:szCs w:val="18"/>
                <w:color w:val="auto"/>
              </w:rPr>
            </w:pPr>
          </w:p>
        </w:tc>
        <w:tc>
          <w:tcPr>
            <w:tcW w:w="3300" w:type="dxa"/>
            <w:vAlign w:val="bottom"/>
            <w:tcBorders>
              <w:bottom w:val="single" w:sz="8" w:color="CCEEFF"/>
            </w:tcBorders>
            <w:gridSpan w:val="2"/>
          </w:tcPr>
          <w:p>
            <w:pPr>
              <w:jc w:val="center"/>
              <w:ind w:right="1860"/>
              <w:spacing w:after="0"/>
              <w:rPr>
                <w:sz w:val="20"/>
                <w:szCs w:val="20"/>
                <w:color w:val="auto"/>
              </w:rPr>
            </w:pPr>
            <w:r>
              <w:rPr>
                <w:rFonts w:ascii="Arial" w:cs="Arial" w:eastAsia="Arial" w:hAnsi="Arial"/>
                <w:sz w:val="18"/>
                <w:szCs w:val="18"/>
                <w:color w:val="auto"/>
                <w:w w:val="91"/>
              </w:rPr>
              <w:t>9.00% to 9.99%</w:t>
            </w:r>
          </w:p>
        </w:tc>
        <w:tc>
          <w:tcPr>
            <w:tcW w:w="40" w:type="dxa"/>
            <w:vAlign w:val="bottom"/>
            <w:tcBorders>
              <w:bottom w:val="single" w:sz="8" w:color="CCEEFF"/>
            </w:tcBorders>
          </w:tcPr>
          <w:p>
            <w:pPr>
              <w:spacing w:after="0"/>
              <w:rPr>
                <w:sz w:val="18"/>
                <w:szCs w:val="18"/>
                <w:color w:val="auto"/>
              </w:rPr>
            </w:pPr>
          </w:p>
        </w:tc>
        <w:tc>
          <w:tcPr>
            <w:tcW w:w="2480" w:type="dxa"/>
            <w:vAlign w:val="bottom"/>
            <w:tcBorders>
              <w:bottom w:val="single" w:sz="8" w:color="CCEEFF"/>
            </w:tcBorders>
            <w:gridSpan w:val="2"/>
          </w:tcPr>
          <w:p>
            <w:pPr>
              <w:jc w:val="center"/>
              <w:ind w:right="940"/>
              <w:spacing w:after="0"/>
              <w:rPr>
                <w:sz w:val="20"/>
                <w:szCs w:val="20"/>
                <w:color w:val="auto"/>
              </w:rPr>
            </w:pPr>
            <w:r>
              <w:rPr>
                <w:rFonts w:ascii="Arial" w:cs="Arial" w:eastAsia="Arial" w:hAnsi="Arial"/>
                <w:sz w:val="18"/>
                <w:szCs w:val="18"/>
                <w:color w:val="auto"/>
                <w:w w:val="89"/>
              </w:rPr>
              <w:t>2026 to 2026</w:t>
            </w:r>
          </w:p>
        </w:tc>
        <w:tc>
          <w:tcPr>
            <w:tcW w:w="4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11,800</w:t>
            </w: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3,051,321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3,061,887</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920" w:type="dxa"/>
            <w:vAlign w:val="bottom"/>
            <w:gridSpan w:val="2"/>
          </w:tcPr>
          <w:p>
            <w:pPr>
              <w:spacing w:after="0"/>
              <w:rPr>
                <w:sz w:val="16"/>
                <w:szCs w:val="16"/>
                <w:color w:val="auto"/>
              </w:rPr>
            </w:pPr>
          </w:p>
        </w:tc>
        <w:tc>
          <w:tcPr>
            <w:tcW w:w="1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70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Notes payable to bank under revolving credit agreement, variable rate, due 2023</w:t>
            </w:r>
          </w:p>
        </w:tc>
        <w:tc>
          <w:tcPr>
            <w:tcW w:w="4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8"/>
                <w:szCs w:val="18"/>
                <w:color w:val="auto"/>
              </w:rPr>
              <w:t>Unsecured notes payable:</w:t>
            </w: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Amortizing notes at 3.00% due 2022</w:t>
            </w:r>
          </w:p>
        </w:tc>
        <w:tc>
          <w:tcPr>
            <w:tcW w:w="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20,470</w:t>
            </w:r>
          </w:p>
        </w:tc>
        <w:tc>
          <w:tcPr>
            <w:tcW w:w="0" w:type="dxa"/>
            <w:vAlign w:val="bottom"/>
          </w:tcPr>
          <w:p>
            <w:pPr>
              <w:spacing w:after="0"/>
              <w:rPr>
                <w:sz w:val="1"/>
                <w:szCs w:val="1"/>
                <w:color w:val="auto"/>
              </w:rPr>
            </w:pPr>
          </w:p>
        </w:tc>
      </w:tr>
      <w:tr>
        <w:trPr>
          <w:trHeight w:val="216"/>
        </w:trPr>
        <w:tc>
          <w:tcPr>
            <w:tcW w:w="4540" w:type="dxa"/>
            <w:vAlign w:val="bottom"/>
            <w:gridSpan w:val="3"/>
          </w:tcPr>
          <w:p>
            <w:pPr>
              <w:ind w:left="120"/>
              <w:spacing w:after="0"/>
              <w:rPr>
                <w:sz w:val="20"/>
                <w:szCs w:val="20"/>
                <w:color w:val="auto"/>
              </w:rPr>
            </w:pPr>
            <w:r>
              <w:rPr>
                <w:rFonts w:ascii="Arial" w:cs="Arial" w:eastAsia="Arial" w:hAnsi="Arial"/>
                <w:sz w:val="18"/>
                <w:szCs w:val="18"/>
                <w:color w:val="auto"/>
              </w:rPr>
              <w:t>Notes at 2.40% due 2031</w:t>
            </w: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03"/>
        </w:trPr>
        <w:tc>
          <w:tcPr>
            <w:tcW w:w="45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Notes at 2.704% due 2030</w:t>
            </w:r>
          </w:p>
        </w:tc>
        <w:tc>
          <w:tcPr>
            <w:tcW w:w="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4540" w:type="dxa"/>
            <w:vAlign w:val="bottom"/>
            <w:gridSpan w:val="3"/>
          </w:tcPr>
          <w:p>
            <w:pPr>
              <w:ind w:left="120"/>
              <w:spacing w:after="0"/>
              <w:rPr>
                <w:sz w:val="20"/>
                <w:szCs w:val="20"/>
                <w:color w:val="auto"/>
              </w:rPr>
            </w:pPr>
            <w:r>
              <w:rPr>
                <w:rFonts w:ascii="Arial" w:cs="Arial" w:eastAsia="Arial" w:hAnsi="Arial"/>
                <w:sz w:val="18"/>
                <w:szCs w:val="18"/>
                <w:color w:val="auto"/>
                <w:w w:val="92"/>
              </w:rPr>
              <w:t>Notes ranging from 3.01% to 3.59% due 2029 through 2050</w:t>
            </w: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1,125,000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1,125,000</w:t>
            </w: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Notes at 4.28%, due 2049</w:t>
            </w:r>
          </w:p>
        </w:tc>
        <w:tc>
          <w:tcPr>
            <w:tcW w:w="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4540" w:type="dxa"/>
            <w:vAlign w:val="bottom"/>
            <w:gridSpan w:val="3"/>
          </w:tcPr>
          <w:p>
            <w:pPr>
              <w:ind w:left="120"/>
              <w:spacing w:after="0"/>
              <w:rPr>
                <w:sz w:val="20"/>
                <w:szCs w:val="20"/>
                <w:color w:val="auto"/>
              </w:rPr>
            </w:pPr>
            <w:r>
              <w:rPr>
                <w:rFonts w:ascii="Arial" w:cs="Arial" w:eastAsia="Arial" w:hAnsi="Arial"/>
                <w:sz w:val="18"/>
                <w:szCs w:val="18"/>
                <w:color w:val="auto"/>
              </w:rPr>
              <w:t>Notes at 5.30%, due 2052</w:t>
            </w: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1"/>
              </w:rPr>
              <w:t>Notes ranging from 5.64% to 5.95%, due 2022 through 2034</w:t>
            </w:r>
          </w:p>
        </w:tc>
        <w:tc>
          <w:tcPr>
            <w:tcW w:w="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183"/>
        </w:trPr>
        <w:tc>
          <w:tcPr>
            <w:tcW w:w="4540" w:type="dxa"/>
            <w:vAlign w:val="bottom"/>
            <w:gridSpan w:val="3"/>
          </w:tcPr>
          <w:p>
            <w:pPr>
              <w:spacing w:after="0" w:line="182" w:lineRule="exact"/>
              <w:rPr>
                <w:sz w:val="20"/>
                <w:szCs w:val="20"/>
                <w:color w:val="auto"/>
              </w:rPr>
            </w:pPr>
            <w:r>
              <w:rPr>
                <w:rFonts w:ascii="Arial" w:cs="Arial" w:eastAsia="Arial" w:hAnsi="Arial"/>
                <w:sz w:val="18"/>
                <w:szCs w:val="18"/>
                <w:color w:val="auto"/>
              </w:rPr>
              <w:t>Total long-term debt</w:t>
            </w:r>
          </w:p>
        </w:tc>
        <w:tc>
          <w:tcPr>
            <w:tcW w:w="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tcPr>
          <w:p>
            <w:pPr>
              <w:jc w:val="right"/>
              <w:spacing w:after="0" w:line="182" w:lineRule="exact"/>
              <w:rPr>
                <w:sz w:val="20"/>
                <w:szCs w:val="20"/>
                <w:color w:val="auto"/>
              </w:rPr>
            </w:pPr>
            <w:r>
              <w:rPr>
                <w:rFonts w:ascii="Arial" w:cs="Arial" w:eastAsia="Arial" w:hAnsi="Arial"/>
                <w:sz w:val="18"/>
                <w:szCs w:val="18"/>
                <w:color w:val="auto"/>
              </w:rPr>
              <w:t>6,256,321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jc w:val="right"/>
              <w:spacing w:after="0" w:line="182" w:lineRule="exact"/>
              <w:rPr>
                <w:sz w:val="20"/>
                <w:szCs w:val="20"/>
                <w:color w:val="auto"/>
              </w:rPr>
            </w:pPr>
            <w:r>
              <w:rPr>
                <w:rFonts w:ascii="Arial" w:cs="Arial" w:eastAsia="Arial" w:hAnsi="Arial"/>
                <w:sz w:val="18"/>
                <w:szCs w:val="18"/>
                <w:color w:val="auto"/>
              </w:rPr>
              <w:t>5,947,357</w:t>
            </w: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Borders>
              <w:bottom w:val="single" w:sz="8" w:color="CCEEFF"/>
            </w:tcBorders>
            <w:gridSpan w:val="3"/>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4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120,931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132,146</w:t>
            </w:r>
          </w:p>
        </w:tc>
        <w:tc>
          <w:tcPr>
            <w:tcW w:w="0" w:type="dxa"/>
            <w:vAlign w:val="bottom"/>
          </w:tcPr>
          <w:p>
            <w:pPr>
              <w:spacing w:after="0"/>
              <w:rPr>
                <w:sz w:val="1"/>
                <w:szCs w:val="1"/>
                <w:color w:val="auto"/>
              </w:rPr>
            </w:pPr>
          </w:p>
        </w:tc>
      </w:tr>
      <w:tr>
        <w:trPr>
          <w:trHeight w:val="183"/>
        </w:trPr>
        <w:tc>
          <w:tcPr>
            <w:tcW w:w="454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Long-term debt, excluding current portion</w:t>
            </w:r>
          </w:p>
        </w:tc>
        <w:tc>
          <w:tcPr>
            <w:tcW w:w="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6,135,390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5,815,211</w:t>
            </w:r>
          </w:p>
        </w:tc>
        <w:tc>
          <w:tcPr>
            <w:tcW w:w="0" w:type="dxa"/>
            <w:vAlign w:val="bottom"/>
          </w:tcPr>
          <w:p>
            <w:pPr>
              <w:spacing w:after="0"/>
              <w:rPr>
                <w:sz w:val="1"/>
                <w:szCs w:val="1"/>
                <w:color w:val="auto"/>
              </w:rPr>
            </w:pPr>
          </w:p>
        </w:tc>
      </w:tr>
      <w:tr>
        <w:trPr>
          <w:trHeight w:val="203"/>
        </w:trPr>
        <w:tc>
          <w:tcPr>
            <w:tcW w:w="4540" w:type="dxa"/>
            <w:vAlign w:val="bottom"/>
            <w:tcBorders>
              <w:bottom w:val="single" w:sz="8" w:color="CCEEFF"/>
            </w:tcBorders>
            <w:gridSpan w:val="3"/>
          </w:tcPr>
          <w:p>
            <w:pPr>
              <w:spacing w:after="0" w:line="202" w:lineRule="exact"/>
              <w:rPr>
                <w:sz w:val="20"/>
                <w:szCs w:val="20"/>
                <w:color w:val="auto"/>
              </w:rPr>
            </w:pPr>
            <w:r>
              <w:rPr>
                <w:rFonts w:ascii="Arial" w:cs="Arial" w:eastAsia="Arial" w:hAnsi="Arial"/>
                <w:sz w:val="18"/>
                <w:szCs w:val="18"/>
                <w:color w:val="auto"/>
              </w:rPr>
              <w:t>Less: debt issuance costs</w:t>
            </w:r>
          </w:p>
        </w:tc>
        <w:tc>
          <w:tcPr>
            <w:tcW w:w="4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47,654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35,707</w:t>
            </w:r>
          </w:p>
        </w:tc>
        <w:tc>
          <w:tcPr>
            <w:tcW w:w="0" w:type="dxa"/>
            <w:vAlign w:val="bottom"/>
          </w:tcPr>
          <w:p>
            <w:pPr>
              <w:spacing w:after="0"/>
              <w:rPr>
                <w:sz w:val="1"/>
                <w:szCs w:val="1"/>
                <w:color w:val="auto"/>
              </w:rPr>
            </w:pPr>
          </w:p>
        </w:tc>
      </w:tr>
      <w:tr>
        <w:trPr>
          <w:trHeight w:val="399"/>
        </w:trPr>
        <w:tc>
          <w:tcPr>
            <w:tcW w:w="70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 excluding current portion, net of debt issuance costs</w:t>
            </w:r>
          </w:p>
        </w:tc>
        <w:tc>
          <w:tcPr>
            <w:tcW w:w="40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6,087,736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5,779,504</w:t>
            </w:r>
          </w:p>
        </w:tc>
        <w:tc>
          <w:tcPr>
            <w:tcW w:w="0" w:type="dxa"/>
            <w:vAlign w:val="bottom"/>
          </w:tcPr>
          <w:p>
            <w:pPr>
              <w:spacing w:after="0"/>
              <w:rPr>
                <w:sz w:val="1"/>
                <w:szCs w:val="1"/>
                <w:color w:val="auto"/>
              </w:rPr>
            </w:pPr>
          </w:p>
        </w:tc>
      </w:tr>
      <w:tr>
        <w:trPr>
          <w:trHeight w:val="183"/>
        </w:trPr>
        <w:tc>
          <w:tcPr>
            <w:tcW w:w="124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8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40" w:type="dxa"/>
            <w:vAlign w:val="bottom"/>
            <w:tcBorders>
              <w:bottom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Total capitalization</w:t>
            </w:r>
          </w:p>
        </w:tc>
        <w:tc>
          <w:tcPr>
            <w:tcW w:w="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11,429,768</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10,963,954</w:t>
            </w:r>
          </w:p>
        </w:tc>
        <w:tc>
          <w:tcPr>
            <w:tcW w:w="0" w:type="dxa"/>
            <w:vAlign w:val="bottom"/>
          </w:tcPr>
          <w:p>
            <w:pPr>
              <w:spacing w:after="0"/>
              <w:rPr>
                <w:sz w:val="1"/>
                <w:szCs w:val="1"/>
                <w:color w:val="auto"/>
              </w:rPr>
            </w:pPr>
          </w:p>
        </w:tc>
      </w:tr>
      <w:tr>
        <w:trPr>
          <w:trHeight w:val="20"/>
        </w:trPr>
        <w:tc>
          <w:tcPr>
            <w:tcW w:w="7060" w:type="dxa"/>
            <w:vAlign w:val="bottom"/>
            <w:gridSpan w:val="6"/>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60" w:type="dxa"/>
            <w:vAlign w:val="bottom"/>
            <w:gridSpan w:val="6"/>
            <w:vMerge w:val="continue"/>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7" w:name="page8"/>
    <w:bookmarkEnd w:id="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right="4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CONSOLIDATED STATEMENTS OF EQUITY</w:t>
      </w:r>
    </w:p>
    <w:p>
      <w:pPr>
        <w:ind w:left="342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w w:val="92"/>
              </w:rPr>
              <w:t>Common</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Capital in</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6"/>
                <w:szCs w:val="16"/>
                <w:color w:val="auto"/>
              </w:rPr>
              <w:t>Retained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w w:val="88"/>
              </w:rPr>
              <w:t>Treasury</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w w:val="95"/>
              </w:rPr>
              <w:t>Excess of</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5"/>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Stock</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w w:val="93"/>
              </w:rPr>
              <w:t>Par Value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Earnings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6"/>
                <w:szCs w:val="16"/>
                <w:color w:val="auto"/>
              </w:rPr>
              <w:t>Stock</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4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Balance at December 31, 2021</w:t>
            </w: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128,050</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3,705,814</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1,434,201</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(83,615)</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5,184,450</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199,376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199,376</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Dividends of March 1, 2022 ($0.2682 per share)</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(67,821)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(67,821)</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Dividends of June 1, 2022 ($0.2682 per share)</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(67,863)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(67,863)</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Issuance of common stock under dividend reinvestment plan (93,833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4,070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4,117</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Repurchase of stock (21,290 shares)</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(1,012)</w:t>
            </w: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Equity compensation plan (57,052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(29)</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Exercise of stock options (28,516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14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998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2,716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(136)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2,580</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Other</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270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156"/>
        </w:trPr>
        <w:tc>
          <w:tcPr>
            <w:tcW w:w="64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Balance at March 31, 2022</w:t>
            </w: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128,140</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3,713,560</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1,497,757</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(84,357)</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5,255,100</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82,291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82,291</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Dividends of June 1, 2022 ($0.2682 per share)</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(2,424)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(2,424)</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Issuance of common stock from stock purchase contracts (9,029,461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4,515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(4,515)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Issuance of common stock under dividend reinvestment plan (92,889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4,007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4,054</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Repurchase of stock (305 shares)</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(15)</w:t>
            </w: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Equity compensation plan (4,736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Exercise of stock options (6,462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224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2,725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(182)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2,543</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Other</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(24)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280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156"/>
        </w:trPr>
        <w:tc>
          <w:tcPr>
            <w:tcW w:w="64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Balance at June 30, 2022</w:t>
            </w: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132,707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3,715,975</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1,577,442</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(84,092)</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5,342,032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8" w:name="page9"/>
    <w:bookmarkEnd w:id="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right="4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CONSOLIDATED STATEMENTS OF EQUITY</w:t>
      </w:r>
    </w:p>
    <w:p>
      <w:pPr>
        <w:ind w:left="342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w w:val="92"/>
              </w:rPr>
              <w:t>Common</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Capital in</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6"/>
                <w:szCs w:val="16"/>
                <w:color w:val="auto"/>
              </w:rPr>
              <w:t>Retained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w w:val="88"/>
              </w:rPr>
              <w:t>Treasury</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w w:val="95"/>
              </w:rPr>
              <w:t>Excess of</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1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5"/>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Stock</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w w:val="93"/>
              </w:rPr>
              <w:t>Par Value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Earnings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6"/>
                <w:szCs w:val="16"/>
                <w:color w:val="auto"/>
              </w:rPr>
              <w:t>Stock</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4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Balance at December 31, 2020</w:t>
            </w: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124,285</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3,379,057</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1,261,862</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(81,327)</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4,683,877</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183,689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183,689</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Dividends of March 1, 2021 ($0.2507 per share)</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(61,520)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(61,520)</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Issuance of common stock under dividend reinvestment plan (98,904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49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4,112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4,161</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Repurchase of stock (76,105 shares)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(3,262)</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(3,262)</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Equity compensation plan (192,407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97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(97)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Exercise of stock options (20,201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704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2,631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(174)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2,457</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(31)</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256</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156"/>
        </w:trPr>
        <w:tc>
          <w:tcPr>
            <w:tcW w:w="6400" w:type="dxa"/>
            <w:vAlign w:val="bottom"/>
          </w:tcPr>
          <w:p>
            <w:pPr>
              <w:spacing w:after="0" w:line="155" w:lineRule="exact"/>
              <w:rPr>
                <w:sz w:val="20"/>
                <w:szCs w:val="20"/>
                <w:color w:val="auto"/>
              </w:rPr>
            </w:pPr>
            <w:r>
              <w:rPr>
                <w:rFonts w:ascii="Arial" w:cs="Arial" w:eastAsia="Arial" w:hAnsi="Arial"/>
                <w:sz w:val="16"/>
                <w:szCs w:val="16"/>
                <w:color w:val="auto"/>
              </w:rPr>
              <w:t>Balance at March 31, 2021</w:t>
            </w:r>
          </w:p>
        </w:tc>
        <w:tc>
          <w:tcPr>
            <w:tcW w:w="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124,441</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3,386,376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1,383,857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(84,333)</w:t>
            </w:r>
          </w:p>
        </w:tc>
        <w:tc>
          <w:tcPr>
            <w:tcW w:w="60" w:type="dxa"/>
            <w:vAlign w:val="bottom"/>
          </w:tcPr>
          <w:p>
            <w:pPr>
              <w:spacing w:after="0"/>
              <w:rPr>
                <w:sz w:val="13"/>
                <w:szCs w:val="13"/>
                <w:color w:val="auto"/>
              </w:rPr>
            </w:pPr>
          </w:p>
        </w:tc>
        <w:tc>
          <w:tcPr>
            <w:tcW w:w="200" w:type="dxa"/>
            <w:vAlign w:val="bottom"/>
            <w:tcBorders>
              <w:top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4,810,341</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80,914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80,914</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Dividends of June 1, 2021 ($0.2507 per share)</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(61,584)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(61,584)</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Issuance of common stock under dividend reinvestment plan (90,654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4,049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4,095</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Repurchase of stock (364 shares)</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(17)</w:t>
            </w: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Equity compensation plan (4,874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Exercise of stock options (22,786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11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781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2,316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(146)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2,170</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Other</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(148)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252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56"/>
        </w:trPr>
        <w:tc>
          <w:tcPr>
            <w:tcW w:w="64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Balance at June 30, 2021</w:t>
            </w: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124,500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3,393,372</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1,403,041</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(84,098)</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4,836,815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9" w:name="page10"/>
    <w:bookmarkEnd w:id="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CONSOLIDATED STATEMENTS OF CASH FLOW</w:t>
      </w:r>
    </w:p>
    <w:p>
      <w:pPr>
        <w:ind w:left="4540"/>
        <w:spacing w:after="0" w:line="187" w:lineRule="auto"/>
        <w:rPr>
          <w:sz w:val="20"/>
          <w:szCs w:val="20"/>
          <w:color w:val="auto"/>
        </w:rPr>
      </w:pPr>
      <w:r>
        <w:rPr>
          <w:rFonts w:ascii="Arial" w:cs="Arial" w:eastAsia="Arial" w:hAnsi="Arial"/>
          <w:sz w:val="18"/>
          <w:szCs w:val="18"/>
          <w:color w:val="auto"/>
        </w:rPr>
        <w:t>(In thousands of dollars)</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(UNAUDITED)</w:t>
      </w:r>
    </w:p>
    <w:p>
      <w:pPr>
        <w:spacing w:after="0" w:line="232" w:lineRule="exact"/>
        <w:rPr>
          <w:sz w:val="20"/>
          <w:szCs w:val="20"/>
          <w:color w:val="auto"/>
        </w:rPr>
      </w:pPr>
    </w:p>
    <w:p>
      <w:pPr>
        <w:jc w:val="center"/>
        <w:ind w:left="8500"/>
        <w:spacing w:after="0"/>
        <w:rPr>
          <w:sz w:val="20"/>
          <w:szCs w:val="20"/>
          <w:color w:val="auto"/>
        </w:rPr>
      </w:pPr>
      <w:r>
        <w:rPr>
          <w:rFonts w:ascii="Arial" w:cs="Arial" w:eastAsia="Arial" w:hAnsi="Arial"/>
          <w:sz w:val="16"/>
          <w:szCs w:val="16"/>
          <w:color w:val="auto"/>
        </w:rPr>
        <w:t>Six Months Ended</w:t>
      </w:r>
    </w:p>
    <w:p>
      <w:pPr>
        <w:jc w:val="center"/>
        <w:ind w:left="8500"/>
        <w:spacing w:after="0" w:line="223" w:lineRule="auto"/>
        <w:rPr>
          <w:sz w:val="20"/>
          <w:szCs w:val="20"/>
          <w:color w:val="auto"/>
        </w:rPr>
      </w:pPr>
      <w:r>
        <w:rPr>
          <w:rFonts w:ascii="Arial" w:cs="Arial" w:eastAsia="Arial" w:hAnsi="Arial"/>
          <w:sz w:val="16"/>
          <w:szCs w:val="16"/>
          <w:color w:val="auto"/>
        </w:rPr>
        <w:t>June 30,</w:t>
      </w:r>
    </w:p>
    <w:tbl>
      <w:tblPr>
        <w:tblLayout w:type="fixed"/>
        <w:tblInd w:w="0" w:type="dxa"/>
        <w:tblCellMar>
          <w:top w:w="0" w:type="dxa"/>
          <w:left w:w="0" w:type="dxa"/>
          <w:bottom w:w="0" w:type="dxa"/>
          <w:right w:w="0" w:type="dxa"/>
        </w:tblCellMar>
      </w:tblPr>
      <w:tr>
        <w:trPr>
          <w:trHeight w:val="156"/>
        </w:trPr>
        <w:tc>
          <w:tcPr>
            <w:tcW w:w="828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99"/>
              <w:spacing w:after="0" w:line="155" w:lineRule="exact"/>
              <w:rPr>
                <w:sz w:val="20"/>
                <w:szCs w:val="20"/>
                <w:color w:val="auto"/>
              </w:rPr>
            </w:pPr>
            <w:r>
              <w:rPr>
                <w:rFonts w:ascii="Arial" w:cs="Arial" w:eastAsia="Arial" w:hAnsi="Arial"/>
                <w:sz w:val="16"/>
                <w:szCs w:val="16"/>
                <w:color w:val="auto"/>
              </w:rPr>
              <w:t>2022</w:t>
            </w: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99"/>
              <w:spacing w:after="0" w:line="155"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55"/>
        </w:trPr>
        <w:tc>
          <w:tcPr>
            <w:tcW w:w="82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Net income</w:t>
            </w:r>
          </w:p>
        </w:tc>
        <w:tc>
          <w:tcPr>
            <w:tcW w:w="520" w:type="dxa"/>
            <w:vAlign w:val="bottom"/>
            <w:gridSpan w:val="2"/>
            <w:shd w:val="clear" w:color="auto" w:fill="CCEEFF"/>
          </w:tcPr>
          <w:p>
            <w:pPr>
              <w:jc w:val="right"/>
              <w:ind w:right="124"/>
              <w:spacing w:after="0" w:line="162"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281,667</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264,603</w:t>
            </w:r>
          </w:p>
        </w:tc>
        <w:tc>
          <w:tcPr>
            <w:tcW w:w="0" w:type="dxa"/>
            <w:vAlign w:val="bottom"/>
          </w:tcPr>
          <w:p>
            <w:pPr>
              <w:spacing w:after="0"/>
              <w:rPr>
                <w:sz w:val="1"/>
                <w:szCs w:val="1"/>
                <w:color w:val="auto"/>
              </w:rPr>
            </w:pPr>
          </w:p>
        </w:tc>
      </w:tr>
      <w:tr>
        <w:trPr>
          <w:trHeight w:val="162"/>
        </w:trPr>
        <w:tc>
          <w:tcPr>
            <w:tcW w:w="8280" w:type="dxa"/>
            <w:vAlign w:val="bottom"/>
          </w:tcPr>
          <w:p>
            <w:pPr>
              <w:spacing w:after="0" w:line="162" w:lineRule="exact"/>
              <w:rPr>
                <w:sz w:val="20"/>
                <w:szCs w:val="20"/>
                <w:color w:val="auto"/>
              </w:rPr>
            </w:pPr>
            <w:r>
              <w:rPr>
                <w:rFonts w:ascii="Arial" w:cs="Arial" w:eastAsia="Arial" w:hAnsi="Arial"/>
                <w:sz w:val="16"/>
                <w:szCs w:val="16"/>
                <w:color w:val="auto"/>
              </w:rPr>
              <w:t>Adjustments to reconcile net income to net cash flows from operating activities: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157,522</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147,116</w:t>
            </w:r>
          </w:p>
        </w:tc>
        <w:tc>
          <w:tcPr>
            <w:tcW w:w="0" w:type="dxa"/>
            <w:vAlign w:val="bottom"/>
          </w:tcPr>
          <w:p>
            <w:pPr>
              <w:spacing w:after="0"/>
              <w:rPr>
                <w:sz w:val="1"/>
                <w:szCs w:val="1"/>
                <w:color w:val="auto"/>
              </w:rPr>
            </w:pPr>
          </w:p>
        </w:tc>
      </w:tr>
      <w:tr>
        <w:trPr>
          <w:trHeight w:val="162"/>
        </w:trPr>
        <w:tc>
          <w:tcPr>
            <w:tcW w:w="8280" w:type="dxa"/>
            <w:vAlign w:val="bottom"/>
          </w:tcPr>
          <w:p>
            <w:pPr>
              <w:ind w:left="220"/>
              <w:spacing w:after="0" w:line="162" w:lineRule="exact"/>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(13,810)</w:t>
            </w: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19,594</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Provision for doubtful accounts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12,793</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16,511</w:t>
            </w:r>
          </w:p>
        </w:tc>
        <w:tc>
          <w:tcPr>
            <w:tcW w:w="0" w:type="dxa"/>
            <w:vAlign w:val="bottom"/>
          </w:tcPr>
          <w:p>
            <w:pPr>
              <w:spacing w:after="0"/>
              <w:rPr>
                <w:sz w:val="1"/>
                <w:szCs w:val="1"/>
                <w:color w:val="auto"/>
              </w:rPr>
            </w:pPr>
          </w:p>
        </w:tc>
      </w:tr>
      <w:tr>
        <w:trPr>
          <w:trHeight w:val="162"/>
        </w:trPr>
        <w:tc>
          <w:tcPr>
            <w:tcW w:w="8280" w:type="dxa"/>
            <w:vAlign w:val="bottom"/>
          </w:tcPr>
          <w:p>
            <w:pPr>
              <w:ind w:left="220"/>
              <w:spacing w:after="0" w:line="162" w:lineRule="exact"/>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5,471</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5,053</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Gain on sale of other assets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(478)</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162"/>
        </w:trPr>
        <w:tc>
          <w:tcPr>
            <w:tcW w:w="8280" w:type="dxa"/>
            <w:vAlign w:val="bottom"/>
          </w:tcPr>
          <w:p>
            <w:pPr>
              <w:ind w:left="220"/>
              <w:spacing w:after="0" w:line="162" w:lineRule="exact"/>
              <w:rPr>
                <w:sz w:val="20"/>
                <w:szCs w:val="20"/>
                <w:color w:val="auto"/>
              </w:rPr>
            </w:pPr>
            <w:r>
              <w:rPr>
                <w:rFonts w:ascii="Arial" w:cs="Arial" w:eastAsia="Arial" w:hAnsi="Arial"/>
                <w:sz w:val="16"/>
                <w:szCs w:val="16"/>
                <w:color w:val="auto"/>
              </w:rPr>
              <w:t>Net change in receivables, inventory and prepayments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6,742</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55,561</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Net change in payables, accrued interest, accrued taxes and other accrued liabilities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(4,222)</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(78,587)</w:t>
            </w:r>
          </w:p>
        </w:tc>
        <w:tc>
          <w:tcPr>
            <w:tcW w:w="0" w:type="dxa"/>
            <w:vAlign w:val="bottom"/>
          </w:tcPr>
          <w:p>
            <w:pPr>
              <w:spacing w:after="0"/>
              <w:rPr>
                <w:sz w:val="1"/>
                <w:szCs w:val="1"/>
                <w:color w:val="auto"/>
              </w:rPr>
            </w:pPr>
          </w:p>
        </w:tc>
      </w:tr>
      <w:tr>
        <w:trPr>
          <w:trHeight w:val="162"/>
        </w:trPr>
        <w:tc>
          <w:tcPr>
            <w:tcW w:w="8280" w:type="dxa"/>
            <w:vAlign w:val="bottom"/>
          </w:tcPr>
          <w:p>
            <w:pPr>
              <w:ind w:left="220"/>
              <w:spacing w:after="0" w:line="162" w:lineRule="exact"/>
              <w:rPr>
                <w:sz w:val="20"/>
                <w:szCs w:val="20"/>
                <w:color w:val="auto"/>
              </w:rPr>
            </w:pPr>
            <w:r>
              <w:rPr>
                <w:rFonts w:ascii="Arial" w:cs="Arial" w:eastAsia="Arial" w:hAnsi="Arial"/>
                <w:sz w:val="16"/>
                <w:szCs w:val="16"/>
                <w:color w:val="auto"/>
              </w:rPr>
              <w:t>Pension and other postretirement benefits contributions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(14,564)</w:t>
            </w: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(12,971)</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(14,819)</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(3,204)</w:t>
            </w:r>
          </w:p>
        </w:tc>
        <w:tc>
          <w:tcPr>
            <w:tcW w:w="0" w:type="dxa"/>
            <w:vAlign w:val="bottom"/>
          </w:tcPr>
          <w:p>
            <w:pPr>
              <w:spacing w:after="0"/>
              <w:rPr>
                <w:sz w:val="1"/>
                <w:szCs w:val="1"/>
                <w:color w:val="auto"/>
              </w:rPr>
            </w:pPr>
          </w:p>
        </w:tc>
      </w:tr>
      <w:tr>
        <w:trPr>
          <w:trHeight w:val="155"/>
        </w:trPr>
        <w:tc>
          <w:tcPr>
            <w:tcW w:w="828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flows from operating activities</w:t>
            </w:r>
          </w:p>
        </w:tc>
        <w:tc>
          <w:tcPr>
            <w:tcW w:w="2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416,302</w:t>
            </w:r>
          </w:p>
        </w:tc>
        <w:tc>
          <w:tcPr>
            <w:tcW w:w="1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412,868</w:t>
            </w:r>
          </w:p>
        </w:tc>
        <w:tc>
          <w:tcPr>
            <w:tcW w:w="0" w:type="dxa"/>
            <w:vAlign w:val="bottom"/>
          </w:tcPr>
          <w:p>
            <w:pPr>
              <w:spacing w:after="0"/>
              <w:rPr>
                <w:sz w:val="1"/>
                <w:szCs w:val="1"/>
                <w:color w:val="auto"/>
              </w:rPr>
            </w:pPr>
          </w:p>
        </w:tc>
      </w:tr>
      <w:tr>
        <w:trPr>
          <w:trHeight w:val="156"/>
        </w:trPr>
        <w:tc>
          <w:tcPr>
            <w:tcW w:w="82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280" w:type="dxa"/>
            <w:vAlign w:val="bottom"/>
          </w:tcPr>
          <w:p>
            <w:pPr>
              <w:ind w:left="120"/>
              <w:spacing w:after="0" w:line="138" w:lineRule="exact"/>
              <w:rPr>
                <w:sz w:val="20"/>
                <w:szCs w:val="20"/>
                <w:color w:val="auto"/>
              </w:rPr>
            </w:pPr>
            <w:r>
              <w:rPr>
                <w:rFonts w:ascii="Arial" w:cs="Arial" w:eastAsia="Arial" w:hAnsi="Arial"/>
                <w:sz w:val="16"/>
                <w:szCs w:val="16"/>
                <w:color w:val="auto"/>
                <w:w w:val="94"/>
              </w:rPr>
              <w:t>Property, plant and equipment additions, including the debt component of allowance for funds used during construction of</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(424,645)</w:t>
            </w:r>
          </w:p>
        </w:tc>
        <w:tc>
          <w:tcPr>
            <w:tcW w:w="2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(404,557)</w:t>
            </w:r>
          </w:p>
        </w:tc>
        <w:tc>
          <w:tcPr>
            <w:tcW w:w="0" w:type="dxa"/>
            <w:vAlign w:val="bottom"/>
          </w:tcPr>
          <w:p>
            <w:pPr>
              <w:spacing w:after="0"/>
              <w:rPr>
                <w:sz w:val="1"/>
                <w:szCs w:val="1"/>
                <w:color w:val="auto"/>
              </w:rPr>
            </w:pPr>
          </w:p>
        </w:tc>
      </w:tr>
      <w:tr>
        <w:trPr>
          <w:trHeight w:val="185"/>
        </w:trPr>
        <w:tc>
          <w:tcPr>
            <w:tcW w:w="8280" w:type="dxa"/>
            <w:vAlign w:val="bottom"/>
          </w:tcPr>
          <w:p>
            <w:pPr>
              <w:ind w:left="120"/>
              <w:spacing w:after="0"/>
              <w:rPr>
                <w:sz w:val="20"/>
                <w:szCs w:val="20"/>
                <w:color w:val="auto"/>
              </w:rPr>
            </w:pPr>
            <w:r>
              <w:rPr>
                <w:rFonts w:ascii="Arial" w:cs="Arial" w:eastAsia="Arial" w:hAnsi="Arial"/>
                <w:sz w:val="16"/>
                <w:szCs w:val="16"/>
                <w:color w:val="auto"/>
              </w:rPr>
              <w:t>$3,013 and $1,393</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Acquisitions of utility systems, net</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(50,010)</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280" w:type="dxa"/>
            <w:vAlign w:val="bottom"/>
          </w:tcPr>
          <w:p>
            <w:pPr>
              <w:ind w:left="120"/>
              <w:spacing w:after="0" w:line="162" w:lineRule="exact"/>
              <w:rPr>
                <w:sz w:val="20"/>
                <w:szCs w:val="20"/>
                <w:color w:val="auto"/>
              </w:rPr>
            </w:pPr>
            <w:r>
              <w:rPr>
                <w:rFonts w:ascii="Arial" w:cs="Arial" w:eastAsia="Arial" w:hAnsi="Arial"/>
                <w:sz w:val="16"/>
                <w:szCs w:val="16"/>
                <w:color w:val="auto"/>
              </w:rPr>
              <w:t>Net proceeds from the sale of other assets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485</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157</w:t>
            </w:r>
          </w:p>
        </w:tc>
        <w:tc>
          <w:tcPr>
            <w:tcW w:w="1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155"/>
        </w:trPr>
        <w:tc>
          <w:tcPr>
            <w:tcW w:w="828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flows used in investing activities</w:t>
            </w:r>
          </w:p>
        </w:tc>
        <w:tc>
          <w:tcPr>
            <w:tcW w:w="2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(474,013)</w:t>
            </w: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(403,781)</w:t>
            </w:r>
          </w:p>
        </w:tc>
        <w:tc>
          <w:tcPr>
            <w:tcW w:w="0" w:type="dxa"/>
            <w:vAlign w:val="bottom"/>
          </w:tcPr>
          <w:p>
            <w:pPr>
              <w:spacing w:after="0"/>
              <w:rPr>
                <w:sz w:val="1"/>
                <w:szCs w:val="1"/>
                <w:color w:val="auto"/>
              </w:rPr>
            </w:pPr>
          </w:p>
        </w:tc>
      </w:tr>
      <w:tr>
        <w:trPr>
          <w:trHeight w:val="156"/>
        </w:trPr>
        <w:tc>
          <w:tcPr>
            <w:tcW w:w="82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80" w:type="dxa"/>
            <w:vAlign w:val="bottom"/>
          </w:tcPr>
          <w:p>
            <w:pPr>
              <w:ind w:left="120"/>
              <w:spacing w:after="0" w:line="162" w:lineRule="exact"/>
              <w:rPr>
                <w:sz w:val="20"/>
                <w:szCs w:val="20"/>
                <w:color w:val="auto"/>
              </w:rPr>
            </w:pPr>
            <w:r>
              <w:rPr>
                <w:rFonts w:ascii="Arial" w:cs="Arial" w:eastAsia="Arial" w:hAnsi="Arial"/>
                <w:sz w:val="16"/>
                <w:szCs w:val="16"/>
                <w:color w:val="auto"/>
              </w:rPr>
              <w:t>Customers' advances and contributions in aid of construction</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5,796</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8,988</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Repayments of customers' advances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(901)</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(1,961)</w:t>
            </w:r>
          </w:p>
        </w:tc>
        <w:tc>
          <w:tcPr>
            <w:tcW w:w="0" w:type="dxa"/>
            <w:vAlign w:val="bottom"/>
          </w:tcPr>
          <w:p>
            <w:pPr>
              <w:spacing w:after="0"/>
              <w:rPr>
                <w:sz w:val="1"/>
                <w:szCs w:val="1"/>
                <w:color w:val="auto"/>
              </w:rPr>
            </w:pPr>
          </w:p>
        </w:tc>
      </w:tr>
      <w:tr>
        <w:trPr>
          <w:trHeight w:val="162"/>
        </w:trPr>
        <w:tc>
          <w:tcPr>
            <w:tcW w:w="8280" w:type="dxa"/>
            <w:vAlign w:val="bottom"/>
          </w:tcPr>
          <w:p>
            <w:pPr>
              <w:ind w:left="120"/>
              <w:spacing w:after="0" w:line="162" w:lineRule="exact"/>
              <w:rPr>
                <w:sz w:val="20"/>
                <w:szCs w:val="20"/>
                <w:color w:val="auto"/>
              </w:rPr>
            </w:pPr>
            <w:r>
              <w:rPr>
                <w:rFonts w:ascii="Arial" w:cs="Arial" w:eastAsia="Arial" w:hAnsi="Arial"/>
                <w:sz w:val="16"/>
                <w:szCs w:val="16"/>
                <w:color w:val="auto"/>
              </w:rPr>
              <w:t>Net repayments of short-term debt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(60,297)</w:t>
            </w: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(6,349)</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Proceeds from long-term debt</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770,376</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760,176</w:t>
            </w:r>
          </w:p>
        </w:tc>
        <w:tc>
          <w:tcPr>
            <w:tcW w:w="0" w:type="dxa"/>
            <w:vAlign w:val="bottom"/>
          </w:tcPr>
          <w:p>
            <w:pPr>
              <w:spacing w:after="0"/>
              <w:rPr>
                <w:sz w:val="1"/>
                <w:szCs w:val="1"/>
                <w:color w:val="auto"/>
              </w:rPr>
            </w:pPr>
          </w:p>
        </w:tc>
      </w:tr>
      <w:tr>
        <w:trPr>
          <w:trHeight w:val="162"/>
        </w:trPr>
        <w:tc>
          <w:tcPr>
            <w:tcW w:w="8280" w:type="dxa"/>
            <w:vAlign w:val="bottom"/>
          </w:tcPr>
          <w:p>
            <w:pPr>
              <w:ind w:left="120"/>
              <w:spacing w:after="0" w:line="162" w:lineRule="exact"/>
              <w:rPr>
                <w:sz w:val="20"/>
                <w:szCs w:val="20"/>
                <w:color w:val="auto"/>
              </w:rPr>
            </w:pPr>
            <w:r>
              <w:rPr>
                <w:rFonts w:ascii="Arial" w:cs="Arial" w:eastAsia="Arial" w:hAnsi="Arial"/>
                <w:sz w:val="16"/>
                <w:szCs w:val="16"/>
                <w:color w:val="auto"/>
              </w:rPr>
              <w:t>Repayments of long-term debt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(464,585)</w:t>
            </w: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(619,477)</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Change in cash overdraft position</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(61,061)</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(30,595)</w:t>
            </w:r>
          </w:p>
        </w:tc>
        <w:tc>
          <w:tcPr>
            <w:tcW w:w="0" w:type="dxa"/>
            <w:vAlign w:val="bottom"/>
          </w:tcPr>
          <w:p>
            <w:pPr>
              <w:spacing w:after="0"/>
              <w:rPr>
                <w:sz w:val="1"/>
                <w:szCs w:val="1"/>
                <w:color w:val="auto"/>
              </w:rPr>
            </w:pPr>
          </w:p>
        </w:tc>
      </w:tr>
      <w:tr>
        <w:trPr>
          <w:trHeight w:val="162"/>
        </w:trPr>
        <w:tc>
          <w:tcPr>
            <w:tcW w:w="8280" w:type="dxa"/>
            <w:vAlign w:val="bottom"/>
          </w:tcPr>
          <w:p>
            <w:pPr>
              <w:ind w:left="120"/>
              <w:spacing w:after="0" w:line="162" w:lineRule="exact"/>
              <w:rPr>
                <w:sz w:val="20"/>
                <w:szCs w:val="20"/>
                <w:color w:val="auto"/>
              </w:rPr>
            </w:pPr>
            <w:r>
              <w:rPr>
                <w:rFonts w:ascii="Arial" w:cs="Arial" w:eastAsia="Arial" w:hAnsi="Arial"/>
                <w:sz w:val="16"/>
                <w:szCs w:val="16"/>
                <w:color w:val="auto"/>
              </w:rPr>
              <w:t>Proceeds from issuance of common stock under dividend reinvestment plan</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8,171</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8,256</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Proceeds from exercised stock options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1,239</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162"/>
        </w:trPr>
        <w:tc>
          <w:tcPr>
            <w:tcW w:w="8280" w:type="dxa"/>
            <w:vAlign w:val="bottom"/>
          </w:tcPr>
          <w:p>
            <w:pPr>
              <w:ind w:left="120"/>
              <w:spacing w:after="0" w:line="162" w:lineRule="exact"/>
              <w:rPr>
                <w:sz w:val="20"/>
                <w:szCs w:val="20"/>
                <w:color w:val="auto"/>
              </w:rPr>
            </w:pPr>
            <w:r>
              <w:rPr>
                <w:rFonts w:ascii="Arial" w:cs="Arial" w:eastAsia="Arial" w:hAnsi="Arial"/>
                <w:sz w:val="16"/>
                <w:szCs w:val="16"/>
                <w:color w:val="auto"/>
              </w:rPr>
              <w:t>Repurchase of common stock</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(1,027)</w:t>
            </w: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(3,279)</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Dividends paid on common stock</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(138,108)</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(123,104)</w:t>
            </w:r>
          </w:p>
        </w:tc>
        <w:tc>
          <w:tcPr>
            <w:tcW w:w="0" w:type="dxa"/>
            <w:vAlign w:val="bottom"/>
          </w:tcPr>
          <w:p>
            <w:pPr>
              <w:spacing w:after="0"/>
              <w:rPr>
                <w:sz w:val="1"/>
                <w:szCs w:val="1"/>
                <w:color w:val="auto"/>
              </w:rPr>
            </w:pPr>
          </w:p>
        </w:tc>
      </w:tr>
      <w:tr>
        <w:trPr>
          <w:trHeight w:val="162"/>
        </w:trPr>
        <w:tc>
          <w:tcPr>
            <w:tcW w:w="828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517</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155"/>
        </w:trPr>
        <w:tc>
          <w:tcPr>
            <w:tcW w:w="82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cash flows from (used in) financing activities</w:t>
            </w:r>
          </w:p>
        </w:tc>
        <w:tc>
          <w:tcPr>
            <w:tcW w:w="2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60,120</w:t>
            </w:r>
          </w:p>
        </w:tc>
        <w:tc>
          <w:tcPr>
            <w:tcW w:w="1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(5,510)</w:t>
            </w:r>
          </w:p>
        </w:tc>
        <w:tc>
          <w:tcPr>
            <w:tcW w:w="0" w:type="dxa"/>
            <w:vAlign w:val="bottom"/>
          </w:tcPr>
          <w:p>
            <w:pPr>
              <w:spacing w:after="0"/>
              <w:rPr>
                <w:sz w:val="1"/>
                <w:szCs w:val="1"/>
                <w:color w:val="auto"/>
              </w:rPr>
            </w:pPr>
          </w:p>
        </w:tc>
      </w:tr>
      <w:tr>
        <w:trPr>
          <w:trHeight w:val="156"/>
        </w:trPr>
        <w:tc>
          <w:tcPr>
            <w:tcW w:w="8280" w:type="dxa"/>
            <w:vAlign w:val="bottom"/>
          </w:tcPr>
          <w:p>
            <w:pPr>
              <w:spacing w:after="0" w:line="155" w:lineRule="exact"/>
              <w:rPr>
                <w:sz w:val="20"/>
                <w:szCs w:val="20"/>
                <w:color w:val="auto"/>
              </w:rPr>
            </w:pPr>
            <w:r>
              <w:rPr>
                <w:rFonts w:ascii="Arial" w:cs="Arial" w:eastAsia="Arial" w:hAnsi="Arial"/>
                <w:sz w:val="16"/>
                <w:szCs w:val="16"/>
                <w:color w:val="auto"/>
              </w:rPr>
              <w:t>Net change in cash and cash equivalents</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6"/>
                <w:szCs w:val="16"/>
                <w:color w:val="auto"/>
              </w:rPr>
              <w:t>2,409</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6"/>
                <w:szCs w:val="16"/>
                <w:color w:val="auto"/>
              </w:rPr>
              <w:t>3,577</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Cash and cash equivalents at beginning of period</w:t>
            </w:r>
          </w:p>
        </w:tc>
        <w:tc>
          <w:tcPr>
            <w:tcW w:w="2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10,567</w:t>
            </w:r>
          </w:p>
        </w:tc>
        <w:tc>
          <w:tcPr>
            <w:tcW w:w="1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4,827</w:t>
            </w:r>
          </w:p>
        </w:tc>
        <w:tc>
          <w:tcPr>
            <w:tcW w:w="0" w:type="dxa"/>
            <w:vAlign w:val="bottom"/>
          </w:tcPr>
          <w:p>
            <w:pPr>
              <w:spacing w:after="0"/>
              <w:rPr>
                <w:sz w:val="1"/>
                <w:szCs w:val="1"/>
                <w:color w:val="auto"/>
              </w:rPr>
            </w:pPr>
          </w:p>
        </w:tc>
      </w:tr>
      <w:tr>
        <w:trPr>
          <w:trHeight w:val="156"/>
        </w:trPr>
        <w:tc>
          <w:tcPr>
            <w:tcW w:w="8280" w:type="dxa"/>
            <w:vAlign w:val="bottom"/>
          </w:tcPr>
          <w:p>
            <w:pPr>
              <w:spacing w:after="0" w:line="155" w:lineRule="exact"/>
              <w:rPr>
                <w:sz w:val="20"/>
                <w:szCs w:val="20"/>
                <w:color w:val="auto"/>
              </w:rPr>
            </w:pPr>
            <w:r>
              <w:rPr>
                <w:rFonts w:ascii="Arial" w:cs="Arial" w:eastAsia="Arial" w:hAnsi="Arial"/>
                <w:sz w:val="16"/>
                <w:szCs w:val="16"/>
                <w:color w:val="auto"/>
              </w:rPr>
              <w:t>Cash and cash equivalents at end of period</w:t>
            </w:r>
          </w:p>
        </w:tc>
        <w:tc>
          <w:tcPr>
            <w:tcW w:w="240" w:type="dxa"/>
            <w:vAlign w:val="bottom"/>
          </w:tcPr>
          <w:p>
            <w:pPr>
              <w:spacing w:after="0"/>
              <w:rPr>
                <w:sz w:val="13"/>
                <w:szCs w:val="13"/>
                <w:color w:val="auto"/>
              </w:rPr>
            </w:pPr>
          </w:p>
        </w:tc>
        <w:tc>
          <w:tcPr>
            <w:tcW w:w="280" w:type="dxa"/>
            <w:vAlign w:val="bottom"/>
            <w:tcBorders>
              <w:bottom w:val="single" w:sz="8" w:color="auto"/>
            </w:tcBorders>
          </w:tcPr>
          <w:p>
            <w:pPr>
              <w:jc w:val="right"/>
              <w:ind w:right="124"/>
              <w:spacing w:after="0" w:line="156"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12,976</w:t>
            </w:r>
          </w:p>
        </w:tc>
        <w:tc>
          <w:tcPr>
            <w:tcW w:w="180" w:type="dxa"/>
            <w:vAlign w:val="bottom"/>
          </w:tcPr>
          <w:p>
            <w:pPr>
              <w:spacing w:after="0"/>
              <w:rPr>
                <w:sz w:val="13"/>
                <w:szCs w:val="13"/>
                <w:color w:val="auto"/>
              </w:rPr>
            </w:pPr>
          </w:p>
        </w:tc>
        <w:tc>
          <w:tcPr>
            <w:tcW w:w="260" w:type="dxa"/>
            <w:vAlign w:val="bottom"/>
            <w:tcBorders>
              <w:bottom w:val="single" w:sz="8" w:color="auto"/>
            </w:tcBorders>
          </w:tcPr>
          <w:p>
            <w:pPr>
              <w:jc w:val="right"/>
              <w:ind w:right="104"/>
              <w:spacing w:after="0" w:line="156"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8,404</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6"/>
                <w:szCs w:val="16"/>
                <w:color w:val="auto"/>
              </w:rPr>
              <w:t>Non-cash investing activities:</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Property, plant and equipment additions purchased at the period end, but not yet paid for</w:t>
            </w:r>
          </w:p>
        </w:tc>
        <w:tc>
          <w:tcPr>
            <w:tcW w:w="520" w:type="dxa"/>
            <w:vAlign w:val="bottom"/>
            <w:gridSpan w:val="2"/>
            <w:shd w:val="clear" w:color="auto" w:fill="CCEEFF"/>
          </w:tcPr>
          <w:p>
            <w:pPr>
              <w:jc w:val="right"/>
              <w:ind w:right="124"/>
              <w:spacing w:after="0" w:line="162"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94,473</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74,752</w:t>
            </w:r>
          </w:p>
        </w:tc>
        <w:tc>
          <w:tcPr>
            <w:tcW w:w="0" w:type="dxa"/>
            <w:vAlign w:val="bottom"/>
          </w:tcPr>
          <w:p>
            <w:pPr>
              <w:spacing w:after="0"/>
              <w:rPr>
                <w:sz w:val="1"/>
                <w:szCs w:val="1"/>
                <w:color w:val="auto"/>
              </w:rPr>
            </w:pPr>
          </w:p>
        </w:tc>
      </w:tr>
      <w:tr>
        <w:trPr>
          <w:trHeight w:val="206"/>
        </w:trPr>
        <w:tc>
          <w:tcPr>
            <w:tcW w:w="8280" w:type="dxa"/>
            <w:vAlign w:val="bottom"/>
          </w:tcPr>
          <w:p>
            <w:pPr>
              <w:ind w:left="120"/>
              <w:spacing w:after="0"/>
              <w:rPr>
                <w:sz w:val="20"/>
                <w:szCs w:val="20"/>
                <w:color w:val="auto"/>
              </w:rPr>
            </w:pPr>
            <w:r>
              <w:rPr>
                <w:rFonts w:ascii="Arial" w:cs="Arial" w:eastAsia="Arial" w:hAnsi="Arial"/>
                <w:sz w:val="16"/>
                <w:szCs w:val="16"/>
                <w:color w:val="auto"/>
              </w:rPr>
              <w:t>Non-cash customer advances and contributions in aid of construction</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8,789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17,651</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0" w:name="page11"/>
    <w:bookmarkEnd w:id="1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right="-39"/>
        <w:spacing w:after="0" w:line="217" w:lineRule="auto"/>
        <w:rPr>
          <w:sz w:val="20"/>
          <w:szCs w:val="20"/>
          <w:color w:val="auto"/>
        </w:rPr>
      </w:pPr>
      <w:r>
        <w:rPr>
          <w:rFonts w:ascii="Arial" w:cs="Arial" w:eastAsia="Arial" w:hAnsi="Arial"/>
          <w:sz w:val="22"/>
          <w:szCs w:val="22"/>
          <w:color w:val="auto"/>
        </w:rPr>
        <w:t>ESSENTIAL UTILITIES, INC. AND SUBSIDIARIES</w:t>
      </w:r>
    </w:p>
    <w:p>
      <w:pPr>
        <w:jc w:val="center"/>
        <w:ind w:right="-99"/>
        <w:spacing w:after="0" w:line="218" w:lineRule="auto"/>
        <w:rPr>
          <w:sz w:val="20"/>
          <w:szCs w:val="20"/>
          <w:color w:val="auto"/>
        </w:rPr>
      </w:pPr>
      <w:r>
        <w:rPr>
          <w:rFonts w:ascii="Arial" w:cs="Arial" w:eastAsia="Arial" w:hAnsi="Arial"/>
          <w:sz w:val="22"/>
          <w:szCs w:val="22"/>
          <w:color w:val="auto"/>
        </w:rPr>
        <w:t>NOTES TO CONSOLIDATED FINANCIAL STATEMENTS</w:t>
      </w:r>
    </w:p>
    <w:p>
      <w:pPr>
        <w:jc w:val="center"/>
        <w:ind w:right="-9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99"/>
        <w:spacing w:after="0"/>
        <w:rPr>
          <w:sz w:val="20"/>
          <w:szCs w:val="20"/>
          <w:color w:val="auto"/>
        </w:rPr>
      </w:pPr>
      <w:r>
        <w:rPr>
          <w:rFonts w:ascii="Arial" w:cs="Arial" w:eastAsia="Arial" w:hAnsi="Arial"/>
          <w:sz w:val="22"/>
          <w:szCs w:val="22"/>
          <w:color w:val="auto"/>
        </w:rPr>
        <w:t>(UNAUDITED)</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 </w:t>
      </w:r>
      <w:r>
        <w:rPr>
          <w:rFonts w:ascii="Arial" w:cs="Arial" w:eastAsia="Arial" w:hAnsi="Arial"/>
          <w:sz w:val="22"/>
          <w:szCs w:val="22"/>
          <w:b w:val="1"/>
          <w:bCs w:val="1"/>
          <w:i w:val="1"/>
          <w:iCs w:val="1"/>
          <w:color w:val="auto"/>
        </w:rPr>
        <w:t>Basis of Presentation</w:t>
      </w:r>
    </w:p>
    <w:p>
      <w:pPr>
        <w:spacing w:after="0" w:line="185" w:lineRule="exact"/>
        <w:rPr>
          <w:sz w:val="20"/>
          <w:szCs w:val="20"/>
          <w:color w:val="auto"/>
        </w:rPr>
      </w:pPr>
    </w:p>
    <w:p>
      <w:pPr>
        <w:spacing w:after="0" w:line="231" w:lineRule="auto"/>
        <w:rPr>
          <w:sz w:val="20"/>
          <w:szCs w:val="20"/>
          <w:color w:val="auto"/>
        </w:rPr>
      </w:pPr>
      <w:r>
        <w:rPr>
          <w:rFonts w:ascii="Arial" w:cs="Arial" w:eastAsia="Arial" w:hAnsi="Arial"/>
          <w:sz w:val="21"/>
          <w:szCs w:val="21"/>
          <w:color w:val="auto"/>
        </w:rPr>
        <w:t>The accompanying unaudited consolidated balance sheets and statements of capitalization of Essential Utilities, Inc. and subsidiaries (collectively, the “Company”, “we”, “us” or “our”) at June 30, 2022, the unaudited consolidated statements of operations and comprehensive income for the three and six months ended June 30, 2022 and 2021, and the consolidated statements of cash flows and of equity for the six months ended June 30, 2022 and 2021, have been prepared in accordance with accounting principles generally accepted in the United States (“GAAP”) for interim reporting and the rules and regulations for reporting on Quarterly Reports on Form 10-Q.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2021. Interim results are not necessarily indicative of results for a full year. In the opinion of management, all adjustments, consisting of only recurring accruals, which are necessary to present a fair statement of its consolidated balance sheets, consolidated statements of equity, consolidated statements of operations and comprehensive income, and consolidated cash flow for the periods presented, have been made.</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preparation of financial statements often requires the selection of specific accounting methods and policies. Further, significant estimates and judgments may be required in selecting and applying those methods and policies in the recognition of the assets and liabilities in its consolidated balance sheets, the revenues and expenses in its consolidated statements of operations and comprehensive income, and the information that is contained in its summary of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the Company includes currently in its consolidated financial statements, summary of significant accounting policies, and notes.</w:t>
      </w:r>
    </w:p>
    <w:p>
      <w:pPr>
        <w:spacing w:after="0" w:line="172"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color w:val="auto"/>
        </w:rPr>
        <w:t>In the preparation of these financial statements and related disclosures, we have assessed the impact that the COVID-19 pandemic and the global geopolitical uncertainties (“major events”) has had on our estimates, assumptions, forecasts, and accounting policies. Because of the essential nature of our business, we do not believe these major events had a material impact on our estimates, assumptions and forecasts used in the preparation of our financial statements, although we continue to monitor this closely. As these major events are continuing to evolve, future events and effects related to these major events cannot be determined with precision, and actual results could significantly differ from our estimates or forecasts.</w:t>
      </w:r>
    </w:p>
    <w:p>
      <w:pPr>
        <w:spacing w:after="0" w:line="164" w:lineRule="exact"/>
        <w:rPr>
          <w:sz w:val="20"/>
          <w:szCs w:val="20"/>
          <w:color w:val="auto"/>
        </w:rPr>
      </w:pPr>
    </w:p>
    <w:p>
      <w:pPr>
        <w:ind w:right="240"/>
        <w:spacing w:after="0" w:line="239" w:lineRule="auto"/>
        <w:rPr>
          <w:sz w:val="20"/>
          <w:szCs w:val="20"/>
          <w:color w:val="auto"/>
        </w:rPr>
      </w:pPr>
      <w:r>
        <w:rPr>
          <w:rFonts w:ascii="Arial" w:cs="Arial" w:eastAsia="Arial" w:hAnsi="Arial"/>
          <w:sz w:val="22"/>
          <w:szCs w:val="22"/>
          <w:color w:val="auto"/>
        </w:rPr>
        <w:t>There have been no changes to the summary of significant accounting policies previously identified in the Company’s Annual Report on Form 10-K for the year ended December 31, 2021.</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 w:right="439" w:bottom="1440" w:gutter="0" w:footer="0" w:header="0"/>
        </w:sectPr>
      </w:pPr>
    </w:p>
    <w:bookmarkStart w:id="11" w:name="page12"/>
    <w:bookmarkEnd w:id="1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w:t>
      </w:r>
      <w:r>
        <w:rPr>
          <w:rFonts w:ascii="Arial" w:cs="Arial" w:eastAsia="Arial" w:hAnsi="Arial"/>
          <w:sz w:val="22"/>
          <w:szCs w:val="22"/>
          <w:b w:val="1"/>
          <w:bCs w:val="1"/>
          <w:i w:val="1"/>
          <w:iCs w:val="1"/>
          <w:color w:val="auto"/>
        </w:rPr>
        <w:t>Revenue Recognition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our revenues disaggregated by major source and customer class: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7"/>
          </w:tcPr>
          <w:p>
            <w:pPr>
              <w:jc w:val="center"/>
              <w:ind w:right="100"/>
              <w:spacing w:after="0"/>
              <w:rPr>
                <w:sz w:val="20"/>
                <w:szCs w:val="20"/>
                <w:color w:val="auto"/>
              </w:rPr>
            </w:pPr>
            <w:r>
              <w:rPr>
                <w:rFonts w:ascii="Arial" w:cs="Arial" w:eastAsia="Arial" w:hAnsi="Arial"/>
                <w:sz w:val="14"/>
                <w:szCs w:val="14"/>
                <w:color w:val="auto"/>
                <w:w w:val="93"/>
              </w:rPr>
              <w:t>Three Months Ended</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center"/>
              <w:ind w:right="180"/>
              <w:spacing w:after="0"/>
              <w:rPr>
                <w:sz w:val="20"/>
                <w:szCs w:val="20"/>
                <w:color w:val="auto"/>
              </w:rPr>
            </w:pPr>
            <w:r>
              <w:rPr>
                <w:rFonts w:ascii="Arial" w:cs="Arial" w:eastAsia="Arial" w:hAnsi="Arial"/>
                <w:sz w:val="14"/>
                <w:szCs w:val="14"/>
                <w:color w:val="auto"/>
                <w:w w:val="93"/>
              </w:rPr>
              <w:t>Three Months Ended</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color w:val="auto"/>
                <w:w w:val="90"/>
              </w:rPr>
              <w:t>June 30, 2022</w:t>
            </w: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color w:val="auto"/>
                <w:w w:val="90"/>
              </w:rPr>
              <w:t>June 30, 2021</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ind w:left="140"/>
              <w:spacing w:after="0" w:line="123" w:lineRule="exact"/>
              <w:rPr>
                <w:sz w:val="20"/>
                <w:szCs w:val="20"/>
                <w:color w:val="auto"/>
              </w:rPr>
            </w:pPr>
            <w:r>
              <w:rPr>
                <w:rFonts w:ascii="Arial" w:cs="Arial" w:eastAsia="Arial" w:hAnsi="Arial"/>
                <w:sz w:val="14"/>
                <w:szCs w:val="14"/>
                <w:color w:val="auto"/>
              </w:rPr>
              <w:t>Water</w:t>
            </w:r>
          </w:p>
        </w:tc>
        <w:tc>
          <w:tcPr>
            <w:tcW w:w="80" w:type="dxa"/>
            <w:vAlign w:val="bottom"/>
          </w:tcPr>
          <w:p>
            <w:pPr>
              <w:spacing w:after="0"/>
              <w:rPr>
                <w:sz w:val="10"/>
                <w:szCs w:val="10"/>
                <w:color w:val="auto"/>
              </w:rPr>
            </w:pPr>
          </w:p>
        </w:tc>
        <w:tc>
          <w:tcPr>
            <w:tcW w:w="900" w:type="dxa"/>
            <w:vAlign w:val="bottom"/>
            <w:gridSpan w:val="2"/>
          </w:tcPr>
          <w:p>
            <w:pPr>
              <w:spacing w:after="0" w:line="123" w:lineRule="exact"/>
              <w:rPr>
                <w:sz w:val="20"/>
                <w:szCs w:val="20"/>
                <w:color w:val="auto"/>
              </w:rPr>
            </w:pPr>
            <w:r>
              <w:rPr>
                <w:rFonts w:ascii="Arial" w:cs="Arial" w:eastAsia="Arial" w:hAnsi="Arial"/>
                <w:sz w:val="14"/>
                <w:szCs w:val="14"/>
                <w:color w:val="auto"/>
              </w:rPr>
              <w:t>Wastewater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right"/>
              <w:ind w:right="200"/>
              <w:spacing w:after="0" w:line="123" w:lineRule="exact"/>
              <w:rPr>
                <w:sz w:val="20"/>
                <w:szCs w:val="20"/>
                <w:color w:val="auto"/>
              </w:rPr>
            </w:pPr>
            <w:r>
              <w:rPr>
                <w:rFonts w:ascii="Arial" w:cs="Arial" w:eastAsia="Arial" w:hAnsi="Arial"/>
                <w:sz w:val="14"/>
                <w:szCs w:val="14"/>
                <w:color w:val="auto"/>
                <w:w w:val="93"/>
              </w:rPr>
              <w:t>Natural Gas</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right"/>
              <w:ind w:right="480"/>
              <w:spacing w:after="0" w:line="123" w:lineRule="exact"/>
              <w:rPr>
                <w:sz w:val="20"/>
                <w:szCs w:val="20"/>
                <w:color w:val="auto"/>
              </w:rPr>
            </w:pPr>
            <w:r>
              <w:rPr>
                <w:rFonts w:ascii="Arial" w:cs="Arial" w:eastAsia="Arial" w:hAnsi="Arial"/>
                <w:sz w:val="14"/>
                <w:szCs w:val="14"/>
                <w:color w:val="auto"/>
              </w:rPr>
              <w:t>Water</w:t>
            </w:r>
          </w:p>
        </w:tc>
        <w:tc>
          <w:tcPr>
            <w:tcW w:w="80" w:type="dxa"/>
            <w:vAlign w:val="bottom"/>
          </w:tcPr>
          <w:p>
            <w:pPr>
              <w:spacing w:after="0"/>
              <w:rPr>
                <w:sz w:val="10"/>
                <w:szCs w:val="10"/>
                <w:color w:val="auto"/>
              </w:rPr>
            </w:pPr>
          </w:p>
        </w:tc>
        <w:tc>
          <w:tcPr>
            <w:tcW w:w="92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89"/>
              </w:rPr>
              <w:t>Wastewater</w:t>
            </w:r>
          </w:p>
        </w:tc>
        <w:tc>
          <w:tcPr>
            <w:tcW w:w="80" w:type="dxa"/>
            <w:vAlign w:val="bottom"/>
          </w:tcPr>
          <w:p>
            <w:pPr>
              <w:spacing w:after="0"/>
              <w:rPr>
                <w:sz w:val="10"/>
                <w:szCs w:val="10"/>
                <w:color w:val="auto"/>
              </w:rPr>
            </w:pPr>
          </w:p>
        </w:tc>
        <w:tc>
          <w:tcPr>
            <w:tcW w:w="92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Natural Gas</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60" w:type="dxa"/>
            <w:vAlign w:val="bottom"/>
            <w:vMerge w:val="restart"/>
          </w:tcPr>
          <w:p>
            <w:pPr>
              <w:spacing w:after="0"/>
              <w:rPr>
                <w:sz w:val="20"/>
                <w:szCs w:val="20"/>
                <w:color w:val="auto"/>
              </w:rPr>
            </w:pPr>
            <w:r>
              <w:rPr>
                <w:rFonts w:ascii="Arial" w:cs="Arial" w:eastAsia="Arial" w:hAnsi="Arial"/>
                <w:sz w:val="14"/>
                <w:szCs w:val="14"/>
                <w:color w:val="auto"/>
              </w:rPr>
              <w:t>Revenues from contracts with customers:</w:t>
            </w: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Revenues</w:t>
            </w:r>
          </w:p>
        </w:tc>
        <w:tc>
          <w:tcPr>
            <w:tcW w:w="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color w:val="auto"/>
              </w:rPr>
              <w:t>Revenues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Revenues</w:t>
            </w:r>
          </w:p>
        </w:tc>
        <w:tc>
          <w:tcPr>
            <w:tcW w:w="60" w:type="dxa"/>
            <w:vAlign w:val="bottom"/>
          </w:tcPr>
          <w:p>
            <w:pPr>
              <w:spacing w:after="0"/>
              <w:rPr>
                <w:sz w:val="14"/>
                <w:szCs w:val="14"/>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4"/>
                <w:szCs w:val="14"/>
                <w:color w:val="auto"/>
                <w:w w:val="92"/>
              </w:rPr>
              <w:t>Other Revenues</w:t>
            </w:r>
          </w:p>
        </w:tc>
        <w:tc>
          <w:tcPr>
            <w:tcW w:w="1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w w:val="95"/>
              </w:rPr>
              <w:t>Revenues</w:t>
            </w: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Revenues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w w:val="85"/>
              </w:rPr>
              <w:t>Revenues</w:t>
            </w:r>
          </w:p>
        </w:tc>
        <w:tc>
          <w:tcPr>
            <w:tcW w:w="6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color w:val="auto"/>
                <w:w w:val="88"/>
              </w:rPr>
              <w:t>Other Revenues</w:t>
            </w:r>
          </w:p>
        </w:tc>
        <w:tc>
          <w:tcPr>
            <w:tcW w:w="0" w:type="dxa"/>
            <w:vAlign w:val="bottom"/>
          </w:tcPr>
          <w:p>
            <w:pPr>
              <w:spacing w:after="0"/>
              <w:rPr>
                <w:sz w:val="1"/>
                <w:szCs w:val="1"/>
                <w:color w:val="auto"/>
              </w:rPr>
            </w:pPr>
          </w:p>
        </w:tc>
      </w:tr>
      <w:tr>
        <w:trPr>
          <w:trHeight w:val="142"/>
        </w:trPr>
        <w:tc>
          <w:tcPr>
            <w:tcW w:w="276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149,542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30,653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95,942</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144,415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24,312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83,760</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60" w:type="dxa"/>
            <w:vAlign w:val="bottom"/>
          </w:tcPr>
          <w:p>
            <w:pPr>
              <w:ind w:left="120"/>
              <w:spacing w:after="0" w:line="149" w:lineRule="exact"/>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41,025</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6,973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18,853</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37,967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5,268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14,850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Fire protection</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9,547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tcPr>
          <w:p>
            <w:pPr>
              <w:ind w:left="120"/>
              <w:spacing w:after="0" w:line="149" w:lineRule="exact"/>
              <w:rPr>
                <w:sz w:val="20"/>
                <w:szCs w:val="20"/>
                <w:color w:val="auto"/>
              </w:rPr>
            </w:pPr>
            <w:r>
              <w:rPr>
                <w:rFonts w:ascii="Arial" w:cs="Arial" w:eastAsia="Arial" w:hAnsi="Arial"/>
                <w:sz w:val="14"/>
                <w:szCs w:val="14"/>
                <w:color w:val="auto"/>
              </w:rPr>
              <w:t>Industrial</w:t>
            </w: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7,604</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957</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7,747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521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Gas transportation &amp; storage</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40,573</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37,789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60" w:type="dxa"/>
            <w:vAlign w:val="bottom"/>
          </w:tcPr>
          <w:p>
            <w:pPr>
              <w:ind w:left="120"/>
              <w:spacing w:after="0" w:line="149" w:lineRule="exact"/>
              <w:rPr>
                <w:sz w:val="20"/>
                <w:szCs w:val="20"/>
                <w:color w:val="auto"/>
              </w:rPr>
            </w:pPr>
            <w:r>
              <w:rPr>
                <w:rFonts w:ascii="Arial" w:cs="Arial" w:eastAsia="Arial" w:hAnsi="Arial"/>
                <w:sz w:val="14"/>
                <w:szCs w:val="14"/>
                <w:color w:val="auto"/>
              </w:rPr>
              <w:t>Other water</w:t>
            </w: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15,899</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12,714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wastewater</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3,507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60" w:type="dxa"/>
            <w:vAlign w:val="bottom"/>
          </w:tcPr>
          <w:p>
            <w:pPr>
              <w:ind w:left="120"/>
              <w:spacing w:after="0" w:line="149" w:lineRule="exact"/>
              <w:rPr>
                <w:sz w:val="20"/>
                <w:szCs w:val="20"/>
                <w:color w:val="auto"/>
              </w:rPr>
            </w:pPr>
            <w:r>
              <w:rPr>
                <w:rFonts w:ascii="Arial" w:cs="Arial" w:eastAsia="Arial" w:hAnsi="Arial"/>
                <w:sz w:val="14"/>
                <w:szCs w:val="14"/>
                <w:color w:val="auto"/>
              </w:rPr>
              <w:t>Other utility</w:t>
            </w: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11,840</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3,325</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5,971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3,489</w:t>
            </w:r>
          </w:p>
        </w:tc>
        <w:tc>
          <w:tcPr>
            <w:tcW w:w="0" w:type="dxa"/>
            <w:vAlign w:val="bottom"/>
          </w:tcPr>
          <w:p>
            <w:pPr>
              <w:spacing w:after="0"/>
              <w:rPr>
                <w:sz w:val="1"/>
                <w:szCs w:val="1"/>
                <w:color w:val="auto"/>
              </w:rPr>
            </w:pPr>
          </w:p>
        </w:tc>
      </w:tr>
      <w:tr>
        <w:trPr>
          <w:trHeight w:val="142"/>
        </w:trPr>
        <w:tc>
          <w:tcPr>
            <w:tcW w:w="2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Revenues from contracts with customers</w:t>
            </w: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223,617</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41,565</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168,165</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3,325</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211,762</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32,554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142,891</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3,489</w:t>
            </w: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Arial" w:cs="Arial" w:eastAsia="Arial" w:hAnsi="Arial"/>
                <w:sz w:val="14"/>
                <w:szCs w:val="14"/>
                <w:color w:val="auto"/>
              </w:rPr>
              <w:t>Alternative revenue program</w:t>
            </w: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1,109</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176</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421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and eliminations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11,505</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5,970</w:t>
            </w:r>
          </w:p>
        </w:tc>
        <w:tc>
          <w:tcPr>
            <w:tcW w:w="0" w:type="dxa"/>
            <w:vAlign w:val="bottom"/>
          </w:tcPr>
          <w:p>
            <w:pPr>
              <w:spacing w:after="0"/>
              <w:rPr>
                <w:sz w:val="1"/>
                <w:szCs w:val="1"/>
                <w:color w:val="auto"/>
              </w:rPr>
            </w:pPr>
          </w:p>
        </w:tc>
      </w:tr>
      <w:tr>
        <w:trPr>
          <w:trHeight w:val="142"/>
        </w:trPr>
        <w:tc>
          <w:tcPr>
            <w:tcW w:w="2760" w:type="dxa"/>
            <w:vAlign w:val="bottom"/>
          </w:tcPr>
          <w:p>
            <w:pPr>
              <w:spacing w:after="0" w:line="142" w:lineRule="exact"/>
              <w:rPr>
                <w:sz w:val="20"/>
                <w:szCs w:val="20"/>
                <w:color w:val="auto"/>
              </w:rPr>
            </w:pPr>
            <w:r>
              <w:rPr>
                <w:rFonts w:ascii="Arial" w:cs="Arial" w:eastAsia="Arial" w:hAnsi="Arial"/>
                <w:sz w:val="14"/>
                <w:szCs w:val="14"/>
                <w:color w:val="auto"/>
              </w:rPr>
              <w:t>Consolidated</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224,181</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41,404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168,341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14,830</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212,183</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32,504</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142,886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9,459</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gridSpan w:val="7"/>
          </w:tcPr>
          <w:p>
            <w:pPr>
              <w:jc w:val="center"/>
              <w:ind w:right="80"/>
              <w:spacing w:after="0"/>
              <w:rPr>
                <w:sz w:val="20"/>
                <w:szCs w:val="20"/>
                <w:color w:val="auto"/>
              </w:rPr>
            </w:pPr>
            <w:r>
              <w:rPr>
                <w:rFonts w:ascii="Arial" w:cs="Arial" w:eastAsia="Arial" w:hAnsi="Arial"/>
                <w:sz w:val="14"/>
                <w:szCs w:val="14"/>
                <w:color w:val="auto"/>
                <w:w w:val="95"/>
              </w:rPr>
              <w:t>Six Months Ended</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20" w:type="dxa"/>
            <w:vAlign w:val="bottom"/>
            <w:gridSpan w:val="6"/>
          </w:tcPr>
          <w:p>
            <w:pPr>
              <w:jc w:val="center"/>
              <w:ind w:right="180"/>
              <w:spacing w:after="0"/>
              <w:rPr>
                <w:sz w:val="20"/>
                <w:szCs w:val="20"/>
                <w:color w:val="auto"/>
              </w:rPr>
            </w:pPr>
            <w:r>
              <w:rPr>
                <w:rFonts w:ascii="Arial" w:cs="Arial" w:eastAsia="Arial" w:hAnsi="Arial"/>
                <w:sz w:val="14"/>
                <w:szCs w:val="14"/>
                <w:color w:val="auto"/>
                <w:w w:val="93"/>
              </w:rPr>
              <w:t>Six Months Ended</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color w:val="auto"/>
                <w:w w:val="90"/>
              </w:rPr>
              <w:t>June 30, 2022</w:t>
            </w: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color w:val="auto"/>
                <w:w w:val="90"/>
              </w:rPr>
              <w:t>June 30, 2021</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ind w:left="140"/>
              <w:spacing w:after="0" w:line="123" w:lineRule="exact"/>
              <w:rPr>
                <w:sz w:val="20"/>
                <w:szCs w:val="20"/>
                <w:color w:val="auto"/>
              </w:rPr>
            </w:pPr>
            <w:r>
              <w:rPr>
                <w:rFonts w:ascii="Arial" w:cs="Arial" w:eastAsia="Arial" w:hAnsi="Arial"/>
                <w:sz w:val="14"/>
                <w:szCs w:val="14"/>
                <w:color w:val="auto"/>
              </w:rPr>
              <w:t>Water</w:t>
            </w:r>
          </w:p>
        </w:tc>
        <w:tc>
          <w:tcPr>
            <w:tcW w:w="80" w:type="dxa"/>
            <w:vAlign w:val="bottom"/>
          </w:tcPr>
          <w:p>
            <w:pPr>
              <w:spacing w:after="0"/>
              <w:rPr>
                <w:sz w:val="10"/>
                <w:szCs w:val="10"/>
                <w:color w:val="auto"/>
              </w:rPr>
            </w:pPr>
          </w:p>
        </w:tc>
        <w:tc>
          <w:tcPr>
            <w:tcW w:w="900" w:type="dxa"/>
            <w:vAlign w:val="bottom"/>
            <w:gridSpan w:val="2"/>
          </w:tcPr>
          <w:p>
            <w:pPr>
              <w:spacing w:after="0" w:line="123" w:lineRule="exact"/>
              <w:rPr>
                <w:sz w:val="20"/>
                <w:szCs w:val="20"/>
                <w:color w:val="auto"/>
              </w:rPr>
            </w:pPr>
            <w:r>
              <w:rPr>
                <w:rFonts w:ascii="Arial" w:cs="Arial" w:eastAsia="Arial" w:hAnsi="Arial"/>
                <w:sz w:val="14"/>
                <w:szCs w:val="14"/>
                <w:color w:val="auto"/>
              </w:rPr>
              <w:t>Wastewater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right"/>
              <w:ind w:right="200"/>
              <w:spacing w:after="0" w:line="123" w:lineRule="exact"/>
              <w:rPr>
                <w:sz w:val="20"/>
                <w:szCs w:val="20"/>
                <w:color w:val="auto"/>
              </w:rPr>
            </w:pPr>
            <w:r>
              <w:rPr>
                <w:rFonts w:ascii="Arial" w:cs="Arial" w:eastAsia="Arial" w:hAnsi="Arial"/>
                <w:sz w:val="14"/>
                <w:szCs w:val="14"/>
                <w:color w:val="auto"/>
                <w:w w:val="93"/>
              </w:rPr>
              <w:t>Natural Gas</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right"/>
              <w:ind w:right="480"/>
              <w:spacing w:after="0" w:line="123" w:lineRule="exact"/>
              <w:rPr>
                <w:sz w:val="20"/>
                <w:szCs w:val="20"/>
                <w:color w:val="auto"/>
              </w:rPr>
            </w:pPr>
            <w:r>
              <w:rPr>
                <w:rFonts w:ascii="Arial" w:cs="Arial" w:eastAsia="Arial" w:hAnsi="Arial"/>
                <w:sz w:val="14"/>
                <w:szCs w:val="14"/>
                <w:color w:val="auto"/>
              </w:rPr>
              <w:t>Water</w:t>
            </w:r>
          </w:p>
        </w:tc>
        <w:tc>
          <w:tcPr>
            <w:tcW w:w="80" w:type="dxa"/>
            <w:vAlign w:val="bottom"/>
          </w:tcPr>
          <w:p>
            <w:pPr>
              <w:spacing w:after="0"/>
              <w:rPr>
                <w:sz w:val="10"/>
                <w:szCs w:val="10"/>
                <w:color w:val="auto"/>
              </w:rPr>
            </w:pPr>
          </w:p>
        </w:tc>
        <w:tc>
          <w:tcPr>
            <w:tcW w:w="92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89"/>
              </w:rPr>
              <w:t>Wastewater</w:t>
            </w:r>
          </w:p>
        </w:tc>
        <w:tc>
          <w:tcPr>
            <w:tcW w:w="80" w:type="dxa"/>
            <w:vAlign w:val="bottom"/>
          </w:tcPr>
          <w:p>
            <w:pPr>
              <w:spacing w:after="0"/>
              <w:rPr>
                <w:sz w:val="10"/>
                <w:szCs w:val="10"/>
                <w:color w:val="auto"/>
              </w:rPr>
            </w:pPr>
          </w:p>
        </w:tc>
        <w:tc>
          <w:tcPr>
            <w:tcW w:w="92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Natural Gas</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60" w:type="dxa"/>
            <w:vAlign w:val="bottom"/>
            <w:vMerge w:val="restart"/>
          </w:tcPr>
          <w:p>
            <w:pPr>
              <w:spacing w:after="0"/>
              <w:rPr>
                <w:sz w:val="20"/>
                <w:szCs w:val="20"/>
                <w:color w:val="auto"/>
              </w:rPr>
            </w:pPr>
            <w:r>
              <w:rPr>
                <w:rFonts w:ascii="Arial" w:cs="Arial" w:eastAsia="Arial" w:hAnsi="Arial"/>
                <w:sz w:val="14"/>
                <w:szCs w:val="14"/>
                <w:color w:val="auto"/>
              </w:rPr>
              <w:t>Revenues from contracts with customers:</w:t>
            </w: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Revenues</w:t>
            </w:r>
          </w:p>
        </w:tc>
        <w:tc>
          <w:tcPr>
            <w:tcW w:w="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color w:val="auto"/>
              </w:rPr>
              <w:t>Revenues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Revenues</w:t>
            </w:r>
          </w:p>
        </w:tc>
        <w:tc>
          <w:tcPr>
            <w:tcW w:w="60" w:type="dxa"/>
            <w:vAlign w:val="bottom"/>
          </w:tcPr>
          <w:p>
            <w:pPr>
              <w:spacing w:after="0"/>
              <w:rPr>
                <w:sz w:val="14"/>
                <w:szCs w:val="14"/>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4"/>
                <w:szCs w:val="14"/>
                <w:color w:val="auto"/>
                <w:w w:val="92"/>
              </w:rPr>
              <w:t>Other Revenues</w:t>
            </w:r>
          </w:p>
        </w:tc>
        <w:tc>
          <w:tcPr>
            <w:tcW w:w="1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w w:val="95"/>
              </w:rPr>
              <w:t>Revenues</w:t>
            </w: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Revenues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w w:val="85"/>
              </w:rPr>
              <w:t>Revenues</w:t>
            </w:r>
          </w:p>
        </w:tc>
        <w:tc>
          <w:tcPr>
            <w:tcW w:w="6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color w:val="auto"/>
                <w:w w:val="88"/>
              </w:rPr>
              <w:t>Other Revenues</w:t>
            </w:r>
          </w:p>
        </w:tc>
        <w:tc>
          <w:tcPr>
            <w:tcW w:w="0" w:type="dxa"/>
            <w:vAlign w:val="bottom"/>
          </w:tcPr>
          <w:p>
            <w:pPr>
              <w:spacing w:after="0"/>
              <w:rPr>
                <w:sz w:val="1"/>
                <w:szCs w:val="1"/>
                <w:color w:val="auto"/>
              </w:rPr>
            </w:pPr>
          </w:p>
        </w:tc>
      </w:tr>
      <w:tr>
        <w:trPr>
          <w:trHeight w:val="142"/>
        </w:trPr>
        <w:tc>
          <w:tcPr>
            <w:tcW w:w="276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280,830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57,148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381,048</w:t>
            </w:r>
          </w:p>
        </w:tc>
        <w:tc>
          <w:tcPr>
            <w:tcW w:w="40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277,272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48,673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297,953</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60" w:type="dxa"/>
            <w:vAlign w:val="bottom"/>
          </w:tcPr>
          <w:p>
            <w:pPr>
              <w:ind w:left="120"/>
              <w:spacing w:after="0" w:line="149" w:lineRule="exact"/>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76,145</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13,038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75,893</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71,155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10,263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55,871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Fire protection</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18,740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17,964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60" w:type="dxa"/>
            <w:vAlign w:val="bottom"/>
          </w:tcPr>
          <w:p>
            <w:pPr>
              <w:ind w:left="120"/>
              <w:spacing w:after="0" w:line="149" w:lineRule="exact"/>
              <w:rPr>
                <w:sz w:val="20"/>
                <w:szCs w:val="20"/>
                <w:color w:val="auto"/>
              </w:rPr>
            </w:pPr>
            <w:r>
              <w:rPr>
                <w:rFonts w:ascii="Arial" w:cs="Arial" w:eastAsia="Arial" w:hAnsi="Arial"/>
                <w:sz w:val="14"/>
                <w:szCs w:val="14"/>
                <w:color w:val="auto"/>
              </w:rPr>
              <w:t>Industrial</w:t>
            </w: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14,785</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2,799</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14,736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854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1,478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Gas transportation &amp; storage</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119,747</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115,593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tcPr>
          <w:p>
            <w:pPr>
              <w:ind w:left="120"/>
              <w:spacing w:after="0" w:line="149" w:lineRule="exact"/>
              <w:rPr>
                <w:sz w:val="20"/>
                <w:szCs w:val="20"/>
                <w:color w:val="auto"/>
              </w:rPr>
            </w:pPr>
            <w:r>
              <w:rPr>
                <w:rFonts w:ascii="Arial" w:cs="Arial" w:eastAsia="Arial" w:hAnsi="Arial"/>
                <w:sz w:val="14"/>
                <w:szCs w:val="14"/>
                <w:color w:val="auto"/>
              </w:rPr>
              <w:t>Other water</w:t>
            </w: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33,250</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23,157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wastewater</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6,005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60" w:type="dxa"/>
            <w:vAlign w:val="bottom"/>
          </w:tcPr>
          <w:p>
            <w:pPr>
              <w:ind w:left="120"/>
              <w:spacing w:after="0" w:line="149" w:lineRule="exact"/>
              <w:rPr>
                <w:sz w:val="20"/>
                <w:szCs w:val="20"/>
                <w:color w:val="auto"/>
              </w:rPr>
            </w:pPr>
            <w:r>
              <w:rPr>
                <w:rFonts w:ascii="Arial" w:cs="Arial" w:eastAsia="Arial" w:hAnsi="Arial"/>
                <w:sz w:val="14"/>
                <w:szCs w:val="14"/>
                <w:color w:val="auto"/>
              </w:rPr>
              <w:t>Other utility</w:t>
            </w: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35,066</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6,240</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15,151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7,315</w:t>
            </w:r>
          </w:p>
        </w:tc>
        <w:tc>
          <w:tcPr>
            <w:tcW w:w="0" w:type="dxa"/>
            <w:vAlign w:val="bottom"/>
          </w:tcPr>
          <w:p>
            <w:pPr>
              <w:spacing w:after="0"/>
              <w:rPr>
                <w:sz w:val="1"/>
                <w:szCs w:val="1"/>
                <w:color w:val="auto"/>
              </w:rPr>
            </w:pPr>
          </w:p>
        </w:tc>
      </w:tr>
      <w:tr>
        <w:trPr>
          <w:trHeight w:val="142"/>
        </w:trPr>
        <w:tc>
          <w:tcPr>
            <w:tcW w:w="2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Revenues from contracts with customers</w:t>
            </w: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423,750</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76,967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614,553</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6,240</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404,284</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64,104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486,046</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7,315</w:t>
            </w: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Arial" w:cs="Arial" w:eastAsia="Arial" w:hAnsi="Arial"/>
                <w:sz w:val="14"/>
                <w:szCs w:val="14"/>
                <w:color w:val="auto"/>
              </w:rPr>
              <w:t>Alternative revenue program</w:t>
            </w: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1,724</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and eliminations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25,530</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17,816</w:t>
            </w:r>
          </w:p>
        </w:tc>
        <w:tc>
          <w:tcPr>
            <w:tcW w:w="0" w:type="dxa"/>
            <w:vAlign w:val="bottom"/>
          </w:tcPr>
          <w:p>
            <w:pPr>
              <w:spacing w:after="0"/>
              <w:rPr>
                <w:sz w:val="1"/>
                <w:szCs w:val="1"/>
                <w:color w:val="auto"/>
              </w:rPr>
            </w:pPr>
          </w:p>
        </w:tc>
      </w:tr>
      <w:tr>
        <w:trPr>
          <w:trHeight w:val="182"/>
        </w:trPr>
        <w:tc>
          <w:tcPr>
            <w:tcW w:w="27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Consolidated</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424,929</w:t>
            </w:r>
          </w:p>
        </w:tc>
        <w:tc>
          <w:tcPr>
            <w:tcW w:w="1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76,779</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614,553</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31,770</w:t>
            </w:r>
          </w:p>
        </w:tc>
        <w:tc>
          <w:tcPr>
            <w:tcW w:w="1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405,114</w:t>
            </w:r>
          </w:p>
        </w:tc>
        <w:tc>
          <w:tcPr>
            <w:tcW w:w="1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64,100</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486,252</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25,131</w:t>
            </w:r>
          </w:p>
        </w:tc>
        <w:tc>
          <w:tcPr>
            <w:tcW w:w="0" w:type="dxa"/>
            <w:vAlign w:val="bottom"/>
          </w:tcPr>
          <w:p>
            <w:pPr>
              <w:spacing w:after="0"/>
              <w:rPr>
                <w:sz w:val="1"/>
                <w:szCs w:val="1"/>
                <w:color w:val="auto"/>
              </w:rPr>
            </w:pPr>
          </w:p>
        </w:tc>
      </w:tr>
      <w:tr>
        <w:trPr>
          <w:trHeight w:val="129"/>
        </w:trPr>
        <w:tc>
          <w:tcPr>
            <w:tcW w:w="2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 </w:t>
      </w:r>
      <w:r>
        <w:rPr>
          <w:rFonts w:ascii="Arial" w:cs="Arial" w:eastAsia="Arial" w:hAnsi="Arial"/>
          <w:sz w:val="22"/>
          <w:szCs w:val="22"/>
          <w:b w:val="1"/>
          <w:bCs w:val="1"/>
          <w:i w:val="1"/>
          <w:iCs w:val="1"/>
          <w:color w:val="auto"/>
        </w:rPr>
        <w:t>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Water and Wastewater Utility Acquisitions - Completed</w:t>
      </w:r>
    </w:p>
    <w:p>
      <w:pPr>
        <w:spacing w:after="0" w:line="206" w:lineRule="exact"/>
        <w:rPr>
          <w:sz w:val="20"/>
          <w:szCs w:val="20"/>
          <w:color w:val="auto"/>
        </w:rPr>
      </w:pPr>
    </w:p>
    <w:p>
      <w:pPr>
        <w:jc w:val="both"/>
        <w:ind w:right="20"/>
        <w:spacing w:after="0" w:line="231" w:lineRule="auto"/>
        <w:rPr>
          <w:sz w:val="20"/>
          <w:szCs w:val="20"/>
          <w:color w:val="auto"/>
        </w:rPr>
      </w:pPr>
      <w:r>
        <w:rPr>
          <w:rFonts w:ascii="Arial" w:cs="Arial" w:eastAsia="Arial" w:hAnsi="Arial"/>
          <w:sz w:val="22"/>
          <w:szCs w:val="22"/>
          <w:color w:val="auto"/>
        </w:rPr>
        <w:t>In March 2022, the Company acquired the wastewater system of Lower Makefield Township, which serves approximately 11,000 customer connections in Lower Makefield, Falls and Middletown townships, and Yardley Borough, Bucks County, Pennsylvania, for a cash purchase price of $53,000.</w:t>
      </w:r>
    </w:p>
    <w:p>
      <w:pPr>
        <w:spacing w:after="0" w:line="188" w:lineRule="exact"/>
        <w:rPr>
          <w:sz w:val="20"/>
          <w:szCs w:val="20"/>
          <w:color w:val="auto"/>
        </w:rPr>
      </w:pPr>
    </w:p>
    <w:p>
      <w:pPr>
        <w:ind w:right="40"/>
        <w:spacing w:after="0" w:line="222" w:lineRule="auto"/>
        <w:rPr>
          <w:sz w:val="20"/>
          <w:szCs w:val="20"/>
          <w:color w:val="auto"/>
        </w:rPr>
      </w:pPr>
      <w:r>
        <w:rPr>
          <w:rFonts w:ascii="Arial" w:cs="Arial" w:eastAsia="Arial" w:hAnsi="Arial"/>
          <w:sz w:val="22"/>
          <w:szCs w:val="22"/>
          <w:color w:val="auto"/>
        </w:rPr>
        <w:t>In August 2021, the Company acquired the water utility system assets of The Commons Water Supply, Inc., which serves 992 customers in Harris County, Texas, and the wastewater utility system assets of the Village of Bourbonnais, which serves approximately 6,500 customers in Kankakee County, Illinois. The total cash purchase prices for these utility systems were $4,000 and $32,100, respectively.</w:t>
      </w: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2" w:name="page13"/>
    <w:bookmarkEnd w:id="1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The purchase price allocation for these acquisitions consisted primarily of acquired property, plant and equipment.</w:t>
      </w:r>
    </w:p>
    <w:p>
      <w:pPr>
        <w:spacing w:after="0" w:line="206" w:lineRule="exact"/>
        <w:rPr>
          <w:sz w:val="20"/>
          <w:szCs w:val="20"/>
          <w:color w:val="auto"/>
        </w:rPr>
      </w:pPr>
    </w:p>
    <w:p>
      <w:pPr>
        <w:ind w:right="120"/>
        <w:spacing w:after="0" w:line="239" w:lineRule="auto"/>
        <w:rPr>
          <w:sz w:val="20"/>
          <w:szCs w:val="20"/>
          <w:color w:val="auto"/>
        </w:rPr>
      </w:pPr>
      <w:r>
        <w:rPr>
          <w:rFonts w:ascii="Arial" w:cs="Arial" w:eastAsia="Arial" w:hAnsi="Arial"/>
          <w:sz w:val="22"/>
          <w:szCs w:val="22"/>
          <w:color w:val="auto"/>
        </w:rPr>
        <w:t>The pro forma effect of the utility systems acquired is not material either individually or collectively to the Company’s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Water and Wastewater Utility Acquisitions – Pending Completion</w:t>
      </w:r>
    </w:p>
    <w:p>
      <w:pPr>
        <w:spacing w:after="0" w:line="206" w:lineRule="exact"/>
        <w:rPr>
          <w:sz w:val="20"/>
          <w:szCs w:val="20"/>
          <w:color w:val="auto"/>
        </w:rPr>
      </w:pPr>
    </w:p>
    <w:p>
      <w:pPr>
        <w:spacing w:after="0" w:line="233" w:lineRule="auto"/>
        <w:rPr>
          <w:sz w:val="20"/>
          <w:szCs w:val="20"/>
          <w:color w:val="auto"/>
        </w:rPr>
      </w:pPr>
      <w:r>
        <w:rPr>
          <w:rFonts w:ascii="Arial" w:cs="Arial" w:eastAsia="Arial" w:hAnsi="Arial"/>
          <w:sz w:val="21"/>
          <w:szCs w:val="21"/>
          <w:color w:val="auto"/>
        </w:rPr>
        <w:t>In July 2022, the Company’s subsidiary, Aqua Pennsylvania Wastewater, was granted a one-year exclusivity agreement by the board of the Bucks County Water and Sewer Authority (“BCWSA”) regarding the sale of the county’s wastewater assets. Aqua Pennsylvania Wastewater made an offer to purchase the BCWSA’s wastewater assets for a purchase price of $885,000 plus adjustments for additional utility assets acquired by BCWSA, and capital expenditures prior to closing. In addition, an agreement is proposed where Aqua Pennsylvania Wastewater will continue to make payments to the seller after closing to acquire additional wastewater treatment capacity as required by customer growth over time. The award is conditioned upon several items, including a final vote by the BCWSA and entering into a definitive agreement in which Aqua will buy and BCWSA will sell the wastewater assets.</w:t>
      </w:r>
    </w:p>
    <w:p>
      <w:pPr>
        <w:spacing w:after="0" w:line="190"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In December 2021, the Company entered into a purchase agreement to acquire the water utility assets of the Southern Oaks Water System, which serves approximately 740 customers for $3,300. In October 2021, the Company entered into a purchase agreement to acquire the wastewater utility assets of the City of Beaver Falls, Pennsylvania which consists of approximately 7,600 customers for $41,250. In July 2021, the Company entered into a purchase agreement to acquire the water utility assets of Shenandoah Borough, Pennsylvania which consists of approximately 2,930 customers for $12,000. In April 2021, the Company entered into a purchase agreement to acquire certain water or wastewater utility assets of Oak Brook, Illinois which consists of approximately 4,000 customers for $12,500. In January 2021, the Company entered into purchase agreements to acquire, in separate transactions, the wastewater utility system assets of East Whiteland Township, Pennsylvania and Willistown Township, Pennsylvania which consist of approximately 10,500 customers for $72,400.</w:t>
      </w:r>
    </w:p>
    <w:p>
      <w:pPr>
        <w:spacing w:after="0" w:line="170"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color w:val="auto"/>
        </w:rPr>
        <w:t>The purchase price for these pending acquisitions are subject to certain adjustments at closing, and are subject to regulatory approval, including the final determination of the fair value of the rate base acquired. We plan to finance the purchase price of these acquisitions by utilizing our revolving credit facility until permanent debt and common equity are secured. The closings of our acquisitions of East Whiteland Township and Willistown Township are expected to occur during the third quarter of 2022, while the Oak Brook acquisition is expected to occur during the fourth quarter of 2022. The closings of our Shenandoah Borough, Beaver Falls, and Southern Oaks acquisitions are expected to occur in the first half of 2023. Closing for our utility acquisitions are subject to the timing of the respective regulatory approval processes.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3" w:name="page14"/>
    <w:bookmarkEnd w:id="1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DELCORA Purchase Agreement</w:t>
      </w:r>
    </w:p>
    <w:p>
      <w:pPr>
        <w:spacing w:after="0" w:line="206"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auto"/>
        </w:rPr>
        <w:t>In September 2019, the Company entered into a purchase agreement to acquire the wastewater utility system assets of the Delaware County Regional Water Quality Control Authority (“DELCORA”), which consists of approximately 16,000 customers, or the equivalent of 198,000 retail customers, in 42 municipalities in Southeast Pennsylvania for $276,500. In May 2020, Delaware County, Pennsylvania filed a lawsuit alleging that DELCORA does not have the legal authority to establish and fund a customer trust with the net proceeds of the transaction. In December 2020, the judge in the Delaware County Court lawsuit issued an order that (1) the County cannot interfere with the purchase agreement between DELCORA and the Company; (2) the County cannot terminate DELCORA prior to the closing of the transaction; and (3) the establishment of the customer trust was valid. Delaware County appealed this decision to Commonwealth Court of Pennsylvania. On March 3, 2022, the Commonwealth Court issued a decision finding that Delaware County can dissolve the Authority if it so chooses, but the purchase agreement must be upheld regardless of who is operating the system. The case was remanded back to the trial court for the entry of an order consistent with the Commonwealth Court’s opinion.</w:t>
      </w:r>
    </w:p>
    <w:p>
      <w:pPr>
        <w:spacing w:after="0" w:line="170"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The administrative law judges in the regulatory approval process recommended that the Company’s application be denied, and subsequently, the Company provided exceptions to the recommended decision. On March 30, 2021, the Pennsylvania Public Utility Commission (“PUC”) ruled that the case be remanded back to the Office of Administrative Law Judge (“ALJ”) and vacated the original administrative law judges’ recommended decision (“2021 Order”). This 2021 Order was also appealed to the Commonwealth Court by Delaware County, and a decision is expected in the next several months.</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21"/>
          <w:szCs w:val="21"/>
          <w:color w:val="auto"/>
        </w:rPr>
        <w:t>After the PUC issued the 2021 Order, on April 16, 2021, the administrative law judge issued an order staying the proceeding until the Delaware County Court lawsuit is final and unappealable. On March 25, 2022, the Company sent a letter notifying the PUC of the March 3, 2022 Commonwealth Court decision and requested that the PUC move forward with processing the application. Several parties responded to the Company’s letter and referenced the issues in the second appeal before Commonwealth Court regarding the 2021 Order. On July 14, 2022, the Commission moved to lift the stay imposed by the ALJ, and required the ALJ to establish a schedule on remand for the proceeding.</w:t>
      </w:r>
    </w:p>
    <w:p>
      <w:pPr>
        <w:spacing w:after="0" w:line="188" w:lineRule="exact"/>
        <w:rPr>
          <w:sz w:val="20"/>
          <w:szCs w:val="20"/>
          <w:color w:val="auto"/>
        </w:rPr>
      </w:pPr>
    </w:p>
    <w:p>
      <w:pPr>
        <w:ind w:right="160"/>
        <w:spacing w:after="0" w:line="226" w:lineRule="auto"/>
        <w:rPr>
          <w:sz w:val="20"/>
          <w:szCs w:val="20"/>
          <w:color w:val="auto"/>
        </w:rPr>
      </w:pPr>
      <w:r>
        <w:rPr>
          <w:rFonts w:ascii="Arial" w:cs="Arial" w:eastAsia="Arial" w:hAnsi="Arial"/>
          <w:sz w:val="22"/>
          <w:szCs w:val="22"/>
          <w:color w:val="auto"/>
        </w:rPr>
        <w:t>The purchase price for this pending acquisition is subject to certain adjustments at closing, and is subject to regulatory approval, including the final determination of the fair value of the rate base acquired. We plan to finance the purchase price of this acquisition by the issuance of common stock and by utilizing our revolving credit facility until permanent debt is secured. Closing of our acquisition of DELCORA is expected to occur in late 2022 or early 2023, subject to the timing of the regulatory approval process and Delaware County’s on-going litigation.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4" w:name="page15"/>
    <w:bookmarkEnd w:id="1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 </w:t>
      </w:r>
      <w:r>
        <w:rPr>
          <w:rFonts w:ascii="Arial" w:cs="Arial" w:eastAsia="Arial" w:hAnsi="Arial"/>
          <w:sz w:val="22"/>
          <w:szCs w:val="22"/>
          <w:b w:val="1"/>
          <w:bCs w:val="1"/>
          <w:i w:val="1"/>
          <w:iCs w:val="1"/>
          <w:color w:val="auto"/>
        </w:rPr>
        <w:t>Goodwill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changes in the Company’s goodwill, by business segment:</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Regulated Natural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7"/>
        </w:trPr>
        <w:tc>
          <w:tcPr>
            <w:tcW w:w="548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color w:val="auto"/>
              </w:rPr>
              <w:t>Regulated Water</w:t>
            </w:r>
          </w:p>
        </w:tc>
        <w:tc>
          <w:tcPr>
            <w:tcW w:w="340" w:type="dxa"/>
            <w:vAlign w:val="bottom"/>
          </w:tcPr>
          <w:p>
            <w:pPr>
              <w:spacing w:after="0"/>
              <w:rPr>
                <w:sz w:val="18"/>
                <w:szCs w:val="18"/>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8"/>
                <w:szCs w:val="18"/>
                <w:color w:val="auto"/>
                <w:w w:val="84"/>
              </w:rPr>
              <w:t>Gas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w w:val="95"/>
              </w:rPr>
              <w:t>Consolidated</w:t>
            </w:r>
          </w:p>
        </w:tc>
      </w:tr>
      <w:tr>
        <w:trPr>
          <w:trHeight w:val="183"/>
        </w:trPr>
        <w:tc>
          <w:tcPr>
            <w:tcW w:w="5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at December 31, 2021</w:t>
            </w:r>
          </w:p>
        </w:tc>
        <w:tc>
          <w:tcPr>
            <w:tcW w:w="420" w:type="dxa"/>
            <w:vAlign w:val="bottom"/>
            <w:tcBorders>
              <w:top w:val="single" w:sz="8" w:color="auto"/>
            </w:tcBorders>
            <w:shd w:val="clear" w:color="auto" w:fill="CCEEFF"/>
          </w:tcPr>
          <w:p>
            <w:pPr>
              <w:jc w:val="right"/>
              <w:ind w:right="261"/>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58,527</w:t>
            </w: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2,277,447</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4,841</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2,340,815</w:t>
            </w:r>
          </w:p>
        </w:tc>
      </w:tr>
      <w:tr>
        <w:trPr>
          <w:trHeight w:val="189"/>
        </w:trPr>
        <w:tc>
          <w:tcPr>
            <w:tcW w:w="5480" w:type="dxa"/>
            <w:vAlign w:val="bottom"/>
          </w:tcPr>
          <w:p>
            <w:pPr>
              <w:ind w:left="120"/>
              <w:spacing w:after="0" w:line="189" w:lineRule="exact"/>
              <w:rPr>
                <w:sz w:val="20"/>
                <w:szCs w:val="20"/>
                <w:color w:val="auto"/>
              </w:rPr>
            </w:pPr>
            <w:r>
              <w:rPr>
                <w:rFonts w:ascii="Arial" w:cs="Arial" w:eastAsia="Arial" w:hAnsi="Arial"/>
                <w:sz w:val="18"/>
                <w:szCs w:val="18"/>
                <w:color w:val="auto"/>
              </w:rPr>
              <w:t>Reclassification to utility plant acquisition adjustment</w:t>
            </w:r>
          </w:p>
        </w:tc>
        <w:tc>
          <w:tcPr>
            <w:tcW w:w="420" w:type="dxa"/>
            <w:vAlign w:val="bottom"/>
          </w:tcPr>
          <w:p>
            <w:pPr>
              <w:spacing w:after="0"/>
              <w:rPr>
                <w:sz w:val="16"/>
                <w:szCs w:val="16"/>
                <w:color w:val="auto"/>
              </w:rPr>
            </w:pPr>
          </w:p>
        </w:tc>
        <w:tc>
          <w:tcPr>
            <w:tcW w:w="11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(23)</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(23)</w:t>
            </w:r>
          </w:p>
        </w:tc>
      </w:tr>
      <w:tr>
        <w:trPr>
          <w:trHeight w:val="183"/>
        </w:trPr>
        <w:tc>
          <w:tcPr>
            <w:tcW w:w="54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at June 30, 2022</w:t>
            </w:r>
          </w:p>
        </w:tc>
        <w:tc>
          <w:tcPr>
            <w:tcW w:w="420" w:type="dxa"/>
            <w:vAlign w:val="bottom"/>
            <w:tcBorders>
              <w:top w:val="single" w:sz="8" w:color="auto"/>
              <w:bottom w:val="single" w:sz="8" w:color="auto"/>
            </w:tcBorders>
            <w:shd w:val="clear" w:color="auto" w:fill="CCEEFF"/>
          </w:tcPr>
          <w:p>
            <w:pPr>
              <w:jc w:val="right"/>
              <w:ind w:right="261"/>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58,504</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2,277,447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4,841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2,340,792</w:t>
            </w:r>
          </w:p>
        </w:tc>
      </w:tr>
      <w:tr>
        <w:trPr>
          <w:trHeight w:val="20"/>
        </w:trPr>
        <w:tc>
          <w:tcPr>
            <w:tcW w:w="5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right="440"/>
        <w:spacing w:after="0" w:line="231" w:lineRule="auto"/>
        <w:rPr>
          <w:sz w:val="20"/>
          <w:szCs w:val="20"/>
          <w:color w:val="auto"/>
        </w:rPr>
      </w:pPr>
      <w:r>
        <w:rPr>
          <w:rFonts w:ascii="Arial" w:cs="Arial" w:eastAsia="Arial" w:hAnsi="Arial"/>
          <w:sz w:val="22"/>
          <w:szCs w:val="22"/>
          <w:color w:val="auto"/>
        </w:rPr>
        <w:t>The reclassification of goodwill to utility plant acquisition adjustment results from a mechanism approved by the applicable utility commission. The mechanism provides for the transfer over time, and the recovery through customer rates, of goodwill associated with some acquisitions upon achieving specific objectives.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 </w:t>
      </w:r>
      <w:r>
        <w:rPr>
          <w:rFonts w:ascii="Arial" w:cs="Arial" w:eastAsia="Arial" w:hAnsi="Arial"/>
          <w:sz w:val="22"/>
          <w:szCs w:val="22"/>
          <w:b w:val="1"/>
          <w:bCs w:val="1"/>
          <w:i w:val="1"/>
          <w:iCs w:val="1"/>
          <w:color w:val="auto"/>
        </w:rPr>
        <w:t>Capitalization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Forward Equity Sale</w:t>
      </w:r>
    </w:p>
    <w:p>
      <w:pPr>
        <w:spacing w:after="0" w:line="206"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In August 2020, the Company entered into a forward equity sale agreement for 6,700,000 shares of common stock with a third party (the “forward purchaser”). In connection with the forward equity sale agreement, the forward purchaser borrowed an equal number of shares of the Company’s common stock from stock lenders and sold the borrowed shares to the public. The Company did not receive any proceeds from the sale of its common stock by the forward purchaser until settlement of the shares underlying the forward equity sale agreement. The actual proceeds to be received by the Company would have varied depending upon the settlement date, the number of shares designated for settlement on that settlement date, and the method of settlement. The forward equity sale agreement was accounted for as an equity instrument and was recorded at a fair value of $0 at inception. The fair value was not adjusted as the Company continued to meet the accounting requirements for equity instruments.</w:t>
      </w:r>
    </w:p>
    <w:p>
      <w:pPr>
        <w:spacing w:after="0" w:line="172" w:lineRule="exact"/>
        <w:rPr>
          <w:sz w:val="20"/>
          <w:szCs w:val="20"/>
          <w:color w:val="auto"/>
        </w:rPr>
      </w:pPr>
    </w:p>
    <w:p>
      <w:pPr>
        <w:ind w:right="240"/>
        <w:spacing w:after="0" w:line="262" w:lineRule="auto"/>
        <w:rPr>
          <w:sz w:val="20"/>
          <w:szCs w:val="20"/>
          <w:color w:val="auto"/>
        </w:rPr>
      </w:pPr>
      <w:r>
        <w:rPr>
          <w:rFonts w:ascii="Arial" w:cs="Arial" w:eastAsia="Arial" w:hAnsi="Arial"/>
          <w:sz w:val="19"/>
          <w:szCs w:val="19"/>
          <w:color w:val="auto"/>
        </w:rPr>
        <w:t>On August 9, 2021, the Company settled the forward equity sale agreement in full by physical share settlement. The Company issued 6,700,000 shares and received cash proceeds of $299,739 at a forward price of $44.74 per share. Pursuant to the agreement, the forward price was computed based upon the initial forward price of $46.00 per share, adjusted for a floating interest rate factor equal to a specified daily rate less a spread and scheduled dividends during the term of the agreement. The Company used the proceeds received upon settlement of the forward equity sale agreement to fund general corporate purposes, including for water and wastewater utility acquisitions, working capital and capital expenditures. The forward equity sale agreement has now been completely settled, and there are no additional shares subject to the forward equity sale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5" w:name="page16"/>
    <w:bookmarkEnd w:id="1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400" w:right="234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Tangible Equity Units</w:t>
      </w:r>
    </w:p>
    <w:p>
      <w:pPr>
        <w:spacing w:after="0" w:line="206"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On April 23, 2019, the Company issued $690,000, less expenses of $16,358, of its tangible equity units (the “Units”), with a stated amount of $50.00 per unit. This issuance was part of the permanent financing to close the Peoples Gas Acquisition. Each Unit consisted of a prepaid stock purchase contract and an amortizing note, each issued by the Company. The amortizing notes had an initial principal amount of $8.62909, or $119,081 in aggregate, and yielded interest at a rate of 3.00% per year, and paid equal quarterly per unit cash installments of $0.75 per amortizing note (except for the July 30, 2019 installment payment, which was $0.80833 per amortizing note), that constituted a payment of interest and a partial repayment of principal. This cash payment in the aggregate was equivalent to 6.00% per year with respect to each $50.00 stated amount of the Units. The amortizing notes represented unsecured senior obligations of the Company.</w:t>
      </w:r>
    </w:p>
    <w:p>
      <w:pPr>
        <w:spacing w:after="0" w:line="172"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Certain holders of the tangible equity units had early settled their prepaid stock purchase contracts prior to the due date, and, in exchange, the Company issued shares of its common stock. During April 2022, 981,919 stock purchase contracts were early settled by the holders of the contracts, resulting in the issuance of 1,166,107 shares of the Company’s common stock. On May 2, 2022, the remaining 6,621,315 stock purchase contracts were each mandatorily settled for 1.18758 shares of the Company’s common stock, and in the aggregate the Company issued 7,863,354 shares of its common stock. Additionally, the final quarterly installment payment was made, which resulted in the complete pay-off of the amortizing notes.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Long-term Debt and Loans Payable</w:t>
      </w:r>
    </w:p>
    <w:p>
      <w:pPr>
        <w:spacing w:after="0" w:line="206"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color w:val="auto"/>
        </w:rPr>
        <w:t>On May 20, 2022, the Company issued $500,000 of long-term debt (the “Senior Notes”), less expenses of $5,815, due in 2052 with an interest rate of 5.30%. The Company used the net proceeds from the issuance of Senior Notes to (1) to repay $49,700 of borrowings under the Aqua Pennsylvania’s 364-day revolving credit facility and $410,000 of borrowings under the Company’s existing five-year unsecured revolving credit facility, and (2) for general corporate purposes.</w:t>
      </w:r>
    </w:p>
    <w:p>
      <w:pPr>
        <w:spacing w:after="0" w:line="157" w:lineRule="exact"/>
        <w:rPr>
          <w:sz w:val="20"/>
          <w:szCs w:val="20"/>
          <w:color w:val="auto"/>
        </w:rPr>
      </w:pPr>
    </w:p>
    <w:p>
      <w:pPr>
        <w:ind w:right="380"/>
        <w:spacing w:after="0" w:line="226" w:lineRule="auto"/>
        <w:rPr>
          <w:sz w:val="20"/>
          <w:szCs w:val="20"/>
          <w:color w:val="auto"/>
        </w:rPr>
      </w:pPr>
      <w:r>
        <w:rPr>
          <w:rFonts w:ascii="Arial" w:cs="Arial" w:eastAsia="Arial" w:hAnsi="Arial"/>
          <w:sz w:val="22"/>
          <w:szCs w:val="22"/>
          <w:color w:val="auto"/>
        </w:rPr>
        <w:t>On June 30, 2022, the following debt amendments were executed: (1) Peoples Natural Gas Companies amended its 364-day revolving credit agreement primarily to increase the amount of the facility from $100,000 to $300,000 and to update the termination date of the facility to June 29, 2023, and (2) Aqua Pennsylvania amended its 364-day revolving credit agreement primarily to update the termination date of the facility to June 29, 2023 to coincide with the term of the Peoples Natural Gas Companies’ facility.</w:t>
      </w:r>
    </w:p>
    <w:p>
      <w:pPr>
        <w:spacing w:after="0" w:line="186" w:lineRule="exact"/>
        <w:rPr>
          <w:sz w:val="20"/>
          <w:szCs w:val="20"/>
          <w:color w:val="auto"/>
        </w:rPr>
      </w:pPr>
    </w:p>
    <w:p>
      <w:pPr>
        <w:ind w:right="100"/>
        <w:spacing w:after="0" w:line="223" w:lineRule="auto"/>
        <w:rPr>
          <w:sz w:val="20"/>
          <w:szCs w:val="20"/>
          <w:color w:val="auto"/>
        </w:rPr>
      </w:pPr>
      <w:r>
        <w:rPr>
          <w:rFonts w:ascii="Arial" w:cs="Arial" w:eastAsia="Arial" w:hAnsi="Arial"/>
          <w:sz w:val="22"/>
          <w:szCs w:val="22"/>
          <w:color w:val="auto"/>
        </w:rPr>
        <w:t>On April 15, 2021, the Company’s operating subsidiary, Aqua Ohio, Inc., issued $100,000 of first mortgage bonds, of which $50,000 is due in 2031 and $50,000 is due in 2051, with interest rates of 2.37% and 3.35%, respectively. The proceeds from these bonds were used for general corporate purposes and to repay existing indebtedness. Further, on April 19, 2021, the Company issued $400,000 of long-term debt, less expenses of $4,010, which is due in 2031, with an interest rate of 2.40%. The Company used the proceeds from this issuance to repay $50,000 of borrowings under the Aqua Pennsylvania revolving credit facility, and the balance was used to repay in full the borrowings under its existing five year unsecured revolving credit agreement.</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 w:right="399" w:bottom="1440" w:gutter="0" w:footer="0" w:header="0"/>
        </w:sectPr>
      </w:pPr>
    </w:p>
    <w:bookmarkStart w:id="16" w:name="page17"/>
    <w:bookmarkEnd w:id="1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 </w:t>
      </w:r>
      <w:r>
        <w:rPr>
          <w:rFonts w:ascii="Arial" w:cs="Arial" w:eastAsia="Arial" w:hAnsi="Arial"/>
          <w:sz w:val="22"/>
          <w:szCs w:val="22"/>
          <w:b w:val="1"/>
          <w:bCs w:val="1"/>
          <w:i w:val="1"/>
          <w:iCs w:val="1"/>
          <w:color w:val="auto"/>
        </w:rPr>
        <w:t>Financial Instruments</w:t>
      </w:r>
    </w:p>
    <w:p>
      <w:pPr>
        <w:spacing w:after="0" w:line="212" w:lineRule="exact"/>
        <w:rPr>
          <w:sz w:val="20"/>
          <w:szCs w:val="20"/>
          <w:color w:val="auto"/>
        </w:rPr>
      </w:pPr>
    </w:p>
    <w:p>
      <w:pPr>
        <w:ind w:right="440"/>
        <w:spacing w:after="0" w:line="272" w:lineRule="auto"/>
        <w:rPr>
          <w:sz w:val="20"/>
          <w:szCs w:val="20"/>
          <w:color w:val="auto"/>
        </w:rPr>
      </w:pPr>
      <w:r>
        <w:rPr>
          <w:rFonts w:ascii="Arial" w:cs="Arial" w:eastAsia="Arial" w:hAnsi="Arial"/>
          <w:sz w:val="19"/>
          <w:szCs w:val="19"/>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 There have been no changes in the valuation techniques used to measure fair value, or asset or liability transfers between the levels of the fair value hierarchy for the three and six months ended June 30, 2022 and 2021.</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The fair value of loans payable is determined based on its carrying amount and utilizing Level 1 methods and assumptions. As of June 30, 2022 and December 31, 2021, the carrying amount of the Company’s loans payable was $4,703 and $65,000, respectively, which equates to their estimated fair value. The fair value of cash and cash equivalents, is determined based on Level 1 methods and assumptions. As of June 30, 2022 and December 31, 2021, the carrying amounts of the Company's cash and cash equivalents was $12,976 and $10,567,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June 30, 2022 and December 31, 2021, the carrying amount of these securities was $25,630 and $28,576, respectively, which equates to their fair value, and is reported in the consolidated balance sheet in deferred charges and other assets.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Unrealized gain and losses on equity securities held in conjunction with our non-qualified pension plan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5"/>
          </w:tcPr>
          <w:p>
            <w:pPr>
              <w:jc w:val="right"/>
              <w:ind w:right="230"/>
              <w:spacing w:after="0"/>
              <w:rPr>
                <w:sz w:val="20"/>
                <w:szCs w:val="20"/>
                <w:color w:val="auto"/>
              </w:rPr>
            </w:pPr>
            <w:r>
              <w:rPr>
                <w:rFonts w:ascii="Arial" w:cs="Arial" w:eastAsia="Arial" w:hAnsi="Arial"/>
                <w:sz w:val="18"/>
                <w:szCs w:val="18"/>
                <w:color w:val="auto"/>
                <w:w w:val="96"/>
              </w:rPr>
              <w:t>Three Months Ended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5"/>
          </w:tcPr>
          <w:p>
            <w:pPr>
              <w:jc w:val="right"/>
              <w:ind w:right="210"/>
              <w:spacing w:after="0"/>
              <w:rPr>
                <w:sz w:val="20"/>
                <w:szCs w:val="20"/>
                <w:color w:val="auto"/>
              </w:rPr>
            </w:pPr>
            <w:r>
              <w:rPr>
                <w:rFonts w:ascii="Arial" w:cs="Arial" w:eastAsia="Arial" w:hAnsi="Arial"/>
                <w:sz w:val="18"/>
                <w:szCs w:val="18"/>
                <w:color w:val="auto"/>
                <w:w w:val="98"/>
              </w:rPr>
              <w:t>Six Months Ended</w:t>
            </w:r>
          </w:p>
        </w:tc>
        <w:tc>
          <w:tcPr>
            <w:tcW w:w="0" w:type="dxa"/>
            <w:vAlign w:val="bottom"/>
          </w:tcPr>
          <w:p>
            <w:pPr>
              <w:spacing w:after="0"/>
              <w:rPr>
                <w:sz w:val="1"/>
                <w:szCs w:val="1"/>
                <w:color w:val="auto"/>
              </w:rPr>
            </w:pPr>
          </w:p>
        </w:tc>
      </w:tr>
      <w:tr>
        <w:trPr>
          <w:trHeight w:val="217"/>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7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183"/>
        </w:trPr>
        <w:tc>
          <w:tcPr>
            <w:tcW w:w="68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gain (loss) recognized during the period on equity securities</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189"/>
        </w:trPr>
        <w:tc>
          <w:tcPr>
            <w:tcW w:w="68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w w:val="93"/>
              </w:rPr>
              <w:t>Less: net gain / loss recognized during the period on equity securities sold during the period</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1"/>
        </w:trPr>
        <w:tc>
          <w:tcPr>
            <w:tcW w:w="682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Unrealized gain (loss) recognized during the reporting period on equity securities still held at</w:t>
            </w:r>
          </w:p>
        </w:tc>
        <w:tc>
          <w:tcPr>
            <w:tcW w:w="320" w:type="dxa"/>
            <w:vAlign w:val="bottom"/>
            <w:gridSpan w:val="2"/>
            <w:vMerge w:val="restart"/>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c>
          <w:tcPr>
            <w:tcW w:w="320" w:type="dxa"/>
            <w:vAlign w:val="bottom"/>
            <w:gridSpan w:val="2"/>
            <w:vMerge w:val="restart"/>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the reporting date</w:t>
            </w:r>
          </w:p>
        </w:tc>
        <w:tc>
          <w:tcPr>
            <w:tcW w:w="32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spacing w:after="0" w:line="239" w:lineRule="auto"/>
        <w:rPr>
          <w:sz w:val="20"/>
          <w:szCs w:val="20"/>
          <w:color w:val="auto"/>
        </w:rPr>
      </w:pPr>
      <w:r>
        <w:rPr>
          <w:rFonts w:ascii="Arial" w:cs="Arial" w:eastAsia="Arial" w:hAnsi="Arial"/>
          <w:sz w:val="22"/>
          <w:szCs w:val="22"/>
          <w:color w:val="auto"/>
        </w:rPr>
        <w:t>The net gain (loss) recognized on equity securities is presented on the consolidated statements of operations and comprehensive income on the line item “Other.”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carrying amounts and estimated fair values of the Company’s long-term debt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1"/>
                <w:szCs w:val="21"/>
                <w:color w:val="auto"/>
              </w:rPr>
            </w:pPr>
          </w:p>
        </w:tc>
        <w:tc>
          <w:tcPr>
            <w:tcW w:w="2020" w:type="dxa"/>
            <w:vAlign w:val="bottom"/>
          </w:tcPr>
          <w:p>
            <w:pPr>
              <w:jc w:val="center"/>
              <w:ind w:left="952"/>
              <w:spacing w:after="0"/>
              <w:rPr>
                <w:sz w:val="20"/>
                <w:szCs w:val="20"/>
                <w:color w:val="auto"/>
              </w:rPr>
            </w:pPr>
            <w:r>
              <w:rPr>
                <w:rFonts w:ascii="Arial" w:cs="Arial" w:eastAsia="Arial" w:hAnsi="Arial"/>
                <w:sz w:val="22"/>
                <w:szCs w:val="22"/>
                <w:color w:val="auto"/>
                <w:w w:val="85"/>
              </w:rPr>
              <w:t>June 30,</w:t>
            </w: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00" w:type="dxa"/>
            <w:vAlign w:val="bottom"/>
          </w:tcPr>
          <w:p>
            <w:pPr>
              <w:jc w:val="right"/>
              <w:ind w:right="792"/>
              <w:spacing w:after="0"/>
              <w:rPr>
                <w:sz w:val="20"/>
                <w:szCs w:val="20"/>
                <w:color w:val="auto"/>
              </w:rPr>
            </w:pPr>
            <w:r>
              <w:rPr>
                <w:rFonts w:ascii="Arial" w:cs="Arial" w:eastAsia="Arial" w:hAnsi="Arial"/>
                <w:sz w:val="22"/>
                <w:szCs w:val="22"/>
                <w:color w:val="auto"/>
              </w:rPr>
              <w:t>December 31,</w:t>
            </w:r>
          </w:p>
        </w:tc>
      </w:tr>
      <w:tr>
        <w:trPr>
          <w:trHeight w:val="251"/>
        </w:trPr>
        <w:tc>
          <w:tcPr>
            <w:tcW w:w="4780" w:type="dxa"/>
            <w:vAlign w:val="bottom"/>
            <w:tcBorders>
              <w:bottom w:val="single" w:sz="8" w:color="CCEEFF"/>
            </w:tcBorders>
          </w:tcPr>
          <w:p>
            <w:pPr>
              <w:spacing w:after="0"/>
              <w:rPr>
                <w:sz w:val="21"/>
                <w:szCs w:val="21"/>
                <w:color w:val="auto"/>
              </w:rPr>
            </w:pPr>
          </w:p>
        </w:tc>
        <w:tc>
          <w:tcPr>
            <w:tcW w:w="2020" w:type="dxa"/>
            <w:vAlign w:val="bottom"/>
            <w:tcBorders>
              <w:bottom w:val="single" w:sz="8" w:color="auto"/>
            </w:tcBorders>
          </w:tcPr>
          <w:p>
            <w:pPr>
              <w:jc w:val="right"/>
              <w:ind w:right="172"/>
              <w:spacing w:after="0" w:line="251" w:lineRule="exact"/>
              <w:rPr>
                <w:sz w:val="20"/>
                <w:szCs w:val="20"/>
                <w:color w:val="auto"/>
              </w:rPr>
            </w:pPr>
            <w:r>
              <w:rPr>
                <w:rFonts w:ascii="Arial" w:cs="Arial" w:eastAsia="Arial" w:hAnsi="Arial"/>
                <w:sz w:val="22"/>
                <w:szCs w:val="22"/>
                <w:color w:val="auto"/>
              </w:rPr>
              <w:t>2022</w:t>
            </w:r>
          </w:p>
        </w:tc>
        <w:tc>
          <w:tcPr>
            <w:tcW w:w="1040" w:type="dxa"/>
            <w:vAlign w:val="bottom"/>
            <w:tcBorders>
              <w:bottom w:val="single" w:sz="8" w:color="auto"/>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jc w:val="right"/>
              <w:ind w:right="1172"/>
              <w:spacing w:after="0" w:line="251" w:lineRule="exact"/>
              <w:rPr>
                <w:sz w:val="20"/>
                <w:szCs w:val="20"/>
                <w:color w:val="auto"/>
              </w:rPr>
            </w:pPr>
            <w:r>
              <w:rPr>
                <w:rFonts w:ascii="Arial" w:cs="Arial" w:eastAsia="Arial" w:hAnsi="Arial"/>
                <w:sz w:val="22"/>
                <w:szCs w:val="22"/>
                <w:color w:val="auto"/>
              </w:rPr>
              <w:t>2021</w:t>
            </w:r>
          </w:p>
        </w:tc>
      </w:tr>
      <w:tr>
        <w:trPr>
          <w:trHeight w:val="223"/>
        </w:trPr>
        <w:tc>
          <w:tcPr>
            <w:tcW w:w="47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Carrying amount</w:t>
            </w:r>
          </w:p>
        </w:tc>
        <w:tc>
          <w:tcPr>
            <w:tcW w:w="2020" w:type="dxa"/>
            <w:vAlign w:val="bottom"/>
            <w:shd w:val="clear" w:color="auto" w:fill="CCEEFF"/>
          </w:tcPr>
          <w:p>
            <w:pPr>
              <w:jc w:val="right"/>
              <w:ind w:right="1792"/>
              <w:spacing w:after="0" w:line="223" w:lineRule="exact"/>
              <w:rPr>
                <w:sz w:val="20"/>
                <w:szCs w:val="20"/>
                <w:color w:val="auto"/>
              </w:rPr>
            </w:pPr>
            <w:r>
              <w:rPr>
                <w:rFonts w:ascii="Arial" w:cs="Arial" w:eastAsia="Arial" w:hAnsi="Arial"/>
                <w:sz w:val="22"/>
                <w:szCs w:val="22"/>
                <w:color w:val="auto"/>
                <w:w w:val="81"/>
              </w:rPr>
              <w:t>$</w:t>
            </w:r>
          </w:p>
        </w:tc>
        <w:tc>
          <w:tcPr>
            <w:tcW w:w="10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w w:val="98"/>
              </w:rPr>
              <w:t>6,256,321</w:t>
            </w: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92"/>
              <w:spacing w:after="0" w:line="223" w:lineRule="exact"/>
              <w:rPr>
                <w:sz w:val="20"/>
                <w:szCs w:val="20"/>
                <w:color w:val="auto"/>
              </w:rPr>
            </w:pPr>
            <w:r>
              <w:rPr>
                <w:rFonts w:ascii="Arial" w:cs="Arial" w:eastAsia="Arial" w:hAnsi="Arial"/>
                <w:sz w:val="22"/>
                <w:szCs w:val="22"/>
                <w:color w:val="auto"/>
                <w:w w:val="81"/>
              </w:rPr>
              <w:t>$</w:t>
            </w:r>
          </w:p>
        </w:tc>
        <w:tc>
          <w:tcPr>
            <w:tcW w:w="25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5,947,357</w:t>
            </w:r>
          </w:p>
        </w:tc>
      </w:tr>
      <w:tr>
        <w:trPr>
          <w:trHeight w:val="274"/>
        </w:trPr>
        <w:tc>
          <w:tcPr>
            <w:tcW w:w="4780" w:type="dxa"/>
            <w:vAlign w:val="bottom"/>
          </w:tcPr>
          <w:p>
            <w:pPr>
              <w:spacing w:after="0"/>
              <w:rPr>
                <w:sz w:val="20"/>
                <w:szCs w:val="20"/>
                <w:color w:val="auto"/>
              </w:rPr>
            </w:pPr>
            <w:r>
              <w:rPr>
                <w:rFonts w:ascii="Arial" w:cs="Arial" w:eastAsia="Arial" w:hAnsi="Arial"/>
                <w:sz w:val="22"/>
                <w:szCs w:val="22"/>
                <w:color w:val="auto"/>
              </w:rPr>
              <w:t>Estimated fair value</w:t>
            </w:r>
          </w:p>
        </w:tc>
        <w:tc>
          <w:tcPr>
            <w:tcW w:w="20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w w:val="98"/>
              </w:rPr>
              <w:t>5,545,498</w:t>
            </w: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22"/>
                <w:szCs w:val="22"/>
                <w:color w:val="auto"/>
              </w:rPr>
              <w:t>6,482,499</w:t>
            </w:r>
          </w:p>
        </w:tc>
      </w:tr>
    </w:tbl>
    <w:p>
      <w:pPr>
        <w:spacing w:after="0" w:line="177" w:lineRule="exact"/>
        <w:rPr>
          <w:sz w:val="20"/>
          <w:szCs w:val="20"/>
          <w:color w:val="auto"/>
        </w:rPr>
      </w:pPr>
    </w:p>
    <w:p>
      <w:pPr>
        <w:ind w:right="140"/>
        <w:spacing w:after="0" w:line="239" w:lineRule="auto"/>
        <w:rPr>
          <w:sz w:val="20"/>
          <w:szCs w:val="20"/>
          <w:color w:val="auto"/>
        </w:rPr>
      </w:pPr>
      <w:r>
        <w:rPr>
          <w:rFonts w:ascii="Arial" w:cs="Arial" w:eastAsia="Arial" w:hAnsi="Arial"/>
          <w:sz w:val="22"/>
          <w:szCs w:val="22"/>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7" w:name="page18"/>
    <w:bookmarkEnd w:id="1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ind w:right="20"/>
        <w:spacing w:after="0" w:line="224" w:lineRule="auto"/>
        <w:rPr>
          <w:sz w:val="20"/>
          <w:szCs w:val="20"/>
          <w:color w:val="auto"/>
        </w:rPr>
      </w:pPr>
      <w:r>
        <w:rPr>
          <w:rFonts w:ascii="Arial" w:cs="Arial" w:eastAsia="Arial" w:hAnsi="Arial"/>
          <w:sz w:val="22"/>
          <w:szCs w:val="22"/>
          <w:color w:val="auto"/>
        </w:rPr>
        <w:t>The Company’s customers’ advances for construction have a carrying value of $109,457 as of June 30, 2022, and $103,619 as of December 31, 2021. Their relative fair values cannot be accurately estimated because future refund payments depend on several variables, including new customer connections, customer consumption levels, and future rates. Portions of these non-interest-bearing instruments are payable annually through 2032, and amounts not paid by the respective contract expiration dates become non-refundable. The fair value of these amounts would, however, be less than their carrying value due to the non-interest-bearing feature.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 </w:t>
      </w:r>
      <w:r>
        <w:rPr>
          <w:rFonts w:ascii="Arial" w:cs="Arial" w:eastAsia="Arial" w:hAnsi="Arial"/>
          <w:sz w:val="22"/>
          <w:szCs w:val="22"/>
          <w:b w:val="1"/>
          <w:bCs w:val="1"/>
          <w:i w:val="1"/>
          <w:iCs w:val="1"/>
          <w:color w:val="auto"/>
        </w:rPr>
        <w:t>Net Income per Common Share</w:t>
      </w:r>
    </w:p>
    <w:p>
      <w:pPr>
        <w:spacing w:after="0" w:line="212"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Basic net income per common share is based on the weighted average number of common shares outstanding and the weighted average minimum number of shares issued upon settlement of the stock purchase contracts issued under the tangible equity units. Diluted net income per common share is based on the weighted average number of common shares outstanding and potentially dilutive shares. The dilutive effect of employee stock-based compensation and shares issuable under the forward equity sale agreement (from the date the Company entered into the forward equity sale agreement to the settlement date) are included in the computation of diluted net income per common share. The dilutive effect of stock-based compensation and shares issuable under the forward equity sale agreement are calculated using the treasury stock method and expected proceeds upon exercise or issuance of the stock-based compensation and settlement of the forward equity sale agreement. The treasury stock method assumes that the proceeds from stock-based compensation and settlement of the forward equity sale agreement are used to purchase the Company’s common stock at the average market price during the period. The following table summarizes the shares, in thousands, used in computing basic and diluted net income per common share:</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20" w:type="dxa"/>
            <w:vAlign w:val="bottom"/>
          </w:tcPr>
          <w:p>
            <w:pPr>
              <w:spacing w:after="0"/>
              <w:rPr>
                <w:sz w:val="21"/>
                <w:szCs w:val="21"/>
                <w:color w:val="auto"/>
              </w:rPr>
            </w:pPr>
          </w:p>
        </w:tc>
        <w:tc>
          <w:tcPr>
            <w:tcW w:w="2740" w:type="dxa"/>
            <w:vAlign w:val="bottom"/>
            <w:gridSpan w:val="5"/>
          </w:tcPr>
          <w:p>
            <w:pPr>
              <w:jc w:val="center"/>
              <w:ind w:right="200"/>
              <w:spacing w:after="0"/>
              <w:rPr>
                <w:sz w:val="20"/>
                <w:szCs w:val="20"/>
                <w:color w:val="auto"/>
              </w:rPr>
            </w:pPr>
            <w:r>
              <w:rPr>
                <w:rFonts w:ascii="Arial" w:cs="Arial" w:eastAsia="Arial" w:hAnsi="Arial"/>
                <w:sz w:val="22"/>
                <w:szCs w:val="22"/>
                <w:color w:val="auto"/>
                <w:w w:val="88"/>
              </w:rPr>
              <w:t>Three Months Ended</w:t>
            </w:r>
          </w:p>
        </w:tc>
        <w:tc>
          <w:tcPr>
            <w:tcW w:w="2480" w:type="dxa"/>
            <w:vAlign w:val="bottom"/>
            <w:gridSpan w:val="4"/>
          </w:tcPr>
          <w:p>
            <w:pPr>
              <w:jc w:val="center"/>
              <w:spacing w:after="0"/>
              <w:rPr>
                <w:sz w:val="20"/>
                <w:szCs w:val="20"/>
                <w:color w:val="auto"/>
              </w:rPr>
            </w:pPr>
            <w:r>
              <w:rPr>
                <w:rFonts w:ascii="Arial" w:cs="Arial" w:eastAsia="Arial" w:hAnsi="Arial"/>
                <w:sz w:val="22"/>
                <w:szCs w:val="22"/>
                <w:color w:val="auto"/>
                <w:w w:val="89"/>
              </w:rPr>
              <w:t>Six Months Ended</w:t>
            </w:r>
          </w:p>
        </w:tc>
        <w:tc>
          <w:tcPr>
            <w:tcW w:w="0" w:type="dxa"/>
            <w:vAlign w:val="bottom"/>
          </w:tcPr>
          <w:p>
            <w:pPr>
              <w:spacing w:after="0"/>
              <w:rPr>
                <w:sz w:val="1"/>
                <w:szCs w:val="1"/>
                <w:color w:val="auto"/>
              </w:rPr>
            </w:pPr>
          </w:p>
        </w:tc>
      </w:tr>
      <w:tr>
        <w:trPr>
          <w:trHeight w:val="251"/>
        </w:trPr>
        <w:tc>
          <w:tcPr>
            <w:tcW w:w="6020" w:type="dxa"/>
            <w:vAlign w:val="bottom"/>
          </w:tcPr>
          <w:p>
            <w:pPr>
              <w:spacing w:after="0"/>
              <w:rPr>
                <w:sz w:val="21"/>
                <w:szCs w:val="21"/>
                <w:color w:val="auto"/>
              </w:rPr>
            </w:pPr>
          </w:p>
        </w:tc>
        <w:tc>
          <w:tcPr>
            <w:tcW w:w="1680" w:type="dxa"/>
            <w:vAlign w:val="bottom"/>
            <w:tcBorders>
              <w:bottom w:val="single" w:sz="8" w:color="auto"/>
            </w:tcBorders>
            <w:gridSpan w:val="3"/>
          </w:tcPr>
          <w:p>
            <w:pPr>
              <w:jc w:val="center"/>
              <w:ind w:left="772"/>
              <w:spacing w:after="0" w:line="251" w:lineRule="exact"/>
              <w:rPr>
                <w:sz w:val="20"/>
                <w:szCs w:val="20"/>
                <w:color w:val="auto"/>
              </w:rPr>
            </w:pPr>
            <w:r>
              <w:rPr>
                <w:rFonts w:ascii="Arial" w:cs="Arial" w:eastAsia="Arial" w:hAnsi="Arial"/>
                <w:sz w:val="22"/>
                <w:szCs w:val="22"/>
                <w:color w:val="auto"/>
                <w:w w:val="85"/>
              </w:rPr>
              <w:t>June 30,</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732"/>
              <w:spacing w:after="0" w:line="251" w:lineRule="exact"/>
              <w:rPr>
                <w:sz w:val="20"/>
                <w:szCs w:val="20"/>
                <w:color w:val="auto"/>
              </w:rPr>
            </w:pPr>
            <w:r>
              <w:rPr>
                <w:rFonts w:ascii="Arial" w:cs="Arial" w:eastAsia="Arial" w:hAnsi="Arial"/>
                <w:sz w:val="22"/>
                <w:szCs w:val="22"/>
                <w:color w:val="auto"/>
                <w:w w:val="85"/>
              </w:rPr>
              <w:t>June 30,</w:t>
            </w: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12"/>
              <w:spacing w:after="0" w:line="223" w:lineRule="exact"/>
              <w:rPr>
                <w:sz w:val="20"/>
                <w:szCs w:val="20"/>
                <w:color w:val="auto"/>
              </w:rPr>
            </w:pPr>
            <w:r>
              <w:rPr>
                <w:rFonts w:ascii="Arial" w:cs="Arial" w:eastAsia="Arial" w:hAnsi="Arial"/>
                <w:sz w:val="22"/>
                <w:szCs w:val="22"/>
                <w:color w:val="auto"/>
              </w:rPr>
              <w:t>2022</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line="223" w:lineRule="exact"/>
              <w:rPr>
                <w:sz w:val="20"/>
                <w:szCs w:val="20"/>
                <w:color w:val="auto"/>
              </w:rPr>
            </w:pPr>
            <w:r>
              <w:rPr>
                <w:rFonts w:ascii="Arial" w:cs="Arial" w:eastAsia="Arial" w:hAnsi="Arial"/>
                <w:sz w:val="22"/>
                <w:szCs w:val="22"/>
                <w:color w:val="auto"/>
                <w:w w:val="89"/>
              </w:rPr>
              <w:t>2021</w:t>
            </w: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12"/>
              <w:spacing w:after="0" w:line="223" w:lineRule="exact"/>
              <w:rPr>
                <w:sz w:val="20"/>
                <w:szCs w:val="20"/>
                <w:color w:val="auto"/>
              </w:rPr>
            </w:pPr>
            <w:r>
              <w:rPr>
                <w:rFonts w:ascii="Arial" w:cs="Arial" w:eastAsia="Arial" w:hAnsi="Arial"/>
                <w:sz w:val="22"/>
                <w:szCs w:val="22"/>
                <w:color w:val="auto"/>
              </w:rPr>
              <w:t>2022</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line="223" w:lineRule="exact"/>
              <w:rPr>
                <w:sz w:val="20"/>
                <w:szCs w:val="20"/>
                <w:color w:val="auto"/>
              </w:rPr>
            </w:pPr>
            <w:r>
              <w:rPr>
                <w:rFonts w:ascii="Arial" w:cs="Arial" w:eastAsia="Arial" w:hAnsi="Arial"/>
                <w:sz w:val="22"/>
                <w:szCs w:val="22"/>
                <w:color w:val="auto"/>
                <w:w w:val="89"/>
              </w:rPr>
              <w:t>2021</w:t>
            </w:r>
          </w:p>
        </w:tc>
        <w:tc>
          <w:tcPr>
            <w:tcW w:w="0" w:type="dxa"/>
            <w:vAlign w:val="bottom"/>
          </w:tcPr>
          <w:p>
            <w:pPr>
              <w:spacing w:after="0"/>
              <w:rPr>
                <w:sz w:val="1"/>
                <w:szCs w:val="1"/>
                <w:color w:val="auto"/>
              </w:rPr>
            </w:pPr>
          </w:p>
        </w:tc>
      </w:tr>
      <w:tr>
        <w:trPr>
          <w:trHeight w:val="188"/>
        </w:trPr>
        <w:tc>
          <w:tcPr>
            <w:tcW w:w="6020" w:type="dxa"/>
            <w:vAlign w:val="bottom"/>
            <w:shd w:val="clear" w:color="auto" w:fill="CCEEFF"/>
          </w:tcPr>
          <w:p>
            <w:pPr>
              <w:spacing w:after="0" w:line="188" w:lineRule="exact"/>
              <w:rPr>
                <w:sz w:val="20"/>
                <w:szCs w:val="20"/>
                <w:color w:val="auto"/>
              </w:rPr>
            </w:pPr>
            <w:r>
              <w:rPr>
                <w:rFonts w:ascii="Arial" w:cs="Arial" w:eastAsia="Arial" w:hAnsi="Arial"/>
                <w:sz w:val="21"/>
                <w:szCs w:val="21"/>
                <w:color w:val="auto"/>
              </w:rPr>
              <w:t>Average common shares outstanding during the period for basic</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02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computation</w:t>
            </w:r>
          </w:p>
        </w:tc>
        <w:tc>
          <w:tcPr>
            <w:tcW w:w="110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262,099</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8"/>
              </w:rPr>
              <w:t>254,769</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262,026</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5"/>
              </w:rPr>
              <w:t>254,667</w:t>
            </w:r>
          </w:p>
        </w:tc>
        <w:tc>
          <w:tcPr>
            <w:tcW w:w="0" w:type="dxa"/>
            <w:vAlign w:val="bottom"/>
          </w:tcPr>
          <w:p>
            <w:pPr>
              <w:spacing w:after="0"/>
              <w:rPr>
                <w:sz w:val="1"/>
                <w:szCs w:val="1"/>
                <w:color w:val="auto"/>
              </w:rPr>
            </w:pPr>
          </w:p>
        </w:tc>
      </w:tr>
      <w:tr>
        <w:trPr>
          <w:trHeight w:val="230"/>
        </w:trPr>
        <w:tc>
          <w:tcPr>
            <w:tcW w:w="6020" w:type="dxa"/>
            <w:vAlign w:val="bottom"/>
          </w:tcPr>
          <w:p>
            <w:pPr>
              <w:spacing w:after="0" w:line="229" w:lineRule="exact"/>
              <w:rPr>
                <w:sz w:val="20"/>
                <w:szCs w:val="20"/>
                <w:color w:val="auto"/>
              </w:rPr>
            </w:pPr>
            <w:r>
              <w:rPr>
                <w:rFonts w:ascii="Arial" w:cs="Arial" w:eastAsia="Arial" w:hAnsi="Arial"/>
                <w:sz w:val="22"/>
                <w:szCs w:val="22"/>
                <w:color w:val="auto"/>
              </w:rPr>
              <w:t>Effect of dilutive securities: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Forward equity sale agreement</w:t>
            </w:r>
          </w:p>
        </w:tc>
        <w:tc>
          <w:tcPr>
            <w:tcW w:w="11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285</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147</w:t>
            </w:r>
          </w:p>
        </w:tc>
        <w:tc>
          <w:tcPr>
            <w:tcW w:w="0" w:type="dxa"/>
            <w:vAlign w:val="bottom"/>
          </w:tcPr>
          <w:p>
            <w:pPr>
              <w:spacing w:after="0"/>
              <w:rPr>
                <w:sz w:val="1"/>
                <w:szCs w:val="1"/>
                <w:color w:val="auto"/>
              </w:rPr>
            </w:pPr>
          </w:p>
        </w:tc>
      </w:tr>
      <w:tr>
        <w:trPr>
          <w:trHeight w:val="230"/>
        </w:trPr>
        <w:tc>
          <w:tcPr>
            <w:tcW w:w="6020" w:type="dxa"/>
            <w:vAlign w:val="bottom"/>
          </w:tcPr>
          <w:p>
            <w:pPr>
              <w:ind w:left="120"/>
              <w:spacing w:after="0" w:line="229" w:lineRule="exact"/>
              <w:rPr>
                <w:sz w:val="20"/>
                <w:szCs w:val="20"/>
                <w:color w:val="auto"/>
              </w:rPr>
            </w:pPr>
            <w:r>
              <w:rPr>
                <w:rFonts w:ascii="Arial" w:cs="Arial" w:eastAsia="Arial" w:hAnsi="Arial"/>
                <w:sz w:val="22"/>
                <w:szCs w:val="22"/>
                <w:color w:val="auto"/>
              </w:rPr>
              <w:t>Tangible equity units</w:t>
            </w:r>
          </w:p>
        </w:tc>
        <w:tc>
          <w:tcPr>
            <w:tcW w:w="110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Employee stock-based compensation</w:t>
            </w:r>
          </w:p>
        </w:tc>
        <w:tc>
          <w:tcPr>
            <w:tcW w:w="11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459</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387</w:t>
            </w:r>
          </w:p>
        </w:tc>
        <w:tc>
          <w:tcPr>
            <w:tcW w:w="2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519</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454</w:t>
            </w:r>
          </w:p>
        </w:tc>
        <w:tc>
          <w:tcPr>
            <w:tcW w:w="0" w:type="dxa"/>
            <w:vAlign w:val="bottom"/>
          </w:tcPr>
          <w:p>
            <w:pPr>
              <w:spacing w:after="0"/>
              <w:rPr>
                <w:sz w:val="1"/>
                <w:szCs w:val="1"/>
                <w:color w:val="auto"/>
              </w:rPr>
            </w:pPr>
          </w:p>
        </w:tc>
      </w:tr>
      <w:tr>
        <w:trPr>
          <w:trHeight w:val="188"/>
        </w:trPr>
        <w:tc>
          <w:tcPr>
            <w:tcW w:w="6020" w:type="dxa"/>
            <w:vAlign w:val="bottom"/>
          </w:tcPr>
          <w:p>
            <w:pPr>
              <w:spacing w:after="0" w:line="188" w:lineRule="exact"/>
              <w:rPr>
                <w:sz w:val="20"/>
                <w:szCs w:val="20"/>
                <w:color w:val="auto"/>
              </w:rPr>
            </w:pPr>
            <w:r>
              <w:rPr>
                <w:rFonts w:ascii="Arial" w:cs="Arial" w:eastAsia="Arial" w:hAnsi="Arial"/>
                <w:sz w:val="21"/>
                <w:szCs w:val="21"/>
                <w:color w:val="auto"/>
                <w:w w:val="98"/>
              </w:rPr>
              <w:t>Average common shares outstanding during the period for diluted</w:t>
            </w:r>
          </w:p>
        </w:tc>
        <w:tc>
          <w:tcPr>
            <w:tcW w:w="1100" w:type="dxa"/>
            <w:vAlign w:val="bottom"/>
            <w:vMerge w:val="restart"/>
          </w:tcPr>
          <w:p>
            <w:pPr>
              <w:jc w:val="right"/>
              <w:spacing w:after="0"/>
              <w:rPr>
                <w:sz w:val="20"/>
                <w:szCs w:val="20"/>
                <w:color w:val="auto"/>
              </w:rPr>
            </w:pPr>
            <w:r>
              <w:rPr>
                <w:rFonts w:ascii="Arial" w:cs="Arial" w:eastAsia="Arial" w:hAnsi="Arial"/>
                <w:sz w:val="22"/>
                <w:szCs w:val="22"/>
                <w:color w:val="auto"/>
              </w:rPr>
              <w:t>262,558</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22"/>
                <w:szCs w:val="22"/>
                <w:color w:val="auto"/>
                <w:w w:val="98"/>
              </w:rPr>
              <w:t>255,441</w:t>
            </w:r>
          </w:p>
        </w:tc>
        <w:tc>
          <w:tcPr>
            <w:tcW w:w="20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22"/>
                <w:szCs w:val="22"/>
                <w:color w:val="auto"/>
              </w:rPr>
              <w:t>262,545</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22"/>
                <w:szCs w:val="22"/>
                <w:color w:val="auto"/>
                <w:w w:val="95"/>
              </w:rPr>
              <w:t>255,268</w:t>
            </w:r>
          </w:p>
        </w:tc>
        <w:tc>
          <w:tcPr>
            <w:tcW w:w="0" w:type="dxa"/>
            <w:vAlign w:val="bottom"/>
          </w:tcPr>
          <w:p>
            <w:pPr>
              <w:spacing w:after="0"/>
              <w:rPr>
                <w:sz w:val="1"/>
                <w:szCs w:val="1"/>
                <w:color w:val="auto"/>
              </w:rPr>
            </w:pPr>
          </w:p>
        </w:tc>
      </w:tr>
      <w:tr>
        <w:trPr>
          <w:trHeight w:val="237"/>
        </w:trPr>
        <w:tc>
          <w:tcPr>
            <w:tcW w:w="6020" w:type="dxa"/>
            <w:vAlign w:val="bottom"/>
          </w:tcPr>
          <w:p>
            <w:pPr>
              <w:spacing w:after="0" w:line="238" w:lineRule="exact"/>
              <w:rPr>
                <w:sz w:val="20"/>
                <w:szCs w:val="20"/>
                <w:color w:val="auto"/>
              </w:rPr>
            </w:pPr>
            <w:r>
              <w:rPr>
                <w:rFonts w:ascii="Arial" w:cs="Arial" w:eastAsia="Arial" w:hAnsi="Arial"/>
                <w:sz w:val="22"/>
                <w:szCs w:val="22"/>
                <w:color w:val="auto"/>
              </w:rPr>
              <w:t>computation</w:t>
            </w:r>
          </w:p>
        </w:tc>
        <w:tc>
          <w:tcPr>
            <w:tcW w:w="110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right="140"/>
        <w:spacing w:after="0" w:line="267" w:lineRule="auto"/>
        <w:rPr>
          <w:sz w:val="20"/>
          <w:szCs w:val="20"/>
          <w:color w:val="auto"/>
        </w:rPr>
      </w:pPr>
      <w:r>
        <w:rPr>
          <w:rFonts w:ascii="Arial" w:cs="Arial" w:eastAsia="Arial" w:hAnsi="Arial"/>
          <w:sz w:val="19"/>
          <w:szCs w:val="19"/>
          <w:color w:val="auto"/>
        </w:rPr>
        <w:t>For the three and six months ended June 30, 2022, the weighted average impact of 2,830,021 and 5,912,617 shares, respectively, were included in the basic computation of the average common shares outstanding based on the number of shares that were issued upon settlement of the stock purchase contracts under the tangible equity units. For both the three and six months ended June 30, 2021, the minimum settlement amount of the stock purchase contracts under the tangible equity units of 9,091,179 shares were considered outstanding for the basic computation of the average common shares outstanding.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8" w:name="page19"/>
    <w:bookmarkEnd w:id="1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ind w:right="260"/>
        <w:spacing w:after="0" w:line="224" w:lineRule="auto"/>
        <w:rPr>
          <w:sz w:val="20"/>
          <w:szCs w:val="20"/>
          <w:color w:val="auto"/>
        </w:rPr>
      </w:pPr>
      <w:r>
        <w:rPr>
          <w:rFonts w:ascii="Arial" w:cs="Arial" w:eastAsia="Arial" w:hAnsi="Arial"/>
          <w:sz w:val="22"/>
          <w:szCs w:val="22"/>
          <w:color w:val="auto"/>
        </w:rPr>
        <w:t>The number of outstanding employee stock options that were not included in the diluted earnings per share calculation because the effect would have been anti-dilutive was 83,080 for the three and six months ended June 30, 2022. For the three and six months ended June 30, 2021, all of the Company’s outstanding employee stock options were included in the calculations of diluted net income per share as there were no anti-dilutive employee stock options. Additionally, the dilutive effect of performance share units and restricted share units granted are included in the Company’s calculation of diluted net income per share.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 </w:t>
      </w:r>
      <w:r>
        <w:rPr>
          <w:rFonts w:ascii="Arial" w:cs="Arial" w:eastAsia="Arial" w:hAnsi="Arial"/>
          <w:sz w:val="22"/>
          <w:szCs w:val="22"/>
          <w:b w:val="1"/>
          <w:bCs w:val="1"/>
          <w:i w:val="1"/>
          <w:iCs w:val="1"/>
          <w:color w:val="auto"/>
        </w:rPr>
        <w:t>Stock-based Compensation</w:t>
      </w:r>
    </w:p>
    <w:p>
      <w:pPr>
        <w:spacing w:after="0" w:line="212"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Under the Company’s Amended and Restated Equity Compensation Plan (the “Plan”) approved by the Company’s shareholders on May 2, 2019, to replace the 2004 Equity Compensation Plan, stock options, stock units, stock awards, stock appreciation rights, dividend equivalents, and other stock-based awards may be granted to employees, non-employee directors, and consultants and advisors. The Plan authorizes 6,250,000 shares for issuance under the Plan. A maximum of 3,125,000 shares under the Plan may be issued pursuant to stock awards, stock units and other stock-based awards, subject to adjustment as provided in the Plan. During any calendar year, no individual may be granted (i) stock options and stock appreciation rights under the Plan for more than 500,000 shares of Company stock in the aggregate or (ii) stock awards, stock units or other stock-based awards under the Plan for more than 500,000 shares of Company stock in the aggregate, subject to adjustment as provided in the Plan. Awards to employees and consultants under the Plan are made by a committee of the Board of Directors of the Company, except that with respect to awards to the Chief Executive Officer, the committee recommends those awards for approval by the non-employee directors of the Board of Directors. In the case of awards to non-employee directors, the Board of Directors makes such awards. At June 30, 2022, 1,804,222 shares were still available for issuance under the Plan. No further grants may be made under the Company’s 2004 Equity Compensation Plan.</w:t>
      </w:r>
    </w:p>
    <w:p>
      <w:pPr>
        <w:spacing w:after="0" w:line="171" w:lineRule="exact"/>
        <w:rPr>
          <w:sz w:val="20"/>
          <w:szCs w:val="20"/>
          <w:color w:val="auto"/>
        </w:rPr>
      </w:pPr>
    </w:p>
    <w:p>
      <w:pPr>
        <w:ind w:right="80"/>
        <w:spacing w:after="0" w:line="237" w:lineRule="auto"/>
        <w:rPr>
          <w:sz w:val="20"/>
          <w:szCs w:val="20"/>
          <w:color w:val="auto"/>
        </w:rPr>
      </w:pPr>
      <w:r>
        <w:rPr>
          <w:rFonts w:ascii="Arial" w:cs="Arial" w:eastAsia="Arial" w:hAnsi="Arial"/>
          <w:sz w:val="21"/>
          <w:szCs w:val="21"/>
          <w:b w:val="1"/>
          <w:bCs w:val="1"/>
          <w:i w:val="1"/>
          <w:iCs w:val="1"/>
          <w:color w:val="auto"/>
        </w:rPr>
        <w:t xml:space="preserve">Performance Share Units </w:t>
      </w:r>
      <w:r>
        <w:rPr>
          <w:rFonts w:ascii="Arial" w:cs="Arial" w:eastAsia="Arial" w:hAnsi="Arial"/>
          <w:sz w:val="21"/>
          <w:szCs w:val="21"/>
          <w:color w:val="auto"/>
        </w:rPr>
        <w:t>– A performance share unit (“PSU”) represents the right to receive a share of the Company’s common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stock if specified performance goals are met over the three year performance period specified in the grant, subject to exceptions through the respective vesting period, which is generally three years. Each grantee is granted a target award of PSUs and may earn between 0% and 200% of the target amount depending on the Company’s performance against the performance goals. The following table provides compensation expense for PSUs: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60" w:type="dxa"/>
            <w:vAlign w:val="bottom"/>
            <w:gridSpan w:val="6"/>
          </w:tcPr>
          <w:p>
            <w:pPr>
              <w:jc w:val="center"/>
              <w:ind w:right="220"/>
              <w:spacing w:after="0"/>
              <w:rPr>
                <w:sz w:val="20"/>
                <w:szCs w:val="20"/>
                <w:color w:val="auto"/>
              </w:rPr>
            </w:pPr>
            <w:r>
              <w:rPr>
                <w:rFonts w:ascii="Arial" w:cs="Arial" w:eastAsia="Arial" w:hAnsi="Arial"/>
                <w:sz w:val="22"/>
                <w:szCs w:val="22"/>
                <w:color w:val="auto"/>
                <w:w w:val="88"/>
              </w:rPr>
              <w:t>Three Months Ended</w:t>
            </w:r>
          </w:p>
        </w:tc>
        <w:tc>
          <w:tcPr>
            <w:tcW w:w="300" w:type="dxa"/>
            <w:vAlign w:val="bottom"/>
          </w:tcPr>
          <w:p>
            <w:pPr>
              <w:spacing w:after="0"/>
              <w:rPr>
                <w:sz w:val="21"/>
                <w:szCs w:val="21"/>
                <w:color w:val="auto"/>
              </w:rPr>
            </w:pPr>
          </w:p>
        </w:tc>
        <w:tc>
          <w:tcPr>
            <w:tcW w:w="2780" w:type="dxa"/>
            <w:vAlign w:val="bottom"/>
            <w:gridSpan w:val="4"/>
          </w:tcPr>
          <w:p>
            <w:pPr>
              <w:jc w:val="center"/>
              <w:ind w:right="192"/>
              <w:spacing w:after="0"/>
              <w:rPr>
                <w:sz w:val="20"/>
                <w:szCs w:val="20"/>
                <w:color w:val="auto"/>
              </w:rPr>
            </w:pPr>
            <w:r>
              <w:rPr>
                <w:rFonts w:ascii="Arial" w:cs="Arial" w:eastAsia="Arial" w:hAnsi="Arial"/>
                <w:sz w:val="22"/>
                <w:szCs w:val="22"/>
                <w:color w:val="auto"/>
                <w:w w:val="89"/>
              </w:rPr>
              <w:t>Six Months Ended</w:t>
            </w:r>
          </w:p>
        </w:tc>
      </w:tr>
      <w:tr>
        <w:trPr>
          <w:trHeight w:val="251"/>
        </w:trPr>
        <w:tc>
          <w:tcPr>
            <w:tcW w:w="4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center"/>
              <w:spacing w:after="0" w:line="251" w:lineRule="exact"/>
              <w:rPr>
                <w:sz w:val="20"/>
                <w:szCs w:val="20"/>
                <w:color w:val="auto"/>
              </w:rPr>
            </w:pPr>
            <w:r>
              <w:rPr>
                <w:rFonts w:ascii="Arial" w:cs="Arial" w:eastAsia="Arial" w:hAnsi="Arial"/>
                <w:sz w:val="22"/>
                <w:szCs w:val="22"/>
                <w:color w:val="auto"/>
                <w:w w:val="85"/>
              </w:rPr>
              <w:t>June 30,</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center"/>
              <w:ind w:left="652"/>
              <w:spacing w:after="0" w:line="251" w:lineRule="exact"/>
              <w:rPr>
                <w:sz w:val="20"/>
                <w:szCs w:val="20"/>
                <w:color w:val="auto"/>
              </w:rPr>
            </w:pPr>
            <w:r>
              <w:rPr>
                <w:rFonts w:ascii="Arial" w:cs="Arial" w:eastAsia="Arial" w:hAnsi="Arial"/>
                <w:sz w:val="22"/>
                <w:szCs w:val="22"/>
                <w:color w:val="auto"/>
                <w:w w:val="85"/>
              </w:rPr>
              <w:t>June 30,</w:t>
            </w:r>
          </w:p>
        </w:tc>
        <w:tc>
          <w:tcPr>
            <w:tcW w:w="1060" w:type="dxa"/>
            <w:vAlign w:val="bottom"/>
            <w:tcBorders>
              <w:bottom w:val="single" w:sz="8" w:color="auto"/>
            </w:tcBorders>
          </w:tcPr>
          <w:p>
            <w:pPr>
              <w:spacing w:after="0"/>
              <w:rPr>
                <w:sz w:val="21"/>
                <w:szCs w:val="21"/>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2022</w:t>
            </w: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2"/>
              <w:spacing w:after="0" w:line="223" w:lineRule="exact"/>
              <w:rPr>
                <w:sz w:val="20"/>
                <w:szCs w:val="20"/>
                <w:color w:val="auto"/>
              </w:rPr>
            </w:pPr>
            <w:r>
              <w:rPr>
                <w:rFonts w:ascii="Arial" w:cs="Arial" w:eastAsia="Arial" w:hAnsi="Arial"/>
                <w:sz w:val="22"/>
                <w:szCs w:val="22"/>
                <w:color w:val="auto"/>
              </w:rPr>
              <w:t>2021</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2"/>
              <w:spacing w:after="0" w:line="223" w:lineRule="exact"/>
              <w:rPr>
                <w:sz w:val="20"/>
                <w:szCs w:val="20"/>
                <w:color w:val="auto"/>
              </w:rPr>
            </w:pPr>
            <w:r>
              <w:rPr>
                <w:rFonts w:ascii="Arial" w:cs="Arial" w:eastAsia="Arial" w:hAnsi="Arial"/>
                <w:sz w:val="22"/>
                <w:szCs w:val="22"/>
                <w:color w:val="auto"/>
              </w:rPr>
              <w:t>2022</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2"/>
              <w:spacing w:after="0" w:line="223" w:lineRule="exact"/>
              <w:rPr>
                <w:sz w:val="20"/>
                <w:szCs w:val="20"/>
                <w:color w:val="auto"/>
              </w:rPr>
            </w:pPr>
            <w:r>
              <w:rPr>
                <w:rFonts w:ascii="Arial" w:cs="Arial" w:eastAsia="Arial" w:hAnsi="Arial"/>
                <w:sz w:val="22"/>
                <w:szCs w:val="22"/>
                <w:color w:val="auto"/>
              </w:rPr>
              <w:t>2021</w:t>
            </w:r>
          </w:p>
        </w:tc>
      </w:tr>
      <w:tr>
        <w:trPr>
          <w:trHeight w:val="188"/>
        </w:trPr>
        <w:tc>
          <w:tcPr>
            <w:tcW w:w="4520" w:type="dxa"/>
            <w:vAlign w:val="bottom"/>
            <w:shd w:val="clear" w:color="auto" w:fill="CCEEFF"/>
          </w:tcPr>
          <w:p>
            <w:pPr>
              <w:spacing w:after="0" w:line="188" w:lineRule="exact"/>
              <w:rPr>
                <w:sz w:val="20"/>
                <w:szCs w:val="20"/>
                <w:color w:val="auto"/>
              </w:rPr>
            </w:pPr>
            <w:r>
              <w:rPr>
                <w:rFonts w:ascii="Arial" w:cs="Arial" w:eastAsia="Arial" w:hAnsi="Arial"/>
                <w:sz w:val="21"/>
                <w:szCs w:val="21"/>
                <w:color w:val="auto"/>
                <w:w w:val="98"/>
              </w:rPr>
              <w:t>Stock-based compensation within operations and</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51"/>
        </w:trPr>
        <w:tc>
          <w:tcPr>
            <w:tcW w:w="452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1240" w:type="dxa"/>
            <w:vAlign w:val="bottom"/>
            <w:gridSpan w:val="2"/>
            <w:shd w:val="clear" w:color="auto" w:fill="CCEEFF"/>
          </w:tcPr>
          <w:p>
            <w:pPr>
              <w:jc w:val="right"/>
              <w:ind w:right="752"/>
              <w:spacing w:after="0" w:line="251" w:lineRule="exact"/>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87"/>
              </w:rPr>
              <w:t>1,692</w:t>
            </w:r>
          </w:p>
        </w:tc>
        <w:tc>
          <w:tcPr>
            <w:tcW w:w="600" w:type="dxa"/>
            <w:vAlign w:val="bottom"/>
            <w:gridSpan w:val="2"/>
            <w:shd w:val="clear" w:color="auto" w:fill="CCEEFF"/>
          </w:tcPr>
          <w:p>
            <w:pPr>
              <w:jc w:val="right"/>
              <w:ind w:right="300"/>
              <w:spacing w:after="0" w:line="251" w:lineRule="exact"/>
              <w:rPr>
                <w:sz w:val="20"/>
                <w:szCs w:val="20"/>
                <w:color w:val="auto"/>
              </w:rPr>
            </w:pPr>
            <w:r>
              <w:rPr>
                <w:rFonts w:ascii="Arial" w:cs="Arial" w:eastAsia="Arial" w:hAnsi="Arial"/>
                <w:sz w:val="22"/>
                <w:szCs w:val="22"/>
                <w:color w:val="auto"/>
              </w:rPr>
              <w:t>$</w:t>
            </w:r>
          </w:p>
        </w:tc>
        <w:tc>
          <w:tcPr>
            <w:tcW w:w="108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1,290</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72"/>
              <w:spacing w:after="0" w:line="251" w:lineRule="exact"/>
              <w:rPr>
                <w:sz w:val="20"/>
                <w:szCs w:val="20"/>
                <w:color w:val="auto"/>
              </w:rPr>
            </w:pPr>
            <w:r>
              <w:rPr>
                <w:rFonts w:ascii="Arial" w:cs="Arial" w:eastAsia="Arial" w:hAnsi="Arial"/>
                <w:sz w:val="22"/>
                <w:szCs w:val="22"/>
                <w:color w:val="auto"/>
                <w:w w:val="81"/>
              </w:rPr>
              <w:t>$</w:t>
            </w:r>
          </w:p>
        </w:tc>
        <w:tc>
          <w:tcPr>
            <w:tcW w:w="114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3,342</w:t>
            </w:r>
          </w:p>
        </w:tc>
        <w:tc>
          <w:tcPr>
            <w:tcW w:w="580" w:type="dxa"/>
            <w:vAlign w:val="bottom"/>
            <w:gridSpan w:val="2"/>
            <w:shd w:val="clear" w:color="auto" w:fill="CCEEFF"/>
          </w:tcPr>
          <w:p>
            <w:pPr>
              <w:jc w:val="right"/>
              <w:ind w:right="280"/>
              <w:spacing w:after="0" w:line="251" w:lineRule="exact"/>
              <w:rPr>
                <w:sz w:val="20"/>
                <w:szCs w:val="20"/>
                <w:color w:val="auto"/>
              </w:rPr>
            </w:pPr>
            <w:r>
              <w:rPr>
                <w:rFonts w:ascii="Arial" w:cs="Arial" w:eastAsia="Arial" w:hAnsi="Arial"/>
                <w:sz w:val="22"/>
                <w:szCs w:val="22"/>
                <w:color w:val="auto"/>
              </w:rPr>
              <w:t>$</w:t>
            </w:r>
          </w:p>
        </w:tc>
        <w:tc>
          <w:tcPr>
            <w:tcW w:w="106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2,931</w:t>
            </w:r>
          </w:p>
        </w:tc>
      </w:tr>
      <w:tr>
        <w:trPr>
          <w:trHeight w:val="274"/>
        </w:trPr>
        <w:tc>
          <w:tcPr>
            <w:tcW w:w="4520" w:type="dxa"/>
            <w:vAlign w:val="bottom"/>
          </w:tcPr>
          <w:p>
            <w:pPr>
              <w:spacing w:after="0"/>
              <w:rPr>
                <w:sz w:val="20"/>
                <w:szCs w:val="20"/>
                <w:color w:val="auto"/>
              </w:rPr>
            </w:pPr>
            <w:r>
              <w:rPr>
                <w:rFonts w:ascii="Arial" w:cs="Arial" w:eastAsia="Arial" w:hAnsi="Arial"/>
                <w:sz w:val="22"/>
                <w:szCs w:val="22"/>
                <w:color w:val="auto"/>
              </w:rPr>
              <w:t>Income tax benefit</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22"/>
                <w:szCs w:val="22"/>
                <w:color w:val="auto"/>
              </w:rPr>
              <w:t>485</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364</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952</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826</w:t>
            </w:r>
          </w:p>
        </w:tc>
      </w:tr>
      <w:tr>
        <w:trPr>
          <w:trHeight w:val="438"/>
        </w:trPr>
        <w:tc>
          <w:tcPr>
            <w:tcW w:w="45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18</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7"/>
        </w:trPr>
        <w:tc>
          <w:tcPr>
            <w:tcW w:w="4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9" w:name="page20"/>
    <w:bookmarkEnd w:id="1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PSU transactions for the six months ended June 30, 2022:</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6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22"/>
                <w:szCs w:val="22"/>
                <w:color w:val="auto"/>
                <w:w w:val="91"/>
              </w:rPr>
              <w:t>Number</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center"/>
              <w:ind w:right="92"/>
              <w:spacing w:after="0"/>
              <w:rPr>
                <w:sz w:val="20"/>
                <w:szCs w:val="20"/>
                <w:color w:val="auto"/>
              </w:rPr>
            </w:pPr>
            <w:r>
              <w:rPr>
                <w:rFonts w:ascii="Arial" w:cs="Arial" w:eastAsia="Arial" w:hAnsi="Arial"/>
                <w:sz w:val="22"/>
                <w:szCs w:val="22"/>
                <w:color w:val="auto"/>
                <w:w w:val="88"/>
              </w:rPr>
              <w:t>Weighted</w:t>
            </w:r>
          </w:p>
        </w:tc>
      </w:tr>
      <w:tr>
        <w:trPr>
          <w:trHeight w:val="230"/>
        </w:trPr>
        <w:tc>
          <w:tcPr>
            <w:tcW w:w="8060" w:type="dxa"/>
            <w:vAlign w:val="bottom"/>
          </w:tcPr>
          <w:p>
            <w:pPr>
              <w:spacing w:after="0"/>
              <w:rPr>
                <w:sz w:val="19"/>
                <w:szCs w:val="19"/>
                <w:color w:val="auto"/>
              </w:rPr>
            </w:pPr>
          </w:p>
        </w:tc>
        <w:tc>
          <w:tcPr>
            <w:tcW w:w="1520" w:type="dxa"/>
            <w:vAlign w:val="bottom"/>
          </w:tcPr>
          <w:p>
            <w:pPr>
              <w:jc w:val="center"/>
              <w:spacing w:after="0" w:line="229" w:lineRule="exact"/>
              <w:rPr>
                <w:sz w:val="20"/>
                <w:szCs w:val="20"/>
                <w:color w:val="auto"/>
              </w:rPr>
            </w:pPr>
            <w:r>
              <w:rPr>
                <w:rFonts w:ascii="Arial" w:cs="Arial" w:eastAsia="Arial" w:hAnsi="Arial"/>
                <w:sz w:val="22"/>
                <w:szCs w:val="22"/>
                <w:color w:val="auto"/>
                <w:w w:val="97"/>
              </w:rPr>
              <w:t>of</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72"/>
              <w:spacing w:after="0" w:line="229" w:lineRule="exact"/>
              <w:rPr>
                <w:sz w:val="20"/>
                <w:szCs w:val="20"/>
                <w:color w:val="auto"/>
              </w:rPr>
            </w:pPr>
            <w:r>
              <w:rPr>
                <w:rFonts w:ascii="Arial" w:cs="Arial" w:eastAsia="Arial" w:hAnsi="Arial"/>
                <w:sz w:val="22"/>
                <w:szCs w:val="22"/>
                <w:color w:val="auto"/>
                <w:w w:val="87"/>
              </w:rPr>
              <w:t>Average</w:t>
            </w:r>
          </w:p>
        </w:tc>
      </w:tr>
      <w:tr>
        <w:trPr>
          <w:trHeight w:val="251"/>
        </w:trPr>
        <w:tc>
          <w:tcPr>
            <w:tcW w:w="806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22"/>
                <w:szCs w:val="22"/>
                <w:color w:val="auto"/>
                <w:w w:val="88"/>
              </w:rPr>
              <w:t>Share Units</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72"/>
              <w:spacing w:after="0" w:line="251" w:lineRule="exact"/>
              <w:rPr>
                <w:sz w:val="20"/>
                <w:szCs w:val="20"/>
                <w:color w:val="auto"/>
              </w:rPr>
            </w:pPr>
            <w:r>
              <w:rPr>
                <w:rFonts w:ascii="Arial" w:cs="Arial" w:eastAsia="Arial" w:hAnsi="Arial"/>
                <w:sz w:val="22"/>
                <w:szCs w:val="22"/>
                <w:color w:val="auto"/>
                <w:w w:val="87"/>
              </w:rPr>
              <w:t>Fair Value</w:t>
            </w:r>
          </w:p>
        </w:tc>
      </w:tr>
      <w:tr>
        <w:trPr>
          <w:trHeight w:val="223"/>
        </w:trPr>
        <w:tc>
          <w:tcPr>
            <w:tcW w:w="80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Nonvested share units at beginning of period</w:t>
            </w:r>
          </w:p>
        </w:tc>
        <w:tc>
          <w:tcPr>
            <w:tcW w:w="15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355,384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2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42.19</w:t>
            </w:r>
          </w:p>
        </w:tc>
      </w:tr>
      <w:tr>
        <w:trPr>
          <w:trHeight w:val="229"/>
        </w:trPr>
        <w:tc>
          <w:tcPr>
            <w:tcW w:w="806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520" w:type="dxa"/>
            <w:vAlign w:val="bottom"/>
          </w:tcPr>
          <w:p>
            <w:pPr>
              <w:jc w:val="right"/>
              <w:spacing w:after="0" w:line="229" w:lineRule="exact"/>
              <w:rPr>
                <w:sz w:val="20"/>
                <w:szCs w:val="20"/>
                <w:color w:val="auto"/>
              </w:rPr>
            </w:pPr>
            <w:r>
              <w:rPr>
                <w:rFonts w:ascii="Arial" w:cs="Arial" w:eastAsia="Arial" w:hAnsi="Arial"/>
                <w:sz w:val="22"/>
                <w:szCs w:val="22"/>
                <w:color w:val="auto"/>
              </w:rPr>
              <w:t>160,245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Arial" w:cs="Arial" w:eastAsia="Arial" w:hAnsi="Arial"/>
                <w:sz w:val="22"/>
                <w:szCs w:val="22"/>
                <w:color w:val="auto"/>
              </w:rPr>
              <w:t>42.31</w:t>
            </w:r>
          </w:p>
        </w:tc>
      </w:tr>
      <w:tr>
        <w:trPr>
          <w:trHeight w:val="230"/>
        </w:trPr>
        <w:tc>
          <w:tcPr>
            <w:tcW w:w="80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Forfeited</w:t>
            </w:r>
          </w:p>
        </w:tc>
        <w:tc>
          <w:tcPr>
            <w:tcW w:w="15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(18,150)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44.46</w:t>
            </w:r>
          </w:p>
        </w:tc>
      </w:tr>
      <w:tr>
        <w:trPr>
          <w:trHeight w:val="223"/>
        </w:trPr>
        <w:tc>
          <w:tcPr>
            <w:tcW w:w="8060" w:type="dxa"/>
            <w:vAlign w:val="bottom"/>
          </w:tcPr>
          <w:p>
            <w:pPr>
              <w:spacing w:after="0" w:line="223" w:lineRule="exact"/>
              <w:rPr>
                <w:sz w:val="20"/>
                <w:szCs w:val="20"/>
                <w:color w:val="auto"/>
              </w:rPr>
            </w:pPr>
            <w:r>
              <w:rPr>
                <w:rFonts w:ascii="Arial" w:cs="Arial" w:eastAsia="Arial" w:hAnsi="Arial"/>
                <w:sz w:val="22"/>
                <w:szCs w:val="22"/>
                <w:color w:val="auto"/>
              </w:rPr>
              <w:t>Nonvested share units at end of period</w:t>
            </w:r>
          </w:p>
        </w:tc>
        <w:tc>
          <w:tcPr>
            <w:tcW w:w="15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497,479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line="223" w:lineRule="exact"/>
              <w:rPr>
                <w:sz w:val="20"/>
                <w:szCs w:val="20"/>
                <w:color w:val="auto"/>
              </w:rPr>
            </w:pPr>
            <w:r>
              <w:rPr>
                <w:rFonts w:ascii="Arial" w:cs="Arial" w:eastAsia="Arial" w:hAnsi="Arial"/>
                <w:sz w:val="22"/>
                <w:szCs w:val="22"/>
                <w:color w:val="auto"/>
              </w:rPr>
              <w:t>42.15</w:t>
            </w:r>
          </w:p>
        </w:tc>
      </w:tr>
      <w:tr>
        <w:trPr>
          <w:trHeight w:val="20"/>
        </w:trPr>
        <w:tc>
          <w:tcPr>
            <w:tcW w:w="8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35"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A portion of the fair value of PSUs was estimated at the grant date based on the probability of satisfying the market-based conditions using the Monte Carlo valuation method, which assesses probabilities of various outcomes of market conditions. The other portion of the fair value of the PSUs is based on the fair market value of the Company’s stock at the grant date, regardless of whether the market-based condition is satisfied. The per unit weighted-average fair value at the date of grant for PSUs granted during the six months ended June 30, 2022 and 2021 was $42.31 and $43.18, respectively. The fair value of each PSU grant is amortized monthly into compensation expense on a straight-line basis over their respective vesting periods, generally 36 months. The accrual of compensation costs is based on the Company’s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w:t>
      </w:r>
    </w:p>
    <w:p>
      <w:pPr>
        <w:spacing w:after="0" w:line="170" w:lineRule="exact"/>
        <w:rPr>
          <w:sz w:val="20"/>
          <w:szCs w:val="20"/>
          <w:color w:val="auto"/>
        </w:rPr>
      </w:pPr>
    </w:p>
    <w:p>
      <w:pPr>
        <w:ind w:right="100"/>
        <w:spacing w:after="0" w:line="224" w:lineRule="auto"/>
        <w:rPr>
          <w:sz w:val="20"/>
          <w:szCs w:val="20"/>
          <w:color w:val="auto"/>
        </w:rPr>
      </w:pPr>
      <w:r>
        <w:rPr>
          <w:rFonts w:ascii="Arial" w:cs="Arial" w:eastAsia="Arial" w:hAnsi="Arial"/>
          <w:sz w:val="22"/>
          <w:szCs w:val="22"/>
          <w:b w:val="1"/>
          <w:bCs w:val="1"/>
          <w:i w:val="1"/>
          <w:iCs w:val="1"/>
          <w:color w:val="auto"/>
        </w:rPr>
        <w:t xml:space="preserve">Restricted Stock Units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 restricted stock unit (“RSU”) represents the right to receive a share of the Company’s common stock.</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RSUs are eligible to be earned at the end of a specified restricted period, which is generally three years, beginning on the date of grant.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expense and income tax benefit for RSUs: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20" w:type="dxa"/>
            <w:vAlign w:val="bottom"/>
          </w:tcPr>
          <w:p>
            <w:pPr>
              <w:spacing w:after="0"/>
              <w:rPr>
                <w:sz w:val="21"/>
                <w:szCs w:val="21"/>
                <w:color w:val="auto"/>
              </w:rPr>
            </w:pPr>
          </w:p>
        </w:tc>
        <w:tc>
          <w:tcPr>
            <w:tcW w:w="2440" w:type="dxa"/>
            <w:vAlign w:val="bottom"/>
            <w:gridSpan w:val="4"/>
          </w:tcPr>
          <w:p>
            <w:pPr>
              <w:jc w:val="center"/>
              <w:ind w:left="315"/>
              <w:spacing w:after="0"/>
              <w:rPr>
                <w:sz w:val="20"/>
                <w:szCs w:val="20"/>
                <w:color w:val="auto"/>
              </w:rPr>
            </w:pPr>
            <w:r>
              <w:rPr>
                <w:rFonts w:ascii="Arial" w:cs="Arial" w:eastAsia="Arial" w:hAnsi="Arial"/>
                <w:sz w:val="22"/>
                <w:szCs w:val="22"/>
                <w:color w:val="auto"/>
                <w:w w:val="88"/>
              </w:rPr>
              <w:t>Three Months Ended</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80" w:type="dxa"/>
            <w:vAlign w:val="bottom"/>
            <w:gridSpan w:val="5"/>
          </w:tcPr>
          <w:p>
            <w:pPr>
              <w:jc w:val="center"/>
              <w:ind w:right="212"/>
              <w:spacing w:after="0"/>
              <w:rPr>
                <w:sz w:val="20"/>
                <w:szCs w:val="20"/>
                <w:color w:val="auto"/>
              </w:rPr>
            </w:pPr>
            <w:r>
              <w:rPr>
                <w:rFonts w:ascii="Arial" w:cs="Arial" w:eastAsia="Arial" w:hAnsi="Arial"/>
                <w:sz w:val="22"/>
                <w:szCs w:val="22"/>
                <w:color w:val="auto"/>
                <w:w w:val="90"/>
              </w:rPr>
              <w:t>Six Months Ended</w:t>
            </w:r>
          </w:p>
        </w:tc>
      </w:tr>
      <w:tr>
        <w:trPr>
          <w:trHeight w:val="251"/>
        </w:trPr>
        <w:tc>
          <w:tcPr>
            <w:tcW w:w="482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center"/>
              <w:ind w:right="500"/>
              <w:spacing w:after="0" w:line="251" w:lineRule="exact"/>
              <w:rPr>
                <w:sz w:val="20"/>
                <w:szCs w:val="20"/>
                <w:color w:val="auto"/>
              </w:rPr>
            </w:pPr>
            <w:r>
              <w:rPr>
                <w:rFonts w:ascii="Arial" w:cs="Arial" w:eastAsia="Arial" w:hAnsi="Arial"/>
                <w:sz w:val="22"/>
                <w:szCs w:val="22"/>
                <w:color w:val="auto"/>
                <w:w w:val="85"/>
              </w:rPr>
              <w:t>June 30,</w:t>
            </w:r>
          </w:p>
        </w:tc>
        <w:tc>
          <w:tcPr>
            <w:tcW w:w="4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4"/>
          </w:tcPr>
          <w:p>
            <w:pPr>
              <w:jc w:val="center"/>
              <w:ind w:left="692"/>
              <w:spacing w:after="0" w:line="251" w:lineRule="exact"/>
              <w:rPr>
                <w:sz w:val="20"/>
                <w:szCs w:val="20"/>
                <w:color w:val="auto"/>
              </w:rPr>
            </w:pPr>
            <w:r>
              <w:rPr>
                <w:rFonts w:ascii="Arial" w:cs="Arial" w:eastAsia="Arial" w:hAnsi="Arial"/>
                <w:sz w:val="22"/>
                <w:szCs w:val="22"/>
                <w:color w:val="auto"/>
                <w:w w:val="85"/>
              </w:rPr>
              <w:t>June 30,</w:t>
            </w:r>
          </w:p>
        </w:tc>
        <w:tc>
          <w:tcPr>
            <w:tcW w:w="1140" w:type="dxa"/>
            <w:vAlign w:val="bottom"/>
            <w:tcBorders>
              <w:bottom w:val="single" w:sz="8" w:color="auto"/>
            </w:tcBorders>
          </w:tcPr>
          <w:p>
            <w:pPr>
              <w:spacing w:after="0"/>
              <w:rPr>
                <w:sz w:val="21"/>
                <w:szCs w:val="21"/>
                <w:color w:val="auto"/>
              </w:rPr>
            </w:pPr>
          </w:p>
        </w:tc>
      </w:tr>
      <w:tr>
        <w:trPr>
          <w:trHeight w:val="223"/>
        </w:trPr>
        <w:tc>
          <w:tcPr>
            <w:tcW w:w="482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Arial" w:cs="Arial" w:eastAsia="Arial" w:hAnsi="Arial"/>
                <w:sz w:val="22"/>
                <w:szCs w:val="22"/>
                <w:color w:val="auto"/>
              </w:rPr>
              <w:t>2022</w:t>
            </w:r>
          </w:p>
        </w:tc>
        <w:tc>
          <w:tcPr>
            <w:tcW w:w="360" w:type="dxa"/>
            <w:vAlign w:val="bottom"/>
          </w:tcPr>
          <w:p>
            <w:pPr>
              <w:spacing w:after="0"/>
              <w:rPr>
                <w:sz w:val="19"/>
                <w:szCs w:val="19"/>
                <w:color w:val="auto"/>
              </w:rPr>
            </w:pPr>
          </w:p>
        </w:tc>
        <w:tc>
          <w:tcPr>
            <w:tcW w:w="1140" w:type="dxa"/>
            <w:vAlign w:val="bottom"/>
            <w:gridSpan w:val="2"/>
          </w:tcPr>
          <w:p>
            <w:pPr>
              <w:jc w:val="right"/>
              <w:ind w:right="20"/>
              <w:spacing w:after="0" w:line="223" w:lineRule="exact"/>
              <w:rPr>
                <w:sz w:val="20"/>
                <w:szCs w:val="20"/>
                <w:color w:val="auto"/>
              </w:rPr>
            </w:pPr>
            <w:r>
              <w:rPr>
                <w:rFonts w:ascii="Arial" w:cs="Arial" w:eastAsia="Arial" w:hAnsi="Arial"/>
                <w:sz w:val="22"/>
                <w:szCs w:val="22"/>
                <w:color w:val="auto"/>
              </w:rPr>
              <w:t>2021</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452"/>
              <w:spacing w:after="0" w:line="223" w:lineRule="exact"/>
              <w:rPr>
                <w:sz w:val="20"/>
                <w:szCs w:val="20"/>
                <w:color w:val="auto"/>
              </w:rPr>
            </w:pPr>
            <w:r>
              <w:rPr>
                <w:rFonts w:ascii="Arial" w:cs="Arial" w:eastAsia="Arial" w:hAnsi="Arial"/>
                <w:sz w:val="22"/>
                <w:szCs w:val="22"/>
                <w:color w:val="auto"/>
              </w:rPr>
              <w:t>2022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452"/>
              <w:spacing w:after="0" w:line="223" w:lineRule="exact"/>
              <w:rPr>
                <w:sz w:val="20"/>
                <w:szCs w:val="20"/>
                <w:color w:val="auto"/>
              </w:rPr>
            </w:pPr>
            <w:r>
              <w:rPr>
                <w:rFonts w:ascii="Arial" w:cs="Arial" w:eastAsia="Arial" w:hAnsi="Arial"/>
                <w:sz w:val="22"/>
                <w:szCs w:val="22"/>
                <w:color w:val="auto"/>
              </w:rPr>
              <w:t>2021</w:t>
            </w:r>
          </w:p>
        </w:tc>
      </w:tr>
      <w:tr>
        <w:trPr>
          <w:trHeight w:val="188"/>
        </w:trPr>
        <w:tc>
          <w:tcPr>
            <w:tcW w:w="482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21"/>
                <w:szCs w:val="21"/>
                <w:color w:val="auto"/>
              </w:rPr>
              <w:t>Stock-based compensation within operations and</w:t>
            </w:r>
          </w:p>
        </w:tc>
        <w:tc>
          <w:tcPr>
            <w:tcW w:w="9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251"/>
        </w:trPr>
        <w:tc>
          <w:tcPr>
            <w:tcW w:w="482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940" w:type="dxa"/>
            <w:vAlign w:val="bottom"/>
            <w:shd w:val="clear" w:color="auto" w:fill="CCEEFF"/>
          </w:tcPr>
          <w:p>
            <w:pPr>
              <w:jc w:val="right"/>
              <w:ind w:right="735"/>
              <w:spacing w:after="0"/>
              <w:rPr>
                <w:sz w:val="20"/>
                <w:szCs w:val="20"/>
                <w:color w:val="auto"/>
              </w:rPr>
            </w:pPr>
            <w:r>
              <w:rPr>
                <w:rFonts w:ascii="Arial" w:cs="Arial" w:eastAsia="Arial" w:hAnsi="Arial"/>
                <w:sz w:val="19"/>
                <w:szCs w:val="19"/>
                <w:color w:val="auto"/>
                <w:w w:val="75"/>
              </w:rPr>
              <w:t>$</w:t>
            </w:r>
          </w:p>
        </w:tc>
        <w:tc>
          <w:tcPr>
            <w:tcW w:w="36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2"/>
              </w:rPr>
              <w:t>727</w:t>
            </w:r>
          </w:p>
        </w:tc>
        <w:tc>
          <w:tcPr>
            <w:tcW w:w="1140" w:type="dxa"/>
            <w:vAlign w:val="bottom"/>
            <w:gridSpan w:val="2"/>
            <w:shd w:val="clear" w:color="auto" w:fill="CCEEFF"/>
          </w:tcPr>
          <w:p>
            <w:pPr>
              <w:jc w:val="right"/>
              <w:ind w:right="820"/>
              <w:spacing w:after="0" w:line="251" w:lineRule="exact"/>
              <w:rPr>
                <w:sz w:val="20"/>
                <w:szCs w:val="20"/>
                <w:color w:val="auto"/>
              </w:rPr>
            </w:pPr>
            <w:r>
              <w:rPr>
                <w:rFonts w:ascii="Arial" w:cs="Arial" w:eastAsia="Arial" w:hAnsi="Arial"/>
                <w:sz w:val="22"/>
                <w:szCs w:val="22"/>
                <w:color w:val="auto"/>
              </w:rPr>
              <w:t>$</w:t>
            </w:r>
          </w:p>
        </w:tc>
        <w:tc>
          <w:tcPr>
            <w:tcW w:w="4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2"/>
              </w:rPr>
              <w:t>761</w:t>
            </w:r>
          </w:p>
        </w:tc>
        <w:tc>
          <w:tcPr>
            <w:tcW w:w="580" w:type="dxa"/>
            <w:vAlign w:val="bottom"/>
            <w:gridSpan w:val="2"/>
            <w:shd w:val="clear" w:color="auto" w:fill="CCEEFF"/>
          </w:tcPr>
          <w:p>
            <w:pPr>
              <w:jc w:val="right"/>
              <w:ind w:right="220"/>
              <w:spacing w:after="0" w:line="251" w:lineRule="exact"/>
              <w:rPr>
                <w:sz w:val="20"/>
                <w:szCs w:val="20"/>
                <w:color w:val="auto"/>
              </w:rPr>
            </w:pPr>
            <w:r>
              <w:rPr>
                <w:rFonts w:ascii="Arial" w:cs="Arial" w:eastAsia="Arial" w:hAnsi="Arial"/>
                <w:sz w:val="22"/>
                <w:szCs w:val="22"/>
                <w:color w:val="auto"/>
              </w:rPr>
              <w:t>$</w:t>
            </w:r>
          </w:p>
        </w:tc>
        <w:tc>
          <w:tcPr>
            <w:tcW w:w="1320" w:type="dxa"/>
            <w:vAlign w:val="bottom"/>
            <w:gridSpan w:val="2"/>
            <w:shd w:val="clear" w:color="auto" w:fill="CCEEFF"/>
          </w:tcPr>
          <w:p>
            <w:pPr>
              <w:jc w:val="right"/>
              <w:ind w:right="100"/>
              <w:spacing w:after="0" w:line="251" w:lineRule="exact"/>
              <w:rPr>
                <w:sz w:val="20"/>
                <w:szCs w:val="20"/>
                <w:color w:val="auto"/>
              </w:rPr>
            </w:pPr>
            <w:r>
              <w:rPr>
                <w:rFonts w:ascii="Arial" w:cs="Arial" w:eastAsia="Arial" w:hAnsi="Arial"/>
                <w:sz w:val="22"/>
                <w:szCs w:val="22"/>
                <w:color w:val="auto"/>
              </w:rPr>
              <w:t>1,504</w:t>
            </w:r>
          </w:p>
        </w:tc>
        <w:tc>
          <w:tcPr>
            <w:tcW w:w="520" w:type="dxa"/>
            <w:vAlign w:val="bottom"/>
            <w:gridSpan w:val="2"/>
            <w:shd w:val="clear" w:color="auto" w:fill="CCEEFF"/>
          </w:tcPr>
          <w:p>
            <w:pPr>
              <w:jc w:val="right"/>
              <w:ind w:right="300"/>
              <w:spacing w:after="0" w:line="251" w:lineRule="exact"/>
              <w:rPr>
                <w:sz w:val="20"/>
                <w:szCs w:val="20"/>
                <w:color w:val="auto"/>
              </w:rPr>
            </w:pPr>
            <w:r>
              <w:rPr>
                <w:rFonts w:ascii="Arial" w:cs="Arial" w:eastAsia="Arial" w:hAnsi="Arial"/>
                <w:sz w:val="22"/>
                <w:szCs w:val="22"/>
                <w:color w:val="auto"/>
              </w:rPr>
              <w:t>$</w:t>
            </w:r>
          </w:p>
        </w:tc>
        <w:tc>
          <w:tcPr>
            <w:tcW w:w="114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1,365</w:t>
            </w:r>
          </w:p>
        </w:tc>
      </w:tr>
      <w:tr>
        <w:trPr>
          <w:trHeight w:val="274"/>
        </w:trPr>
        <w:tc>
          <w:tcPr>
            <w:tcW w:w="4820" w:type="dxa"/>
            <w:vAlign w:val="bottom"/>
          </w:tcPr>
          <w:p>
            <w:pPr>
              <w:spacing w:after="0"/>
              <w:rPr>
                <w:sz w:val="20"/>
                <w:szCs w:val="20"/>
                <w:color w:val="auto"/>
              </w:rPr>
            </w:pPr>
            <w:r>
              <w:rPr>
                <w:rFonts w:ascii="Arial" w:cs="Arial" w:eastAsia="Arial" w:hAnsi="Arial"/>
                <w:sz w:val="22"/>
                <w:szCs w:val="22"/>
                <w:color w:val="auto"/>
              </w:rPr>
              <w:t>Income tax benefit</w:t>
            </w:r>
          </w:p>
        </w:tc>
        <w:tc>
          <w:tcPr>
            <w:tcW w:w="9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w w:val="92"/>
              </w:rPr>
              <w:t>209</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w w:val="92"/>
              </w:rPr>
              <w:t>212</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2"/>
                <w:szCs w:val="22"/>
                <w:color w:val="auto"/>
              </w:rPr>
              <w:t>428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381</w:t>
            </w:r>
          </w:p>
        </w:tc>
      </w:tr>
      <w:tr>
        <w:trPr>
          <w:trHeight w:val="451"/>
        </w:trPr>
        <w:tc>
          <w:tcPr>
            <w:tcW w:w="48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19</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7"/>
        </w:trPr>
        <w:tc>
          <w:tcPr>
            <w:tcW w:w="48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0" w:name="page21"/>
    <w:bookmarkEnd w:id="2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RSU transactions for the six months ended June 30, 2022:</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40" w:type="dxa"/>
            <w:vAlign w:val="bottom"/>
          </w:tcPr>
          <w:p>
            <w:pPr>
              <w:spacing w:after="0"/>
              <w:rPr>
                <w:sz w:val="21"/>
                <w:szCs w:val="21"/>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22"/>
                <w:szCs w:val="22"/>
                <w:color w:val="auto"/>
                <w:w w:val="89"/>
              </w:rPr>
              <w:t>Number</w:t>
            </w:r>
          </w:p>
        </w:tc>
        <w:tc>
          <w:tcPr>
            <w:tcW w:w="240" w:type="dxa"/>
            <w:vAlign w:val="bottom"/>
          </w:tcPr>
          <w:p>
            <w:pPr>
              <w:spacing w:after="0"/>
              <w:rPr>
                <w:sz w:val="21"/>
                <w:szCs w:val="21"/>
                <w:color w:val="auto"/>
              </w:rPr>
            </w:pPr>
          </w:p>
        </w:tc>
        <w:tc>
          <w:tcPr>
            <w:tcW w:w="1380" w:type="dxa"/>
            <w:vAlign w:val="bottom"/>
          </w:tcPr>
          <w:p>
            <w:pPr>
              <w:jc w:val="center"/>
              <w:ind w:right="132"/>
              <w:spacing w:after="0"/>
              <w:rPr>
                <w:sz w:val="20"/>
                <w:szCs w:val="20"/>
                <w:color w:val="auto"/>
              </w:rPr>
            </w:pPr>
            <w:r>
              <w:rPr>
                <w:rFonts w:ascii="Arial" w:cs="Arial" w:eastAsia="Arial" w:hAnsi="Arial"/>
                <w:sz w:val="22"/>
                <w:szCs w:val="22"/>
                <w:color w:val="auto"/>
                <w:w w:val="88"/>
              </w:rPr>
              <w:t>Weighted</w:t>
            </w:r>
          </w:p>
        </w:tc>
      </w:tr>
      <w:tr>
        <w:trPr>
          <w:trHeight w:val="229"/>
        </w:trPr>
        <w:tc>
          <w:tcPr>
            <w:tcW w:w="7940" w:type="dxa"/>
            <w:vAlign w:val="bottom"/>
          </w:tcPr>
          <w:p>
            <w:pPr>
              <w:spacing w:after="0"/>
              <w:rPr>
                <w:sz w:val="19"/>
                <w:szCs w:val="19"/>
                <w:color w:val="auto"/>
              </w:rPr>
            </w:pPr>
          </w:p>
        </w:tc>
        <w:tc>
          <w:tcPr>
            <w:tcW w:w="1680" w:type="dxa"/>
            <w:vAlign w:val="bottom"/>
            <w:gridSpan w:val="2"/>
          </w:tcPr>
          <w:p>
            <w:pPr>
              <w:jc w:val="center"/>
              <w:ind w:right="220"/>
              <w:spacing w:after="0" w:line="229" w:lineRule="exact"/>
              <w:rPr>
                <w:sz w:val="20"/>
                <w:szCs w:val="20"/>
                <w:color w:val="auto"/>
              </w:rPr>
            </w:pPr>
            <w:r>
              <w:rPr>
                <w:rFonts w:ascii="Arial" w:cs="Arial" w:eastAsia="Arial" w:hAnsi="Arial"/>
                <w:sz w:val="22"/>
                <w:szCs w:val="22"/>
                <w:color w:val="auto"/>
                <w:w w:val="97"/>
              </w:rPr>
              <w:t>of</w:t>
            </w:r>
          </w:p>
        </w:tc>
        <w:tc>
          <w:tcPr>
            <w:tcW w:w="240" w:type="dxa"/>
            <w:vAlign w:val="bottom"/>
          </w:tcPr>
          <w:p>
            <w:pPr>
              <w:spacing w:after="0"/>
              <w:rPr>
                <w:sz w:val="19"/>
                <w:szCs w:val="19"/>
                <w:color w:val="auto"/>
              </w:rPr>
            </w:pPr>
          </w:p>
        </w:tc>
        <w:tc>
          <w:tcPr>
            <w:tcW w:w="1380" w:type="dxa"/>
            <w:vAlign w:val="bottom"/>
          </w:tcPr>
          <w:p>
            <w:pPr>
              <w:jc w:val="center"/>
              <w:ind w:right="132"/>
              <w:spacing w:after="0" w:line="229" w:lineRule="exact"/>
              <w:rPr>
                <w:sz w:val="20"/>
                <w:szCs w:val="20"/>
                <w:color w:val="auto"/>
              </w:rPr>
            </w:pPr>
            <w:r>
              <w:rPr>
                <w:rFonts w:ascii="Arial" w:cs="Arial" w:eastAsia="Arial" w:hAnsi="Arial"/>
                <w:sz w:val="22"/>
                <w:szCs w:val="22"/>
                <w:color w:val="auto"/>
                <w:w w:val="85"/>
              </w:rPr>
              <w:t>Average</w:t>
            </w:r>
          </w:p>
        </w:tc>
      </w:tr>
      <w:tr>
        <w:trPr>
          <w:trHeight w:val="251"/>
        </w:trPr>
        <w:tc>
          <w:tcPr>
            <w:tcW w:w="7940" w:type="dxa"/>
            <w:vAlign w:val="bottom"/>
          </w:tcPr>
          <w:p>
            <w:pPr>
              <w:spacing w:after="0"/>
              <w:rPr>
                <w:sz w:val="21"/>
                <w:szCs w:val="21"/>
                <w:color w:val="auto"/>
              </w:rPr>
            </w:pPr>
          </w:p>
        </w:tc>
        <w:tc>
          <w:tcPr>
            <w:tcW w:w="1680" w:type="dxa"/>
            <w:vAlign w:val="bottom"/>
            <w:gridSpan w:val="2"/>
          </w:tcPr>
          <w:p>
            <w:pPr>
              <w:jc w:val="center"/>
              <w:ind w:right="220"/>
              <w:spacing w:after="0" w:line="251" w:lineRule="exact"/>
              <w:rPr>
                <w:sz w:val="20"/>
                <w:szCs w:val="20"/>
                <w:color w:val="auto"/>
              </w:rPr>
            </w:pPr>
            <w:r>
              <w:rPr>
                <w:rFonts w:ascii="Arial" w:cs="Arial" w:eastAsia="Arial" w:hAnsi="Arial"/>
                <w:sz w:val="22"/>
                <w:szCs w:val="22"/>
                <w:color w:val="auto"/>
                <w:w w:val="91"/>
              </w:rPr>
              <w:t>Stock Units</w:t>
            </w:r>
          </w:p>
        </w:tc>
        <w:tc>
          <w:tcPr>
            <w:tcW w:w="240" w:type="dxa"/>
            <w:vAlign w:val="bottom"/>
          </w:tcPr>
          <w:p>
            <w:pPr>
              <w:spacing w:after="0"/>
              <w:rPr>
                <w:sz w:val="21"/>
                <w:szCs w:val="21"/>
                <w:color w:val="auto"/>
              </w:rPr>
            </w:pPr>
          </w:p>
        </w:tc>
        <w:tc>
          <w:tcPr>
            <w:tcW w:w="1380" w:type="dxa"/>
            <w:vAlign w:val="bottom"/>
          </w:tcPr>
          <w:p>
            <w:pPr>
              <w:jc w:val="center"/>
              <w:ind w:right="132"/>
              <w:spacing w:after="0" w:line="251" w:lineRule="exact"/>
              <w:rPr>
                <w:sz w:val="20"/>
                <w:szCs w:val="20"/>
                <w:color w:val="auto"/>
              </w:rPr>
            </w:pPr>
            <w:r>
              <w:rPr>
                <w:rFonts w:ascii="Arial" w:cs="Arial" w:eastAsia="Arial" w:hAnsi="Arial"/>
                <w:sz w:val="22"/>
                <w:szCs w:val="22"/>
                <w:color w:val="auto"/>
                <w:w w:val="89"/>
              </w:rPr>
              <w:t>Fair Value</w:t>
            </w:r>
          </w:p>
        </w:tc>
      </w:tr>
      <w:tr>
        <w:trPr>
          <w:trHeight w:val="223"/>
        </w:trPr>
        <w:tc>
          <w:tcPr>
            <w:tcW w:w="794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Nonvested stock units at beginning of period</w:t>
            </w:r>
          </w:p>
        </w:tc>
        <w:tc>
          <w:tcPr>
            <w:tcW w:w="14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193,687</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9"/>
                <w:szCs w:val="19"/>
                <w:color w:val="auto"/>
                <w:w w:val="75"/>
              </w:rPr>
              <w:t>$</w:t>
            </w:r>
          </w:p>
        </w:tc>
        <w:tc>
          <w:tcPr>
            <w:tcW w:w="13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43.76</w:t>
            </w:r>
          </w:p>
        </w:tc>
      </w:tr>
      <w:tr>
        <w:trPr>
          <w:trHeight w:val="230"/>
        </w:trPr>
        <w:tc>
          <w:tcPr>
            <w:tcW w:w="794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460" w:type="dxa"/>
            <w:vAlign w:val="bottom"/>
          </w:tcPr>
          <w:p>
            <w:pPr>
              <w:jc w:val="right"/>
              <w:spacing w:after="0" w:line="229" w:lineRule="exact"/>
              <w:rPr>
                <w:sz w:val="20"/>
                <w:szCs w:val="20"/>
                <w:color w:val="auto"/>
              </w:rPr>
            </w:pPr>
            <w:r>
              <w:rPr>
                <w:rFonts w:ascii="Arial" w:cs="Arial" w:eastAsia="Arial" w:hAnsi="Arial"/>
                <w:sz w:val="22"/>
                <w:szCs w:val="22"/>
                <w:color w:val="auto"/>
              </w:rPr>
              <w:t>71,376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45.10</w:t>
            </w:r>
          </w:p>
        </w:tc>
      </w:tr>
      <w:tr>
        <w:trPr>
          <w:trHeight w:val="229"/>
        </w:trPr>
        <w:tc>
          <w:tcPr>
            <w:tcW w:w="794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Stock units vested and issued</w:t>
            </w:r>
          </w:p>
        </w:tc>
        <w:tc>
          <w:tcPr>
            <w:tcW w:w="1680" w:type="dxa"/>
            <w:vAlign w:val="bottom"/>
            <w:gridSpan w:val="2"/>
            <w:shd w:val="clear" w:color="auto" w:fill="CCEEFF"/>
          </w:tcPr>
          <w:p>
            <w:pPr>
              <w:jc w:val="right"/>
              <w:ind w:right="220"/>
              <w:spacing w:after="0" w:line="229" w:lineRule="exact"/>
              <w:rPr>
                <w:sz w:val="20"/>
                <w:szCs w:val="20"/>
                <w:color w:val="auto"/>
              </w:rPr>
            </w:pPr>
            <w:r>
              <w:rPr>
                <w:rFonts w:ascii="Arial" w:cs="Arial" w:eastAsia="Arial" w:hAnsi="Arial"/>
                <w:sz w:val="22"/>
                <w:szCs w:val="22"/>
                <w:color w:val="auto"/>
              </w:rPr>
              <w:t>(54,926)</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36.76</w:t>
            </w:r>
          </w:p>
        </w:tc>
      </w:tr>
      <w:tr>
        <w:trPr>
          <w:trHeight w:val="230"/>
        </w:trPr>
        <w:tc>
          <w:tcPr>
            <w:tcW w:w="7940" w:type="dxa"/>
            <w:vAlign w:val="bottom"/>
          </w:tcPr>
          <w:p>
            <w:pPr>
              <w:ind w:left="120"/>
              <w:spacing w:after="0" w:line="229" w:lineRule="exact"/>
              <w:rPr>
                <w:sz w:val="20"/>
                <w:szCs w:val="20"/>
                <w:color w:val="auto"/>
              </w:rPr>
            </w:pPr>
            <w:r>
              <w:rPr>
                <w:rFonts w:ascii="Arial" w:cs="Arial" w:eastAsia="Arial" w:hAnsi="Arial"/>
                <w:sz w:val="22"/>
                <w:szCs w:val="22"/>
                <w:color w:val="auto"/>
              </w:rPr>
              <w:t>Forfeited</w:t>
            </w:r>
          </w:p>
        </w:tc>
        <w:tc>
          <w:tcPr>
            <w:tcW w:w="1680" w:type="dxa"/>
            <w:vAlign w:val="bottom"/>
            <w:gridSpan w:val="2"/>
          </w:tcPr>
          <w:p>
            <w:pPr>
              <w:jc w:val="right"/>
              <w:ind w:right="220"/>
              <w:spacing w:after="0" w:line="229" w:lineRule="exact"/>
              <w:rPr>
                <w:sz w:val="20"/>
                <w:szCs w:val="20"/>
                <w:color w:val="auto"/>
              </w:rPr>
            </w:pPr>
            <w:r>
              <w:rPr>
                <w:rFonts w:ascii="Arial" w:cs="Arial" w:eastAsia="Arial" w:hAnsi="Arial"/>
                <w:sz w:val="22"/>
                <w:szCs w:val="22"/>
                <w:color w:val="auto"/>
              </w:rPr>
              <w:t>(6,621)</w:t>
            </w:r>
          </w:p>
        </w:tc>
        <w:tc>
          <w:tcPr>
            <w:tcW w:w="24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44.77</w:t>
            </w:r>
          </w:p>
        </w:tc>
      </w:tr>
      <w:tr>
        <w:trPr>
          <w:trHeight w:val="223"/>
        </w:trPr>
        <w:tc>
          <w:tcPr>
            <w:tcW w:w="794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Nonvested stock units at end of period</w:t>
            </w:r>
          </w:p>
        </w:tc>
        <w:tc>
          <w:tcPr>
            <w:tcW w:w="14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203,516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46.12</w:t>
            </w:r>
          </w:p>
        </w:tc>
      </w:tr>
      <w:tr>
        <w:trPr>
          <w:trHeight w:val="20"/>
        </w:trPr>
        <w:tc>
          <w:tcPr>
            <w:tcW w:w="79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22" w:lineRule="exact"/>
        <w:rPr>
          <w:sz w:val="20"/>
          <w:szCs w:val="20"/>
          <w:color w:val="auto"/>
        </w:rPr>
      </w:pPr>
    </w:p>
    <w:p>
      <w:pPr>
        <w:ind w:right="340"/>
        <w:spacing w:after="0" w:line="239" w:lineRule="auto"/>
        <w:rPr>
          <w:sz w:val="20"/>
          <w:szCs w:val="20"/>
          <w:color w:val="auto"/>
        </w:rPr>
      </w:pPr>
      <w:r>
        <w:rPr>
          <w:rFonts w:ascii="Arial" w:cs="Arial" w:eastAsia="Arial" w:hAnsi="Arial"/>
          <w:sz w:val="22"/>
          <w:szCs w:val="22"/>
          <w:color w:val="auto"/>
        </w:rPr>
        <w:t>The per unit weighted-average fair value at the date of grant for RSUs granted during the six months ended June 30, 2022 and 2021 was $45.10 and $44.44, respectively.</w:t>
      </w:r>
    </w:p>
    <w:p>
      <w:pPr>
        <w:spacing w:after="0" w:line="185" w:lineRule="exact"/>
        <w:rPr>
          <w:sz w:val="20"/>
          <w:szCs w:val="20"/>
          <w:color w:val="auto"/>
        </w:rPr>
      </w:pPr>
    </w:p>
    <w:p>
      <w:pPr>
        <w:ind w:right="20"/>
        <w:spacing w:after="0" w:line="233" w:lineRule="auto"/>
        <w:rPr>
          <w:sz w:val="20"/>
          <w:szCs w:val="20"/>
          <w:color w:val="auto"/>
        </w:rPr>
      </w:pPr>
      <w:r>
        <w:rPr>
          <w:rFonts w:ascii="Arial" w:cs="Arial" w:eastAsia="Arial" w:hAnsi="Arial"/>
          <w:sz w:val="21"/>
          <w:szCs w:val="21"/>
          <w:b w:val="1"/>
          <w:bCs w:val="1"/>
          <w:i w:val="1"/>
          <w:iCs w:val="1"/>
          <w:color w:val="auto"/>
        </w:rPr>
        <w:t xml:space="preserve">Stock Options </w:t>
      </w:r>
      <w:r>
        <w:rPr>
          <w:rFonts w:ascii="Arial" w:cs="Arial" w:eastAsia="Arial" w:hAnsi="Arial"/>
          <w:sz w:val="21"/>
          <w:szCs w:val="21"/>
          <w:color w:val="auto"/>
        </w:rPr>
        <w:t>– A stock option represents the option to purchase a number of shares of common stock of the Company as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specified 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subject to satisfaction of designated performance goals. The fair value of each stock option is amortized into compensation expense using the graded-vesting method, which results in the recognition of compensation costs over the requisite service period for each separately vesting tranche of the stock options as though the stock options were, in substance, multiple stock option grants. The following table provides the compensation cost and income tax benefit for stock-based compensation related to stock options: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80" w:type="dxa"/>
            <w:vAlign w:val="bottom"/>
            <w:gridSpan w:val="5"/>
          </w:tcPr>
          <w:p>
            <w:pPr>
              <w:jc w:val="center"/>
              <w:ind w:left="232"/>
              <w:spacing w:after="0"/>
              <w:rPr>
                <w:sz w:val="20"/>
                <w:szCs w:val="20"/>
                <w:color w:val="auto"/>
              </w:rPr>
            </w:pPr>
            <w:r>
              <w:rPr>
                <w:rFonts w:ascii="Arial" w:cs="Arial" w:eastAsia="Arial" w:hAnsi="Arial"/>
                <w:sz w:val="22"/>
                <w:szCs w:val="22"/>
                <w:color w:val="auto"/>
                <w:w w:val="88"/>
              </w:rPr>
              <w:t>Three Months Ended</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60" w:type="dxa"/>
            <w:vAlign w:val="bottom"/>
            <w:gridSpan w:val="4"/>
          </w:tcPr>
          <w:p>
            <w:pPr>
              <w:jc w:val="right"/>
              <w:ind w:right="492"/>
              <w:spacing w:after="0"/>
              <w:rPr>
                <w:sz w:val="20"/>
                <w:szCs w:val="20"/>
                <w:color w:val="auto"/>
              </w:rPr>
            </w:pPr>
            <w:r>
              <w:rPr>
                <w:rFonts w:ascii="Arial" w:cs="Arial" w:eastAsia="Arial" w:hAnsi="Arial"/>
                <w:sz w:val="22"/>
                <w:szCs w:val="22"/>
                <w:color w:val="auto"/>
              </w:rPr>
              <w:t>Six Months Ended</w:t>
            </w:r>
          </w:p>
        </w:tc>
      </w:tr>
      <w:tr>
        <w:trPr>
          <w:trHeight w:val="251"/>
        </w:trPr>
        <w:tc>
          <w:tcPr>
            <w:tcW w:w="4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center"/>
              <w:ind w:right="560"/>
              <w:spacing w:after="0" w:line="251" w:lineRule="exact"/>
              <w:rPr>
                <w:sz w:val="20"/>
                <w:szCs w:val="20"/>
                <w:color w:val="auto"/>
              </w:rPr>
            </w:pPr>
            <w:r>
              <w:rPr>
                <w:rFonts w:ascii="Arial" w:cs="Arial" w:eastAsia="Arial" w:hAnsi="Arial"/>
                <w:sz w:val="22"/>
                <w:szCs w:val="22"/>
                <w:color w:val="auto"/>
                <w:w w:val="85"/>
              </w:rPr>
              <w:t>June 30,</w:t>
            </w:r>
          </w:p>
        </w:tc>
        <w:tc>
          <w:tcPr>
            <w:tcW w:w="3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spacing w:after="0" w:line="251" w:lineRule="exact"/>
              <w:rPr>
                <w:sz w:val="20"/>
                <w:szCs w:val="20"/>
                <w:color w:val="auto"/>
              </w:rPr>
            </w:pPr>
            <w:r>
              <w:rPr>
                <w:rFonts w:ascii="Arial" w:cs="Arial" w:eastAsia="Arial" w:hAnsi="Arial"/>
                <w:sz w:val="22"/>
                <w:szCs w:val="22"/>
                <w:color w:val="auto"/>
              </w:rPr>
              <w:t>June 30,</w:t>
            </w:r>
          </w:p>
        </w:tc>
        <w:tc>
          <w:tcPr>
            <w:tcW w:w="920" w:type="dxa"/>
            <w:vAlign w:val="bottom"/>
            <w:tcBorders>
              <w:bottom w:val="single" w:sz="8" w:color="auto"/>
            </w:tcBorders>
          </w:tcPr>
          <w:p>
            <w:pPr>
              <w:spacing w:after="0"/>
              <w:rPr>
                <w:sz w:val="21"/>
                <w:szCs w:val="21"/>
                <w:color w:val="auto"/>
              </w:rPr>
            </w:pPr>
          </w:p>
        </w:tc>
      </w:tr>
      <w:tr>
        <w:trPr>
          <w:trHeight w:val="223"/>
        </w:trPr>
        <w:tc>
          <w:tcPr>
            <w:tcW w:w="4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Arial" w:cs="Arial" w:eastAsia="Arial" w:hAnsi="Arial"/>
                <w:sz w:val="22"/>
                <w:szCs w:val="22"/>
                <w:color w:val="auto"/>
              </w:rPr>
              <w:t>2022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line="223" w:lineRule="exact"/>
              <w:rPr>
                <w:sz w:val="20"/>
                <w:szCs w:val="20"/>
                <w:color w:val="auto"/>
              </w:rPr>
            </w:pPr>
            <w:r>
              <w:rPr>
                <w:rFonts w:ascii="Arial" w:cs="Arial" w:eastAsia="Arial" w:hAnsi="Arial"/>
                <w:sz w:val="22"/>
                <w:szCs w:val="22"/>
                <w:color w:val="auto"/>
              </w:rPr>
              <w:t>2021</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332"/>
              <w:spacing w:after="0" w:line="223" w:lineRule="exact"/>
              <w:rPr>
                <w:sz w:val="20"/>
                <w:szCs w:val="20"/>
                <w:color w:val="auto"/>
              </w:rPr>
            </w:pPr>
            <w:r>
              <w:rPr>
                <w:rFonts w:ascii="Arial" w:cs="Arial" w:eastAsia="Arial" w:hAnsi="Arial"/>
                <w:sz w:val="22"/>
                <w:szCs w:val="22"/>
                <w:color w:val="auto"/>
              </w:rPr>
              <w:t>2022</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332"/>
              <w:spacing w:after="0" w:line="223" w:lineRule="exact"/>
              <w:rPr>
                <w:sz w:val="20"/>
                <w:szCs w:val="20"/>
                <w:color w:val="auto"/>
              </w:rPr>
            </w:pPr>
            <w:r>
              <w:rPr>
                <w:rFonts w:ascii="Arial" w:cs="Arial" w:eastAsia="Arial" w:hAnsi="Arial"/>
                <w:sz w:val="22"/>
                <w:szCs w:val="22"/>
                <w:color w:val="auto"/>
                <w:w w:val="93"/>
              </w:rPr>
              <w:t>2021</w:t>
            </w:r>
          </w:p>
        </w:tc>
      </w:tr>
      <w:tr>
        <w:trPr>
          <w:trHeight w:val="188"/>
        </w:trPr>
        <w:tc>
          <w:tcPr>
            <w:tcW w:w="48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21"/>
                <w:szCs w:val="21"/>
                <w:color w:val="auto"/>
              </w:rPr>
              <w:t>Stock-based compensation within operations and</w:t>
            </w:r>
          </w:p>
        </w:tc>
        <w:tc>
          <w:tcPr>
            <w:tcW w:w="5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251"/>
        </w:trPr>
        <w:tc>
          <w:tcPr>
            <w:tcW w:w="480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1460" w:type="dxa"/>
            <w:vAlign w:val="bottom"/>
            <w:gridSpan w:val="2"/>
            <w:shd w:val="clear" w:color="auto" w:fill="CCEEFF"/>
          </w:tcPr>
          <w:p>
            <w:pPr>
              <w:jc w:val="right"/>
              <w:ind w:right="712"/>
              <w:spacing w:after="0" w:line="251" w:lineRule="exact"/>
              <w:rPr>
                <w:sz w:val="20"/>
                <w:szCs w:val="20"/>
                <w:color w:val="auto"/>
              </w:rPr>
            </w:pPr>
            <w:r>
              <w:rPr>
                <w:rFonts w:ascii="Arial" w:cs="Arial" w:eastAsia="Arial" w:hAnsi="Arial"/>
                <w:sz w:val="22"/>
                <w:szCs w:val="22"/>
                <w:color w:val="auto"/>
              </w:rPr>
              <w:t>$</w:t>
            </w:r>
          </w:p>
        </w:tc>
        <w:tc>
          <w:tcPr>
            <w:tcW w:w="500" w:type="dxa"/>
            <w:vAlign w:val="bottom"/>
            <w:gridSpan w:val="2"/>
            <w:shd w:val="clear" w:color="auto" w:fill="CCEEFF"/>
          </w:tcPr>
          <w:p>
            <w:pPr>
              <w:jc w:val="right"/>
              <w:ind w:right="100"/>
              <w:spacing w:after="0" w:line="251" w:lineRule="exact"/>
              <w:rPr>
                <w:sz w:val="20"/>
                <w:szCs w:val="20"/>
                <w:color w:val="auto"/>
              </w:rPr>
            </w:pPr>
            <w:r>
              <w:rPr>
                <w:rFonts w:ascii="Arial" w:cs="Arial" w:eastAsia="Arial" w:hAnsi="Arial"/>
                <w:sz w:val="22"/>
                <w:szCs w:val="22"/>
                <w:color w:val="auto"/>
              </w:rPr>
              <w:t>141</w:t>
            </w:r>
          </w:p>
        </w:tc>
        <w:tc>
          <w:tcPr>
            <w:tcW w:w="1060" w:type="dxa"/>
            <w:vAlign w:val="bottom"/>
            <w:gridSpan w:val="2"/>
            <w:shd w:val="clear" w:color="auto" w:fill="CCEEFF"/>
          </w:tcPr>
          <w:p>
            <w:pPr>
              <w:jc w:val="right"/>
              <w:ind w:right="860"/>
              <w:spacing w:after="0" w:line="251" w:lineRule="exact"/>
              <w:rPr>
                <w:sz w:val="20"/>
                <w:szCs w:val="20"/>
                <w:color w:val="auto"/>
              </w:rPr>
            </w:pPr>
            <w:r>
              <w:rPr>
                <w:rFonts w:ascii="Arial" w:cs="Arial" w:eastAsia="Arial" w:hAnsi="Arial"/>
                <w:sz w:val="22"/>
                <w:szCs w:val="22"/>
                <w:color w:val="auto"/>
              </w:rPr>
              <w:t>$</w:t>
            </w:r>
          </w:p>
        </w:tc>
        <w:tc>
          <w:tcPr>
            <w:tcW w:w="36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90</w:t>
            </w:r>
          </w:p>
        </w:tc>
        <w:tc>
          <w:tcPr>
            <w:tcW w:w="500" w:type="dxa"/>
            <w:vAlign w:val="bottom"/>
            <w:gridSpan w:val="2"/>
            <w:shd w:val="clear" w:color="auto" w:fill="CCEEFF"/>
          </w:tcPr>
          <w:p>
            <w:pPr>
              <w:jc w:val="right"/>
              <w:ind w:right="160"/>
              <w:spacing w:after="0" w:line="251" w:lineRule="exact"/>
              <w:rPr>
                <w:sz w:val="20"/>
                <w:szCs w:val="20"/>
                <w:color w:val="auto"/>
              </w:rPr>
            </w:pPr>
            <w:r>
              <w:rPr>
                <w:rFonts w:ascii="Arial" w:cs="Arial" w:eastAsia="Arial" w:hAnsi="Arial"/>
                <w:sz w:val="22"/>
                <w:szCs w:val="22"/>
                <w:color w:val="auto"/>
              </w:rPr>
              <w:t>$</w:t>
            </w:r>
          </w:p>
        </w:tc>
        <w:tc>
          <w:tcPr>
            <w:tcW w:w="104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241</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9"/>
                <w:szCs w:val="19"/>
                <w:color w:val="auto"/>
                <w:w w:val="75"/>
              </w:rPr>
              <w:t>$</w:t>
            </w:r>
          </w:p>
        </w:tc>
        <w:tc>
          <w:tcPr>
            <w:tcW w:w="9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301</w:t>
            </w:r>
          </w:p>
        </w:tc>
      </w:tr>
      <w:tr>
        <w:trPr>
          <w:trHeight w:val="274"/>
        </w:trPr>
        <w:tc>
          <w:tcPr>
            <w:tcW w:w="4800" w:type="dxa"/>
            <w:vAlign w:val="bottom"/>
          </w:tcPr>
          <w:p>
            <w:pPr>
              <w:spacing w:after="0"/>
              <w:rPr>
                <w:sz w:val="20"/>
                <w:szCs w:val="20"/>
                <w:color w:val="auto"/>
              </w:rPr>
            </w:pPr>
            <w:r>
              <w:rPr>
                <w:rFonts w:ascii="Arial" w:cs="Arial" w:eastAsia="Arial" w:hAnsi="Arial"/>
                <w:sz w:val="22"/>
                <w:szCs w:val="22"/>
                <w:color w:val="auto"/>
              </w:rPr>
              <w:t>Income tax benefit</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22"/>
                <w:szCs w:val="22"/>
                <w:color w:val="auto"/>
              </w:rPr>
              <w:t>41</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26</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69</w:t>
            </w: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86</w:t>
            </w:r>
          </w:p>
        </w:tc>
      </w:tr>
    </w:tbl>
    <w:p>
      <w:pPr>
        <w:spacing w:after="0" w:line="163" w:lineRule="exact"/>
        <w:rPr>
          <w:sz w:val="20"/>
          <w:szCs w:val="20"/>
          <w:color w:val="auto"/>
        </w:rPr>
      </w:pPr>
    </w:p>
    <w:p>
      <w:pPr>
        <w:ind w:right="980"/>
        <w:spacing w:after="0" w:line="239" w:lineRule="auto"/>
        <w:rPr>
          <w:sz w:val="20"/>
          <w:szCs w:val="20"/>
          <w:color w:val="auto"/>
        </w:rPr>
      </w:pPr>
      <w:r>
        <w:rPr>
          <w:rFonts w:ascii="Arial" w:cs="Arial" w:eastAsia="Arial" w:hAnsi="Arial"/>
          <w:sz w:val="22"/>
          <w:szCs w:val="22"/>
          <w:color w:val="auto"/>
        </w:rPr>
        <w:t>The fair value of options was estimated at the grant date using the Black-Scholes option-pricing model. The following assumptions were used in the application of this valuation model:</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8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jc w:val="right"/>
              <w:ind w:right="1752"/>
              <w:spacing w:after="0"/>
              <w:rPr>
                <w:sz w:val="20"/>
                <w:szCs w:val="20"/>
                <w:color w:val="auto"/>
              </w:rPr>
            </w:pPr>
            <w:r>
              <w:rPr>
                <w:rFonts w:ascii="Arial" w:cs="Arial" w:eastAsia="Arial" w:hAnsi="Arial"/>
                <w:sz w:val="22"/>
                <w:szCs w:val="22"/>
                <w:color w:val="auto"/>
              </w:rPr>
              <w:t>2022</w:t>
            </w:r>
          </w:p>
        </w:tc>
      </w:tr>
      <w:tr>
        <w:trPr>
          <w:trHeight w:val="223"/>
        </w:trPr>
        <w:tc>
          <w:tcPr>
            <w:tcW w:w="70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Expected term (years)</w:t>
            </w:r>
          </w:p>
        </w:tc>
        <w:tc>
          <w:tcPr>
            <w:tcW w:w="980" w:type="dxa"/>
            <w:vAlign w:val="bottom"/>
            <w:shd w:val="clear" w:color="auto" w:fill="CCEEFF"/>
          </w:tcPr>
          <w:p>
            <w:pPr>
              <w:spacing w:after="0"/>
              <w:rPr>
                <w:sz w:val="19"/>
                <w:szCs w:val="19"/>
                <w:color w:val="auto"/>
              </w:rPr>
            </w:pPr>
          </w:p>
        </w:tc>
        <w:tc>
          <w:tcPr>
            <w:tcW w:w="31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5.48</w:t>
            </w:r>
          </w:p>
        </w:tc>
      </w:tr>
      <w:tr>
        <w:trPr>
          <w:trHeight w:val="230"/>
        </w:trPr>
        <w:tc>
          <w:tcPr>
            <w:tcW w:w="7080" w:type="dxa"/>
            <w:vAlign w:val="bottom"/>
          </w:tcPr>
          <w:p>
            <w:pPr>
              <w:spacing w:after="0" w:line="229" w:lineRule="exact"/>
              <w:rPr>
                <w:sz w:val="20"/>
                <w:szCs w:val="20"/>
                <w:color w:val="auto"/>
              </w:rPr>
            </w:pPr>
            <w:r>
              <w:rPr>
                <w:rFonts w:ascii="Arial" w:cs="Arial" w:eastAsia="Arial" w:hAnsi="Arial"/>
                <w:sz w:val="22"/>
                <w:szCs w:val="22"/>
                <w:color w:val="auto"/>
              </w:rPr>
              <w:t>Risk-free interest rate</w:t>
            </w:r>
          </w:p>
        </w:tc>
        <w:tc>
          <w:tcPr>
            <w:tcW w:w="980" w:type="dxa"/>
            <w:vAlign w:val="bottom"/>
          </w:tcPr>
          <w:p>
            <w:pPr>
              <w:spacing w:after="0"/>
              <w:rPr>
                <w:sz w:val="19"/>
                <w:szCs w:val="19"/>
                <w:color w:val="auto"/>
              </w:rPr>
            </w:pPr>
          </w:p>
        </w:tc>
        <w:tc>
          <w:tcPr>
            <w:tcW w:w="3180" w:type="dxa"/>
            <w:vAlign w:val="bottom"/>
          </w:tcPr>
          <w:p>
            <w:pPr>
              <w:jc w:val="right"/>
              <w:spacing w:after="0" w:line="229" w:lineRule="exact"/>
              <w:rPr>
                <w:sz w:val="20"/>
                <w:szCs w:val="20"/>
                <w:color w:val="auto"/>
              </w:rPr>
            </w:pPr>
            <w:r>
              <w:rPr>
                <w:rFonts w:ascii="Arial" w:cs="Arial" w:eastAsia="Arial" w:hAnsi="Arial"/>
                <w:sz w:val="22"/>
                <w:szCs w:val="22"/>
                <w:color w:val="auto"/>
              </w:rPr>
              <w:t>1.92%</w:t>
            </w:r>
          </w:p>
        </w:tc>
      </w:tr>
      <w:tr>
        <w:trPr>
          <w:trHeight w:val="230"/>
        </w:trPr>
        <w:tc>
          <w:tcPr>
            <w:tcW w:w="708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Expected volatility</w:t>
            </w:r>
          </w:p>
        </w:tc>
        <w:tc>
          <w:tcPr>
            <w:tcW w:w="980" w:type="dxa"/>
            <w:vAlign w:val="bottom"/>
            <w:shd w:val="clear" w:color="auto" w:fill="CCEEFF"/>
          </w:tcPr>
          <w:p>
            <w:pPr>
              <w:spacing w:after="0"/>
              <w:rPr>
                <w:sz w:val="19"/>
                <w:szCs w:val="19"/>
                <w:color w:val="auto"/>
              </w:rPr>
            </w:pPr>
          </w:p>
        </w:tc>
        <w:tc>
          <w:tcPr>
            <w:tcW w:w="31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26.50%</w:t>
            </w:r>
          </w:p>
        </w:tc>
      </w:tr>
      <w:tr>
        <w:trPr>
          <w:trHeight w:val="229"/>
        </w:trPr>
        <w:tc>
          <w:tcPr>
            <w:tcW w:w="7080" w:type="dxa"/>
            <w:vAlign w:val="bottom"/>
          </w:tcPr>
          <w:p>
            <w:pPr>
              <w:spacing w:after="0" w:line="229" w:lineRule="exact"/>
              <w:rPr>
                <w:sz w:val="20"/>
                <w:szCs w:val="20"/>
                <w:color w:val="auto"/>
              </w:rPr>
            </w:pPr>
            <w:r>
              <w:rPr>
                <w:rFonts w:ascii="Arial" w:cs="Arial" w:eastAsia="Arial" w:hAnsi="Arial"/>
                <w:sz w:val="22"/>
                <w:szCs w:val="22"/>
                <w:color w:val="auto"/>
              </w:rPr>
              <w:t>Dividend yield</w:t>
            </w:r>
          </w:p>
        </w:tc>
        <w:tc>
          <w:tcPr>
            <w:tcW w:w="980" w:type="dxa"/>
            <w:vAlign w:val="bottom"/>
          </w:tcPr>
          <w:p>
            <w:pPr>
              <w:spacing w:after="0"/>
              <w:rPr>
                <w:sz w:val="19"/>
                <w:szCs w:val="19"/>
                <w:color w:val="auto"/>
              </w:rPr>
            </w:pPr>
          </w:p>
        </w:tc>
        <w:tc>
          <w:tcPr>
            <w:tcW w:w="3180" w:type="dxa"/>
            <w:vAlign w:val="bottom"/>
          </w:tcPr>
          <w:p>
            <w:pPr>
              <w:jc w:val="right"/>
              <w:spacing w:after="0" w:line="229" w:lineRule="exact"/>
              <w:rPr>
                <w:sz w:val="20"/>
                <w:szCs w:val="20"/>
                <w:color w:val="auto"/>
              </w:rPr>
            </w:pPr>
            <w:r>
              <w:rPr>
                <w:rFonts w:ascii="Arial" w:cs="Arial" w:eastAsia="Arial" w:hAnsi="Arial"/>
                <w:sz w:val="22"/>
                <w:szCs w:val="22"/>
                <w:color w:val="auto"/>
              </w:rPr>
              <w:t>2.37%</w:t>
            </w:r>
          </w:p>
        </w:tc>
      </w:tr>
      <w:tr>
        <w:trPr>
          <w:trHeight w:val="230"/>
        </w:trPr>
        <w:tc>
          <w:tcPr>
            <w:tcW w:w="708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Grant date fair value per option</w:t>
            </w:r>
          </w:p>
        </w:tc>
        <w:tc>
          <w:tcPr>
            <w:tcW w:w="980" w:type="dxa"/>
            <w:vAlign w:val="bottom"/>
            <w:shd w:val="clear" w:color="auto" w:fill="CCEEFF"/>
          </w:tcPr>
          <w:p>
            <w:pPr>
              <w:jc w:val="right"/>
              <w:ind w:right="752"/>
              <w:spacing w:after="0" w:line="229" w:lineRule="exact"/>
              <w:rPr>
                <w:sz w:val="20"/>
                <w:szCs w:val="20"/>
                <w:color w:val="auto"/>
              </w:rPr>
            </w:pPr>
            <w:r>
              <w:rPr>
                <w:rFonts w:ascii="Arial" w:cs="Arial" w:eastAsia="Arial" w:hAnsi="Arial"/>
                <w:sz w:val="22"/>
                <w:szCs w:val="22"/>
                <w:color w:val="auto"/>
                <w:w w:val="81"/>
              </w:rPr>
              <w:t>$</w:t>
            </w:r>
          </w:p>
        </w:tc>
        <w:tc>
          <w:tcPr>
            <w:tcW w:w="31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9.34</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The Company did not grant stock options for the six months ended June 30, 2021.</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1" w:name="page22"/>
    <w:bookmarkEnd w:id="2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jc w:val="both"/>
        <w:ind w:right="20"/>
        <w:spacing w:after="0" w:line="228" w:lineRule="auto"/>
        <w:rPr>
          <w:sz w:val="20"/>
          <w:szCs w:val="20"/>
          <w:color w:val="auto"/>
        </w:rPr>
      </w:pPr>
      <w:r>
        <w:rPr>
          <w:rFonts w:ascii="Arial" w:cs="Arial" w:eastAsia="Arial" w:hAnsi="Arial"/>
          <w:sz w:val="22"/>
          <w:szCs w:val="22"/>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 selected based upon the U.S. Treasury yield curve in effect at the time of grant for the expected term of the option.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stock option transactions for the six months ended June 30,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22"/>
                <w:szCs w:val="22"/>
                <w:color w:val="auto"/>
                <w:w w:val="88"/>
              </w:rPr>
              <w:t>Weighted</w:t>
            </w:r>
          </w:p>
        </w:tc>
        <w:tc>
          <w:tcPr>
            <w:tcW w:w="1280" w:type="dxa"/>
            <w:vAlign w:val="bottom"/>
          </w:tcPr>
          <w:p>
            <w:pPr>
              <w:jc w:val="center"/>
              <w:spacing w:after="0"/>
              <w:rPr>
                <w:sz w:val="20"/>
                <w:szCs w:val="20"/>
                <w:color w:val="auto"/>
              </w:rPr>
            </w:pPr>
            <w:r>
              <w:rPr>
                <w:rFonts w:ascii="Arial" w:cs="Arial" w:eastAsia="Arial" w:hAnsi="Arial"/>
                <w:sz w:val="22"/>
                <w:szCs w:val="22"/>
                <w:color w:val="auto"/>
                <w:w w:val="88"/>
              </w:rPr>
              <w:t>Weighted</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29"/>
        </w:trPr>
        <w:tc>
          <w:tcPr>
            <w:tcW w:w="5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80"/>
              <w:spacing w:after="0" w:line="229" w:lineRule="exact"/>
              <w:rPr>
                <w:sz w:val="20"/>
                <w:szCs w:val="20"/>
                <w:color w:val="auto"/>
              </w:rPr>
            </w:pPr>
            <w:r>
              <w:rPr>
                <w:rFonts w:ascii="Arial" w:cs="Arial" w:eastAsia="Arial" w:hAnsi="Arial"/>
                <w:sz w:val="22"/>
                <w:szCs w:val="22"/>
                <w:color w:val="auto"/>
                <w:w w:val="85"/>
              </w:rPr>
              <w:t>Average</w:t>
            </w:r>
          </w:p>
        </w:tc>
        <w:tc>
          <w:tcPr>
            <w:tcW w:w="1280" w:type="dxa"/>
            <w:vAlign w:val="bottom"/>
          </w:tcPr>
          <w:p>
            <w:pPr>
              <w:jc w:val="center"/>
              <w:spacing w:after="0" w:line="229" w:lineRule="exact"/>
              <w:rPr>
                <w:sz w:val="20"/>
                <w:szCs w:val="20"/>
                <w:color w:val="auto"/>
              </w:rPr>
            </w:pPr>
            <w:r>
              <w:rPr>
                <w:rFonts w:ascii="Arial" w:cs="Arial" w:eastAsia="Arial" w:hAnsi="Arial"/>
                <w:sz w:val="22"/>
                <w:szCs w:val="22"/>
                <w:color w:val="auto"/>
                <w:w w:val="87"/>
              </w:rPr>
              <w:t>Average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92"/>
              <w:spacing w:after="0" w:line="229" w:lineRule="exact"/>
              <w:rPr>
                <w:sz w:val="20"/>
                <w:szCs w:val="20"/>
                <w:color w:val="auto"/>
              </w:rPr>
            </w:pPr>
            <w:r>
              <w:rPr>
                <w:rFonts w:ascii="Arial" w:cs="Arial" w:eastAsia="Arial" w:hAnsi="Arial"/>
                <w:sz w:val="22"/>
                <w:szCs w:val="22"/>
                <w:color w:val="auto"/>
                <w:w w:val="88"/>
              </w:rPr>
              <w:t>Aggregate</w:t>
            </w:r>
          </w:p>
        </w:tc>
      </w:tr>
      <w:tr>
        <w:trPr>
          <w:trHeight w:val="229"/>
        </w:trPr>
        <w:tc>
          <w:tcPr>
            <w:tcW w:w="5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80"/>
              <w:spacing w:after="0" w:line="229" w:lineRule="exact"/>
              <w:rPr>
                <w:sz w:val="20"/>
                <w:szCs w:val="20"/>
                <w:color w:val="auto"/>
              </w:rPr>
            </w:pPr>
            <w:r>
              <w:rPr>
                <w:rFonts w:ascii="Arial" w:cs="Arial" w:eastAsia="Arial" w:hAnsi="Arial"/>
                <w:sz w:val="22"/>
                <w:szCs w:val="22"/>
                <w:color w:val="auto"/>
                <w:w w:val="87"/>
              </w:rPr>
              <w:t>Exercise</w:t>
            </w:r>
          </w:p>
        </w:tc>
        <w:tc>
          <w:tcPr>
            <w:tcW w:w="1280" w:type="dxa"/>
            <w:vAlign w:val="bottom"/>
          </w:tcPr>
          <w:p>
            <w:pPr>
              <w:jc w:val="center"/>
              <w:spacing w:after="0" w:line="229" w:lineRule="exact"/>
              <w:rPr>
                <w:sz w:val="20"/>
                <w:szCs w:val="20"/>
                <w:color w:val="auto"/>
              </w:rPr>
            </w:pPr>
            <w:r>
              <w:rPr>
                <w:rFonts w:ascii="Arial" w:cs="Arial" w:eastAsia="Arial" w:hAnsi="Arial"/>
                <w:sz w:val="22"/>
                <w:szCs w:val="22"/>
                <w:color w:val="auto"/>
                <w:w w:val="89"/>
              </w:rPr>
              <w:t>Remaining</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12"/>
              <w:spacing w:after="0" w:line="229" w:lineRule="exact"/>
              <w:rPr>
                <w:sz w:val="20"/>
                <w:szCs w:val="20"/>
                <w:color w:val="auto"/>
              </w:rPr>
            </w:pPr>
            <w:r>
              <w:rPr>
                <w:rFonts w:ascii="Arial" w:cs="Arial" w:eastAsia="Arial" w:hAnsi="Arial"/>
                <w:sz w:val="22"/>
                <w:szCs w:val="22"/>
                <w:color w:val="auto"/>
                <w:w w:val="94"/>
              </w:rPr>
              <w:t>Intrinsic</w:t>
            </w:r>
          </w:p>
        </w:tc>
      </w:tr>
      <w:tr>
        <w:trPr>
          <w:trHeight w:val="251"/>
        </w:trPr>
        <w:tc>
          <w:tcPr>
            <w:tcW w:w="5100" w:type="dxa"/>
            <w:vAlign w:val="bottom"/>
          </w:tcPr>
          <w:p>
            <w:pPr>
              <w:spacing w:after="0"/>
              <w:rPr>
                <w:sz w:val="21"/>
                <w:szCs w:val="21"/>
                <w:color w:val="auto"/>
              </w:rPr>
            </w:pPr>
          </w:p>
        </w:tc>
        <w:tc>
          <w:tcPr>
            <w:tcW w:w="1580" w:type="dxa"/>
            <w:vAlign w:val="bottom"/>
            <w:gridSpan w:val="2"/>
          </w:tcPr>
          <w:p>
            <w:pPr>
              <w:ind w:left="400"/>
              <w:spacing w:after="0" w:line="251" w:lineRule="exact"/>
              <w:rPr>
                <w:sz w:val="20"/>
                <w:szCs w:val="20"/>
                <w:color w:val="auto"/>
              </w:rPr>
            </w:pPr>
            <w:r>
              <w:rPr>
                <w:rFonts w:ascii="Arial" w:cs="Arial" w:eastAsia="Arial" w:hAnsi="Arial"/>
                <w:sz w:val="22"/>
                <w:szCs w:val="22"/>
                <w:color w:val="auto"/>
              </w:rPr>
              <w:t>Shares</w:t>
            </w:r>
          </w:p>
        </w:tc>
        <w:tc>
          <w:tcPr>
            <w:tcW w:w="180" w:type="dxa"/>
            <w:vAlign w:val="bottom"/>
          </w:tcPr>
          <w:p>
            <w:pPr>
              <w:spacing w:after="0"/>
              <w:rPr>
                <w:sz w:val="21"/>
                <w:szCs w:val="21"/>
                <w:color w:val="auto"/>
              </w:rPr>
            </w:pPr>
          </w:p>
        </w:tc>
        <w:tc>
          <w:tcPr>
            <w:tcW w:w="1360" w:type="dxa"/>
            <w:vAlign w:val="bottom"/>
            <w:gridSpan w:val="2"/>
          </w:tcPr>
          <w:p>
            <w:pPr>
              <w:jc w:val="center"/>
              <w:ind w:right="360"/>
              <w:spacing w:after="0" w:line="251" w:lineRule="exact"/>
              <w:rPr>
                <w:sz w:val="20"/>
                <w:szCs w:val="20"/>
                <w:color w:val="auto"/>
              </w:rPr>
            </w:pPr>
            <w:r>
              <w:rPr>
                <w:rFonts w:ascii="Arial" w:cs="Arial" w:eastAsia="Arial" w:hAnsi="Arial"/>
                <w:sz w:val="22"/>
                <w:szCs w:val="22"/>
                <w:color w:val="auto"/>
                <w:w w:val="87"/>
              </w:rPr>
              <w:t>Price</w:t>
            </w:r>
          </w:p>
        </w:tc>
        <w:tc>
          <w:tcPr>
            <w:tcW w:w="1280" w:type="dxa"/>
            <w:vAlign w:val="bottom"/>
          </w:tcPr>
          <w:p>
            <w:pPr>
              <w:jc w:val="center"/>
              <w:spacing w:after="0" w:line="251" w:lineRule="exact"/>
              <w:rPr>
                <w:sz w:val="20"/>
                <w:szCs w:val="20"/>
                <w:color w:val="auto"/>
              </w:rPr>
            </w:pPr>
            <w:r>
              <w:rPr>
                <w:rFonts w:ascii="Arial" w:cs="Arial" w:eastAsia="Arial" w:hAnsi="Arial"/>
                <w:sz w:val="22"/>
                <w:szCs w:val="22"/>
                <w:color w:val="auto"/>
                <w:w w:val="92"/>
              </w:rPr>
              <w:t>Life (years)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center"/>
              <w:ind w:right="112"/>
              <w:spacing w:after="0" w:line="251" w:lineRule="exact"/>
              <w:rPr>
                <w:sz w:val="20"/>
                <w:szCs w:val="20"/>
                <w:color w:val="auto"/>
              </w:rPr>
            </w:pPr>
            <w:r>
              <w:rPr>
                <w:rFonts w:ascii="Arial" w:cs="Arial" w:eastAsia="Arial" w:hAnsi="Arial"/>
                <w:sz w:val="22"/>
                <w:szCs w:val="22"/>
                <w:color w:val="auto"/>
                <w:w w:val="85"/>
              </w:rPr>
              <w:t>Value</w:t>
            </w:r>
          </w:p>
        </w:tc>
      </w:tr>
      <w:tr>
        <w:trPr>
          <w:trHeight w:val="223"/>
        </w:trPr>
        <w:tc>
          <w:tcPr>
            <w:tcW w:w="51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Outstanding at beginning of period</w:t>
            </w:r>
          </w:p>
        </w:tc>
        <w:tc>
          <w:tcPr>
            <w:tcW w:w="13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813,492</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35.37</w:t>
            </w:r>
          </w:p>
        </w:tc>
        <w:tc>
          <w:tcPr>
            <w:tcW w:w="2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29"/>
        </w:trPr>
        <w:tc>
          <w:tcPr>
            <w:tcW w:w="510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84,296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45.19</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1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Forfeited</w:t>
            </w:r>
          </w:p>
        </w:tc>
        <w:tc>
          <w:tcPr>
            <w:tcW w:w="13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(2,344)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41.78</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100" w:type="dxa"/>
            <w:vAlign w:val="bottom"/>
          </w:tcPr>
          <w:p>
            <w:pPr>
              <w:ind w:left="120"/>
              <w:spacing w:after="0" w:line="229" w:lineRule="exact"/>
              <w:rPr>
                <w:sz w:val="20"/>
                <w:szCs w:val="20"/>
                <w:color w:val="auto"/>
              </w:rPr>
            </w:pPr>
            <w:r>
              <w:rPr>
                <w:rFonts w:ascii="Arial" w:cs="Arial" w:eastAsia="Arial" w:hAnsi="Arial"/>
                <w:sz w:val="22"/>
                <w:szCs w:val="22"/>
                <w:color w:val="auto"/>
              </w:rPr>
              <w:t>Expired</w:t>
            </w: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(125)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35.94</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1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Exercised</w:t>
            </w:r>
          </w:p>
        </w:tc>
        <w:tc>
          <w:tcPr>
            <w:tcW w:w="13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(34,978)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35.42</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3"/>
        </w:trPr>
        <w:tc>
          <w:tcPr>
            <w:tcW w:w="5100" w:type="dxa"/>
            <w:vAlign w:val="bottom"/>
          </w:tcPr>
          <w:p>
            <w:pPr>
              <w:spacing w:after="0" w:line="223" w:lineRule="exact"/>
              <w:rPr>
                <w:sz w:val="20"/>
                <w:szCs w:val="20"/>
                <w:color w:val="auto"/>
              </w:rPr>
            </w:pPr>
            <w:r>
              <w:rPr>
                <w:rFonts w:ascii="Arial" w:cs="Arial" w:eastAsia="Arial" w:hAnsi="Arial"/>
                <w:sz w:val="22"/>
                <w:szCs w:val="22"/>
                <w:color w:val="auto"/>
              </w:rPr>
              <w:t>Outstanding at end of period</w:t>
            </w:r>
          </w:p>
        </w:tc>
        <w:tc>
          <w:tcPr>
            <w:tcW w:w="1380" w:type="dxa"/>
            <w:vAlign w:val="bottom"/>
          </w:tcPr>
          <w:p>
            <w:pPr>
              <w:jc w:val="right"/>
              <w:spacing w:after="0" w:line="223" w:lineRule="exact"/>
              <w:rPr>
                <w:sz w:val="20"/>
                <w:szCs w:val="20"/>
                <w:color w:val="auto"/>
              </w:rPr>
            </w:pPr>
            <w:r>
              <w:rPr>
                <w:rFonts w:ascii="Arial" w:cs="Arial" w:eastAsia="Arial" w:hAnsi="Arial"/>
                <w:sz w:val="22"/>
                <w:szCs w:val="22"/>
                <w:color w:val="auto"/>
              </w:rPr>
              <w:t>860,341</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160" w:type="dxa"/>
            <w:vAlign w:val="bottom"/>
          </w:tcPr>
          <w:p>
            <w:pPr>
              <w:jc w:val="right"/>
              <w:spacing w:after="0" w:line="223" w:lineRule="exact"/>
              <w:rPr>
                <w:sz w:val="20"/>
                <w:szCs w:val="20"/>
                <w:color w:val="auto"/>
              </w:rPr>
            </w:pPr>
            <w:r>
              <w:rPr>
                <w:rFonts w:ascii="Arial" w:cs="Arial" w:eastAsia="Arial" w:hAnsi="Arial"/>
                <w:sz w:val="22"/>
                <w:szCs w:val="22"/>
                <w:color w:val="auto"/>
              </w:rPr>
              <w:t>36.32</w:t>
            </w:r>
          </w:p>
        </w:tc>
        <w:tc>
          <w:tcPr>
            <w:tcW w:w="200" w:type="dxa"/>
            <w:vAlign w:val="bottom"/>
          </w:tcPr>
          <w:p>
            <w:pPr>
              <w:spacing w:after="0"/>
              <w:rPr>
                <w:sz w:val="19"/>
                <w:szCs w:val="19"/>
                <w:color w:val="auto"/>
              </w:rPr>
            </w:pPr>
          </w:p>
        </w:tc>
        <w:tc>
          <w:tcPr>
            <w:tcW w:w="1280" w:type="dxa"/>
            <w:vAlign w:val="bottom"/>
          </w:tcPr>
          <w:p>
            <w:pPr>
              <w:jc w:val="right"/>
              <w:spacing w:after="0" w:line="223" w:lineRule="exact"/>
              <w:rPr>
                <w:sz w:val="20"/>
                <w:szCs w:val="20"/>
                <w:color w:val="auto"/>
              </w:rPr>
            </w:pPr>
            <w:r>
              <w:rPr>
                <w:rFonts w:ascii="Arial" w:cs="Arial" w:eastAsia="Arial" w:hAnsi="Arial"/>
                <w:sz w:val="22"/>
                <w:szCs w:val="22"/>
                <w:color w:val="auto"/>
              </w:rPr>
              <w:t>6.7</w:t>
            </w:r>
          </w:p>
        </w:tc>
        <w:tc>
          <w:tcPr>
            <w:tcW w:w="400" w:type="dxa"/>
            <w:vAlign w:val="bottom"/>
            <w:gridSpan w:val="2"/>
          </w:tcPr>
          <w:p>
            <w:pPr>
              <w:jc w:val="right"/>
              <w:ind w:right="100"/>
              <w:spacing w:after="0" w:line="223" w:lineRule="exact"/>
              <w:rPr>
                <w:sz w:val="20"/>
                <w:szCs w:val="20"/>
                <w:color w:val="auto"/>
              </w:rPr>
            </w:pPr>
            <w:r>
              <w:rPr>
                <w:rFonts w:ascii="Arial" w:cs="Arial" w:eastAsia="Arial" w:hAnsi="Arial"/>
                <w:sz w:val="22"/>
                <w:szCs w:val="22"/>
                <w:color w:val="auto"/>
              </w:rPr>
              <w:t>$</w:t>
            </w:r>
          </w:p>
        </w:tc>
        <w:tc>
          <w:tcPr>
            <w:tcW w:w="1340" w:type="dxa"/>
            <w:vAlign w:val="bottom"/>
          </w:tcPr>
          <w:p>
            <w:pPr>
              <w:jc w:val="right"/>
              <w:spacing w:after="0" w:line="223" w:lineRule="exact"/>
              <w:rPr>
                <w:sz w:val="20"/>
                <w:szCs w:val="20"/>
                <w:color w:val="auto"/>
              </w:rPr>
            </w:pPr>
            <w:r>
              <w:rPr>
                <w:rFonts w:ascii="Arial" w:cs="Arial" w:eastAsia="Arial" w:hAnsi="Arial"/>
                <w:sz w:val="22"/>
                <w:szCs w:val="22"/>
                <w:color w:val="auto"/>
              </w:rPr>
              <w:t>8,199</w:t>
            </w:r>
          </w:p>
        </w:tc>
      </w:tr>
      <w:tr>
        <w:trPr>
          <w:trHeight w:val="20"/>
        </w:trPr>
        <w:tc>
          <w:tcPr>
            <w:tcW w:w="5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510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Exercisable at end of period</w:t>
            </w:r>
          </w:p>
        </w:tc>
        <w:tc>
          <w:tcPr>
            <w:tcW w:w="13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777,449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35.37</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6.4</w:t>
            </w:r>
          </w:p>
        </w:tc>
        <w:tc>
          <w:tcPr>
            <w:tcW w:w="400" w:type="dxa"/>
            <w:vAlign w:val="bottom"/>
            <w:gridSpan w:val="2"/>
            <w:shd w:val="clear" w:color="auto" w:fill="CCEEFF"/>
          </w:tcPr>
          <w:p>
            <w:pPr>
              <w:jc w:val="right"/>
              <w:ind w:right="100"/>
              <w:spacing w:after="0" w:line="229" w:lineRule="exact"/>
              <w:rPr>
                <w:sz w:val="20"/>
                <w:szCs w:val="20"/>
                <w:color w:val="auto"/>
              </w:rPr>
            </w:pPr>
            <w:r>
              <w:rPr>
                <w:rFonts w:ascii="Arial" w:cs="Arial" w:eastAsia="Arial" w:hAnsi="Arial"/>
                <w:sz w:val="22"/>
                <w:szCs w:val="22"/>
                <w:color w:val="auto"/>
              </w:rPr>
              <w:t>$</w:t>
            </w: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8,144</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line="267" w:lineRule="auto"/>
        <w:rPr>
          <w:sz w:val="20"/>
          <w:szCs w:val="20"/>
          <w:color w:val="auto"/>
        </w:rPr>
      </w:pPr>
      <w:r>
        <w:rPr>
          <w:rFonts w:ascii="Arial" w:cs="Arial" w:eastAsia="Arial" w:hAnsi="Arial"/>
          <w:sz w:val="19"/>
          <w:szCs w:val="19"/>
          <w:b w:val="1"/>
          <w:bCs w:val="1"/>
          <w:i w:val="1"/>
          <w:iCs w:val="1"/>
          <w:color w:val="auto"/>
        </w:rPr>
        <w:t xml:space="preserve">Restricted Stock – </w:t>
      </w:r>
      <w:r>
        <w:rPr>
          <w:rFonts w:ascii="Arial" w:cs="Arial" w:eastAsia="Arial" w:hAnsi="Arial"/>
          <w:sz w:val="19"/>
          <w:szCs w:val="19"/>
          <w:color w:val="auto"/>
        </w:rPr>
        <w:t>Restricted stock awards provide the grantee with the rights of a shareholder, including the right to receive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dividends and to vote such shares, but not the right to sell or otherwise transfer the shares during the restriction period. Restricted stock awards result in compensation expense that is equal to the fair market value of the stock on the date of the grant and is amortized ratably over the restriction period. The Company expects forfeitures of restricted stock to be de minimis. The following table provides the compensation cost and income tax benefit for stock-based compensation related to restricted stock:</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60" w:type="dxa"/>
            <w:vAlign w:val="bottom"/>
          </w:tcPr>
          <w:p>
            <w:pPr>
              <w:spacing w:after="0"/>
              <w:rPr>
                <w:sz w:val="21"/>
                <w:szCs w:val="21"/>
                <w:color w:val="auto"/>
              </w:rPr>
            </w:pPr>
          </w:p>
        </w:tc>
        <w:tc>
          <w:tcPr>
            <w:tcW w:w="2980" w:type="dxa"/>
            <w:vAlign w:val="bottom"/>
            <w:gridSpan w:val="5"/>
          </w:tcPr>
          <w:p>
            <w:pPr>
              <w:ind w:left="740"/>
              <w:spacing w:after="0"/>
              <w:rPr>
                <w:sz w:val="20"/>
                <w:szCs w:val="20"/>
                <w:color w:val="auto"/>
              </w:rPr>
            </w:pPr>
            <w:r>
              <w:rPr>
                <w:rFonts w:ascii="Arial" w:cs="Arial" w:eastAsia="Arial" w:hAnsi="Arial"/>
                <w:sz w:val="22"/>
                <w:szCs w:val="22"/>
                <w:color w:val="auto"/>
              </w:rPr>
              <w:t>Three Months Ended</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40" w:type="dxa"/>
            <w:vAlign w:val="bottom"/>
            <w:gridSpan w:val="5"/>
          </w:tcPr>
          <w:p>
            <w:pPr>
              <w:jc w:val="center"/>
              <w:ind w:right="172"/>
              <w:spacing w:after="0"/>
              <w:rPr>
                <w:sz w:val="20"/>
                <w:szCs w:val="20"/>
                <w:color w:val="auto"/>
              </w:rPr>
            </w:pPr>
            <w:r>
              <w:rPr>
                <w:rFonts w:ascii="Arial" w:cs="Arial" w:eastAsia="Arial" w:hAnsi="Arial"/>
                <w:sz w:val="22"/>
                <w:szCs w:val="22"/>
                <w:color w:val="auto"/>
                <w:w w:val="89"/>
              </w:rPr>
              <w:t>Six Months Ended</w:t>
            </w:r>
          </w:p>
        </w:tc>
        <w:tc>
          <w:tcPr>
            <w:tcW w:w="0" w:type="dxa"/>
            <w:vAlign w:val="bottom"/>
          </w:tcPr>
          <w:p>
            <w:pPr>
              <w:spacing w:after="0"/>
              <w:rPr>
                <w:sz w:val="1"/>
                <w:szCs w:val="1"/>
                <w:color w:val="auto"/>
              </w:rPr>
            </w:pPr>
          </w:p>
        </w:tc>
      </w:tr>
      <w:tr>
        <w:trPr>
          <w:trHeight w:val="251"/>
        </w:trPr>
        <w:tc>
          <w:tcPr>
            <w:tcW w:w="476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60"/>
              <w:spacing w:after="0" w:line="251" w:lineRule="exact"/>
              <w:rPr>
                <w:sz w:val="20"/>
                <w:szCs w:val="20"/>
                <w:color w:val="auto"/>
              </w:rPr>
            </w:pPr>
            <w:r>
              <w:rPr>
                <w:rFonts w:ascii="Arial" w:cs="Arial" w:eastAsia="Arial" w:hAnsi="Arial"/>
                <w:sz w:val="22"/>
                <w:szCs w:val="22"/>
                <w:color w:val="auto"/>
                <w:w w:val="89"/>
              </w:rPr>
              <w:t>June 30,</w:t>
            </w:r>
          </w:p>
        </w:tc>
        <w:tc>
          <w:tcPr>
            <w:tcW w:w="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4"/>
          </w:tcPr>
          <w:p>
            <w:pPr>
              <w:jc w:val="center"/>
              <w:ind w:left="612"/>
              <w:spacing w:after="0" w:line="251" w:lineRule="exact"/>
              <w:rPr>
                <w:sz w:val="20"/>
                <w:szCs w:val="20"/>
                <w:color w:val="auto"/>
              </w:rPr>
            </w:pPr>
            <w:r>
              <w:rPr>
                <w:rFonts w:ascii="Arial" w:cs="Arial" w:eastAsia="Arial" w:hAnsi="Arial"/>
                <w:sz w:val="22"/>
                <w:szCs w:val="22"/>
                <w:color w:val="auto"/>
                <w:w w:val="85"/>
              </w:rPr>
              <w:t>June 30,</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1240" w:type="dxa"/>
            <w:vAlign w:val="bottom"/>
          </w:tcPr>
          <w:p>
            <w:pPr>
              <w:ind w:left="760"/>
              <w:spacing w:after="0" w:line="223" w:lineRule="exact"/>
              <w:rPr>
                <w:sz w:val="20"/>
                <w:szCs w:val="20"/>
                <w:color w:val="auto"/>
              </w:rPr>
            </w:pPr>
            <w:r>
              <w:rPr>
                <w:rFonts w:ascii="Arial" w:cs="Arial" w:eastAsia="Arial" w:hAnsi="Arial"/>
                <w:sz w:val="22"/>
                <w:szCs w:val="22"/>
                <w:color w:val="auto"/>
                <w:w w:val="93"/>
              </w:rPr>
              <w:t>2022</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40"/>
              <w:spacing w:after="0" w:line="223" w:lineRule="exact"/>
              <w:rPr>
                <w:sz w:val="20"/>
                <w:szCs w:val="20"/>
                <w:color w:val="auto"/>
              </w:rPr>
            </w:pPr>
            <w:r>
              <w:rPr>
                <w:rFonts w:ascii="Arial" w:cs="Arial" w:eastAsia="Arial" w:hAnsi="Arial"/>
                <w:sz w:val="22"/>
                <w:szCs w:val="22"/>
                <w:color w:val="auto"/>
              </w:rPr>
              <w:t>2021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52"/>
              <w:spacing w:after="0" w:line="223" w:lineRule="exact"/>
              <w:rPr>
                <w:sz w:val="20"/>
                <w:szCs w:val="20"/>
                <w:color w:val="auto"/>
              </w:rPr>
            </w:pPr>
            <w:r>
              <w:rPr>
                <w:rFonts w:ascii="Arial" w:cs="Arial" w:eastAsia="Arial" w:hAnsi="Arial"/>
                <w:sz w:val="22"/>
                <w:szCs w:val="22"/>
                <w:color w:val="auto"/>
              </w:rPr>
              <w:t>2022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52"/>
              <w:spacing w:after="0" w:line="223" w:lineRule="exact"/>
              <w:rPr>
                <w:sz w:val="20"/>
                <w:szCs w:val="20"/>
                <w:color w:val="auto"/>
              </w:rPr>
            </w:pPr>
            <w:r>
              <w:rPr>
                <w:rFonts w:ascii="Arial" w:cs="Arial" w:eastAsia="Arial" w:hAnsi="Arial"/>
                <w:sz w:val="22"/>
                <w:szCs w:val="22"/>
                <w:color w:val="auto"/>
              </w:rPr>
              <w:t>2021</w:t>
            </w:r>
          </w:p>
        </w:tc>
        <w:tc>
          <w:tcPr>
            <w:tcW w:w="0" w:type="dxa"/>
            <w:vAlign w:val="bottom"/>
          </w:tcPr>
          <w:p>
            <w:pPr>
              <w:spacing w:after="0"/>
              <w:rPr>
                <w:sz w:val="1"/>
                <w:szCs w:val="1"/>
                <w:color w:val="auto"/>
              </w:rPr>
            </w:pPr>
          </w:p>
        </w:tc>
      </w:tr>
      <w:tr>
        <w:trPr>
          <w:trHeight w:val="188"/>
        </w:trPr>
        <w:tc>
          <w:tcPr>
            <w:tcW w:w="476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21"/>
                <w:szCs w:val="21"/>
                <w:color w:val="auto"/>
              </w:rPr>
              <w:t>Stock-based compensation within operations and</w:t>
            </w:r>
          </w:p>
        </w:tc>
        <w:tc>
          <w:tcPr>
            <w:tcW w:w="12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6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1240" w:type="dxa"/>
            <w:vAlign w:val="bottom"/>
            <w:shd w:val="clear" w:color="auto" w:fill="CCEEFF"/>
          </w:tcPr>
          <w:p>
            <w:pPr>
              <w:jc w:val="right"/>
              <w:ind w:right="1035"/>
              <w:spacing w:after="0"/>
              <w:rPr>
                <w:sz w:val="20"/>
                <w:szCs w:val="20"/>
                <w:color w:val="auto"/>
              </w:rPr>
            </w:pPr>
            <w:r>
              <w:rPr>
                <w:rFonts w:ascii="Arial" w:cs="Arial" w:eastAsia="Arial" w:hAnsi="Arial"/>
                <w:sz w:val="19"/>
                <w:szCs w:val="19"/>
                <w:color w:val="auto"/>
                <w:w w:val="75"/>
              </w:rPr>
              <w:t>$</w:t>
            </w:r>
          </w:p>
        </w:tc>
        <w:tc>
          <w:tcPr>
            <w:tcW w:w="840" w:type="dxa"/>
            <w:vAlign w:val="bottom"/>
            <w:gridSpan w:val="2"/>
            <w:shd w:val="clear" w:color="auto" w:fill="CCEEFF"/>
          </w:tcPr>
          <w:p>
            <w:pPr>
              <w:jc w:val="right"/>
              <w:ind w:right="140"/>
              <w:spacing w:after="0" w:line="251" w:lineRule="exact"/>
              <w:rPr>
                <w:sz w:val="20"/>
                <w:szCs w:val="20"/>
                <w:color w:val="auto"/>
              </w:rPr>
            </w:pPr>
            <w:r>
              <w:rPr>
                <w:rFonts w:ascii="Arial" w:cs="Arial" w:eastAsia="Arial" w:hAnsi="Arial"/>
                <w:sz w:val="22"/>
                <w:szCs w:val="22"/>
                <w:color w:val="auto"/>
              </w:rPr>
              <w:t>13</w:t>
            </w:r>
          </w:p>
        </w:tc>
        <w:tc>
          <w:tcPr>
            <w:tcW w:w="900" w:type="dxa"/>
            <w:vAlign w:val="bottom"/>
            <w:gridSpan w:val="2"/>
            <w:shd w:val="clear" w:color="auto" w:fill="CCEEFF"/>
          </w:tcPr>
          <w:p>
            <w:pPr>
              <w:jc w:val="right"/>
              <w:ind w:right="720"/>
              <w:spacing w:after="0" w:line="251" w:lineRule="exact"/>
              <w:rPr>
                <w:sz w:val="20"/>
                <w:szCs w:val="20"/>
                <w:color w:val="auto"/>
              </w:rPr>
            </w:pPr>
            <w:r>
              <w:rPr>
                <w:rFonts w:ascii="Arial" w:cs="Arial" w:eastAsia="Arial" w:hAnsi="Arial"/>
                <w:sz w:val="22"/>
                <w:szCs w:val="22"/>
                <w:color w:val="auto"/>
              </w:rPr>
              <w:t>$</w:t>
            </w:r>
          </w:p>
        </w:tc>
        <w:tc>
          <w:tcPr>
            <w:tcW w:w="3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7"/>
              </w:rPr>
              <w:t>12</w:t>
            </w: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52"/>
              <w:spacing w:after="0" w:line="251" w:lineRule="exact"/>
              <w:rPr>
                <w:sz w:val="20"/>
                <w:szCs w:val="20"/>
                <w:color w:val="auto"/>
              </w:rPr>
            </w:pPr>
            <w:r>
              <w:rPr>
                <w:rFonts w:ascii="Arial" w:cs="Arial" w:eastAsia="Arial" w:hAnsi="Arial"/>
                <w:sz w:val="22"/>
                <w:szCs w:val="22"/>
                <w:color w:val="auto"/>
                <w:w w:val="81"/>
              </w:rPr>
              <w:t>$</w:t>
            </w:r>
          </w:p>
        </w:tc>
        <w:tc>
          <w:tcPr>
            <w:tcW w:w="1180" w:type="dxa"/>
            <w:vAlign w:val="bottom"/>
            <w:gridSpan w:val="2"/>
            <w:shd w:val="clear" w:color="auto" w:fill="CCEEFF"/>
          </w:tcPr>
          <w:p>
            <w:pPr>
              <w:jc w:val="right"/>
              <w:ind w:right="100"/>
              <w:spacing w:after="0" w:line="251" w:lineRule="exact"/>
              <w:rPr>
                <w:sz w:val="20"/>
                <w:szCs w:val="20"/>
                <w:color w:val="auto"/>
              </w:rPr>
            </w:pPr>
            <w:r>
              <w:rPr>
                <w:rFonts w:ascii="Arial" w:cs="Arial" w:eastAsia="Arial" w:hAnsi="Arial"/>
                <w:sz w:val="22"/>
                <w:szCs w:val="22"/>
                <w:color w:val="auto"/>
              </w:rPr>
              <w:t>25</w:t>
            </w:r>
          </w:p>
        </w:tc>
        <w:tc>
          <w:tcPr>
            <w:tcW w:w="460" w:type="dxa"/>
            <w:vAlign w:val="bottom"/>
            <w:gridSpan w:val="2"/>
            <w:shd w:val="clear" w:color="auto" w:fill="CCEEFF"/>
          </w:tcPr>
          <w:p>
            <w:pPr>
              <w:jc w:val="right"/>
              <w:ind w:right="260"/>
              <w:spacing w:after="0" w:line="251" w:lineRule="exact"/>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106</w:t>
            </w:r>
          </w:p>
        </w:tc>
        <w:tc>
          <w:tcPr>
            <w:tcW w:w="0" w:type="dxa"/>
            <w:vAlign w:val="bottom"/>
          </w:tcPr>
          <w:p>
            <w:pPr>
              <w:spacing w:after="0"/>
              <w:rPr>
                <w:sz w:val="1"/>
                <w:szCs w:val="1"/>
                <w:color w:val="auto"/>
              </w:rPr>
            </w:pPr>
          </w:p>
        </w:tc>
      </w:tr>
      <w:tr>
        <w:trPr>
          <w:trHeight w:val="274"/>
        </w:trPr>
        <w:tc>
          <w:tcPr>
            <w:tcW w:w="4760" w:type="dxa"/>
            <w:vAlign w:val="bottom"/>
          </w:tcPr>
          <w:p>
            <w:pPr>
              <w:spacing w:after="0"/>
              <w:rPr>
                <w:sz w:val="20"/>
                <w:szCs w:val="20"/>
                <w:color w:val="auto"/>
              </w:rPr>
            </w:pPr>
            <w:r>
              <w:rPr>
                <w:rFonts w:ascii="Arial" w:cs="Arial" w:eastAsia="Arial" w:hAnsi="Arial"/>
                <w:sz w:val="22"/>
                <w:szCs w:val="22"/>
                <w:color w:val="auto"/>
              </w:rPr>
              <w:t>Income tax benefit</w:t>
            </w:r>
          </w:p>
        </w:tc>
        <w:tc>
          <w:tcPr>
            <w:tcW w:w="1240" w:type="dxa"/>
            <w:vAlign w:val="bottom"/>
            <w:vMerge w:val="restart"/>
          </w:tcPr>
          <w:p>
            <w:pPr>
              <w:ind w:left="760"/>
              <w:spacing w:after="0"/>
              <w:rPr>
                <w:sz w:val="20"/>
                <w:szCs w:val="20"/>
                <w:color w:val="auto"/>
              </w:rPr>
            </w:pPr>
            <w:r>
              <w:rPr>
                <w:rFonts w:ascii="Arial" w:cs="Arial" w:eastAsia="Arial" w:hAnsi="Arial"/>
                <w:sz w:val="22"/>
                <w:szCs w:val="22"/>
                <w:color w:val="auto"/>
              </w:rPr>
              <w:t>21</w:t>
            </w:r>
          </w:p>
        </w:tc>
        <w:tc>
          <w:tcPr>
            <w:tcW w:w="840" w:type="dxa"/>
            <w:vAlign w:val="bottom"/>
            <w:gridSpan w:val="2"/>
          </w:tcPr>
          <w:p>
            <w:pPr>
              <w:jc w:val="right"/>
              <w:ind w:right="140"/>
              <w:spacing w:after="0"/>
              <w:rPr>
                <w:sz w:val="20"/>
                <w:szCs w:val="20"/>
                <w:color w:val="auto"/>
              </w:rPr>
            </w:pPr>
            <w:r>
              <w:rPr>
                <w:rFonts w:ascii="Arial" w:cs="Arial" w:eastAsia="Arial" w:hAnsi="Arial"/>
                <w:sz w:val="22"/>
                <w:szCs w:val="22"/>
                <w:color w:val="auto"/>
              </w:rPr>
              <w:t>3</w:t>
            </w: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22"/>
                <w:szCs w:val="22"/>
                <w:color w:val="auto"/>
              </w:rPr>
              <w:t>4</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22"/>
                <w:szCs w:val="22"/>
                <w:color w:val="auto"/>
              </w:rPr>
              <w:t>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08"/>
        </w:trPr>
        <w:tc>
          <w:tcPr>
            <w:tcW w:w="47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47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2" w:name="page23"/>
    <w:bookmarkEnd w:id="2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restricted stock transactions for the six months ended June 30,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center"/>
              <w:ind w:right="152"/>
              <w:spacing w:after="0"/>
              <w:rPr>
                <w:sz w:val="20"/>
                <w:szCs w:val="20"/>
                <w:color w:val="auto"/>
              </w:rPr>
            </w:pPr>
            <w:r>
              <w:rPr>
                <w:rFonts w:ascii="Arial" w:cs="Arial" w:eastAsia="Arial" w:hAnsi="Arial"/>
                <w:sz w:val="22"/>
                <w:szCs w:val="22"/>
                <w:color w:val="auto"/>
                <w:w w:val="91"/>
              </w:rPr>
              <w:t>Number</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jc w:val="center"/>
              <w:ind w:right="212"/>
              <w:spacing w:after="0"/>
              <w:rPr>
                <w:sz w:val="20"/>
                <w:szCs w:val="20"/>
                <w:color w:val="auto"/>
              </w:rPr>
            </w:pPr>
            <w:r>
              <w:rPr>
                <w:rFonts w:ascii="Arial" w:cs="Arial" w:eastAsia="Arial" w:hAnsi="Arial"/>
                <w:sz w:val="22"/>
                <w:szCs w:val="22"/>
                <w:color w:val="auto"/>
                <w:w w:val="88"/>
              </w:rPr>
              <w:t>Weighted</w:t>
            </w:r>
          </w:p>
        </w:tc>
      </w:tr>
      <w:tr>
        <w:trPr>
          <w:trHeight w:val="230"/>
        </w:trPr>
        <w:tc>
          <w:tcPr>
            <w:tcW w:w="7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center"/>
              <w:ind w:right="132"/>
              <w:spacing w:after="0" w:line="229" w:lineRule="exact"/>
              <w:rPr>
                <w:sz w:val="20"/>
                <w:szCs w:val="20"/>
                <w:color w:val="auto"/>
              </w:rPr>
            </w:pPr>
            <w:r>
              <w:rPr>
                <w:rFonts w:ascii="Arial" w:cs="Arial" w:eastAsia="Arial" w:hAnsi="Arial"/>
                <w:sz w:val="22"/>
                <w:szCs w:val="22"/>
                <w:color w:val="auto"/>
                <w:w w:val="97"/>
              </w:rPr>
              <w:t>of</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center"/>
              <w:ind w:right="212"/>
              <w:spacing w:after="0" w:line="229" w:lineRule="exact"/>
              <w:rPr>
                <w:sz w:val="20"/>
                <w:szCs w:val="20"/>
                <w:color w:val="auto"/>
              </w:rPr>
            </w:pPr>
            <w:r>
              <w:rPr>
                <w:rFonts w:ascii="Arial" w:cs="Arial" w:eastAsia="Arial" w:hAnsi="Arial"/>
                <w:sz w:val="22"/>
                <w:szCs w:val="22"/>
                <w:color w:val="auto"/>
                <w:w w:val="85"/>
              </w:rPr>
              <w:t>Average</w:t>
            </w:r>
          </w:p>
        </w:tc>
      </w:tr>
      <w:tr>
        <w:trPr>
          <w:trHeight w:val="251"/>
        </w:trPr>
        <w:tc>
          <w:tcPr>
            <w:tcW w:w="72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152"/>
              <w:spacing w:after="0" w:line="251" w:lineRule="exact"/>
              <w:rPr>
                <w:sz w:val="20"/>
                <w:szCs w:val="20"/>
                <w:color w:val="auto"/>
              </w:rPr>
            </w:pPr>
            <w:r>
              <w:rPr>
                <w:rFonts w:ascii="Arial" w:cs="Arial" w:eastAsia="Arial" w:hAnsi="Arial"/>
                <w:sz w:val="22"/>
                <w:szCs w:val="22"/>
                <w:color w:val="auto"/>
                <w:w w:val="80"/>
              </w:rPr>
              <w:t>Shares</w:t>
            </w:r>
          </w:p>
        </w:tc>
        <w:tc>
          <w:tcPr>
            <w:tcW w:w="2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212"/>
              <w:spacing w:after="0" w:line="251" w:lineRule="exact"/>
              <w:rPr>
                <w:sz w:val="20"/>
                <w:szCs w:val="20"/>
                <w:color w:val="auto"/>
              </w:rPr>
            </w:pPr>
            <w:r>
              <w:rPr>
                <w:rFonts w:ascii="Arial" w:cs="Arial" w:eastAsia="Arial" w:hAnsi="Arial"/>
                <w:sz w:val="22"/>
                <w:szCs w:val="22"/>
                <w:color w:val="auto"/>
                <w:w w:val="89"/>
              </w:rPr>
              <w:t>Fair Value</w:t>
            </w:r>
          </w:p>
        </w:tc>
      </w:tr>
      <w:tr>
        <w:trPr>
          <w:trHeight w:val="223"/>
        </w:trPr>
        <w:tc>
          <w:tcPr>
            <w:tcW w:w="72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Nonvested restricted stock at beginning of period</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1,068</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9"/>
                <w:szCs w:val="19"/>
                <w:color w:val="auto"/>
                <w:w w:val="75"/>
              </w:rPr>
              <w:t>$</w:t>
            </w:r>
          </w:p>
        </w:tc>
        <w:tc>
          <w:tcPr>
            <w:tcW w:w="16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46.83</w:t>
            </w:r>
          </w:p>
        </w:tc>
      </w:tr>
      <w:tr>
        <w:trPr>
          <w:trHeight w:val="229"/>
        </w:trPr>
        <w:tc>
          <w:tcPr>
            <w:tcW w:w="7520" w:type="dxa"/>
            <w:vAlign w:val="bottom"/>
            <w:gridSpan w:val="2"/>
          </w:tcPr>
          <w:p>
            <w:pPr>
              <w:ind w:left="120"/>
              <w:spacing w:after="0" w:line="229" w:lineRule="exact"/>
              <w:rPr>
                <w:sz w:val="20"/>
                <w:szCs w:val="20"/>
                <w:color w:val="auto"/>
              </w:rPr>
            </w:pPr>
            <w:r>
              <w:rPr>
                <w:rFonts w:ascii="Arial" w:cs="Arial" w:eastAsia="Arial" w:hAnsi="Arial"/>
                <w:sz w:val="22"/>
                <w:szCs w:val="22"/>
                <w:color w:val="auto"/>
              </w:rPr>
              <w:t>Granted</w:t>
            </w:r>
          </w:p>
        </w:tc>
        <w:tc>
          <w:tcPr>
            <w:tcW w:w="146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r>
      <w:tr>
        <w:trPr>
          <w:trHeight w:val="229"/>
        </w:trPr>
        <w:tc>
          <w:tcPr>
            <w:tcW w:w="7520" w:type="dxa"/>
            <w:vAlign w:val="bottom"/>
            <w:gridSpan w:val="2"/>
            <w:shd w:val="clear" w:color="auto" w:fill="CCEEFF"/>
          </w:tcPr>
          <w:p>
            <w:pPr>
              <w:ind w:left="120"/>
              <w:spacing w:after="0" w:line="229" w:lineRule="exact"/>
              <w:rPr>
                <w:sz w:val="20"/>
                <w:szCs w:val="20"/>
                <w:color w:val="auto"/>
              </w:rPr>
            </w:pPr>
            <w:r>
              <w:rPr>
                <w:rFonts w:ascii="Arial" w:cs="Arial" w:eastAsia="Arial" w:hAnsi="Arial"/>
                <w:sz w:val="22"/>
                <w:szCs w:val="22"/>
                <w:color w:val="auto"/>
              </w:rPr>
              <w:t>Vested</w:t>
            </w:r>
          </w:p>
        </w:tc>
        <w:tc>
          <w:tcPr>
            <w:tcW w:w="14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r>
      <w:tr>
        <w:trPr>
          <w:trHeight w:val="223"/>
        </w:trPr>
        <w:tc>
          <w:tcPr>
            <w:tcW w:w="7260" w:type="dxa"/>
            <w:vAlign w:val="bottom"/>
          </w:tcPr>
          <w:p>
            <w:pPr>
              <w:spacing w:after="0" w:line="223" w:lineRule="exact"/>
              <w:rPr>
                <w:sz w:val="20"/>
                <w:szCs w:val="20"/>
                <w:color w:val="auto"/>
              </w:rPr>
            </w:pPr>
            <w:r>
              <w:rPr>
                <w:rFonts w:ascii="Arial" w:cs="Arial" w:eastAsia="Arial" w:hAnsi="Arial"/>
                <w:sz w:val="22"/>
                <w:szCs w:val="22"/>
                <w:color w:val="auto"/>
              </w:rPr>
              <w:t>Nonvested restricted stock at end of period</w:t>
            </w: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1,068</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9"/>
                <w:szCs w:val="19"/>
                <w:color w:val="auto"/>
                <w:w w:val="75"/>
              </w:rPr>
              <w:t>$</w:t>
            </w:r>
          </w:p>
        </w:tc>
        <w:tc>
          <w:tcPr>
            <w:tcW w:w="16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46.83</w:t>
            </w:r>
          </w:p>
        </w:tc>
      </w:tr>
      <w:tr>
        <w:trPr>
          <w:trHeight w:val="20"/>
        </w:trPr>
        <w:tc>
          <w:tcPr>
            <w:tcW w:w="7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463"/>
        </w:trPr>
        <w:tc>
          <w:tcPr>
            <w:tcW w:w="7520" w:type="dxa"/>
            <w:vAlign w:val="bottom"/>
            <w:gridSpan w:val="2"/>
          </w:tcPr>
          <w:p>
            <w:pPr>
              <w:spacing w:after="0"/>
              <w:rPr>
                <w:sz w:val="20"/>
                <w:szCs w:val="20"/>
                <w:color w:val="auto"/>
              </w:rPr>
            </w:pPr>
            <w:r>
              <w:rPr>
                <w:rFonts w:ascii="Arial" w:cs="Arial" w:eastAsia="Arial" w:hAnsi="Arial"/>
                <w:sz w:val="22"/>
                <w:szCs w:val="22"/>
                <w:color w:val="auto"/>
                <w:w w:val="91"/>
              </w:rPr>
              <w:t>The Company did not grant restricted stock for the six months ended June 30, 2022.</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185" w:lineRule="exact"/>
        <w:rPr>
          <w:sz w:val="20"/>
          <w:szCs w:val="20"/>
          <w:color w:val="auto"/>
        </w:rPr>
      </w:pPr>
    </w:p>
    <w:p>
      <w:pPr>
        <w:ind w:right="120"/>
        <w:spacing w:after="0" w:line="228" w:lineRule="auto"/>
        <w:rPr>
          <w:sz w:val="20"/>
          <w:szCs w:val="20"/>
          <w:color w:val="auto"/>
        </w:rPr>
      </w:pPr>
      <w:r>
        <w:rPr>
          <w:rFonts w:ascii="Arial" w:cs="Arial" w:eastAsia="Arial" w:hAnsi="Arial"/>
          <w:sz w:val="22"/>
          <w:szCs w:val="22"/>
          <w:b w:val="1"/>
          <w:bCs w:val="1"/>
          <w:i w:val="1"/>
          <w:iCs w:val="1"/>
          <w:color w:val="auto"/>
        </w:rPr>
        <w:t xml:space="preserve">Stock Awards </w:t>
      </w:r>
      <w:r>
        <w:rPr>
          <w:rFonts w:ascii="Arial" w:cs="Arial" w:eastAsia="Arial" w:hAnsi="Arial"/>
          <w:sz w:val="22"/>
          <w:szCs w:val="22"/>
          <w:color w:val="auto"/>
        </w:rPr>
        <w:t>– Stock awards represent the issuance of the Company’s common stock, without restriction. The issuance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stock awards results in compensation expense that is equal to the fair market value of the stock on the grant date and is expensed immediately upon grant. The following table provides the compensation cost and income tax benefit for stock-based compensation related to stock awards: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60" w:type="dxa"/>
            <w:vAlign w:val="bottom"/>
            <w:gridSpan w:val="4"/>
          </w:tcPr>
          <w:p>
            <w:pPr>
              <w:jc w:val="center"/>
              <w:ind w:left="332"/>
              <w:spacing w:after="0"/>
              <w:rPr>
                <w:sz w:val="20"/>
                <w:szCs w:val="20"/>
                <w:color w:val="auto"/>
              </w:rPr>
            </w:pPr>
            <w:r>
              <w:rPr>
                <w:rFonts w:ascii="Arial" w:cs="Arial" w:eastAsia="Arial" w:hAnsi="Arial"/>
                <w:sz w:val="22"/>
                <w:szCs w:val="22"/>
                <w:color w:val="auto"/>
                <w:w w:val="88"/>
              </w:rPr>
              <w:t>Three Months Ended</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60" w:type="dxa"/>
            <w:vAlign w:val="bottom"/>
            <w:gridSpan w:val="5"/>
          </w:tcPr>
          <w:p>
            <w:pPr>
              <w:jc w:val="center"/>
              <w:ind w:right="232"/>
              <w:spacing w:after="0"/>
              <w:rPr>
                <w:sz w:val="20"/>
                <w:szCs w:val="20"/>
                <w:color w:val="auto"/>
              </w:rPr>
            </w:pPr>
            <w:r>
              <w:rPr>
                <w:rFonts w:ascii="Arial" w:cs="Arial" w:eastAsia="Arial" w:hAnsi="Arial"/>
                <w:sz w:val="22"/>
                <w:szCs w:val="22"/>
                <w:color w:val="auto"/>
                <w:w w:val="89"/>
              </w:rPr>
              <w:t>Six Months Ended</w:t>
            </w:r>
          </w:p>
        </w:tc>
      </w:tr>
      <w:tr>
        <w:trPr>
          <w:trHeight w:val="251"/>
        </w:trPr>
        <w:tc>
          <w:tcPr>
            <w:tcW w:w="4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center"/>
              <w:ind w:right="417"/>
              <w:spacing w:after="0" w:line="251" w:lineRule="exact"/>
              <w:rPr>
                <w:sz w:val="20"/>
                <w:szCs w:val="20"/>
                <w:color w:val="auto"/>
              </w:rPr>
            </w:pPr>
            <w:r>
              <w:rPr>
                <w:rFonts w:ascii="Arial" w:cs="Arial" w:eastAsia="Arial" w:hAnsi="Arial"/>
                <w:sz w:val="22"/>
                <w:szCs w:val="22"/>
                <w:color w:val="auto"/>
                <w:w w:val="85"/>
              </w:rPr>
              <w:t>June 30,</w:t>
            </w:r>
          </w:p>
        </w:tc>
        <w:tc>
          <w:tcPr>
            <w:tcW w:w="4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4"/>
          </w:tcPr>
          <w:p>
            <w:pPr>
              <w:jc w:val="center"/>
              <w:ind w:left="732"/>
              <w:spacing w:after="0" w:line="251" w:lineRule="exact"/>
              <w:rPr>
                <w:sz w:val="20"/>
                <w:szCs w:val="20"/>
                <w:color w:val="auto"/>
              </w:rPr>
            </w:pPr>
            <w:r>
              <w:rPr>
                <w:rFonts w:ascii="Arial" w:cs="Arial" w:eastAsia="Arial" w:hAnsi="Arial"/>
                <w:sz w:val="22"/>
                <w:szCs w:val="22"/>
                <w:color w:val="auto"/>
                <w:w w:val="85"/>
              </w:rPr>
              <w:t>June 30,</w:t>
            </w:r>
          </w:p>
        </w:tc>
        <w:tc>
          <w:tcPr>
            <w:tcW w:w="1180" w:type="dxa"/>
            <w:vAlign w:val="bottom"/>
            <w:tcBorders>
              <w:bottom w:val="single" w:sz="8" w:color="auto"/>
            </w:tcBorders>
          </w:tcPr>
          <w:p>
            <w:pPr>
              <w:spacing w:after="0"/>
              <w:rPr>
                <w:sz w:val="21"/>
                <w:szCs w:val="21"/>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2022</w:t>
            </w: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2021</w:t>
            </w: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2"/>
              <w:spacing w:after="0" w:line="223" w:lineRule="exact"/>
              <w:rPr>
                <w:sz w:val="20"/>
                <w:szCs w:val="20"/>
                <w:color w:val="auto"/>
              </w:rPr>
            </w:pPr>
            <w:r>
              <w:rPr>
                <w:rFonts w:ascii="Arial" w:cs="Arial" w:eastAsia="Arial" w:hAnsi="Arial"/>
                <w:sz w:val="22"/>
                <w:szCs w:val="22"/>
                <w:color w:val="auto"/>
              </w:rPr>
              <w:t>2022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2"/>
              <w:spacing w:after="0" w:line="223" w:lineRule="exact"/>
              <w:rPr>
                <w:sz w:val="20"/>
                <w:szCs w:val="20"/>
                <w:color w:val="auto"/>
              </w:rPr>
            </w:pPr>
            <w:r>
              <w:rPr>
                <w:rFonts w:ascii="Arial" w:cs="Arial" w:eastAsia="Arial" w:hAnsi="Arial"/>
                <w:sz w:val="22"/>
                <w:szCs w:val="22"/>
                <w:color w:val="auto"/>
              </w:rPr>
              <w:t>2021</w:t>
            </w:r>
          </w:p>
        </w:tc>
      </w:tr>
      <w:tr>
        <w:trPr>
          <w:trHeight w:val="188"/>
        </w:trPr>
        <w:tc>
          <w:tcPr>
            <w:tcW w:w="4460" w:type="dxa"/>
            <w:vAlign w:val="bottom"/>
            <w:shd w:val="clear" w:color="auto" w:fill="CCEEFF"/>
          </w:tcPr>
          <w:p>
            <w:pPr>
              <w:spacing w:after="0" w:line="188" w:lineRule="exact"/>
              <w:rPr>
                <w:sz w:val="20"/>
                <w:szCs w:val="20"/>
                <w:color w:val="auto"/>
              </w:rPr>
            </w:pPr>
            <w:r>
              <w:rPr>
                <w:rFonts w:ascii="Arial" w:cs="Arial" w:eastAsia="Arial" w:hAnsi="Arial"/>
                <w:sz w:val="21"/>
                <w:szCs w:val="21"/>
                <w:color w:val="auto"/>
                <w:w w:val="97"/>
              </w:rPr>
              <w:t>Stock-based compensation within operations and</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51"/>
        </w:trPr>
        <w:tc>
          <w:tcPr>
            <w:tcW w:w="446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1180" w:type="dxa"/>
            <w:vAlign w:val="bottom"/>
            <w:gridSpan w:val="2"/>
            <w:shd w:val="clear" w:color="auto" w:fill="CCEEFF"/>
          </w:tcPr>
          <w:p>
            <w:pPr>
              <w:jc w:val="right"/>
              <w:ind w:right="732"/>
              <w:spacing w:after="0" w:line="251" w:lineRule="exact"/>
              <w:rPr>
                <w:sz w:val="20"/>
                <w:szCs w:val="20"/>
                <w:color w:val="auto"/>
              </w:rPr>
            </w:pPr>
            <w:r>
              <w:rPr>
                <w:rFonts w:ascii="Arial" w:cs="Arial" w:eastAsia="Arial" w:hAnsi="Arial"/>
                <w:sz w:val="22"/>
                <w:szCs w:val="22"/>
                <w:color w:val="auto"/>
              </w:rPr>
              <w:t>$</w:t>
            </w:r>
          </w:p>
        </w:tc>
        <w:tc>
          <w:tcPr>
            <w:tcW w:w="38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7"/>
              </w:rPr>
              <w:t>165</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7"/>
              <w:spacing w:after="0"/>
              <w:rPr>
                <w:sz w:val="20"/>
                <w:szCs w:val="20"/>
                <w:color w:val="auto"/>
              </w:rPr>
            </w:pPr>
            <w:r>
              <w:rPr>
                <w:rFonts w:ascii="Arial" w:cs="Arial" w:eastAsia="Arial" w:hAnsi="Arial"/>
                <w:sz w:val="19"/>
                <w:szCs w:val="19"/>
                <w:color w:val="auto"/>
                <w:w w:val="75"/>
              </w:rPr>
              <w:t>$</w:t>
            </w:r>
          </w:p>
        </w:tc>
        <w:tc>
          <w:tcPr>
            <w:tcW w:w="44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7"/>
              </w:rPr>
              <w:t>175</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9"/>
                <w:szCs w:val="19"/>
                <w:color w:val="auto"/>
                <w:w w:val="75"/>
              </w:rPr>
              <w:t>$</w:t>
            </w:r>
          </w:p>
        </w:tc>
        <w:tc>
          <w:tcPr>
            <w:tcW w:w="1360" w:type="dxa"/>
            <w:vAlign w:val="bottom"/>
            <w:gridSpan w:val="2"/>
            <w:shd w:val="clear" w:color="auto" w:fill="CCEEFF"/>
          </w:tcPr>
          <w:p>
            <w:pPr>
              <w:jc w:val="right"/>
              <w:ind w:right="100"/>
              <w:spacing w:after="0" w:line="251" w:lineRule="exact"/>
              <w:rPr>
                <w:sz w:val="20"/>
                <w:szCs w:val="20"/>
                <w:color w:val="auto"/>
              </w:rPr>
            </w:pPr>
            <w:r>
              <w:rPr>
                <w:rFonts w:ascii="Arial" w:cs="Arial" w:eastAsia="Arial" w:hAnsi="Arial"/>
                <w:sz w:val="22"/>
                <w:szCs w:val="22"/>
                <w:color w:val="auto"/>
              </w:rPr>
              <w:t>357</w:t>
            </w:r>
          </w:p>
        </w:tc>
        <w:tc>
          <w:tcPr>
            <w:tcW w:w="520" w:type="dxa"/>
            <w:vAlign w:val="bottom"/>
            <w:gridSpan w:val="2"/>
            <w:shd w:val="clear" w:color="auto" w:fill="CCEEFF"/>
          </w:tcPr>
          <w:p>
            <w:pPr>
              <w:jc w:val="right"/>
              <w:ind w:right="320"/>
              <w:spacing w:after="0" w:line="251" w:lineRule="exact"/>
              <w:rPr>
                <w:sz w:val="20"/>
                <w:szCs w:val="20"/>
                <w:color w:val="auto"/>
              </w:rPr>
            </w:pPr>
            <w:r>
              <w:rPr>
                <w:rFonts w:ascii="Arial" w:cs="Arial" w:eastAsia="Arial" w:hAnsi="Arial"/>
                <w:sz w:val="22"/>
                <w:szCs w:val="22"/>
                <w:color w:val="auto"/>
              </w:rPr>
              <w:t>$</w:t>
            </w:r>
          </w:p>
        </w:tc>
        <w:tc>
          <w:tcPr>
            <w:tcW w:w="118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350</w:t>
            </w:r>
          </w:p>
        </w:tc>
      </w:tr>
      <w:tr>
        <w:trPr>
          <w:trHeight w:val="274"/>
        </w:trPr>
        <w:tc>
          <w:tcPr>
            <w:tcW w:w="4460" w:type="dxa"/>
            <w:vAlign w:val="bottom"/>
          </w:tcPr>
          <w:p>
            <w:pPr>
              <w:spacing w:after="0"/>
              <w:rPr>
                <w:sz w:val="20"/>
                <w:szCs w:val="20"/>
                <w:color w:val="auto"/>
              </w:rPr>
            </w:pPr>
            <w:r>
              <w:rPr>
                <w:rFonts w:ascii="Arial" w:cs="Arial" w:eastAsia="Arial" w:hAnsi="Arial"/>
                <w:sz w:val="22"/>
                <w:szCs w:val="22"/>
                <w:color w:val="auto"/>
              </w:rPr>
              <w:t>Income tax benefit</w:t>
            </w: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rPr>
              <w:t>47</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51</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22"/>
                <w:szCs w:val="22"/>
                <w:color w:val="auto"/>
              </w:rPr>
              <w:t>103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101</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stock award transactions for the six months ended June 30, 2022: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4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22"/>
                <w:szCs w:val="22"/>
                <w:color w:val="auto"/>
                <w:w w:val="89"/>
              </w:rPr>
              <w:t>Number</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jc w:val="center"/>
              <w:ind w:right="232"/>
              <w:spacing w:after="0"/>
              <w:rPr>
                <w:sz w:val="20"/>
                <w:szCs w:val="20"/>
                <w:color w:val="auto"/>
              </w:rPr>
            </w:pPr>
            <w:r>
              <w:rPr>
                <w:rFonts w:ascii="Arial" w:cs="Arial" w:eastAsia="Arial" w:hAnsi="Arial"/>
                <w:sz w:val="22"/>
                <w:szCs w:val="22"/>
                <w:color w:val="auto"/>
                <w:w w:val="90"/>
              </w:rPr>
              <w:t>Weighted</w:t>
            </w:r>
          </w:p>
        </w:tc>
      </w:tr>
      <w:tr>
        <w:trPr>
          <w:trHeight w:val="229"/>
        </w:trPr>
        <w:tc>
          <w:tcPr>
            <w:tcW w:w="7140" w:type="dxa"/>
            <w:vAlign w:val="bottom"/>
          </w:tcPr>
          <w:p>
            <w:pPr>
              <w:spacing w:after="0"/>
              <w:rPr>
                <w:sz w:val="19"/>
                <w:szCs w:val="19"/>
                <w:color w:val="auto"/>
              </w:rPr>
            </w:pPr>
          </w:p>
        </w:tc>
        <w:tc>
          <w:tcPr>
            <w:tcW w:w="1820" w:type="dxa"/>
            <w:vAlign w:val="bottom"/>
          </w:tcPr>
          <w:p>
            <w:pPr>
              <w:jc w:val="center"/>
              <w:spacing w:after="0" w:line="229" w:lineRule="exact"/>
              <w:rPr>
                <w:sz w:val="20"/>
                <w:szCs w:val="20"/>
                <w:color w:val="auto"/>
              </w:rPr>
            </w:pPr>
            <w:r>
              <w:rPr>
                <w:rFonts w:ascii="Arial" w:cs="Arial" w:eastAsia="Arial" w:hAnsi="Arial"/>
                <w:sz w:val="22"/>
                <w:szCs w:val="22"/>
                <w:color w:val="auto"/>
                <w:w w:val="97"/>
              </w:rPr>
              <w:t>of</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center"/>
              <w:ind w:right="232"/>
              <w:spacing w:after="0" w:line="229" w:lineRule="exact"/>
              <w:rPr>
                <w:sz w:val="20"/>
                <w:szCs w:val="20"/>
                <w:color w:val="auto"/>
              </w:rPr>
            </w:pPr>
            <w:r>
              <w:rPr>
                <w:rFonts w:ascii="Arial" w:cs="Arial" w:eastAsia="Arial" w:hAnsi="Arial"/>
                <w:sz w:val="22"/>
                <w:szCs w:val="22"/>
                <w:color w:val="auto"/>
                <w:w w:val="87"/>
              </w:rPr>
              <w:t>Average</w:t>
            </w:r>
          </w:p>
        </w:tc>
      </w:tr>
      <w:tr>
        <w:trPr>
          <w:trHeight w:val="251"/>
        </w:trPr>
        <w:tc>
          <w:tcPr>
            <w:tcW w:w="714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22"/>
                <w:szCs w:val="22"/>
                <w:color w:val="auto"/>
                <w:w w:val="89"/>
              </w:rPr>
              <w:t>Stock Awards</w:t>
            </w:r>
          </w:p>
        </w:tc>
        <w:tc>
          <w:tcPr>
            <w:tcW w:w="2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232"/>
              <w:spacing w:after="0" w:line="251" w:lineRule="exact"/>
              <w:rPr>
                <w:sz w:val="20"/>
                <w:szCs w:val="20"/>
                <w:color w:val="auto"/>
              </w:rPr>
            </w:pPr>
            <w:r>
              <w:rPr>
                <w:rFonts w:ascii="Arial" w:cs="Arial" w:eastAsia="Arial" w:hAnsi="Arial"/>
                <w:sz w:val="22"/>
                <w:szCs w:val="22"/>
                <w:color w:val="auto"/>
                <w:w w:val="87"/>
              </w:rPr>
              <w:t>Fair Value</w:t>
            </w:r>
          </w:p>
        </w:tc>
      </w:tr>
      <w:tr>
        <w:trPr>
          <w:trHeight w:val="223"/>
        </w:trPr>
        <w:tc>
          <w:tcPr>
            <w:tcW w:w="714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Nonvested stock awards at beginning of period</w:t>
            </w:r>
          </w:p>
        </w:tc>
        <w:tc>
          <w:tcPr>
            <w:tcW w:w="18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2"/>
              <w:spacing w:after="0" w:line="223" w:lineRule="exact"/>
              <w:rPr>
                <w:sz w:val="20"/>
                <w:szCs w:val="20"/>
                <w:color w:val="auto"/>
              </w:rPr>
            </w:pPr>
            <w:r>
              <w:rPr>
                <w:rFonts w:ascii="Arial" w:cs="Arial" w:eastAsia="Arial" w:hAnsi="Arial"/>
                <w:sz w:val="22"/>
                <w:szCs w:val="22"/>
                <w:color w:val="auto"/>
                <w:w w:val="81"/>
              </w:rPr>
              <w:t>$</w:t>
            </w:r>
          </w:p>
        </w:tc>
        <w:tc>
          <w:tcPr>
            <w:tcW w:w="16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w:t>
            </w:r>
          </w:p>
        </w:tc>
      </w:tr>
      <w:tr>
        <w:trPr>
          <w:trHeight w:val="229"/>
        </w:trPr>
        <w:tc>
          <w:tcPr>
            <w:tcW w:w="714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820" w:type="dxa"/>
            <w:vAlign w:val="bottom"/>
          </w:tcPr>
          <w:p>
            <w:pPr>
              <w:jc w:val="right"/>
              <w:spacing w:after="0" w:line="229" w:lineRule="exact"/>
              <w:rPr>
                <w:sz w:val="20"/>
                <w:szCs w:val="20"/>
                <w:color w:val="auto"/>
              </w:rPr>
            </w:pPr>
            <w:r>
              <w:rPr>
                <w:rFonts w:ascii="Arial" w:cs="Arial" w:eastAsia="Arial" w:hAnsi="Arial"/>
                <w:sz w:val="22"/>
                <w:szCs w:val="22"/>
                <w:color w:val="auto"/>
              </w:rPr>
              <w:t>7,660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Arial" w:cs="Arial" w:eastAsia="Arial" w:hAnsi="Arial"/>
                <w:sz w:val="22"/>
                <w:szCs w:val="22"/>
                <w:color w:val="auto"/>
              </w:rPr>
              <w:t>46.66</w:t>
            </w:r>
          </w:p>
        </w:tc>
      </w:tr>
      <w:tr>
        <w:trPr>
          <w:trHeight w:val="230"/>
        </w:trPr>
        <w:tc>
          <w:tcPr>
            <w:tcW w:w="714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Vested</w:t>
            </w:r>
          </w:p>
        </w:tc>
        <w:tc>
          <w:tcPr>
            <w:tcW w:w="18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(7,660)</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(46.66)</w:t>
            </w:r>
          </w:p>
        </w:tc>
      </w:tr>
      <w:tr>
        <w:trPr>
          <w:trHeight w:val="223"/>
        </w:trPr>
        <w:tc>
          <w:tcPr>
            <w:tcW w:w="7140" w:type="dxa"/>
            <w:vAlign w:val="bottom"/>
          </w:tcPr>
          <w:p>
            <w:pPr>
              <w:spacing w:after="0" w:line="223" w:lineRule="exact"/>
              <w:rPr>
                <w:sz w:val="20"/>
                <w:szCs w:val="20"/>
                <w:color w:val="auto"/>
              </w:rPr>
            </w:pPr>
            <w:r>
              <w:rPr>
                <w:rFonts w:ascii="Arial" w:cs="Arial" w:eastAsia="Arial" w:hAnsi="Arial"/>
                <w:sz w:val="22"/>
                <w:szCs w:val="22"/>
                <w:color w:val="auto"/>
              </w:rPr>
              <w:t>Nonvested stock awards at end of period</w:t>
            </w:r>
          </w:p>
        </w:tc>
        <w:tc>
          <w:tcPr>
            <w:tcW w:w="18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line="223" w:lineRule="exact"/>
              <w:rPr>
                <w:sz w:val="20"/>
                <w:szCs w:val="20"/>
                <w:color w:val="auto"/>
              </w:rPr>
            </w:pPr>
            <w:r>
              <w:rPr>
                <w:rFonts w:ascii="Arial" w:cs="Arial" w:eastAsia="Arial" w:hAnsi="Arial"/>
                <w:sz w:val="22"/>
                <w:szCs w:val="22"/>
                <w:color w:val="auto"/>
              </w:rPr>
              <w:t>-</w:t>
            </w:r>
          </w:p>
        </w:tc>
      </w:tr>
      <w:tr>
        <w:trPr>
          <w:trHeight w:val="20"/>
        </w:trPr>
        <w:tc>
          <w:tcPr>
            <w:tcW w:w="71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40"/>
        <w:spacing w:after="0" w:line="239" w:lineRule="auto"/>
        <w:rPr>
          <w:sz w:val="20"/>
          <w:szCs w:val="20"/>
          <w:color w:val="auto"/>
        </w:rPr>
      </w:pPr>
      <w:r>
        <w:rPr>
          <w:rFonts w:ascii="Arial" w:cs="Arial" w:eastAsia="Arial" w:hAnsi="Arial"/>
          <w:sz w:val="22"/>
          <w:szCs w:val="22"/>
          <w:color w:val="auto"/>
        </w:rPr>
        <w:t>The weighted-average fair value at the date of grant for stock awards granted during the six months ended June 30, 2022 and 2021 was $46.66 and $45.28,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3" w:name="page24"/>
    <w:bookmarkEnd w:id="2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 </w:t>
      </w:r>
      <w:r>
        <w:rPr>
          <w:rFonts w:ascii="Arial" w:cs="Arial" w:eastAsia="Arial" w:hAnsi="Arial"/>
          <w:sz w:val="22"/>
          <w:szCs w:val="22"/>
          <w:b w:val="1"/>
          <w:bCs w:val="1"/>
          <w:i w:val="1"/>
          <w:iCs w:val="1"/>
          <w:color w:val="auto"/>
        </w:rPr>
        <w:t>Pension Plans and Other Postretirement Benefits</w:t>
      </w:r>
    </w:p>
    <w:p>
      <w:pPr>
        <w:spacing w:after="0" w:line="212" w:lineRule="exact"/>
        <w:rPr>
          <w:sz w:val="20"/>
          <w:szCs w:val="20"/>
          <w:color w:val="auto"/>
        </w:rPr>
      </w:pPr>
    </w:p>
    <w:p>
      <w:pPr>
        <w:ind w:right="380"/>
        <w:spacing w:after="0" w:line="239" w:lineRule="auto"/>
        <w:rPr>
          <w:sz w:val="20"/>
          <w:szCs w:val="20"/>
          <w:color w:val="auto"/>
        </w:rPr>
      </w:pPr>
      <w:r>
        <w:rPr>
          <w:rFonts w:ascii="Arial" w:cs="Arial" w:eastAsia="Arial" w:hAnsi="Arial"/>
          <w:sz w:val="22"/>
          <w:szCs w:val="22"/>
          <w:color w:val="auto"/>
        </w:rPr>
        <w:t>The Company maintains a qualified defined benefit pension plan (the “Pension Plan”), a nonqualified pension plan, and other postretirement benefit plans for certain of its employees.</w:t>
      </w:r>
    </w:p>
    <w:p>
      <w:pPr>
        <w:spacing w:after="0" w:line="185" w:lineRule="exact"/>
        <w:rPr>
          <w:sz w:val="20"/>
          <w:szCs w:val="20"/>
          <w:color w:val="auto"/>
        </w:rPr>
      </w:pPr>
    </w:p>
    <w:p>
      <w:pPr>
        <w:ind w:right="1000"/>
        <w:spacing w:after="0" w:line="239" w:lineRule="auto"/>
        <w:rPr>
          <w:sz w:val="20"/>
          <w:szCs w:val="20"/>
          <w:color w:val="auto"/>
        </w:rPr>
      </w:pPr>
      <w:r>
        <w:rPr>
          <w:rFonts w:ascii="Arial" w:cs="Arial" w:eastAsia="Arial" w:hAnsi="Arial"/>
          <w:sz w:val="22"/>
          <w:szCs w:val="22"/>
          <w:color w:val="auto"/>
        </w:rPr>
        <w:t>The following tables provide the components of net periodic benefit (credit) cost for the Company’s pension and other postretirement benefit plans: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22"/>
                <w:szCs w:val="22"/>
                <w:color w:val="auto"/>
                <w:w w:val="88"/>
              </w:rPr>
              <w:t>Pension Benefits</w:t>
            </w:r>
          </w:p>
        </w:tc>
        <w:tc>
          <w:tcPr>
            <w:tcW w:w="4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2"/>
        </w:trPr>
        <w:tc>
          <w:tcPr>
            <w:tcW w:w="4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6"/>
          </w:tcPr>
          <w:p>
            <w:pPr>
              <w:jc w:val="right"/>
              <w:ind w:right="660"/>
              <w:spacing w:after="0" w:line="202" w:lineRule="exact"/>
              <w:rPr>
                <w:sz w:val="20"/>
                <w:szCs w:val="20"/>
                <w:color w:val="auto"/>
              </w:rPr>
            </w:pPr>
            <w:r>
              <w:rPr>
                <w:rFonts w:ascii="Arial" w:cs="Arial" w:eastAsia="Arial" w:hAnsi="Arial"/>
                <w:sz w:val="22"/>
                <w:szCs w:val="22"/>
                <w:color w:val="auto"/>
              </w:rPr>
              <w:t>Three Months Ended</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0" w:type="dxa"/>
            <w:vAlign w:val="bottom"/>
            <w:gridSpan w:val="4"/>
          </w:tcPr>
          <w:p>
            <w:pPr>
              <w:jc w:val="right"/>
              <w:ind w:right="812"/>
              <w:spacing w:after="0" w:line="202" w:lineRule="exact"/>
              <w:rPr>
                <w:sz w:val="20"/>
                <w:szCs w:val="20"/>
                <w:color w:val="auto"/>
              </w:rPr>
            </w:pPr>
            <w:r>
              <w:rPr>
                <w:rFonts w:ascii="Arial" w:cs="Arial" w:eastAsia="Arial" w:hAnsi="Arial"/>
                <w:sz w:val="22"/>
                <w:szCs w:val="22"/>
                <w:color w:val="auto"/>
              </w:rPr>
              <w:t>Six Months Ended</w:t>
            </w:r>
          </w:p>
        </w:tc>
        <w:tc>
          <w:tcPr>
            <w:tcW w:w="20" w:type="dxa"/>
            <w:vAlign w:val="bottom"/>
          </w:tcPr>
          <w:p>
            <w:pPr>
              <w:spacing w:after="0"/>
              <w:rPr>
                <w:sz w:val="17"/>
                <w:szCs w:val="17"/>
                <w:color w:val="auto"/>
              </w:rPr>
            </w:pPr>
          </w:p>
        </w:tc>
      </w:tr>
      <w:tr>
        <w:trPr>
          <w:trHeight w:val="251"/>
        </w:trPr>
        <w:tc>
          <w:tcPr>
            <w:tcW w:w="44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jc w:val="right"/>
              <w:ind w:right="83"/>
              <w:spacing w:after="0" w:line="251" w:lineRule="exact"/>
              <w:rPr>
                <w:sz w:val="20"/>
                <w:szCs w:val="20"/>
                <w:color w:val="auto"/>
              </w:rPr>
            </w:pPr>
            <w:r>
              <w:rPr>
                <w:rFonts w:ascii="Arial" w:cs="Arial" w:eastAsia="Arial" w:hAnsi="Arial"/>
                <w:sz w:val="22"/>
                <w:szCs w:val="22"/>
                <w:color w:val="auto"/>
              </w:rPr>
              <w:t>June 30,</w:t>
            </w:r>
          </w:p>
        </w:tc>
        <w:tc>
          <w:tcPr>
            <w:tcW w:w="9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123"/>
              <w:spacing w:after="0" w:line="251" w:lineRule="exact"/>
              <w:rPr>
                <w:sz w:val="20"/>
                <w:szCs w:val="20"/>
                <w:color w:val="auto"/>
              </w:rPr>
            </w:pPr>
            <w:r>
              <w:rPr>
                <w:rFonts w:ascii="Arial" w:cs="Arial" w:eastAsia="Arial" w:hAnsi="Arial"/>
                <w:sz w:val="22"/>
                <w:szCs w:val="22"/>
                <w:color w:val="auto"/>
              </w:rPr>
              <w:t>June 30,</w:t>
            </w: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3"/>
              <w:spacing w:after="0" w:line="223" w:lineRule="exact"/>
              <w:rPr>
                <w:sz w:val="20"/>
                <w:szCs w:val="20"/>
                <w:color w:val="auto"/>
              </w:rPr>
            </w:pPr>
            <w:r>
              <w:rPr>
                <w:rFonts w:ascii="Arial" w:cs="Arial" w:eastAsia="Arial" w:hAnsi="Arial"/>
                <w:sz w:val="22"/>
                <w:szCs w:val="22"/>
                <w:color w:val="auto"/>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2"/>
              <w:spacing w:after="0" w:line="223" w:lineRule="exact"/>
              <w:rPr>
                <w:sz w:val="20"/>
                <w:szCs w:val="20"/>
                <w:color w:val="auto"/>
              </w:rPr>
            </w:pPr>
            <w:r>
              <w:rPr>
                <w:rFonts w:ascii="Arial" w:cs="Arial" w:eastAsia="Arial" w:hAnsi="Arial"/>
                <w:sz w:val="22"/>
                <w:szCs w:val="22"/>
                <w:color w:val="auto"/>
              </w:rPr>
              <w:t>2021</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line="223" w:lineRule="exact"/>
              <w:rPr>
                <w:sz w:val="20"/>
                <w:szCs w:val="20"/>
                <w:color w:val="auto"/>
              </w:rPr>
            </w:pPr>
            <w:r>
              <w:rPr>
                <w:rFonts w:ascii="Arial" w:cs="Arial" w:eastAsia="Arial" w:hAnsi="Arial"/>
                <w:sz w:val="22"/>
                <w:szCs w:val="22"/>
                <w:color w:val="auto"/>
              </w:rPr>
              <w:t>2022</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2"/>
              <w:spacing w:after="0" w:line="223" w:lineRule="exact"/>
              <w:rPr>
                <w:sz w:val="20"/>
                <w:szCs w:val="20"/>
                <w:color w:val="auto"/>
              </w:rPr>
            </w:pPr>
            <w:r>
              <w:rPr>
                <w:rFonts w:ascii="Arial" w:cs="Arial" w:eastAsia="Arial" w:hAnsi="Arial"/>
                <w:sz w:val="22"/>
                <w:szCs w:val="22"/>
                <w:color w:val="auto"/>
              </w:rPr>
              <w:t>2021</w:t>
            </w:r>
          </w:p>
        </w:tc>
        <w:tc>
          <w:tcPr>
            <w:tcW w:w="20" w:type="dxa"/>
            <w:vAlign w:val="bottom"/>
          </w:tcPr>
          <w:p>
            <w:pPr>
              <w:spacing w:after="0"/>
              <w:rPr>
                <w:sz w:val="19"/>
                <w:szCs w:val="19"/>
                <w:color w:val="auto"/>
              </w:rPr>
            </w:pPr>
          </w:p>
        </w:tc>
      </w:tr>
      <w:tr>
        <w:trPr>
          <w:trHeight w:val="223"/>
        </w:trPr>
        <w:tc>
          <w:tcPr>
            <w:tcW w:w="44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Service cost</w:t>
            </w:r>
          </w:p>
        </w:tc>
        <w:tc>
          <w:tcPr>
            <w:tcW w:w="320" w:type="dxa"/>
            <w:vAlign w:val="bottom"/>
            <w:shd w:val="clear" w:color="auto" w:fill="CCEEFF"/>
          </w:tcPr>
          <w:p>
            <w:pPr>
              <w:jc w:val="right"/>
              <w:ind w:right="92"/>
              <w:spacing w:after="0" w:line="223" w:lineRule="exact"/>
              <w:rPr>
                <w:sz w:val="20"/>
                <w:szCs w:val="20"/>
                <w:color w:val="auto"/>
              </w:rPr>
            </w:pPr>
            <w:r>
              <w:rPr>
                <w:rFonts w:ascii="Arial" w:cs="Arial" w:eastAsia="Arial" w:hAnsi="Arial"/>
                <w:sz w:val="22"/>
                <w:szCs w:val="22"/>
                <w:color w:val="auto"/>
                <w:w w:val="81"/>
              </w:rPr>
              <w:t>$</w:t>
            </w:r>
          </w:p>
        </w:tc>
        <w:tc>
          <w:tcPr>
            <w:tcW w:w="11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707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9"/>
                <w:szCs w:val="19"/>
                <w:color w:val="auto"/>
                <w:w w:val="75"/>
              </w:rPr>
              <w:t>$</w:t>
            </w:r>
          </w:p>
        </w:tc>
        <w:tc>
          <w:tcPr>
            <w:tcW w:w="9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876</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right="232"/>
              <w:spacing w:after="0" w:line="223" w:lineRule="exact"/>
              <w:rPr>
                <w:sz w:val="20"/>
                <w:szCs w:val="20"/>
                <w:color w:val="auto"/>
              </w:rPr>
            </w:pPr>
            <w:r>
              <w:rPr>
                <w:rFonts w:ascii="Arial" w:cs="Arial" w:eastAsia="Arial" w:hAnsi="Arial"/>
                <w:sz w:val="22"/>
                <w:szCs w:val="22"/>
                <w:color w:val="auto"/>
                <w:w w:val="81"/>
              </w:rPr>
              <w:t>$</w:t>
            </w:r>
          </w:p>
        </w:tc>
        <w:tc>
          <w:tcPr>
            <w:tcW w:w="11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1,414</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83"/>
              <w:spacing w:after="0"/>
              <w:rPr>
                <w:sz w:val="20"/>
                <w:szCs w:val="20"/>
                <w:color w:val="auto"/>
              </w:rPr>
            </w:pPr>
            <w:r>
              <w:rPr>
                <w:rFonts w:ascii="Arial" w:cs="Arial" w:eastAsia="Arial" w:hAnsi="Arial"/>
                <w:sz w:val="19"/>
                <w:szCs w:val="19"/>
                <w:color w:val="auto"/>
                <w:w w:val="75"/>
              </w:rPr>
              <w:t>$</w:t>
            </w:r>
          </w:p>
        </w:tc>
        <w:tc>
          <w:tcPr>
            <w:tcW w:w="11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1,953</w:t>
            </w:r>
          </w:p>
        </w:tc>
        <w:tc>
          <w:tcPr>
            <w:tcW w:w="20" w:type="dxa"/>
            <w:vAlign w:val="bottom"/>
          </w:tcPr>
          <w:p>
            <w:pPr>
              <w:spacing w:after="0"/>
              <w:rPr>
                <w:sz w:val="19"/>
                <w:szCs w:val="19"/>
                <w:color w:val="auto"/>
              </w:rPr>
            </w:pPr>
          </w:p>
        </w:tc>
      </w:tr>
      <w:tr>
        <w:trPr>
          <w:trHeight w:val="229"/>
        </w:trPr>
        <w:tc>
          <w:tcPr>
            <w:tcW w:w="4460" w:type="dxa"/>
            <w:vAlign w:val="bottom"/>
          </w:tcPr>
          <w:p>
            <w:pPr>
              <w:spacing w:after="0" w:line="229" w:lineRule="exact"/>
              <w:rPr>
                <w:sz w:val="20"/>
                <w:szCs w:val="20"/>
                <w:color w:val="auto"/>
              </w:rPr>
            </w:pPr>
            <w:r>
              <w:rPr>
                <w:rFonts w:ascii="Arial" w:cs="Arial" w:eastAsia="Arial" w:hAnsi="Arial"/>
                <w:sz w:val="22"/>
                <w:szCs w:val="22"/>
                <w:color w:val="auto"/>
              </w:rPr>
              <w:t>Interest cost</w:t>
            </w:r>
          </w:p>
        </w:tc>
        <w:tc>
          <w:tcPr>
            <w:tcW w:w="32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3,202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Arial" w:cs="Arial" w:eastAsia="Arial" w:hAnsi="Arial"/>
                <w:sz w:val="22"/>
                <w:szCs w:val="22"/>
                <w:color w:val="auto"/>
              </w:rPr>
              <w:t>3,255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2"/>
                <w:szCs w:val="22"/>
                <w:color w:val="auto"/>
              </w:rPr>
              <w:t>6,403</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2"/>
                <w:szCs w:val="22"/>
                <w:color w:val="auto"/>
              </w:rPr>
              <w:t>6,316</w:t>
            </w:r>
          </w:p>
        </w:tc>
        <w:tc>
          <w:tcPr>
            <w:tcW w:w="20" w:type="dxa"/>
            <w:vAlign w:val="bottom"/>
          </w:tcPr>
          <w:p>
            <w:pPr>
              <w:spacing w:after="0"/>
              <w:rPr>
                <w:sz w:val="19"/>
                <w:szCs w:val="19"/>
                <w:color w:val="auto"/>
              </w:rPr>
            </w:pPr>
          </w:p>
        </w:tc>
      </w:tr>
      <w:tr>
        <w:trPr>
          <w:trHeight w:val="230"/>
        </w:trPr>
        <w:tc>
          <w:tcPr>
            <w:tcW w:w="44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Expected return on plan assets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line="229" w:lineRule="exact"/>
              <w:rPr>
                <w:sz w:val="20"/>
                <w:szCs w:val="20"/>
                <w:color w:val="auto"/>
              </w:rPr>
            </w:pPr>
            <w:r>
              <w:rPr>
                <w:rFonts w:ascii="Arial" w:cs="Arial" w:eastAsia="Arial" w:hAnsi="Arial"/>
                <w:sz w:val="22"/>
                <w:szCs w:val="22"/>
                <w:color w:val="auto"/>
              </w:rPr>
              <w:t>(5,894)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line="229" w:lineRule="exact"/>
              <w:rPr>
                <w:sz w:val="20"/>
                <w:szCs w:val="20"/>
                <w:color w:val="auto"/>
              </w:rPr>
            </w:pPr>
            <w:r>
              <w:rPr>
                <w:rFonts w:ascii="Arial" w:cs="Arial" w:eastAsia="Arial" w:hAnsi="Arial"/>
                <w:sz w:val="22"/>
                <w:szCs w:val="22"/>
                <w:color w:val="auto"/>
              </w:rPr>
              <w:t>(5,791)</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(11,789)</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(11,698)</w:t>
            </w:r>
          </w:p>
        </w:tc>
        <w:tc>
          <w:tcPr>
            <w:tcW w:w="20" w:type="dxa"/>
            <w:vAlign w:val="bottom"/>
          </w:tcPr>
          <w:p>
            <w:pPr>
              <w:spacing w:after="0"/>
              <w:rPr>
                <w:sz w:val="19"/>
                <w:szCs w:val="19"/>
                <w:color w:val="auto"/>
              </w:rPr>
            </w:pPr>
          </w:p>
        </w:tc>
      </w:tr>
      <w:tr>
        <w:trPr>
          <w:trHeight w:val="229"/>
        </w:trPr>
        <w:tc>
          <w:tcPr>
            <w:tcW w:w="4460" w:type="dxa"/>
            <w:vAlign w:val="bottom"/>
          </w:tcPr>
          <w:p>
            <w:pPr>
              <w:spacing w:after="0" w:line="229" w:lineRule="exact"/>
              <w:rPr>
                <w:sz w:val="20"/>
                <w:szCs w:val="20"/>
                <w:color w:val="auto"/>
              </w:rPr>
            </w:pPr>
            <w:r>
              <w:rPr>
                <w:rFonts w:ascii="Arial" w:cs="Arial" w:eastAsia="Arial" w:hAnsi="Arial"/>
                <w:sz w:val="22"/>
                <w:szCs w:val="22"/>
                <w:color w:val="auto"/>
              </w:rPr>
              <w:t>Amortization of prior service cost</w:t>
            </w:r>
          </w:p>
        </w:tc>
        <w:tc>
          <w:tcPr>
            <w:tcW w:w="32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134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Arial" w:cs="Arial" w:eastAsia="Arial" w:hAnsi="Arial"/>
                <w:sz w:val="22"/>
                <w:szCs w:val="22"/>
                <w:color w:val="auto"/>
              </w:rPr>
              <w:t>140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2"/>
                <w:szCs w:val="22"/>
                <w:color w:val="auto"/>
              </w:rPr>
              <w:t>268</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2"/>
                <w:szCs w:val="22"/>
                <w:color w:val="auto"/>
              </w:rPr>
              <w:t>280</w:t>
            </w:r>
          </w:p>
        </w:tc>
        <w:tc>
          <w:tcPr>
            <w:tcW w:w="20" w:type="dxa"/>
            <w:vAlign w:val="bottom"/>
          </w:tcPr>
          <w:p>
            <w:pPr>
              <w:spacing w:after="0"/>
              <w:rPr>
                <w:sz w:val="19"/>
                <w:szCs w:val="19"/>
                <w:color w:val="auto"/>
              </w:rPr>
            </w:pPr>
          </w:p>
        </w:tc>
      </w:tr>
      <w:tr>
        <w:trPr>
          <w:trHeight w:val="230"/>
        </w:trPr>
        <w:tc>
          <w:tcPr>
            <w:tcW w:w="44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Amortization of actuarial loss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727</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871</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1,797</w:t>
            </w:r>
          </w:p>
        </w:tc>
        <w:tc>
          <w:tcPr>
            <w:tcW w:w="20" w:type="dxa"/>
            <w:vAlign w:val="bottom"/>
          </w:tcPr>
          <w:p>
            <w:pPr>
              <w:spacing w:after="0"/>
              <w:rPr>
                <w:sz w:val="19"/>
                <w:szCs w:val="19"/>
                <w:color w:val="auto"/>
              </w:rPr>
            </w:pPr>
          </w:p>
        </w:tc>
      </w:tr>
      <w:tr>
        <w:trPr>
          <w:trHeight w:val="223"/>
        </w:trPr>
        <w:tc>
          <w:tcPr>
            <w:tcW w:w="4460" w:type="dxa"/>
            <w:vAlign w:val="bottom"/>
          </w:tcPr>
          <w:p>
            <w:pPr>
              <w:spacing w:after="0" w:line="223" w:lineRule="exact"/>
              <w:rPr>
                <w:sz w:val="20"/>
                <w:szCs w:val="20"/>
                <w:color w:val="auto"/>
              </w:rPr>
            </w:pPr>
            <w:r>
              <w:rPr>
                <w:rFonts w:ascii="Arial" w:cs="Arial" w:eastAsia="Arial" w:hAnsi="Arial"/>
                <w:sz w:val="22"/>
                <w:szCs w:val="22"/>
                <w:color w:val="auto"/>
              </w:rPr>
              <w:t>Net periodic benefit cost (credit)</w:t>
            </w:r>
          </w:p>
        </w:tc>
        <w:tc>
          <w:tcPr>
            <w:tcW w:w="320" w:type="dxa"/>
            <w:vAlign w:val="bottom"/>
            <w:tcBorders>
              <w:bottom w:val="single" w:sz="8" w:color="auto"/>
            </w:tcBorders>
          </w:tcPr>
          <w:p>
            <w:pPr>
              <w:jc w:val="right"/>
              <w:ind w:right="92"/>
              <w:spacing w:after="0" w:line="223" w:lineRule="exact"/>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(1,415)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9"/>
                <w:szCs w:val="19"/>
                <w:color w:val="auto"/>
                <w:w w:val="75"/>
              </w:rPr>
              <w:t>$</w:t>
            </w:r>
          </w:p>
        </w:tc>
        <w:tc>
          <w:tcPr>
            <w:tcW w:w="9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(793)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jc w:val="center"/>
              <w:ind w:right="232"/>
              <w:spacing w:after="0" w:line="223" w:lineRule="exact"/>
              <w:rPr>
                <w:sz w:val="20"/>
                <w:szCs w:val="20"/>
                <w:color w:val="auto"/>
              </w:rPr>
            </w:pPr>
            <w:r>
              <w:rPr>
                <w:rFonts w:ascii="Arial" w:cs="Arial" w:eastAsia="Arial" w:hAnsi="Arial"/>
                <w:sz w:val="22"/>
                <w:szCs w:val="22"/>
                <w:color w:val="auto"/>
                <w:w w:val="81"/>
              </w:rPr>
              <w:t>$</w:t>
            </w:r>
          </w:p>
        </w:tc>
        <w:tc>
          <w:tcPr>
            <w:tcW w:w="1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(2,833)</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color w:val="auto"/>
                <w:w w:val="75"/>
              </w:rPr>
              <w:t>$</w:t>
            </w:r>
          </w:p>
        </w:tc>
        <w:tc>
          <w:tcPr>
            <w:tcW w:w="11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(1,352)</w:t>
            </w:r>
          </w:p>
        </w:tc>
        <w:tc>
          <w:tcPr>
            <w:tcW w:w="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8"/>
        </w:trPr>
        <w:tc>
          <w:tcPr>
            <w:tcW w:w="4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2"/>
                <w:szCs w:val="22"/>
                <w:color w:val="auto"/>
                <w:w w:val="90"/>
              </w:rPr>
              <w:t>Other</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1"/>
        </w:trPr>
        <w:tc>
          <w:tcPr>
            <w:tcW w:w="44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6"/>
          </w:tcPr>
          <w:p>
            <w:pPr>
              <w:jc w:val="center"/>
              <w:ind w:right="440"/>
              <w:spacing w:after="0" w:line="251" w:lineRule="exact"/>
              <w:rPr>
                <w:sz w:val="20"/>
                <w:szCs w:val="20"/>
                <w:color w:val="auto"/>
              </w:rPr>
            </w:pPr>
            <w:r>
              <w:rPr>
                <w:rFonts w:ascii="Arial" w:cs="Arial" w:eastAsia="Arial" w:hAnsi="Arial"/>
                <w:sz w:val="22"/>
                <w:szCs w:val="22"/>
                <w:color w:val="auto"/>
                <w:w w:val="88"/>
              </w:rPr>
              <w:t>Postretirement Benefits</w:t>
            </w:r>
          </w:p>
        </w:tc>
        <w:tc>
          <w:tcPr>
            <w:tcW w:w="4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2"/>
        </w:trPr>
        <w:tc>
          <w:tcPr>
            <w:tcW w:w="4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6"/>
          </w:tcPr>
          <w:p>
            <w:pPr>
              <w:jc w:val="right"/>
              <w:ind w:right="540"/>
              <w:spacing w:after="0" w:line="202" w:lineRule="exact"/>
              <w:rPr>
                <w:sz w:val="20"/>
                <w:szCs w:val="20"/>
                <w:color w:val="auto"/>
              </w:rPr>
            </w:pPr>
            <w:r>
              <w:rPr>
                <w:rFonts w:ascii="Arial" w:cs="Arial" w:eastAsia="Arial" w:hAnsi="Arial"/>
                <w:sz w:val="22"/>
                <w:szCs w:val="22"/>
                <w:color w:val="auto"/>
              </w:rPr>
              <w:t>Three Months Ended</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0" w:type="dxa"/>
            <w:vAlign w:val="bottom"/>
            <w:gridSpan w:val="4"/>
          </w:tcPr>
          <w:p>
            <w:pPr>
              <w:jc w:val="right"/>
              <w:ind w:right="712"/>
              <w:spacing w:after="0" w:line="202" w:lineRule="exact"/>
              <w:rPr>
                <w:sz w:val="20"/>
                <w:szCs w:val="20"/>
                <w:color w:val="auto"/>
              </w:rPr>
            </w:pPr>
            <w:r>
              <w:rPr>
                <w:rFonts w:ascii="Arial" w:cs="Arial" w:eastAsia="Arial" w:hAnsi="Arial"/>
                <w:sz w:val="22"/>
                <w:szCs w:val="22"/>
                <w:color w:val="auto"/>
              </w:rPr>
              <w:t>Six Months Ended</w:t>
            </w:r>
          </w:p>
        </w:tc>
        <w:tc>
          <w:tcPr>
            <w:tcW w:w="20" w:type="dxa"/>
            <w:vAlign w:val="bottom"/>
          </w:tcPr>
          <w:p>
            <w:pPr>
              <w:spacing w:after="0"/>
              <w:rPr>
                <w:sz w:val="17"/>
                <w:szCs w:val="17"/>
                <w:color w:val="auto"/>
              </w:rPr>
            </w:pPr>
          </w:p>
        </w:tc>
      </w:tr>
      <w:tr>
        <w:trPr>
          <w:trHeight w:val="251"/>
        </w:trPr>
        <w:tc>
          <w:tcPr>
            <w:tcW w:w="44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jc w:val="right"/>
              <w:spacing w:after="0" w:line="251" w:lineRule="exact"/>
              <w:rPr>
                <w:sz w:val="20"/>
                <w:szCs w:val="20"/>
                <w:color w:val="auto"/>
              </w:rPr>
            </w:pPr>
            <w:r>
              <w:rPr>
                <w:rFonts w:ascii="Arial" w:cs="Arial" w:eastAsia="Arial" w:hAnsi="Arial"/>
                <w:sz w:val="22"/>
                <w:szCs w:val="22"/>
                <w:color w:val="auto"/>
              </w:rPr>
              <w:t>June 30,</w:t>
            </w:r>
          </w:p>
        </w:tc>
        <w:tc>
          <w:tcPr>
            <w:tcW w:w="9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23"/>
              <w:spacing w:after="0" w:line="251" w:lineRule="exact"/>
              <w:rPr>
                <w:sz w:val="20"/>
                <w:szCs w:val="20"/>
                <w:color w:val="auto"/>
              </w:rPr>
            </w:pPr>
            <w:r>
              <w:rPr>
                <w:rFonts w:ascii="Arial" w:cs="Arial" w:eastAsia="Arial" w:hAnsi="Arial"/>
                <w:sz w:val="22"/>
                <w:szCs w:val="22"/>
                <w:color w:val="auto"/>
              </w:rPr>
              <w:t>June 30,</w:t>
            </w: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3"/>
              <w:spacing w:after="0" w:line="223" w:lineRule="exact"/>
              <w:rPr>
                <w:sz w:val="20"/>
                <w:szCs w:val="20"/>
                <w:color w:val="auto"/>
              </w:rPr>
            </w:pPr>
            <w:r>
              <w:rPr>
                <w:rFonts w:ascii="Arial" w:cs="Arial" w:eastAsia="Arial" w:hAnsi="Arial"/>
                <w:sz w:val="22"/>
                <w:szCs w:val="22"/>
                <w:color w:val="auto"/>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2"/>
              <w:spacing w:after="0" w:line="223" w:lineRule="exact"/>
              <w:rPr>
                <w:sz w:val="20"/>
                <w:szCs w:val="20"/>
                <w:color w:val="auto"/>
              </w:rPr>
            </w:pPr>
            <w:r>
              <w:rPr>
                <w:rFonts w:ascii="Arial" w:cs="Arial" w:eastAsia="Arial" w:hAnsi="Arial"/>
                <w:sz w:val="22"/>
                <w:szCs w:val="22"/>
                <w:color w:val="auto"/>
              </w:rPr>
              <w:t>2021</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line="223" w:lineRule="exact"/>
              <w:rPr>
                <w:sz w:val="20"/>
                <w:szCs w:val="20"/>
                <w:color w:val="auto"/>
              </w:rPr>
            </w:pPr>
            <w:r>
              <w:rPr>
                <w:rFonts w:ascii="Arial" w:cs="Arial" w:eastAsia="Arial" w:hAnsi="Arial"/>
                <w:sz w:val="22"/>
                <w:szCs w:val="22"/>
                <w:color w:val="auto"/>
              </w:rPr>
              <w:t>2022</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2"/>
              <w:spacing w:after="0" w:line="223" w:lineRule="exact"/>
              <w:rPr>
                <w:sz w:val="20"/>
                <w:szCs w:val="20"/>
                <w:color w:val="auto"/>
              </w:rPr>
            </w:pPr>
            <w:r>
              <w:rPr>
                <w:rFonts w:ascii="Arial" w:cs="Arial" w:eastAsia="Arial" w:hAnsi="Arial"/>
                <w:sz w:val="22"/>
                <w:szCs w:val="22"/>
                <w:color w:val="auto"/>
              </w:rPr>
              <w:t>2021</w:t>
            </w:r>
          </w:p>
        </w:tc>
        <w:tc>
          <w:tcPr>
            <w:tcW w:w="20" w:type="dxa"/>
            <w:vAlign w:val="bottom"/>
          </w:tcPr>
          <w:p>
            <w:pPr>
              <w:spacing w:after="0"/>
              <w:rPr>
                <w:sz w:val="19"/>
                <w:szCs w:val="19"/>
                <w:color w:val="auto"/>
              </w:rPr>
            </w:pPr>
          </w:p>
        </w:tc>
      </w:tr>
      <w:tr>
        <w:trPr>
          <w:trHeight w:val="223"/>
        </w:trPr>
        <w:tc>
          <w:tcPr>
            <w:tcW w:w="44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Service cost</w:t>
            </w:r>
          </w:p>
        </w:tc>
        <w:tc>
          <w:tcPr>
            <w:tcW w:w="320" w:type="dxa"/>
            <w:vAlign w:val="bottom"/>
            <w:shd w:val="clear" w:color="auto" w:fill="CCEEFF"/>
          </w:tcPr>
          <w:p>
            <w:pPr>
              <w:jc w:val="right"/>
              <w:ind w:right="92"/>
              <w:spacing w:after="0" w:line="223" w:lineRule="exact"/>
              <w:rPr>
                <w:sz w:val="20"/>
                <w:szCs w:val="20"/>
                <w:color w:val="auto"/>
              </w:rPr>
            </w:pPr>
            <w:r>
              <w:rPr>
                <w:rFonts w:ascii="Arial" w:cs="Arial" w:eastAsia="Arial" w:hAnsi="Arial"/>
                <w:sz w:val="22"/>
                <w:szCs w:val="22"/>
                <w:color w:val="auto"/>
                <w:w w:val="81"/>
              </w:rPr>
              <w:t>$</w:t>
            </w:r>
          </w:p>
        </w:tc>
        <w:tc>
          <w:tcPr>
            <w:tcW w:w="11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477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9"/>
                <w:szCs w:val="19"/>
                <w:color w:val="auto"/>
                <w:w w:val="75"/>
              </w:rPr>
              <w:t>$</w:t>
            </w:r>
          </w:p>
        </w:tc>
        <w:tc>
          <w:tcPr>
            <w:tcW w:w="9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699</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right="232"/>
              <w:spacing w:after="0" w:line="223" w:lineRule="exact"/>
              <w:rPr>
                <w:sz w:val="20"/>
                <w:szCs w:val="20"/>
                <w:color w:val="auto"/>
              </w:rPr>
            </w:pPr>
            <w:r>
              <w:rPr>
                <w:rFonts w:ascii="Arial" w:cs="Arial" w:eastAsia="Arial" w:hAnsi="Arial"/>
                <w:sz w:val="22"/>
                <w:szCs w:val="22"/>
                <w:color w:val="auto"/>
                <w:w w:val="81"/>
              </w:rPr>
              <w:t>$</w:t>
            </w:r>
          </w:p>
        </w:tc>
        <w:tc>
          <w:tcPr>
            <w:tcW w:w="11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955</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83"/>
              <w:spacing w:after="0"/>
              <w:rPr>
                <w:sz w:val="20"/>
                <w:szCs w:val="20"/>
                <w:color w:val="auto"/>
              </w:rPr>
            </w:pPr>
            <w:r>
              <w:rPr>
                <w:rFonts w:ascii="Arial" w:cs="Arial" w:eastAsia="Arial" w:hAnsi="Arial"/>
                <w:sz w:val="19"/>
                <w:szCs w:val="19"/>
                <w:color w:val="auto"/>
                <w:w w:val="75"/>
              </w:rPr>
              <w:t>$</w:t>
            </w:r>
          </w:p>
        </w:tc>
        <w:tc>
          <w:tcPr>
            <w:tcW w:w="11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1,398</w:t>
            </w:r>
          </w:p>
        </w:tc>
        <w:tc>
          <w:tcPr>
            <w:tcW w:w="20" w:type="dxa"/>
            <w:vAlign w:val="bottom"/>
          </w:tcPr>
          <w:p>
            <w:pPr>
              <w:spacing w:after="0"/>
              <w:rPr>
                <w:sz w:val="19"/>
                <w:szCs w:val="19"/>
                <w:color w:val="auto"/>
              </w:rPr>
            </w:pPr>
          </w:p>
        </w:tc>
      </w:tr>
      <w:tr>
        <w:trPr>
          <w:trHeight w:val="230"/>
        </w:trPr>
        <w:tc>
          <w:tcPr>
            <w:tcW w:w="4460" w:type="dxa"/>
            <w:vAlign w:val="bottom"/>
          </w:tcPr>
          <w:p>
            <w:pPr>
              <w:spacing w:after="0" w:line="229" w:lineRule="exact"/>
              <w:rPr>
                <w:sz w:val="20"/>
                <w:szCs w:val="20"/>
                <w:color w:val="auto"/>
              </w:rPr>
            </w:pPr>
            <w:r>
              <w:rPr>
                <w:rFonts w:ascii="Arial" w:cs="Arial" w:eastAsia="Arial" w:hAnsi="Arial"/>
                <w:sz w:val="22"/>
                <w:szCs w:val="22"/>
                <w:color w:val="auto"/>
              </w:rPr>
              <w:t>Interest cost</w:t>
            </w:r>
          </w:p>
        </w:tc>
        <w:tc>
          <w:tcPr>
            <w:tcW w:w="32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843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Arial" w:cs="Arial" w:eastAsia="Arial" w:hAnsi="Arial"/>
                <w:sz w:val="22"/>
                <w:szCs w:val="22"/>
                <w:color w:val="auto"/>
              </w:rPr>
              <w:t>839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2"/>
                <w:szCs w:val="22"/>
                <w:color w:val="auto"/>
              </w:rPr>
              <w:t>1,685</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2"/>
                <w:szCs w:val="22"/>
                <w:color w:val="auto"/>
              </w:rPr>
              <w:t>1,678</w:t>
            </w:r>
          </w:p>
        </w:tc>
        <w:tc>
          <w:tcPr>
            <w:tcW w:w="20" w:type="dxa"/>
            <w:vAlign w:val="bottom"/>
          </w:tcPr>
          <w:p>
            <w:pPr>
              <w:spacing w:after="0"/>
              <w:rPr>
                <w:sz w:val="19"/>
                <w:szCs w:val="19"/>
                <w:color w:val="auto"/>
              </w:rPr>
            </w:pPr>
          </w:p>
        </w:tc>
      </w:tr>
      <w:tr>
        <w:trPr>
          <w:trHeight w:val="229"/>
        </w:trPr>
        <w:tc>
          <w:tcPr>
            <w:tcW w:w="44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Expected return on plan assets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line="229" w:lineRule="exact"/>
              <w:rPr>
                <w:sz w:val="20"/>
                <w:szCs w:val="20"/>
                <w:color w:val="auto"/>
              </w:rPr>
            </w:pPr>
            <w:r>
              <w:rPr>
                <w:rFonts w:ascii="Arial" w:cs="Arial" w:eastAsia="Arial" w:hAnsi="Arial"/>
                <w:sz w:val="22"/>
                <w:szCs w:val="22"/>
                <w:color w:val="auto"/>
              </w:rPr>
              <w:t>(1,126)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line="229" w:lineRule="exact"/>
              <w:rPr>
                <w:sz w:val="20"/>
                <w:szCs w:val="20"/>
                <w:color w:val="auto"/>
              </w:rPr>
            </w:pPr>
            <w:r>
              <w:rPr>
                <w:rFonts w:ascii="Arial" w:cs="Arial" w:eastAsia="Arial" w:hAnsi="Arial"/>
                <w:sz w:val="22"/>
                <w:szCs w:val="22"/>
                <w:color w:val="auto"/>
              </w:rPr>
              <w:t>(1,039)</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(2,251)</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(2,078)</w:t>
            </w:r>
          </w:p>
        </w:tc>
        <w:tc>
          <w:tcPr>
            <w:tcW w:w="20" w:type="dxa"/>
            <w:vAlign w:val="bottom"/>
          </w:tcPr>
          <w:p>
            <w:pPr>
              <w:spacing w:after="0"/>
              <w:rPr>
                <w:sz w:val="19"/>
                <w:szCs w:val="19"/>
                <w:color w:val="auto"/>
              </w:rPr>
            </w:pPr>
          </w:p>
        </w:tc>
      </w:tr>
      <w:tr>
        <w:trPr>
          <w:trHeight w:val="230"/>
        </w:trPr>
        <w:tc>
          <w:tcPr>
            <w:tcW w:w="4460" w:type="dxa"/>
            <w:vAlign w:val="bottom"/>
          </w:tcPr>
          <w:p>
            <w:pPr>
              <w:spacing w:after="0" w:line="229" w:lineRule="exact"/>
              <w:rPr>
                <w:sz w:val="20"/>
                <w:szCs w:val="20"/>
                <w:color w:val="auto"/>
              </w:rPr>
            </w:pPr>
            <w:r>
              <w:rPr>
                <w:rFonts w:ascii="Arial" w:cs="Arial" w:eastAsia="Arial" w:hAnsi="Arial"/>
                <w:sz w:val="22"/>
                <w:szCs w:val="22"/>
                <w:color w:val="auto"/>
              </w:rPr>
              <w:t>Amortization of prior service credit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60"/>
              <w:spacing w:after="0" w:line="229" w:lineRule="exact"/>
              <w:rPr>
                <w:sz w:val="20"/>
                <w:szCs w:val="20"/>
                <w:color w:val="auto"/>
              </w:rPr>
            </w:pPr>
            <w:r>
              <w:rPr>
                <w:rFonts w:ascii="Arial" w:cs="Arial" w:eastAsia="Arial" w:hAnsi="Arial"/>
                <w:sz w:val="22"/>
                <w:szCs w:val="22"/>
                <w:color w:val="auto"/>
              </w:rPr>
              <w:t>(108)</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2"/>
                <w:szCs w:val="22"/>
                <w:color w:val="auto"/>
              </w:rPr>
              <w:t>(216)</w:t>
            </w:r>
          </w:p>
        </w:tc>
        <w:tc>
          <w:tcPr>
            <w:tcW w:w="20" w:type="dxa"/>
            <w:vAlign w:val="bottom"/>
          </w:tcPr>
          <w:p>
            <w:pPr>
              <w:spacing w:after="0"/>
              <w:rPr>
                <w:sz w:val="19"/>
                <w:szCs w:val="19"/>
                <w:color w:val="auto"/>
              </w:rPr>
            </w:pPr>
          </w:p>
        </w:tc>
      </w:tr>
      <w:tr>
        <w:trPr>
          <w:trHeight w:val="230"/>
        </w:trPr>
        <w:tc>
          <w:tcPr>
            <w:tcW w:w="44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Amortization of actuarial loss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line="229" w:lineRule="exact"/>
              <w:rPr>
                <w:sz w:val="20"/>
                <w:szCs w:val="20"/>
                <w:color w:val="auto"/>
              </w:rPr>
            </w:pPr>
            <w:r>
              <w:rPr>
                <w:rFonts w:ascii="Arial" w:cs="Arial" w:eastAsia="Arial" w:hAnsi="Arial"/>
                <w:sz w:val="22"/>
                <w:szCs w:val="22"/>
                <w:color w:val="auto"/>
              </w:rPr>
              <w:t>(334)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55</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(668)</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110</w:t>
            </w:r>
          </w:p>
        </w:tc>
        <w:tc>
          <w:tcPr>
            <w:tcW w:w="20" w:type="dxa"/>
            <w:vAlign w:val="bottom"/>
          </w:tcPr>
          <w:p>
            <w:pPr>
              <w:spacing w:after="0"/>
              <w:rPr>
                <w:sz w:val="19"/>
                <w:szCs w:val="19"/>
                <w:color w:val="auto"/>
              </w:rPr>
            </w:pPr>
          </w:p>
        </w:tc>
      </w:tr>
      <w:tr>
        <w:trPr>
          <w:trHeight w:val="223"/>
        </w:trPr>
        <w:tc>
          <w:tcPr>
            <w:tcW w:w="4460" w:type="dxa"/>
            <w:vAlign w:val="bottom"/>
          </w:tcPr>
          <w:p>
            <w:pPr>
              <w:spacing w:after="0" w:line="223" w:lineRule="exact"/>
              <w:rPr>
                <w:sz w:val="20"/>
                <w:szCs w:val="20"/>
                <w:color w:val="auto"/>
              </w:rPr>
            </w:pPr>
            <w:r>
              <w:rPr>
                <w:rFonts w:ascii="Arial" w:cs="Arial" w:eastAsia="Arial" w:hAnsi="Arial"/>
                <w:sz w:val="22"/>
                <w:szCs w:val="22"/>
                <w:color w:val="auto"/>
              </w:rPr>
              <w:t>Net periodic benefit cost</w:t>
            </w:r>
          </w:p>
        </w:tc>
        <w:tc>
          <w:tcPr>
            <w:tcW w:w="320" w:type="dxa"/>
            <w:vAlign w:val="bottom"/>
            <w:tcBorders>
              <w:top w:val="single" w:sz="8" w:color="auto"/>
              <w:bottom w:val="single" w:sz="8" w:color="auto"/>
            </w:tcBorders>
          </w:tcPr>
          <w:p>
            <w:pPr>
              <w:jc w:val="right"/>
              <w:ind w:right="92"/>
              <w:spacing w:after="0" w:line="223" w:lineRule="exact"/>
              <w:rPr>
                <w:sz w:val="20"/>
                <w:szCs w:val="20"/>
                <w:color w:val="auto"/>
              </w:rPr>
            </w:pPr>
            <w:r>
              <w:rPr>
                <w:rFonts w:ascii="Arial" w:cs="Arial" w:eastAsia="Arial" w:hAnsi="Arial"/>
                <w:sz w:val="22"/>
                <w:szCs w:val="22"/>
                <w:color w:val="auto"/>
                <w:w w:val="81"/>
              </w:rPr>
              <w:t>$</w:t>
            </w:r>
          </w:p>
        </w:tc>
        <w:tc>
          <w:tcPr>
            <w:tcW w:w="11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9"/>
                <w:szCs w:val="19"/>
                <w:color w:val="auto"/>
                <w:w w:val="75"/>
              </w:rPr>
              <w:t>$</w:t>
            </w:r>
          </w:p>
        </w:tc>
        <w:tc>
          <w:tcPr>
            <w:tcW w:w="9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446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center"/>
              <w:ind w:right="232"/>
              <w:spacing w:after="0" w:line="223" w:lineRule="exact"/>
              <w:rPr>
                <w:sz w:val="20"/>
                <w:szCs w:val="20"/>
                <w:color w:val="auto"/>
              </w:rPr>
            </w:pPr>
            <w:r>
              <w:rPr>
                <w:rFonts w:ascii="Arial" w:cs="Arial" w:eastAsia="Arial" w:hAnsi="Arial"/>
                <w:sz w:val="22"/>
                <w:szCs w:val="22"/>
                <w:color w:val="auto"/>
                <w:w w:val="81"/>
              </w:rPr>
              <w:t>$</w:t>
            </w:r>
          </w:p>
        </w:tc>
        <w:tc>
          <w:tcPr>
            <w:tcW w:w="11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(279)</w:t>
            </w:r>
          </w:p>
        </w:tc>
        <w:tc>
          <w:tcPr>
            <w:tcW w:w="2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9"/>
                <w:szCs w:val="19"/>
                <w:color w:val="auto"/>
                <w:w w:val="75"/>
              </w:rPr>
              <w:t>$</w:t>
            </w:r>
          </w:p>
        </w:tc>
        <w:tc>
          <w:tcPr>
            <w:tcW w:w="11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892</w:t>
            </w:r>
          </w:p>
        </w:tc>
        <w:tc>
          <w:tcPr>
            <w:tcW w:w="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net periodic benefit (credit) cost is based on estimated values and an extensive use of assumptions about the discount rate, expected return on plan assets, the rate of future compensation increases received by the Company’s employees, mortality, turnover, and medical costs. The Company presents the components of net periodic benefit (credit) cost other than service cost in the consolidated statements of operations and comprehensive income on the line item “Other”.</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There were $14,564 cash contributions made to the Pension Plan during the first six months of 2022.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4" w:name="page25"/>
    <w:bookmarkEnd w:id="2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 </w:t>
      </w:r>
      <w:r>
        <w:rPr>
          <w:rFonts w:ascii="Arial" w:cs="Arial" w:eastAsia="Arial" w:hAnsi="Arial"/>
          <w:sz w:val="22"/>
          <w:szCs w:val="22"/>
          <w:b w:val="1"/>
          <w:bCs w:val="1"/>
          <w:i w:val="1"/>
          <w:iCs w:val="1"/>
          <w:color w:val="auto"/>
        </w:rPr>
        <w:t>Rate Activity</w:t>
      </w:r>
    </w:p>
    <w:p>
      <w:pPr>
        <w:spacing w:after="0" w:line="212" w:lineRule="exact"/>
        <w:rPr>
          <w:sz w:val="20"/>
          <w:szCs w:val="20"/>
          <w:color w:val="auto"/>
        </w:rPr>
      </w:pPr>
    </w:p>
    <w:p>
      <w:pPr>
        <w:ind w:right="80"/>
        <w:spacing w:after="0" w:line="267" w:lineRule="auto"/>
        <w:rPr>
          <w:sz w:val="20"/>
          <w:szCs w:val="20"/>
          <w:color w:val="auto"/>
        </w:rPr>
      </w:pPr>
      <w:r>
        <w:rPr>
          <w:rFonts w:ascii="Arial" w:cs="Arial" w:eastAsia="Arial" w:hAnsi="Arial"/>
          <w:sz w:val="19"/>
          <w:szCs w:val="19"/>
          <w:color w:val="auto"/>
        </w:rPr>
        <w:t>On May 16, 2022, the Company’s regulated water and wastewater operating subsidiary in Pennsylvania, Aqua Pennsylvania, received an order from the Pennsylvania Public Utility Commission that allowed base rate increases that would increase total annual operating revenues by $69,251. New rates went into effect on May 19, 2022. At the time the rate order was received, the rates in effect also included $35,470 in Distribution System Improvement Charges (“DSIC”), which was 7.2% above prior base rates. Consequently, the aggregate base rates increased by $104,721 since the last base rate increase and DSIC was reset to zero.</w:t>
      </w:r>
    </w:p>
    <w:p>
      <w:pPr>
        <w:spacing w:after="0" w:line="162" w:lineRule="exact"/>
        <w:rPr>
          <w:sz w:val="20"/>
          <w:szCs w:val="20"/>
          <w:color w:val="auto"/>
        </w:rPr>
      </w:pPr>
    </w:p>
    <w:p>
      <w:pPr>
        <w:spacing w:after="0" w:line="228" w:lineRule="auto"/>
        <w:rPr>
          <w:sz w:val="20"/>
          <w:szCs w:val="20"/>
          <w:color w:val="auto"/>
        </w:rPr>
      </w:pPr>
      <w:r>
        <w:rPr>
          <w:rFonts w:ascii="Arial" w:cs="Arial" w:eastAsia="Arial" w:hAnsi="Arial"/>
          <w:sz w:val="22"/>
          <w:szCs w:val="22"/>
          <w:color w:val="auto"/>
        </w:rPr>
        <w:t>On January 3, 2022, the Company’s natural gas operating division in Kentucky received an order from the Kentucky Public Service Commission resulting in an increase of $5,238 in annual revenues, and new rates went into effect on January 4, 2022. On June 7, 2022, an additional $260 was approved and made effective by the Commission, resulting from a rehearing requested by the operating division.</w:t>
      </w:r>
    </w:p>
    <w:p>
      <w:pPr>
        <w:spacing w:after="0" w:line="186" w:lineRule="exact"/>
        <w:rPr>
          <w:sz w:val="20"/>
          <w:szCs w:val="20"/>
          <w:color w:val="auto"/>
        </w:rPr>
      </w:pPr>
    </w:p>
    <w:p>
      <w:pPr>
        <w:jc w:val="both"/>
        <w:ind w:right="140"/>
        <w:spacing w:after="0" w:line="282" w:lineRule="auto"/>
        <w:rPr>
          <w:sz w:val="20"/>
          <w:szCs w:val="20"/>
          <w:color w:val="auto"/>
        </w:rPr>
      </w:pPr>
      <w:r>
        <w:rPr>
          <w:rFonts w:ascii="Arial" w:cs="Arial" w:eastAsia="Arial" w:hAnsi="Arial"/>
          <w:sz w:val="19"/>
          <w:szCs w:val="19"/>
          <w:color w:val="auto"/>
        </w:rPr>
        <w:t>On June 30, 2022, the Company’s regulated water and wastewater operating subsidiary in North Carolina, Aqua North Carolina, filed an application with the North Carolina Utilities Commission designed to increase rates by $18,064 in the first year of new rates being implemented, then an additional $4,303 and $4,577 in the second and third years, respectively.</w:t>
      </w:r>
    </w:p>
    <w:p>
      <w:pPr>
        <w:spacing w:after="0" w:line="148" w:lineRule="exact"/>
        <w:rPr>
          <w:sz w:val="20"/>
          <w:szCs w:val="20"/>
          <w:color w:val="auto"/>
        </w:rPr>
      </w:pPr>
    </w:p>
    <w:p>
      <w:pPr>
        <w:jc w:val="both"/>
        <w:ind w:right="180"/>
        <w:spacing w:after="0" w:line="244" w:lineRule="auto"/>
        <w:rPr>
          <w:sz w:val="20"/>
          <w:szCs w:val="20"/>
          <w:color w:val="auto"/>
        </w:rPr>
      </w:pPr>
      <w:r>
        <w:rPr>
          <w:rFonts w:ascii="Arial" w:cs="Arial" w:eastAsia="Arial" w:hAnsi="Arial"/>
          <w:sz w:val="21"/>
          <w:szCs w:val="21"/>
          <w:color w:val="auto"/>
        </w:rPr>
        <w:t>A base rate case is also underway for our water and wastewater utility operating divisions in Ohio which is expected to increase operating revenues by $5,483 annually based on a settlement agreement that remains subject to approval by the Public Utilities Commission of Ohio. New rates are expected to be effective in the third or fourth quarter of 2022.</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During the first six months of 2022, the Company’s two other water utility operating divisions in Ohio were granted base rate increases designed to increase total operating revenues on an annual basis by $1,378. Further, during the first six months of 2022, the Company received approval to bill infrastructure rehabilitation surcharges designed to increase total operating revenues on an annual basis by $6,789 in its water and wastewater utility operating divisions in Pennsylvania, North Carolina, and Illinois.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5" w:name="page26"/>
    <w:bookmarkEnd w:id="2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 </w:t>
      </w:r>
      <w:r>
        <w:rPr>
          <w:rFonts w:ascii="Arial" w:cs="Arial" w:eastAsia="Arial" w:hAnsi="Arial"/>
          <w:sz w:val="22"/>
          <w:szCs w:val="22"/>
          <w:b w:val="1"/>
          <w:bCs w:val="1"/>
          <w:i w:val="1"/>
          <w:iCs w:val="1"/>
          <w:color w:val="auto"/>
        </w:rPr>
        <w:t>Taxes Other than Income Taxes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provides the components of taxes other than income taxes: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80" w:type="dxa"/>
            <w:vAlign w:val="bottom"/>
            <w:gridSpan w:val="6"/>
          </w:tcPr>
          <w:p>
            <w:pPr>
              <w:ind w:left="320"/>
              <w:spacing w:after="0"/>
              <w:rPr>
                <w:sz w:val="20"/>
                <w:szCs w:val="20"/>
                <w:color w:val="auto"/>
              </w:rPr>
            </w:pPr>
            <w:r>
              <w:rPr>
                <w:rFonts w:ascii="Arial" w:cs="Arial" w:eastAsia="Arial" w:hAnsi="Arial"/>
                <w:sz w:val="22"/>
                <w:szCs w:val="22"/>
                <w:color w:val="auto"/>
              </w:rPr>
              <w:t>Three Months Ended</w:t>
            </w:r>
          </w:p>
        </w:tc>
        <w:tc>
          <w:tcPr>
            <w:tcW w:w="360" w:type="dxa"/>
            <w:vAlign w:val="bottom"/>
          </w:tcPr>
          <w:p>
            <w:pPr>
              <w:spacing w:after="0"/>
              <w:rPr>
                <w:sz w:val="21"/>
                <w:szCs w:val="21"/>
                <w:color w:val="auto"/>
              </w:rPr>
            </w:pPr>
          </w:p>
        </w:tc>
        <w:tc>
          <w:tcPr>
            <w:tcW w:w="3100" w:type="dxa"/>
            <w:vAlign w:val="bottom"/>
            <w:gridSpan w:val="4"/>
          </w:tcPr>
          <w:p>
            <w:pPr>
              <w:jc w:val="right"/>
              <w:ind w:right="812"/>
              <w:spacing w:after="0"/>
              <w:rPr>
                <w:sz w:val="20"/>
                <w:szCs w:val="20"/>
                <w:color w:val="auto"/>
              </w:rPr>
            </w:pPr>
            <w:r>
              <w:rPr>
                <w:rFonts w:ascii="Arial" w:cs="Arial" w:eastAsia="Arial" w:hAnsi="Arial"/>
                <w:sz w:val="22"/>
                <w:szCs w:val="22"/>
                <w:color w:val="auto"/>
              </w:rPr>
              <w:t>Six Months Ended</w:t>
            </w:r>
          </w:p>
        </w:tc>
      </w:tr>
      <w:tr>
        <w:trPr>
          <w:trHeight w:val="251"/>
        </w:trPr>
        <w:tc>
          <w:tcPr>
            <w:tcW w:w="45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4"/>
          </w:tcPr>
          <w:p>
            <w:pPr>
              <w:jc w:val="right"/>
              <w:ind w:right="23"/>
              <w:spacing w:after="0" w:line="251" w:lineRule="exact"/>
              <w:rPr>
                <w:sz w:val="20"/>
                <w:szCs w:val="20"/>
                <w:color w:val="auto"/>
              </w:rPr>
            </w:pPr>
            <w:r>
              <w:rPr>
                <w:rFonts w:ascii="Arial" w:cs="Arial" w:eastAsia="Arial" w:hAnsi="Arial"/>
                <w:sz w:val="22"/>
                <w:szCs w:val="22"/>
                <w:color w:val="auto"/>
              </w:rPr>
              <w:t>June 30,</w:t>
            </w:r>
          </w:p>
        </w:tc>
        <w:tc>
          <w:tcPr>
            <w:tcW w:w="10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ind w:right="52"/>
              <w:spacing w:after="0" w:line="251" w:lineRule="exact"/>
              <w:rPr>
                <w:sz w:val="20"/>
                <w:szCs w:val="20"/>
                <w:color w:val="auto"/>
              </w:rPr>
            </w:pPr>
            <w:r>
              <w:rPr>
                <w:rFonts w:ascii="Arial" w:cs="Arial" w:eastAsia="Arial" w:hAnsi="Arial"/>
                <w:sz w:val="22"/>
                <w:szCs w:val="22"/>
                <w:color w:val="auto"/>
              </w:rPr>
              <w:t>June 30,</w:t>
            </w:r>
          </w:p>
        </w:tc>
        <w:tc>
          <w:tcPr>
            <w:tcW w:w="1200" w:type="dxa"/>
            <w:vAlign w:val="bottom"/>
            <w:tcBorders>
              <w:bottom w:val="single" w:sz="8" w:color="auto"/>
            </w:tcBorders>
          </w:tcPr>
          <w:p>
            <w:pPr>
              <w:spacing w:after="0"/>
              <w:rPr>
                <w:sz w:val="21"/>
                <w:szCs w:val="21"/>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2"/>
              <w:spacing w:after="0" w:line="223" w:lineRule="exact"/>
              <w:rPr>
                <w:sz w:val="20"/>
                <w:szCs w:val="20"/>
                <w:color w:val="auto"/>
              </w:rPr>
            </w:pPr>
            <w:r>
              <w:rPr>
                <w:rFonts w:ascii="Arial" w:cs="Arial" w:eastAsia="Arial" w:hAnsi="Arial"/>
                <w:sz w:val="22"/>
                <w:szCs w:val="22"/>
                <w:color w:val="auto"/>
              </w:rPr>
              <w:t>2022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2"/>
              <w:spacing w:after="0" w:line="223" w:lineRule="exact"/>
              <w:rPr>
                <w:sz w:val="20"/>
                <w:szCs w:val="20"/>
                <w:color w:val="auto"/>
              </w:rPr>
            </w:pPr>
            <w:r>
              <w:rPr>
                <w:rFonts w:ascii="Arial" w:cs="Arial" w:eastAsia="Arial" w:hAnsi="Arial"/>
                <w:sz w:val="22"/>
                <w:szCs w:val="22"/>
                <w:color w:val="auto"/>
              </w:rPr>
              <w:t>2021</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2"/>
              <w:spacing w:after="0" w:line="223" w:lineRule="exact"/>
              <w:rPr>
                <w:sz w:val="20"/>
                <w:szCs w:val="20"/>
                <w:color w:val="auto"/>
              </w:rPr>
            </w:pPr>
            <w:r>
              <w:rPr>
                <w:rFonts w:ascii="Arial" w:cs="Arial" w:eastAsia="Arial" w:hAnsi="Arial"/>
                <w:sz w:val="22"/>
                <w:szCs w:val="22"/>
                <w:color w:val="auto"/>
              </w:rPr>
              <w:t>2022</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2"/>
              <w:spacing w:after="0" w:line="223" w:lineRule="exact"/>
              <w:rPr>
                <w:sz w:val="20"/>
                <w:szCs w:val="20"/>
                <w:color w:val="auto"/>
              </w:rPr>
            </w:pPr>
            <w:r>
              <w:rPr>
                <w:rFonts w:ascii="Arial" w:cs="Arial" w:eastAsia="Arial" w:hAnsi="Arial"/>
                <w:sz w:val="22"/>
                <w:szCs w:val="22"/>
                <w:color w:val="auto"/>
              </w:rPr>
              <w:t>2021</w:t>
            </w:r>
          </w:p>
        </w:tc>
      </w:tr>
      <w:tr>
        <w:trPr>
          <w:trHeight w:val="223"/>
        </w:trPr>
        <w:tc>
          <w:tcPr>
            <w:tcW w:w="452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Property</w:t>
            </w: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9"/>
                <w:szCs w:val="19"/>
                <w:color w:val="auto"/>
                <w:w w:val="75"/>
              </w:rPr>
              <w:t>$</w:t>
            </w:r>
          </w:p>
        </w:tc>
        <w:tc>
          <w:tcPr>
            <w:tcW w:w="11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8,239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9"/>
                <w:szCs w:val="19"/>
                <w:color w:val="auto"/>
                <w:w w:val="75"/>
              </w:rPr>
              <w:t>$</w:t>
            </w:r>
          </w:p>
        </w:tc>
        <w:tc>
          <w:tcPr>
            <w:tcW w:w="10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9,570</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32"/>
              <w:spacing w:after="0" w:line="223" w:lineRule="exact"/>
              <w:rPr>
                <w:sz w:val="20"/>
                <w:szCs w:val="20"/>
                <w:color w:val="auto"/>
              </w:rPr>
            </w:pPr>
            <w:r>
              <w:rPr>
                <w:rFonts w:ascii="Arial" w:cs="Arial" w:eastAsia="Arial" w:hAnsi="Arial"/>
                <w:sz w:val="22"/>
                <w:szCs w:val="22"/>
                <w:color w:val="auto"/>
                <w:w w:val="81"/>
              </w:rPr>
              <w:t>$</w:t>
            </w:r>
          </w:p>
        </w:tc>
        <w:tc>
          <w:tcPr>
            <w:tcW w:w="12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16,253</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12"/>
              <w:spacing w:after="0" w:line="223" w:lineRule="exact"/>
              <w:rPr>
                <w:sz w:val="20"/>
                <w:szCs w:val="20"/>
                <w:color w:val="auto"/>
              </w:rPr>
            </w:pPr>
            <w:r>
              <w:rPr>
                <w:rFonts w:ascii="Arial" w:cs="Arial" w:eastAsia="Arial" w:hAnsi="Arial"/>
                <w:sz w:val="22"/>
                <w:szCs w:val="22"/>
                <w:color w:val="auto"/>
                <w:w w:val="81"/>
              </w:rPr>
              <w:t>$</w:t>
            </w:r>
          </w:p>
        </w:tc>
        <w:tc>
          <w:tcPr>
            <w:tcW w:w="12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17,284</w:t>
            </w:r>
          </w:p>
        </w:tc>
      </w:tr>
      <w:tr>
        <w:trPr>
          <w:trHeight w:val="230"/>
        </w:trPr>
        <w:tc>
          <w:tcPr>
            <w:tcW w:w="4520" w:type="dxa"/>
            <w:vAlign w:val="bottom"/>
          </w:tcPr>
          <w:p>
            <w:pPr>
              <w:spacing w:after="0" w:line="229" w:lineRule="exact"/>
              <w:rPr>
                <w:sz w:val="20"/>
                <w:szCs w:val="20"/>
                <w:color w:val="auto"/>
              </w:rPr>
            </w:pPr>
            <w:r>
              <w:rPr>
                <w:rFonts w:ascii="Arial" w:cs="Arial" w:eastAsia="Arial" w:hAnsi="Arial"/>
                <w:sz w:val="22"/>
                <w:szCs w:val="22"/>
                <w:color w:val="auto"/>
              </w:rPr>
              <w:t>Gross receipts, excise and franchise</w:t>
            </w:r>
          </w:p>
        </w:tc>
        <w:tc>
          <w:tcPr>
            <w:tcW w:w="280" w:type="dxa"/>
            <w:vAlign w:val="bottom"/>
          </w:tcPr>
          <w:p>
            <w:pPr>
              <w:spacing w:after="0"/>
              <w:rPr>
                <w:sz w:val="19"/>
                <w:szCs w:val="19"/>
                <w:color w:val="auto"/>
              </w:rPr>
            </w:pPr>
          </w:p>
        </w:tc>
        <w:tc>
          <w:tcPr>
            <w:tcW w:w="1200" w:type="dxa"/>
            <w:vAlign w:val="bottom"/>
            <w:gridSpan w:val="2"/>
          </w:tcPr>
          <w:p>
            <w:pPr>
              <w:jc w:val="right"/>
              <w:ind w:right="100"/>
              <w:spacing w:after="0" w:line="229" w:lineRule="exact"/>
              <w:rPr>
                <w:sz w:val="20"/>
                <w:szCs w:val="20"/>
                <w:color w:val="auto"/>
              </w:rPr>
            </w:pPr>
            <w:r>
              <w:rPr>
                <w:rFonts w:ascii="Arial" w:cs="Arial" w:eastAsia="Arial" w:hAnsi="Arial"/>
                <w:sz w:val="22"/>
                <w:szCs w:val="22"/>
                <w:color w:val="auto"/>
              </w:rPr>
              <w:t>4,017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29" w:lineRule="exact"/>
              <w:rPr>
                <w:sz w:val="20"/>
                <w:szCs w:val="20"/>
                <w:color w:val="auto"/>
              </w:rPr>
            </w:pPr>
            <w:r>
              <w:rPr>
                <w:rFonts w:ascii="Arial" w:cs="Arial" w:eastAsia="Arial" w:hAnsi="Arial"/>
                <w:sz w:val="22"/>
                <w:szCs w:val="22"/>
                <w:color w:val="auto"/>
              </w:rPr>
              <w:t>3,949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00"/>
              <w:spacing w:after="0" w:line="229" w:lineRule="exact"/>
              <w:rPr>
                <w:sz w:val="20"/>
                <w:szCs w:val="20"/>
                <w:color w:val="auto"/>
              </w:rPr>
            </w:pPr>
            <w:r>
              <w:rPr>
                <w:rFonts w:ascii="Arial" w:cs="Arial" w:eastAsia="Arial" w:hAnsi="Arial"/>
                <w:sz w:val="22"/>
                <w:szCs w:val="22"/>
                <w:color w:val="auto"/>
              </w:rPr>
              <w:t>8,117</w:t>
            </w:r>
          </w:p>
        </w:tc>
        <w:tc>
          <w:tcPr>
            <w:tcW w:w="4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7,633</w:t>
            </w:r>
          </w:p>
        </w:tc>
      </w:tr>
      <w:tr>
        <w:trPr>
          <w:trHeight w:val="229"/>
        </w:trPr>
        <w:tc>
          <w:tcPr>
            <w:tcW w:w="452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Payroll</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line="229" w:lineRule="exact"/>
              <w:rPr>
                <w:sz w:val="20"/>
                <w:szCs w:val="20"/>
                <w:color w:val="auto"/>
              </w:rPr>
            </w:pPr>
            <w:r>
              <w:rPr>
                <w:rFonts w:ascii="Arial" w:cs="Arial" w:eastAsia="Arial" w:hAnsi="Arial"/>
                <w:sz w:val="22"/>
                <w:szCs w:val="22"/>
                <w:color w:val="auto"/>
              </w:rPr>
              <w:t>4,778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4,718</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line="229" w:lineRule="exact"/>
              <w:rPr>
                <w:sz w:val="20"/>
                <w:szCs w:val="20"/>
                <w:color w:val="auto"/>
              </w:rPr>
            </w:pPr>
            <w:r>
              <w:rPr>
                <w:rFonts w:ascii="Arial" w:cs="Arial" w:eastAsia="Arial" w:hAnsi="Arial"/>
                <w:sz w:val="22"/>
                <w:szCs w:val="22"/>
                <w:color w:val="auto"/>
              </w:rPr>
              <w:t>11,439</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11,474</w:t>
            </w:r>
          </w:p>
        </w:tc>
      </w:tr>
      <w:tr>
        <w:trPr>
          <w:trHeight w:val="229"/>
        </w:trPr>
        <w:tc>
          <w:tcPr>
            <w:tcW w:w="4520" w:type="dxa"/>
            <w:vAlign w:val="bottom"/>
          </w:tcPr>
          <w:p>
            <w:pPr>
              <w:spacing w:after="0" w:line="229" w:lineRule="exact"/>
              <w:rPr>
                <w:sz w:val="20"/>
                <w:szCs w:val="20"/>
                <w:color w:val="auto"/>
              </w:rPr>
            </w:pPr>
            <w:r>
              <w:rPr>
                <w:rFonts w:ascii="Arial" w:cs="Arial" w:eastAsia="Arial" w:hAnsi="Arial"/>
                <w:sz w:val="22"/>
                <w:szCs w:val="22"/>
                <w:color w:val="auto"/>
              </w:rPr>
              <w:t>Regulatory assessments</w:t>
            </w:r>
          </w:p>
        </w:tc>
        <w:tc>
          <w:tcPr>
            <w:tcW w:w="280" w:type="dxa"/>
            <w:vAlign w:val="bottom"/>
          </w:tcPr>
          <w:p>
            <w:pPr>
              <w:spacing w:after="0"/>
              <w:rPr>
                <w:sz w:val="19"/>
                <w:szCs w:val="19"/>
                <w:color w:val="auto"/>
              </w:rPr>
            </w:pPr>
          </w:p>
        </w:tc>
        <w:tc>
          <w:tcPr>
            <w:tcW w:w="1200" w:type="dxa"/>
            <w:vAlign w:val="bottom"/>
            <w:gridSpan w:val="2"/>
          </w:tcPr>
          <w:p>
            <w:pPr>
              <w:jc w:val="right"/>
              <w:ind w:right="100"/>
              <w:spacing w:after="0" w:line="229" w:lineRule="exact"/>
              <w:rPr>
                <w:sz w:val="20"/>
                <w:szCs w:val="20"/>
                <w:color w:val="auto"/>
              </w:rPr>
            </w:pPr>
            <w:r>
              <w:rPr>
                <w:rFonts w:ascii="Arial" w:cs="Arial" w:eastAsia="Arial" w:hAnsi="Arial"/>
                <w:sz w:val="22"/>
                <w:szCs w:val="22"/>
                <w:color w:val="auto"/>
              </w:rPr>
              <w:t>1,812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29" w:lineRule="exact"/>
              <w:rPr>
                <w:sz w:val="20"/>
                <w:szCs w:val="20"/>
                <w:color w:val="auto"/>
              </w:rPr>
            </w:pPr>
            <w:r>
              <w:rPr>
                <w:rFonts w:ascii="Arial" w:cs="Arial" w:eastAsia="Arial" w:hAnsi="Arial"/>
                <w:sz w:val="22"/>
                <w:szCs w:val="22"/>
                <w:color w:val="auto"/>
              </w:rPr>
              <w:t>847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00"/>
              <w:spacing w:after="0" w:line="229" w:lineRule="exact"/>
              <w:rPr>
                <w:sz w:val="20"/>
                <w:szCs w:val="20"/>
                <w:color w:val="auto"/>
              </w:rPr>
            </w:pPr>
            <w:r>
              <w:rPr>
                <w:rFonts w:ascii="Arial" w:cs="Arial" w:eastAsia="Arial" w:hAnsi="Arial"/>
                <w:sz w:val="22"/>
                <w:szCs w:val="22"/>
                <w:color w:val="auto"/>
              </w:rPr>
              <w:t>3,577</w:t>
            </w:r>
          </w:p>
        </w:tc>
        <w:tc>
          <w:tcPr>
            <w:tcW w:w="4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1,685</w:t>
            </w:r>
          </w:p>
        </w:tc>
      </w:tr>
      <w:tr>
        <w:trPr>
          <w:trHeight w:val="230"/>
        </w:trPr>
        <w:tc>
          <w:tcPr>
            <w:tcW w:w="452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Pumping fees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line="229" w:lineRule="exact"/>
              <w:rPr>
                <w:sz w:val="20"/>
                <w:szCs w:val="20"/>
                <w:color w:val="auto"/>
              </w:rPr>
            </w:pPr>
            <w:r>
              <w:rPr>
                <w:rFonts w:ascii="Arial" w:cs="Arial" w:eastAsia="Arial" w:hAnsi="Arial"/>
                <w:sz w:val="22"/>
                <w:szCs w:val="22"/>
                <w:color w:val="auto"/>
              </w:rPr>
              <w:t>1,947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1,464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line="229" w:lineRule="exact"/>
              <w:rPr>
                <w:sz w:val="20"/>
                <w:szCs w:val="20"/>
                <w:color w:val="auto"/>
              </w:rPr>
            </w:pPr>
            <w:r>
              <w:rPr>
                <w:rFonts w:ascii="Arial" w:cs="Arial" w:eastAsia="Arial" w:hAnsi="Arial"/>
                <w:sz w:val="22"/>
                <w:szCs w:val="22"/>
                <w:color w:val="auto"/>
              </w:rPr>
              <w:t>3,323</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2,590</w:t>
            </w:r>
          </w:p>
        </w:tc>
      </w:tr>
      <w:tr>
        <w:trPr>
          <w:trHeight w:val="229"/>
        </w:trPr>
        <w:tc>
          <w:tcPr>
            <w:tcW w:w="4520" w:type="dxa"/>
            <w:vAlign w:val="bottom"/>
          </w:tcPr>
          <w:p>
            <w:pPr>
              <w:spacing w:after="0" w:line="229" w:lineRule="exact"/>
              <w:rPr>
                <w:sz w:val="20"/>
                <w:szCs w:val="20"/>
                <w:color w:val="auto"/>
              </w:rPr>
            </w:pPr>
            <w:r>
              <w:rPr>
                <w:rFonts w:ascii="Arial" w:cs="Arial" w:eastAsia="Arial" w:hAnsi="Arial"/>
                <w:sz w:val="22"/>
                <w:szCs w:val="22"/>
                <w:color w:val="auto"/>
              </w:rPr>
              <w:t>Other</w:t>
            </w:r>
          </w:p>
        </w:tc>
        <w:tc>
          <w:tcPr>
            <w:tcW w:w="280" w:type="dxa"/>
            <w:vAlign w:val="bottom"/>
          </w:tcPr>
          <w:p>
            <w:pPr>
              <w:spacing w:after="0"/>
              <w:rPr>
                <w:sz w:val="19"/>
                <w:szCs w:val="19"/>
                <w:color w:val="auto"/>
              </w:rPr>
            </w:pPr>
          </w:p>
        </w:tc>
        <w:tc>
          <w:tcPr>
            <w:tcW w:w="1200" w:type="dxa"/>
            <w:vAlign w:val="bottom"/>
            <w:gridSpan w:val="2"/>
          </w:tcPr>
          <w:p>
            <w:pPr>
              <w:jc w:val="right"/>
              <w:ind w:right="100"/>
              <w:spacing w:after="0" w:line="229" w:lineRule="exact"/>
              <w:rPr>
                <w:sz w:val="20"/>
                <w:szCs w:val="20"/>
                <w:color w:val="auto"/>
              </w:rPr>
            </w:pPr>
            <w:r>
              <w:rPr>
                <w:rFonts w:ascii="Arial" w:cs="Arial" w:eastAsia="Arial" w:hAnsi="Arial"/>
                <w:sz w:val="22"/>
                <w:szCs w:val="22"/>
                <w:color w:val="auto"/>
              </w:rPr>
              <w:t>927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29" w:lineRule="exact"/>
              <w:rPr>
                <w:sz w:val="20"/>
                <w:szCs w:val="20"/>
                <w:color w:val="auto"/>
              </w:rPr>
            </w:pPr>
            <w:r>
              <w:rPr>
                <w:rFonts w:ascii="Arial" w:cs="Arial" w:eastAsia="Arial" w:hAnsi="Arial"/>
                <w:sz w:val="22"/>
                <w:szCs w:val="22"/>
                <w:color w:val="auto"/>
              </w:rPr>
              <w:t>572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00"/>
              <w:spacing w:after="0" w:line="229" w:lineRule="exact"/>
              <w:rPr>
                <w:sz w:val="20"/>
                <w:szCs w:val="20"/>
                <w:color w:val="auto"/>
              </w:rPr>
            </w:pPr>
            <w:r>
              <w:rPr>
                <w:rFonts w:ascii="Arial" w:cs="Arial" w:eastAsia="Arial" w:hAnsi="Arial"/>
                <w:sz w:val="22"/>
                <w:szCs w:val="22"/>
                <w:color w:val="auto"/>
              </w:rPr>
              <w:t>2,018</w:t>
            </w:r>
          </w:p>
        </w:tc>
        <w:tc>
          <w:tcPr>
            <w:tcW w:w="4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1,495</w:t>
            </w:r>
          </w:p>
        </w:tc>
      </w:tr>
      <w:tr>
        <w:trPr>
          <w:trHeight w:val="223"/>
        </w:trPr>
        <w:tc>
          <w:tcPr>
            <w:tcW w:w="452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Total taxes other than income</w:t>
            </w:r>
          </w:p>
        </w:tc>
        <w:tc>
          <w:tcPr>
            <w:tcW w:w="2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21,720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Arial" w:cs="Arial" w:eastAsia="Arial" w:hAnsi="Arial"/>
                <w:sz w:val="19"/>
                <w:szCs w:val="19"/>
                <w:color w:val="auto"/>
                <w:w w:val="75"/>
              </w:rPr>
              <w:t>$</w:t>
            </w:r>
          </w:p>
        </w:tc>
        <w:tc>
          <w:tcPr>
            <w:tcW w:w="10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21,120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32"/>
              <w:spacing w:after="0" w:line="223" w:lineRule="exact"/>
              <w:rPr>
                <w:sz w:val="20"/>
                <w:szCs w:val="20"/>
                <w:color w:val="auto"/>
              </w:rPr>
            </w:pPr>
            <w:r>
              <w:rPr>
                <w:rFonts w:ascii="Arial" w:cs="Arial" w:eastAsia="Arial" w:hAnsi="Arial"/>
                <w:sz w:val="22"/>
                <w:szCs w:val="22"/>
                <w:color w:val="auto"/>
                <w:w w:val="81"/>
              </w:rPr>
              <w:t>$</w:t>
            </w:r>
          </w:p>
        </w:tc>
        <w:tc>
          <w:tcPr>
            <w:tcW w:w="12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44,727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12"/>
              <w:spacing w:after="0" w:line="223" w:lineRule="exact"/>
              <w:rPr>
                <w:sz w:val="20"/>
                <w:szCs w:val="20"/>
                <w:color w:val="auto"/>
              </w:rPr>
            </w:pPr>
            <w:r>
              <w:rPr>
                <w:rFonts w:ascii="Arial" w:cs="Arial" w:eastAsia="Arial" w:hAnsi="Arial"/>
                <w:sz w:val="22"/>
                <w:szCs w:val="22"/>
                <w:color w:val="auto"/>
                <w:w w:val="81"/>
              </w:rPr>
              <w:t>$</w:t>
            </w:r>
          </w:p>
        </w:tc>
        <w:tc>
          <w:tcPr>
            <w:tcW w:w="12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42,161</w:t>
            </w:r>
          </w:p>
        </w:tc>
      </w:tr>
      <w:tr>
        <w:trPr>
          <w:trHeight w:val="20"/>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 </w:t>
      </w:r>
      <w:r>
        <w:rPr>
          <w:rFonts w:ascii="Arial" w:cs="Arial" w:eastAsia="Arial" w:hAnsi="Arial"/>
          <w:sz w:val="22"/>
          <w:szCs w:val="22"/>
          <w:b w:val="1"/>
          <w:bCs w:val="1"/>
          <w:i w:val="1"/>
          <w:iCs w:val="1"/>
          <w:color w:val="auto"/>
        </w:rPr>
        <w:t>Segment Information</w:t>
      </w:r>
    </w:p>
    <w:p>
      <w:pPr>
        <w:spacing w:after="0" w:line="212"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color w:val="auto"/>
        </w:rPr>
        <w:t>The Company has twelve operating segments and two reportable segments. The Regulated Water segment is comprised of eight operating segments representing its water and wastewater regulated utility 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acquired in the Peoples Gas Acquisition, for which the Company provides natural gas distribution services.</w:t>
      </w:r>
    </w:p>
    <w:p>
      <w:pPr>
        <w:spacing w:after="0" w:line="139" w:lineRule="exact"/>
        <w:rPr>
          <w:sz w:val="20"/>
          <w:szCs w:val="20"/>
          <w:color w:val="auto"/>
        </w:rPr>
      </w:pPr>
    </w:p>
    <w:p>
      <w:pPr>
        <w:ind w:right="100"/>
        <w:spacing w:after="0" w:line="257" w:lineRule="auto"/>
        <w:rPr>
          <w:sz w:val="20"/>
          <w:szCs w:val="20"/>
          <w:color w:val="auto"/>
        </w:rPr>
      </w:pPr>
      <w:r>
        <w:rPr>
          <w:rFonts w:ascii="Arial" w:cs="Arial" w:eastAsia="Arial" w:hAnsi="Arial"/>
          <w:sz w:val="19"/>
          <w:szCs w:val="19"/>
          <w:color w:val="auto"/>
        </w:rPr>
        <w:t>In addition to the Company’s two reportable segments, we include three of our operating segments within the Other category below. These segments are not quantitatively significant and are comprised of our non-regulated natural gas operations, Aqua Infrastructure, and Aqua Resources. Our non-regulated natural gas operations consist of utility service line protection solutions and repair services to households and the operation of gas marketing and production entities. Prior to the October 30, 2020 sale of our investment in joint venture, Aqua Infrastructure provided non-utility raw water supply services for firms in the natural gas drilling industry. Aqua Resources offers, through a third party, water and sewer service line protection solutions and repair services to households. In addition to these segments, Other is comprised of business activities not included in the reportable segments,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 The Regulated Water and Regulated Natural Gas segments report interest expense that includes long-term debt that was pushed-down to the regulated operating subsidiaries from Essential Utilities,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6" w:name="page27"/>
    <w:bookmarkEnd w:id="2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information about the Company’s reportable segments: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center"/>
              <w:ind w:right="60"/>
              <w:spacing w:after="0"/>
              <w:rPr>
                <w:sz w:val="20"/>
                <w:szCs w:val="20"/>
                <w:color w:val="auto"/>
              </w:rPr>
            </w:pPr>
            <w:r>
              <w:rPr>
                <w:rFonts w:ascii="Arial" w:cs="Arial" w:eastAsia="Arial" w:hAnsi="Arial"/>
                <w:sz w:val="14"/>
                <w:szCs w:val="14"/>
                <w:color w:val="auto"/>
                <w:w w:val="93"/>
              </w:rPr>
              <w:t>Three Months Ended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40"/>
              <w:spacing w:after="0"/>
              <w:rPr>
                <w:sz w:val="20"/>
                <w:szCs w:val="20"/>
                <w:color w:val="auto"/>
              </w:rPr>
            </w:pPr>
            <w:r>
              <w:rPr>
                <w:rFonts w:ascii="Arial" w:cs="Arial" w:eastAsia="Arial" w:hAnsi="Arial"/>
                <w:sz w:val="14"/>
                <w:szCs w:val="14"/>
                <w:color w:val="auto"/>
                <w:w w:val="93"/>
              </w:rPr>
              <w:t>Three Months Ended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color w:val="auto"/>
                <w:w w:val="90"/>
              </w:rPr>
              <w:t>June 30, 2022</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color w:val="auto"/>
                <w:w w:val="92"/>
              </w:rPr>
              <w:t>June 30, 2021</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23"/>
        </w:trPr>
        <w:tc>
          <w:tcPr>
            <w:tcW w:w="2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220"/>
              <w:spacing w:after="0" w:line="123" w:lineRule="exact"/>
              <w:rPr>
                <w:sz w:val="20"/>
                <w:szCs w:val="20"/>
                <w:color w:val="auto"/>
              </w:rPr>
            </w:pPr>
            <w:r>
              <w:rPr>
                <w:rFonts w:ascii="Arial" w:cs="Arial" w:eastAsia="Arial" w:hAnsi="Arial"/>
                <w:sz w:val="14"/>
                <w:szCs w:val="14"/>
                <w:color w:val="auto"/>
                <w:w w:val="90"/>
              </w:rPr>
              <w:t>Regulated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80"/>
              <w:spacing w:after="0" w:line="123" w:lineRule="exact"/>
              <w:rPr>
                <w:sz w:val="20"/>
                <w:szCs w:val="20"/>
                <w:color w:val="auto"/>
              </w:rPr>
            </w:pPr>
            <w:r>
              <w:rPr>
                <w:rFonts w:ascii="Arial" w:cs="Arial" w:eastAsia="Arial" w:hAnsi="Arial"/>
                <w:sz w:val="14"/>
                <w:szCs w:val="14"/>
                <w:color w:val="auto"/>
              </w:rPr>
              <w:t>Regulated</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3" w:lineRule="exact"/>
              <w:rPr>
                <w:sz w:val="20"/>
                <w:szCs w:val="20"/>
                <w:color w:val="auto"/>
              </w:rPr>
            </w:pPr>
            <w:r>
              <w:rPr>
                <w:rFonts w:ascii="Arial" w:cs="Arial" w:eastAsia="Arial" w:hAnsi="Arial"/>
                <w:sz w:val="14"/>
                <w:szCs w:val="14"/>
                <w:color w:val="auto"/>
                <w:w w:val="90"/>
              </w:rPr>
              <w:t>Regulated</w:t>
            </w:r>
          </w:p>
        </w:tc>
        <w:tc>
          <w:tcPr>
            <w:tcW w:w="100" w:type="dxa"/>
            <w:vAlign w:val="bottom"/>
          </w:tcPr>
          <w:p>
            <w:pPr>
              <w:spacing w:after="0"/>
              <w:rPr>
                <w:sz w:val="10"/>
                <w:szCs w:val="10"/>
                <w:color w:val="auto"/>
              </w:rPr>
            </w:pPr>
          </w:p>
        </w:tc>
        <w:tc>
          <w:tcPr>
            <w:tcW w:w="940" w:type="dxa"/>
            <w:vAlign w:val="bottom"/>
            <w:gridSpan w:val="2"/>
          </w:tcPr>
          <w:p>
            <w:pPr>
              <w:ind w:left="80"/>
              <w:spacing w:after="0" w:line="123" w:lineRule="exact"/>
              <w:rPr>
                <w:sz w:val="20"/>
                <w:szCs w:val="20"/>
                <w:color w:val="auto"/>
              </w:rPr>
            </w:pPr>
            <w:r>
              <w:rPr>
                <w:rFonts w:ascii="Arial" w:cs="Arial" w:eastAsia="Arial" w:hAnsi="Arial"/>
                <w:sz w:val="14"/>
                <w:szCs w:val="14"/>
                <w:color w:val="auto"/>
              </w:rPr>
              <w:t>Regulated</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67"/>
        </w:trPr>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Water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color w:val="auto"/>
              </w:rPr>
              <w:t>Natural Gas</w:t>
            </w:r>
          </w:p>
        </w:tc>
        <w:tc>
          <w:tcPr>
            <w:tcW w:w="16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Consolidated</w:t>
            </w:r>
          </w:p>
        </w:tc>
        <w:tc>
          <w:tcPr>
            <w:tcW w:w="1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Water</w:t>
            </w:r>
          </w:p>
        </w:tc>
        <w:tc>
          <w:tcPr>
            <w:tcW w:w="1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color w:val="auto"/>
              </w:rPr>
              <w:t>Natural Gas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w w:val="92"/>
              </w:rPr>
              <w:t>Consolidated</w:t>
            </w:r>
          </w:p>
        </w:tc>
      </w:tr>
      <w:tr>
        <w:trPr>
          <w:trHeight w:val="142"/>
        </w:trPr>
        <w:tc>
          <w:tcPr>
            <w:tcW w:w="2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Operating revenues</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269,355</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167,729</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11,672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448,756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248,177</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141,562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7,293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397,032</w:t>
            </w:r>
          </w:p>
        </w:tc>
      </w:tr>
      <w:tr>
        <w:trPr>
          <w:trHeight w:val="148"/>
        </w:trPr>
        <w:tc>
          <w:tcPr>
            <w:tcW w:w="2820" w:type="dxa"/>
            <w:vAlign w:val="bottom"/>
          </w:tcPr>
          <w:p>
            <w:pPr>
              <w:spacing w:after="0" w:line="149" w:lineRule="exact"/>
              <w:rPr>
                <w:sz w:val="20"/>
                <w:szCs w:val="20"/>
                <w:color w:val="auto"/>
              </w:rPr>
            </w:pPr>
            <w:r>
              <w:rPr>
                <w:rFonts w:ascii="Arial" w:cs="Arial" w:eastAsia="Arial" w:hAnsi="Arial"/>
                <w:sz w:val="14"/>
                <w:szCs w:val="14"/>
                <w:color w:val="auto"/>
              </w:rPr>
              <w:t>Operations and maintenance expense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92,815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44,907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(2,741)</w:t>
            </w: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134,981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77,801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52,334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(2,620)</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127,515</w:t>
            </w: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Purchased gas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63,392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11,751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75,143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39,788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44,897</w:t>
            </w:r>
          </w:p>
        </w:tc>
      </w:tr>
      <w:tr>
        <w:trPr>
          <w:trHeight w:val="148"/>
        </w:trPr>
        <w:tc>
          <w:tcPr>
            <w:tcW w:w="282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50,260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29,131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(215)</w:t>
            </w: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79,176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45,546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28,121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74,172</w:t>
            </w: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Taxes other than income taxes</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15,562</w:t>
            </w: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5,614</w:t>
            </w:r>
          </w:p>
        </w:tc>
        <w:tc>
          <w:tcPr>
            <w:tcW w:w="1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544</w:t>
            </w:r>
          </w:p>
        </w:tc>
        <w:tc>
          <w:tcPr>
            <w:tcW w:w="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21,720</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16,044</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4,638</w:t>
            </w: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438</w:t>
            </w: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21,120</w:t>
            </w:r>
          </w:p>
        </w:tc>
      </w:tr>
      <w:tr>
        <w:trPr>
          <w:trHeight w:val="142"/>
        </w:trPr>
        <w:tc>
          <w:tcPr>
            <w:tcW w:w="2820" w:type="dxa"/>
            <w:vAlign w:val="bottom"/>
          </w:tcPr>
          <w:p>
            <w:pPr>
              <w:spacing w:after="0" w:line="142" w:lineRule="exact"/>
              <w:rPr>
                <w:sz w:val="20"/>
                <w:szCs w:val="20"/>
                <w:color w:val="auto"/>
              </w:rPr>
            </w:pPr>
            <w:r>
              <w:rPr>
                <w:rFonts w:ascii="Arial" w:cs="Arial" w:eastAsia="Arial" w:hAnsi="Arial"/>
                <w:sz w:val="14"/>
                <w:szCs w:val="14"/>
                <w:color w:val="auto"/>
              </w:rPr>
              <w:t>Operating income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110,718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24,685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2,333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137,736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108,786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16,681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3,861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129,328</w:t>
            </w: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 (a)</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27,604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19,171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54,397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27,122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20,422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51,698</w:t>
            </w:r>
          </w:p>
        </w:tc>
      </w:tr>
      <w:tr>
        <w:trPr>
          <w:trHeight w:val="148"/>
        </w:trPr>
        <w:tc>
          <w:tcPr>
            <w:tcW w:w="2820" w:type="dxa"/>
            <w:vAlign w:val="bottom"/>
          </w:tcPr>
          <w:p>
            <w:pPr>
              <w:spacing w:after="0" w:line="149" w:lineRule="exact"/>
              <w:rPr>
                <w:sz w:val="20"/>
                <w:szCs w:val="20"/>
                <w:color w:val="auto"/>
              </w:rPr>
            </w:pPr>
            <w:r>
              <w:rPr>
                <w:rFonts w:ascii="Arial" w:cs="Arial" w:eastAsia="Arial" w:hAnsi="Arial"/>
                <w:sz w:val="14"/>
                <w:szCs w:val="14"/>
                <w:color w:val="auto"/>
              </w:rPr>
              <w:t>Allowance for funds used during construction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(5,347)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(804)</w:t>
            </w: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(6,151)</w:t>
            </w:r>
          </w:p>
        </w:tc>
        <w:tc>
          <w:tcPr>
            <w:tcW w:w="1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(4,438)</w:t>
            </w:r>
          </w:p>
        </w:tc>
        <w:tc>
          <w:tcPr>
            <w:tcW w:w="10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(4,906)</w:t>
            </w: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(1,728)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(901)</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(1,940)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(2,164)</w:t>
            </w:r>
          </w:p>
        </w:tc>
      </w:tr>
      <w:tr>
        <w:trPr>
          <w:trHeight w:val="142"/>
        </w:trPr>
        <w:tc>
          <w:tcPr>
            <w:tcW w:w="2820" w:type="dxa"/>
            <w:vAlign w:val="bottom"/>
          </w:tcPr>
          <w:p>
            <w:pPr>
              <w:spacing w:after="0" w:line="142" w:lineRule="exact"/>
              <w:rPr>
                <w:sz w:val="20"/>
                <w:szCs w:val="20"/>
                <w:color w:val="auto"/>
              </w:rPr>
            </w:pPr>
            <w:r>
              <w:rPr>
                <w:rFonts w:ascii="Arial" w:cs="Arial" w:eastAsia="Arial" w:hAnsi="Arial"/>
                <w:sz w:val="14"/>
                <w:szCs w:val="14"/>
                <w:color w:val="auto"/>
              </w:rPr>
              <w:t>Income before income taxes</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90,189</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6,308</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(6,106)</w:t>
            </w: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90,391</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88,042</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(2,834)</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(508)</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84,700</w:t>
            </w: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 (benefit)</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13,847</w:t>
            </w: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(5,170)</w:t>
            </w: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(577)</w:t>
            </w:r>
          </w:p>
        </w:tc>
        <w:tc>
          <w:tcPr>
            <w:tcW w:w="1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8,100</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9,193</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(4,739)</w:t>
            </w:r>
          </w:p>
        </w:tc>
        <w:tc>
          <w:tcPr>
            <w:tcW w:w="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(668)</w:t>
            </w:r>
          </w:p>
        </w:tc>
        <w:tc>
          <w:tcPr>
            <w:tcW w:w="1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3,786</w:t>
            </w:r>
          </w:p>
        </w:tc>
      </w:tr>
      <w:tr>
        <w:trPr>
          <w:trHeight w:val="142"/>
        </w:trPr>
        <w:tc>
          <w:tcPr>
            <w:tcW w:w="2820" w:type="dxa"/>
            <w:vAlign w:val="bottom"/>
          </w:tcPr>
          <w:p>
            <w:pPr>
              <w:spacing w:after="0" w:line="142" w:lineRule="exact"/>
              <w:rPr>
                <w:sz w:val="20"/>
                <w:szCs w:val="20"/>
                <w:color w:val="auto"/>
              </w:rPr>
            </w:pPr>
            <w:r>
              <w:rPr>
                <w:rFonts w:ascii="Arial" w:cs="Arial" w:eastAsia="Arial" w:hAnsi="Arial"/>
                <w:sz w:val="14"/>
                <w:szCs w:val="14"/>
                <w:color w:val="auto"/>
              </w:rPr>
              <w:t>Net income (loss)</w:t>
            </w:r>
          </w:p>
        </w:tc>
        <w:tc>
          <w:tcPr>
            <w:tcW w:w="1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76,342</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11,478</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(5,529)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82,291</w:t>
            </w:r>
          </w:p>
        </w:tc>
        <w:tc>
          <w:tcPr>
            <w:tcW w:w="1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78,849</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1,905</w:t>
            </w: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160</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80,914</w:t>
            </w:r>
          </w:p>
        </w:tc>
      </w:tr>
      <w:tr>
        <w:trPr>
          <w:trHeight w:val="20"/>
        </w:trPr>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6"/>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9"/>
        </w:trPr>
        <w:tc>
          <w:tcPr>
            <w:tcW w:w="2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gridSpan w:val="5"/>
          </w:tcPr>
          <w:p>
            <w:pPr>
              <w:jc w:val="center"/>
              <w:ind w:right="80"/>
              <w:spacing w:after="0"/>
              <w:rPr>
                <w:sz w:val="20"/>
                <w:szCs w:val="20"/>
                <w:color w:val="auto"/>
              </w:rPr>
            </w:pPr>
            <w:r>
              <w:rPr>
                <w:rFonts w:ascii="Arial" w:cs="Arial" w:eastAsia="Arial" w:hAnsi="Arial"/>
                <w:sz w:val="14"/>
                <w:szCs w:val="14"/>
                <w:color w:val="auto"/>
                <w:w w:val="95"/>
              </w:rPr>
              <w:t>Six Months Ended</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gridSpan w:val="6"/>
          </w:tcPr>
          <w:p>
            <w:pPr>
              <w:jc w:val="center"/>
              <w:ind w:right="40"/>
              <w:spacing w:after="0"/>
              <w:rPr>
                <w:sz w:val="20"/>
                <w:szCs w:val="20"/>
                <w:color w:val="auto"/>
              </w:rPr>
            </w:pPr>
            <w:r>
              <w:rPr>
                <w:rFonts w:ascii="Arial" w:cs="Arial" w:eastAsia="Arial" w:hAnsi="Arial"/>
                <w:sz w:val="14"/>
                <w:szCs w:val="14"/>
                <w:color w:val="auto"/>
                <w:w w:val="93"/>
              </w:rPr>
              <w:t>Six Months Ended</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67"/>
        </w:trPr>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color w:val="auto"/>
                <w:w w:val="90"/>
              </w:rPr>
              <w:t>June 30, 2022</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color w:val="auto"/>
                <w:w w:val="92"/>
              </w:rPr>
              <w:t>June 30, 2021</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23"/>
        </w:trPr>
        <w:tc>
          <w:tcPr>
            <w:tcW w:w="2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220"/>
              <w:spacing w:after="0" w:line="123" w:lineRule="exact"/>
              <w:rPr>
                <w:sz w:val="20"/>
                <w:szCs w:val="20"/>
                <w:color w:val="auto"/>
              </w:rPr>
            </w:pPr>
            <w:r>
              <w:rPr>
                <w:rFonts w:ascii="Arial" w:cs="Arial" w:eastAsia="Arial" w:hAnsi="Arial"/>
                <w:sz w:val="14"/>
                <w:szCs w:val="14"/>
                <w:color w:val="auto"/>
                <w:w w:val="90"/>
              </w:rPr>
              <w:t>Regulated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80"/>
              <w:spacing w:after="0" w:line="123" w:lineRule="exact"/>
              <w:rPr>
                <w:sz w:val="20"/>
                <w:szCs w:val="20"/>
                <w:color w:val="auto"/>
              </w:rPr>
            </w:pPr>
            <w:r>
              <w:rPr>
                <w:rFonts w:ascii="Arial" w:cs="Arial" w:eastAsia="Arial" w:hAnsi="Arial"/>
                <w:sz w:val="14"/>
                <w:szCs w:val="14"/>
                <w:color w:val="auto"/>
              </w:rPr>
              <w:t>Regulated</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3" w:lineRule="exact"/>
              <w:rPr>
                <w:sz w:val="20"/>
                <w:szCs w:val="20"/>
                <w:color w:val="auto"/>
              </w:rPr>
            </w:pPr>
            <w:r>
              <w:rPr>
                <w:rFonts w:ascii="Arial" w:cs="Arial" w:eastAsia="Arial" w:hAnsi="Arial"/>
                <w:sz w:val="14"/>
                <w:szCs w:val="14"/>
                <w:color w:val="auto"/>
                <w:w w:val="90"/>
              </w:rPr>
              <w:t>Regulated</w:t>
            </w:r>
          </w:p>
        </w:tc>
        <w:tc>
          <w:tcPr>
            <w:tcW w:w="100" w:type="dxa"/>
            <w:vAlign w:val="bottom"/>
          </w:tcPr>
          <w:p>
            <w:pPr>
              <w:spacing w:after="0"/>
              <w:rPr>
                <w:sz w:val="10"/>
                <w:szCs w:val="10"/>
                <w:color w:val="auto"/>
              </w:rPr>
            </w:pPr>
          </w:p>
        </w:tc>
        <w:tc>
          <w:tcPr>
            <w:tcW w:w="940" w:type="dxa"/>
            <w:vAlign w:val="bottom"/>
            <w:gridSpan w:val="2"/>
          </w:tcPr>
          <w:p>
            <w:pPr>
              <w:ind w:left="80"/>
              <w:spacing w:after="0" w:line="123" w:lineRule="exact"/>
              <w:rPr>
                <w:sz w:val="20"/>
                <w:szCs w:val="20"/>
                <w:color w:val="auto"/>
              </w:rPr>
            </w:pPr>
            <w:r>
              <w:rPr>
                <w:rFonts w:ascii="Arial" w:cs="Arial" w:eastAsia="Arial" w:hAnsi="Arial"/>
                <w:sz w:val="14"/>
                <w:szCs w:val="14"/>
                <w:color w:val="auto"/>
              </w:rPr>
              <w:t>Regulated</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67"/>
        </w:trPr>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Water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color w:val="auto"/>
              </w:rPr>
              <w:t>Natural Gas</w:t>
            </w:r>
          </w:p>
        </w:tc>
        <w:tc>
          <w:tcPr>
            <w:tcW w:w="16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Consolidated</w:t>
            </w:r>
          </w:p>
        </w:tc>
        <w:tc>
          <w:tcPr>
            <w:tcW w:w="1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Water</w:t>
            </w:r>
          </w:p>
        </w:tc>
        <w:tc>
          <w:tcPr>
            <w:tcW w:w="1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color w:val="auto"/>
              </w:rPr>
              <w:t>Natural Gas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w w:val="92"/>
              </w:rPr>
              <w:t>Consolidated</w:t>
            </w:r>
          </w:p>
        </w:tc>
      </w:tr>
      <w:tr>
        <w:trPr>
          <w:trHeight w:val="142"/>
        </w:trPr>
        <w:tc>
          <w:tcPr>
            <w:tcW w:w="2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Operating revenues</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508,553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612,912</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26,566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1,148,031</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476,530</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484,677</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19,390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980,597</w:t>
            </w: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Operations and maintenance expense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178,903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104,359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(5,700)</w:t>
            </w: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277,562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156,148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103,660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(7,218)</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252,590</w:t>
            </w: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Purchased gas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280,698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22,157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302,855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162,676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14,374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177,050</w:t>
            </w:r>
          </w:p>
        </w:tc>
      </w:tr>
      <w:tr>
        <w:trPr>
          <w:trHeight w:val="148"/>
        </w:trPr>
        <w:tc>
          <w:tcPr>
            <w:tcW w:w="282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98,976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58,835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(289)</w:t>
            </w: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157,522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90,684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55,711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147,116</w:t>
            </w: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Taxes other than income taxes</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31,453</w:t>
            </w: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11,805</w:t>
            </w:r>
          </w:p>
        </w:tc>
        <w:tc>
          <w:tcPr>
            <w:tcW w:w="1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1,469</w:t>
            </w:r>
          </w:p>
        </w:tc>
        <w:tc>
          <w:tcPr>
            <w:tcW w:w="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44,727</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31,465</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9,085</w:t>
            </w: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1,611</w:t>
            </w: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42,161</w:t>
            </w:r>
          </w:p>
        </w:tc>
      </w:tr>
      <w:tr>
        <w:trPr>
          <w:trHeight w:val="142"/>
        </w:trPr>
        <w:tc>
          <w:tcPr>
            <w:tcW w:w="2820" w:type="dxa"/>
            <w:vAlign w:val="bottom"/>
          </w:tcPr>
          <w:p>
            <w:pPr>
              <w:spacing w:after="0" w:line="142" w:lineRule="exact"/>
              <w:rPr>
                <w:sz w:val="20"/>
                <w:szCs w:val="20"/>
                <w:color w:val="auto"/>
              </w:rPr>
            </w:pPr>
            <w:r>
              <w:rPr>
                <w:rFonts w:ascii="Arial" w:cs="Arial" w:eastAsia="Arial" w:hAnsi="Arial"/>
                <w:sz w:val="14"/>
                <w:szCs w:val="14"/>
                <w:color w:val="auto"/>
              </w:rPr>
              <w:t>Operating income (loss)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199,221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157,215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8,929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365,365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198,233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153,545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9,902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361,680</w:t>
            </w: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55,159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39,823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12,442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107,424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53,582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37,719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10,779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102,080</w:t>
            </w: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Allowance for funds used during construction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(10,496)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(1,493)</w:t>
            </w: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(11,990)</w:t>
            </w:r>
          </w:p>
        </w:tc>
        <w:tc>
          <w:tcPr>
            <w:tcW w:w="1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(7,685)</w:t>
            </w:r>
          </w:p>
        </w:tc>
        <w:tc>
          <w:tcPr>
            <w:tcW w:w="10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(7,840)</w:t>
            </w: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(434)</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(2,603)</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(3,369)</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(867)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(1,479)</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(5,715)</w:t>
            </w:r>
          </w:p>
        </w:tc>
      </w:tr>
      <w:tr>
        <w:trPr>
          <w:trHeight w:val="142"/>
        </w:trPr>
        <w:tc>
          <w:tcPr>
            <w:tcW w:w="2820" w:type="dxa"/>
            <w:vAlign w:val="bottom"/>
          </w:tcPr>
          <w:p>
            <w:pPr>
              <w:spacing w:after="0" w:line="142" w:lineRule="exact"/>
              <w:rPr>
                <w:sz w:val="20"/>
                <w:szCs w:val="20"/>
                <w:color w:val="auto"/>
              </w:rPr>
            </w:pPr>
            <w:r>
              <w:rPr>
                <w:rFonts w:ascii="Arial" w:cs="Arial" w:eastAsia="Arial" w:hAnsi="Arial"/>
                <w:sz w:val="14"/>
                <w:szCs w:val="14"/>
                <w:color w:val="auto"/>
              </w:rPr>
              <w:t>Income before income taxes</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158,231</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119,319</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(5,016)</w:t>
            </w: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272,534</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155,705</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116,848</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602</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273,155</w:t>
            </w: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 (benefit)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21,346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(31,645)</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(9,133)</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12,826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(4,307)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8,552</w:t>
            </w:r>
          </w:p>
        </w:tc>
      </w:tr>
      <w:tr>
        <w:trPr>
          <w:trHeight w:val="182"/>
        </w:trPr>
        <w:tc>
          <w:tcPr>
            <w:tcW w:w="28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income (loss)</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136,885</w:t>
            </w:r>
          </w:p>
        </w:tc>
        <w:tc>
          <w:tcPr>
            <w:tcW w:w="6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150,964</w:t>
            </w:r>
          </w:p>
        </w:tc>
        <w:tc>
          <w:tcPr>
            <w:tcW w:w="14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(6,182)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281,667</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142,879</w:t>
            </w: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121,155</w:t>
            </w:r>
          </w:p>
        </w:tc>
        <w:tc>
          <w:tcPr>
            <w:tcW w:w="6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569</w:t>
            </w: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264,603</w:t>
            </w:r>
          </w:p>
        </w:tc>
      </w:tr>
      <w:tr>
        <w:trPr>
          <w:trHeight w:val="129"/>
        </w:trPr>
        <w:tc>
          <w:tcPr>
            <w:tcW w:w="282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Capital expenditures</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216,612</w:t>
            </w:r>
          </w:p>
        </w:tc>
        <w:tc>
          <w:tcPr>
            <w:tcW w:w="6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207,394</w:t>
            </w:r>
          </w:p>
        </w:tc>
        <w:tc>
          <w:tcPr>
            <w:tcW w:w="14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639</w:t>
            </w:r>
          </w:p>
        </w:tc>
        <w:tc>
          <w:tcPr>
            <w:tcW w:w="1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424,645</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247,911</w:t>
            </w:r>
          </w:p>
        </w:tc>
        <w:tc>
          <w:tcPr>
            <w:tcW w:w="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156,252</w:t>
            </w:r>
          </w:p>
        </w:tc>
        <w:tc>
          <w:tcPr>
            <w:tcW w:w="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gridSpan w:val="2"/>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394</w:t>
            </w:r>
          </w:p>
        </w:tc>
        <w:tc>
          <w:tcPr>
            <w:tcW w:w="1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404,557</w:t>
            </w:r>
          </w:p>
        </w:tc>
      </w:tr>
      <w:tr>
        <w:trPr>
          <w:trHeight w:val="20"/>
        </w:trPr>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460" w:firstLine="8"/>
        <w:spacing w:after="0"/>
        <w:tabs>
          <w:tab w:leader="none" w:pos="163" w:val="left"/>
        </w:tabs>
        <w:numPr>
          <w:ilvl w:val="0"/>
          <w:numId w:val="2"/>
        </w:numPr>
        <w:rPr>
          <w:rFonts w:ascii="Arial" w:cs="Arial" w:eastAsia="Arial" w:hAnsi="Arial"/>
          <w:sz w:val="18"/>
          <w:szCs w:val="18"/>
          <w:color w:val="auto"/>
          <w:vertAlign w:val="superscript"/>
        </w:rPr>
      </w:pPr>
      <w:r>
        <w:rPr>
          <w:rFonts w:ascii="Arial" w:cs="Arial" w:eastAsia="Arial" w:hAnsi="Arial"/>
          <w:sz w:val="12"/>
          <w:szCs w:val="12"/>
          <w:color w:val="auto"/>
        </w:rPr>
        <w:t>The regulated water and regulated natural gas segments report interest expense that includes long-term debt that was pushed-down to the regulated operating subsidiaries from Essential Utilities, Inc.</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22"/>
                <w:szCs w:val="22"/>
                <w:color w:val="auto"/>
              </w:rPr>
              <w:t>June 30,</w:t>
            </w: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60" w:type="dxa"/>
            <w:vAlign w:val="bottom"/>
          </w:tcPr>
          <w:p>
            <w:pPr>
              <w:jc w:val="right"/>
              <w:ind w:right="832"/>
              <w:spacing w:after="0"/>
              <w:rPr>
                <w:sz w:val="20"/>
                <w:szCs w:val="20"/>
                <w:color w:val="auto"/>
              </w:rPr>
            </w:pPr>
            <w:r>
              <w:rPr>
                <w:rFonts w:ascii="Arial" w:cs="Arial" w:eastAsia="Arial" w:hAnsi="Arial"/>
                <w:sz w:val="22"/>
                <w:szCs w:val="22"/>
                <w:color w:val="auto"/>
              </w:rPr>
              <w:t>December 31,</w:t>
            </w:r>
          </w:p>
        </w:tc>
        <w:tc>
          <w:tcPr>
            <w:tcW w:w="0" w:type="dxa"/>
            <w:vAlign w:val="bottom"/>
          </w:tcPr>
          <w:p>
            <w:pPr>
              <w:spacing w:after="0"/>
              <w:rPr>
                <w:sz w:val="1"/>
                <w:szCs w:val="1"/>
                <w:color w:val="auto"/>
              </w:rPr>
            </w:pPr>
          </w:p>
        </w:tc>
      </w:tr>
      <w:tr>
        <w:trPr>
          <w:trHeight w:val="251"/>
        </w:trPr>
        <w:tc>
          <w:tcPr>
            <w:tcW w:w="4860" w:type="dxa"/>
            <w:vAlign w:val="bottom"/>
            <w:vMerge w:val="restart"/>
          </w:tcPr>
          <w:p>
            <w:pPr>
              <w:spacing w:after="0"/>
              <w:rPr>
                <w:sz w:val="20"/>
                <w:szCs w:val="20"/>
                <w:color w:val="auto"/>
              </w:rPr>
            </w:pPr>
            <w:r>
              <w:rPr>
                <w:rFonts w:ascii="Arial" w:cs="Arial" w:eastAsia="Arial" w:hAnsi="Arial"/>
                <w:sz w:val="22"/>
                <w:szCs w:val="22"/>
                <w:color w:val="auto"/>
              </w:rPr>
              <w:t>Total assets:</w:t>
            </w:r>
          </w:p>
        </w:tc>
        <w:tc>
          <w:tcPr>
            <w:tcW w:w="1880" w:type="dxa"/>
            <w:vAlign w:val="bottom"/>
            <w:tcBorders>
              <w:bottom w:val="single" w:sz="8" w:color="auto"/>
            </w:tcBorders>
          </w:tcPr>
          <w:p>
            <w:pPr>
              <w:jc w:val="right"/>
              <w:ind w:right="72"/>
              <w:spacing w:after="0" w:line="251" w:lineRule="exact"/>
              <w:rPr>
                <w:sz w:val="20"/>
                <w:szCs w:val="20"/>
                <w:color w:val="auto"/>
              </w:rPr>
            </w:pPr>
            <w:r>
              <w:rPr>
                <w:rFonts w:ascii="Arial" w:cs="Arial" w:eastAsia="Arial" w:hAnsi="Arial"/>
                <w:sz w:val="22"/>
                <w:szCs w:val="22"/>
                <w:color w:val="auto"/>
              </w:rPr>
              <w:t>2022</w:t>
            </w:r>
          </w:p>
        </w:tc>
        <w:tc>
          <w:tcPr>
            <w:tcW w:w="10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jc w:val="right"/>
              <w:ind w:right="1212"/>
              <w:spacing w:after="0" w:line="251" w:lineRule="exact"/>
              <w:rPr>
                <w:sz w:val="20"/>
                <w:szCs w:val="20"/>
                <w:color w:val="auto"/>
              </w:rPr>
            </w:pPr>
            <w:r>
              <w:rPr>
                <w:rFonts w:ascii="Arial" w:cs="Arial" w:eastAsia="Arial" w:hAnsi="Arial"/>
                <w:sz w:val="22"/>
                <w:szCs w:val="22"/>
                <w:color w:val="auto"/>
              </w:rPr>
              <w:t>2021</w:t>
            </w:r>
          </w:p>
        </w:tc>
        <w:tc>
          <w:tcPr>
            <w:tcW w:w="0" w:type="dxa"/>
            <w:vAlign w:val="bottom"/>
          </w:tcPr>
          <w:p>
            <w:pPr>
              <w:spacing w:after="0"/>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Regulated water</w:t>
            </w:r>
          </w:p>
        </w:tc>
        <w:tc>
          <w:tcPr>
            <w:tcW w:w="1880" w:type="dxa"/>
            <w:vAlign w:val="bottom"/>
            <w:shd w:val="clear" w:color="auto" w:fill="CCEEFF"/>
          </w:tcPr>
          <w:p>
            <w:pPr>
              <w:jc w:val="right"/>
              <w:ind w:right="1652"/>
              <w:spacing w:after="0" w:line="229" w:lineRule="exact"/>
              <w:rPr>
                <w:sz w:val="20"/>
                <w:szCs w:val="20"/>
                <w:color w:val="auto"/>
              </w:rPr>
            </w:pPr>
            <w:r>
              <w:rPr>
                <w:rFonts w:ascii="Arial" w:cs="Arial" w:eastAsia="Arial" w:hAnsi="Arial"/>
                <w:sz w:val="22"/>
                <w:szCs w:val="22"/>
                <w:color w:val="auto"/>
                <w:w w:val="81"/>
              </w:rPr>
              <w:t>$</w:t>
            </w:r>
          </w:p>
        </w:tc>
        <w:tc>
          <w:tcPr>
            <w:tcW w:w="10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8,645,314</w:t>
            </w: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92"/>
              <w:spacing w:after="0" w:line="229" w:lineRule="exact"/>
              <w:rPr>
                <w:sz w:val="20"/>
                <w:szCs w:val="20"/>
                <w:color w:val="auto"/>
              </w:rPr>
            </w:pPr>
            <w:r>
              <w:rPr>
                <w:rFonts w:ascii="Arial" w:cs="Arial" w:eastAsia="Arial" w:hAnsi="Arial"/>
                <w:sz w:val="22"/>
                <w:szCs w:val="22"/>
                <w:color w:val="auto"/>
                <w:w w:val="81"/>
              </w:rPr>
              <w:t>$</w:t>
            </w:r>
          </w:p>
        </w:tc>
        <w:tc>
          <w:tcPr>
            <w:tcW w:w="25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8,403,586</w:t>
            </w:r>
          </w:p>
        </w:tc>
        <w:tc>
          <w:tcPr>
            <w:tcW w:w="0" w:type="dxa"/>
            <w:vAlign w:val="bottom"/>
          </w:tcPr>
          <w:p>
            <w:pPr>
              <w:spacing w:after="0"/>
              <w:rPr>
                <w:sz w:val="1"/>
                <w:szCs w:val="1"/>
                <w:color w:val="auto"/>
              </w:rPr>
            </w:pPr>
          </w:p>
        </w:tc>
      </w:tr>
      <w:tr>
        <w:trPr>
          <w:trHeight w:val="230"/>
        </w:trPr>
        <w:tc>
          <w:tcPr>
            <w:tcW w:w="4860" w:type="dxa"/>
            <w:vAlign w:val="bottom"/>
          </w:tcPr>
          <w:p>
            <w:pPr>
              <w:ind w:left="120"/>
              <w:spacing w:after="0" w:line="229" w:lineRule="exact"/>
              <w:rPr>
                <w:sz w:val="20"/>
                <w:szCs w:val="20"/>
                <w:color w:val="auto"/>
              </w:rPr>
            </w:pPr>
            <w:r>
              <w:rPr>
                <w:rFonts w:ascii="Arial" w:cs="Arial" w:eastAsia="Arial" w:hAnsi="Arial"/>
                <w:sz w:val="22"/>
                <w:szCs w:val="22"/>
                <w:color w:val="auto"/>
              </w:rPr>
              <w:t>Regulated natural gas</w:t>
            </w:r>
          </w:p>
        </w:tc>
        <w:tc>
          <w:tcPr>
            <w:tcW w:w="1880" w:type="dxa"/>
            <w:vAlign w:val="bottom"/>
          </w:tcPr>
          <w:p>
            <w:pPr>
              <w:spacing w:after="0"/>
              <w:rPr>
                <w:sz w:val="19"/>
                <w:szCs w:val="19"/>
                <w:color w:val="auto"/>
              </w:rPr>
            </w:pPr>
          </w:p>
        </w:tc>
        <w:tc>
          <w:tcPr>
            <w:tcW w:w="1080" w:type="dxa"/>
            <w:vAlign w:val="bottom"/>
          </w:tcPr>
          <w:p>
            <w:pPr>
              <w:jc w:val="right"/>
              <w:spacing w:after="0" w:line="229" w:lineRule="exact"/>
              <w:rPr>
                <w:sz w:val="20"/>
                <w:szCs w:val="20"/>
                <w:color w:val="auto"/>
              </w:rPr>
            </w:pPr>
            <w:r>
              <w:rPr>
                <w:rFonts w:ascii="Arial" w:cs="Arial" w:eastAsia="Arial" w:hAnsi="Arial"/>
                <w:sz w:val="22"/>
                <w:szCs w:val="22"/>
                <w:color w:val="auto"/>
              </w:rPr>
              <w:t>6,121,964</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560" w:type="dxa"/>
            <w:vAlign w:val="bottom"/>
          </w:tcPr>
          <w:p>
            <w:pPr>
              <w:jc w:val="right"/>
              <w:spacing w:after="0" w:line="229" w:lineRule="exact"/>
              <w:rPr>
                <w:sz w:val="20"/>
                <w:szCs w:val="20"/>
                <w:color w:val="auto"/>
              </w:rPr>
            </w:pPr>
            <w:r>
              <w:rPr>
                <w:rFonts w:ascii="Arial" w:cs="Arial" w:eastAsia="Arial" w:hAnsi="Arial"/>
                <w:sz w:val="22"/>
                <w:szCs w:val="22"/>
                <w:color w:val="auto"/>
              </w:rPr>
              <w:t>5,960,602</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Other</w:t>
            </w:r>
          </w:p>
        </w:tc>
        <w:tc>
          <w:tcPr>
            <w:tcW w:w="18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278,886</w:t>
            </w:r>
          </w:p>
        </w:tc>
        <w:tc>
          <w:tcPr>
            <w:tcW w:w="3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25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294,090</w:t>
            </w:r>
          </w:p>
        </w:tc>
        <w:tc>
          <w:tcPr>
            <w:tcW w:w="0" w:type="dxa"/>
            <w:vAlign w:val="bottom"/>
          </w:tcPr>
          <w:p>
            <w:pPr>
              <w:spacing w:after="0"/>
              <w:rPr>
                <w:sz w:val="1"/>
                <w:szCs w:val="1"/>
                <w:color w:val="auto"/>
              </w:rPr>
            </w:pPr>
          </w:p>
        </w:tc>
      </w:tr>
      <w:tr>
        <w:trPr>
          <w:trHeight w:val="223"/>
        </w:trPr>
        <w:tc>
          <w:tcPr>
            <w:tcW w:w="4860" w:type="dxa"/>
            <w:vAlign w:val="bottom"/>
          </w:tcPr>
          <w:p>
            <w:pPr>
              <w:ind w:left="120"/>
              <w:spacing w:after="0" w:line="223" w:lineRule="exact"/>
              <w:rPr>
                <w:sz w:val="20"/>
                <w:szCs w:val="20"/>
                <w:color w:val="auto"/>
              </w:rPr>
            </w:pPr>
            <w:r>
              <w:rPr>
                <w:rFonts w:ascii="Arial" w:cs="Arial" w:eastAsia="Arial" w:hAnsi="Arial"/>
                <w:sz w:val="22"/>
                <w:szCs w:val="22"/>
                <w:color w:val="auto"/>
              </w:rPr>
              <w:t>Consolidated</w:t>
            </w:r>
          </w:p>
        </w:tc>
        <w:tc>
          <w:tcPr>
            <w:tcW w:w="1880" w:type="dxa"/>
            <w:vAlign w:val="bottom"/>
            <w:tcBorders>
              <w:bottom w:val="single" w:sz="8" w:color="auto"/>
            </w:tcBorders>
          </w:tcPr>
          <w:p>
            <w:pPr>
              <w:jc w:val="right"/>
              <w:ind w:right="1652"/>
              <w:spacing w:after="0" w:line="223" w:lineRule="exact"/>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w w:val="90"/>
              </w:rPr>
              <w:t>15,046,164</w:t>
            </w:r>
          </w:p>
        </w:tc>
        <w:tc>
          <w:tcPr>
            <w:tcW w:w="340" w:type="dxa"/>
            <w:vAlign w:val="bottom"/>
          </w:tcPr>
          <w:p>
            <w:pPr>
              <w:spacing w:after="0"/>
              <w:rPr>
                <w:sz w:val="19"/>
                <w:szCs w:val="19"/>
                <w:color w:val="auto"/>
              </w:rPr>
            </w:pPr>
          </w:p>
        </w:tc>
        <w:tc>
          <w:tcPr>
            <w:tcW w:w="520" w:type="dxa"/>
            <w:vAlign w:val="bottom"/>
            <w:tcBorders>
              <w:bottom w:val="single" w:sz="8" w:color="auto"/>
            </w:tcBorders>
          </w:tcPr>
          <w:p>
            <w:pPr>
              <w:jc w:val="right"/>
              <w:ind w:right="292"/>
              <w:spacing w:after="0" w:line="223" w:lineRule="exact"/>
              <w:rPr>
                <w:sz w:val="20"/>
                <w:szCs w:val="20"/>
                <w:color w:val="auto"/>
              </w:rPr>
            </w:pPr>
            <w:r>
              <w:rPr>
                <w:rFonts w:ascii="Arial" w:cs="Arial" w:eastAsia="Arial" w:hAnsi="Arial"/>
                <w:sz w:val="22"/>
                <w:szCs w:val="22"/>
                <w:color w:val="auto"/>
                <w:w w:val="81"/>
              </w:rPr>
              <w:t>$</w:t>
            </w:r>
          </w:p>
        </w:tc>
        <w:tc>
          <w:tcPr>
            <w:tcW w:w="25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14,658,278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4860" w:type="dxa"/>
            <w:vAlign w:val="bottom"/>
          </w:tcPr>
          <w:p>
            <w:pPr>
              <w:spacing w:after="0"/>
              <w:rPr>
                <w:sz w:val="24"/>
                <w:szCs w:val="24"/>
                <w:color w:val="auto"/>
              </w:rPr>
            </w:pPr>
          </w:p>
        </w:tc>
        <w:tc>
          <w:tcPr>
            <w:tcW w:w="1880" w:type="dxa"/>
            <w:vAlign w:val="bottom"/>
          </w:tcPr>
          <w:p>
            <w:pPr>
              <w:jc w:val="right"/>
              <w:ind w:right="892"/>
              <w:spacing w:after="0"/>
              <w:rPr>
                <w:sz w:val="20"/>
                <w:szCs w:val="20"/>
                <w:color w:val="auto"/>
              </w:rPr>
            </w:pPr>
            <w:r>
              <w:rPr>
                <w:rFonts w:ascii="Arial" w:cs="Arial" w:eastAsia="Arial" w:hAnsi="Arial"/>
                <w:sz w:val="22"/>
                <w:szCs w:val="22"/>
                <w:color w:val="auto"/>
              </w:rPr>
              <w:t>26</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8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7" w:name="page28"/>
    <w:bookmarkEnd w:id="2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 </w:t>
      </w:r>
      <w:r>
        <w:rPr>
          <w:rFonts w:ascii="Arial" w:cs="Arial" w:eastAsia="Arial" w:hAnsi="Arial"/>
          <w:sz w:val="22"/>
          <w:szCs w:val="22"/>
          <w:b w:val="1"/>
          <w:bCs w:val="1"/>
          <w:i w:val="1"/>
          <w:iCs w:val="1"/>
          <w:color w:val="auto"/>
        </w:rPr>
        <w:t>Commitments and Contingencies</w:t>
      </w:r>
    </w:p>
    <w:p>
      <w:pPr>
        <w:spacing w:after="0" w:line="212"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June 30, 2022, the aggregate amount of $16,941 is 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the Company has insurance coverage for certain of these loss contingencies, and as of June 30, 2022, estimates that approximately $2,255 of the amount accrued for these matters are probable of recovery through insurance, which amount is also reported in the Company’s consolidated balance sheet as deferred charges and other assets, net.</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During a portion of 2019, the Company initiated a do not consume advisory for some of its water customers in one division served by the Company’s Illinois subsidiary. The do not consume advisory was lifted in 2019 and, in 2022, the water system was determined to be in compliance with the federal Lead and Copper Rule. During the second quarter of 2021, an immaterial amount was accrued for the portion of the fine or penalty that we determined to be probable and estimable of being incurred. In addition, on September 3, 2019, two individuals, on behalf of 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that exceeded the standards established by the federal Lead and Copper Rule. The complaint is in the discovery phase and class certification has not been granted. The Company is vigorously defending against this claim. A claim for the expenses incurred has been submitted to the Company’s insurance carrier for potential recovery of a portion of these costs, and on August 3, 2020, the Company received $2,874 in insurance proceeds. The Company continues to assess the potential loss contingency on this matter.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w:t>
      </w:r>
    </w:p>
    <w:p>
      <w:pPr>
        <w:spacing w:after="0" w:line="173" w:lineRule="exact"/>
        <w:rPr>
          <w:sz w:val="20"/>
          <w:szCs w:val="20"/>
          <w:color w:val="auto"/>
        </w:rPr>
      </w:pPr>
    </w:p>
    <w:p>
      <w:pPr>
        <w:ind w:right="320"/>
        <w:spacing w:after="0" w:line="228" w:lineRule="auto"/>
        <w:rPr>
          <w:sz w:val="20"/>
          <w:szCs w:val="20"/>
          <w:color w:val="auto"/>
        </w:rPr>
      </w:pPr>
      <w:r>
        <w:rPr>
          <w:rFonts w:ascii="Arial" w:cs="Arial" w:eastAsia="Arial" w:hAnsi="Arial"/>
          <w:sz w:val="22"/>
          <w:szCs w:val="22"/>
          <w:color w:val="auto"/>
        </w:rPr>
        <w:t>Although the results of legal proceedings cannot be predicted with certainty, other than disclosed above, there are no other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86" w:lineRule="exact"/>
        <w:rPr>
          <w:sz w:val="20"/>
          <w:szCs w:val="20"/>
          <w:color w:val="auto"/>
        </w:rPr>
      </w:pPr>
    </w:p>
    <w:p>
      <w:pPr>
        <w:ind w:right="400"/>
        <w:spacing w:after="0" w:line="222" w:lineRule="auto"/>
        <w:rPr>
          <w:sz w:val="20"/>
          <w:szCs w:val="20"/>
          <w:color w:val="auto"/>
        </w:rPr>
      </w:pPr>
      <w:r>
        <w:rPr>
          <w:rFonts w:ascii="Arial" w:cs="Arial" w:eastAsia="Arial" w:hAnsi="Arial"/>
          <w:sz w:val="22"/>
          <w:szCs w:val="22"/>
          <w:color w:val="auto"/>
        </w:rPr>
        <w:t>In addition to the aforementioned loss contingencies, the Company self-insures its employee medical benefit program, and maintains stop-loss coverage to limit the exposure arising from these claims. The Company’s reserve for these claims totaled $2,470 at June 30, 2022 and represents a reserve for unpaid claim costs, including an estimate for the cost of incurred but not reported claims.</w:t>
      </w: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8" w:name="page29"/>
    <w:bookmarkEnd w:id="2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14 – </w:t>
      </w:r>
      <w:r>
        <w:rPr>
          <w:rFonts w:ascii="Arial" w:cs="Arial" w:eastAsia="Arial" w:hAnsi="Arial"/>
          <w:sz w:val="22"/>
          <w:szCs w:val="22"/>
          <w:b w:val="1"/>
          <w:bCs w:val="1"/>
          <w:i w:val="1"/>
          <w:iCs w:val="1"/>
          <w:color w:val="auto"/>
        </w:rPr>
        <w:t>Income Taxes</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The Company’s effective tax rate was 9.0% and (3.4)% for the three and six months ended June 30, 2022, respectively. The Company’s effective tax rate was 4.5% and 3.1% for the three and six months ended June 30, 2021, respectively. The increase in the effective tax rate for the second quarter of the year is primarily attributed to a decrease in the amortization of certain regulatory liabilities associated with deferred taxes. The decrease in the effective tax rate for the first half of the year is primarily attributed to an increase in our income tax benefit associated with the tax deduction for qualifying infrastructure and the amortization of the customer surcredit tax repair catch-up adjustment during 2022 in our Regulated Natural Gas segment. The statutory Federal tax rate is 21% for the three and six months ended June 30, 2022 and 2021. For states with a corporate net income tax, the state corporate net income tax rates range from 2.5% to 9.99% for all periods presented. In determining its interim tax provision, the Company reflects its estimated permanent and flow-through tax differences for the taxable year.</w:t>
      </w:r>
    </w:p>
    <w:p>
      <w:pPr>
        <w:spacing w:after="0" w:line="173" w:lineRule="exact"/>
        <w:rPr>
          <w:sz w:val="20"/>
          <w:szCs w:val="20"/>
          <w:color w:val="auto"/>
        </w:rPr>
      </w:pPr>
    </w:p>
    <w:p>
      <w:pPr>
        <w:ind w:right="80"/>
        <w:spacing w:after="0" w:line="233" w:lineRule="auto"/>
        <w:rPr>
          <w:sz w:val="20"/>
          <w:szCs w:val="20"/>
          <w:color w:val="auto"/>
        </w:rPr>
      </w:pPr>
      <w:r>
        <w:rPr>
          <w:rFonts w:ascii="Arial" w:cs="Arial" w:eastAsia="Arial" w:hAnsi="Arial"/>
          <w:sz w:val="21"/>
          <w:szCs w:val="21"/>
          <w:color w:val="auto"/>
        </w:rPr>
        <w:t>The Company uses a method of tax accounting for certain qualifying infrastructure investments at its Peoples Natural Gas subsidiary, its largest natural gas subsidiary in Pennsylvania that allows a tax deduction for qualifying utility asset improvement costs. Consistent with the Company’s accounting for differences between book and tax expenditures in Pennsylvania in its other regulated subsidiaries, the Company uses the flow-through method to account for this timing difference. In addition, the Company calculated the income tax benefits for qualifying capital expenditures made prior to the date of its acquisition in March 16, 2020 (“catch-up adjustment”) and recognized a regulatory liability for $160,655 for these income tax benefits. On May 6, 2021, the Pennsylvania Public Utility Commission approved a settlement order which stipulates, among other points, that the catch-up adjustment be provided by a surcredit to utility customers over a five-year period beginning August 2021, and the Company can continue to use flow-through accounting for the current tax repair benefit until its next base rate case. During the second quarter and the first six months of 2022, $4,751 and $17,238, respectively, of income tax benefits were amortized as refunds to Peoples Natural Gas customers.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9" w:name="page30"/>
    <w:bookmarkEnd w:id="2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560" w:right="218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15 – </w:t>
      </w:r>
      <w:r>
        <w:rPr>
          <w:rFonts w:ascii="Arial" w:cs="Arial" w:eastAsia="Arial" w:hAnsi="Arial"/>
          <w:sz w:val="22"/>
          <w:szCs w:val="22"/>
          <w:b w:val="1"/>
          <w:bCs w:val="1"/>
          <w:i w:val="1"/>
          <w:iCs w:val="1"/>
          <w:color w:val="auto"/>
        </w:rPr>
        <w:t>Recent Accounting Pronouncements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Pronouncements to be adopted upon the effective date:</w:t>
      </w:r>
    </w:p>
    <w:p>
      <w:pPr>
        <w:spacing w:after="0" w:line="206" w:lineRule="exact"/>
        <w:rPr>
          <w:sz w:val="20"/>
          <w:szCs w:val="20"/>
          <w:color w:val="auto"/>
        </w:rPr>
      </w:pPr>
    </w:p>
    <w:p>
      <w:pPr>
        <w:ind w:right="380"/>
        <w:spacing w:after="0" w:line="264" w:lineRule="auto"/>
        <w:rPr>
          <w:sz w:val="20"/>
          <w:szCs w:val="20"/>
          <w:color w:val="auto"/>
        </w:rPr>
      </w:pPr>
      <w:r>
        <w:rPr>
          <w:rFonts w:ascii="Arial" w:cs="Arial" w:eastAsia="Arial" w:hAnsi="Arial"/>
          <w:sz w:val="19"/>
          <w:szCs w:val="19"/>
          <w:color w:val="auto"/>
        </w:rPr>
        <w:t>In October 2021, the FASB issued accounting guidance on accounting for acquired revenue contracts with customers in a business combination. The guidance specifies for all acquired revenue contracts, regardless of their timing of payment, the circumstances in which the acquirer should recognize contract assets and contract liabilities that are acquired in a business combination, as well as how to measure those contract assets and contract liabilities. The updated accounting guidance is effective for fiscal years beginning after December 15, 2022 with early adoption permitted. The Company is evaluating the requirements of the updated guidance to determine the impact of adoption.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Pronouncement adopted during the year:</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In August 2020, the FASB issued updated accounting guidance on accounting for convertible instruments and contracts in an entity’s own equity. The updated guidance reduces the number of accounting models for convertible debt and convertible preferred stock instruments and makes certain disclosure amendments intended to improve the information provided to users. Additionally, the guidance also amends the derivative guidance for the “own stock” scope exception, which exempts qualifying instruments from being accounted for as derivatives if certain criteria are met. Further, the standard changes the way certain convertible instruments are treated when calculating earnings per share. As permitted, we adopted this updated guidance on January 1, 2022, which did not have a material impact on our consolidated financial statements.</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3" w:right="559" w:bottom="1440" w:gutter="0" w:footer="0" w:header="0"/>
        </w:sectPr>
      </w:pPr>
    </w:p>
    <w:bookmarkStart w:id="30" w:name="page31"/>
    <w:bookmarkEnd w:id="3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right="60"/>
        <w:spacing w:after="0"/>
        <w:rPr>
          <w:sz w:val="20"/>
          <w:szCs w:val="20"/>
          <w:color w:val="auto"/>
        </w:rPr>
      </w:pPr>
      <w:r>
        <w:rPr>
          <w:rFonts w:ascii="Arial" w:cs="Arial" w:eastAsia="Arial" w:hAnsi="Arial"/>
          <w:sz w:val="22"/>
          <w:szCs w:val="22"/>
          <w:color w:val="auto"/>
        </w:rPr>
        <w:t>ESSENTIAL UTILITIES, INC. AND SUBSIDIARIES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MANAGEMENT’S DISCUSSION AND ANALYSIS OF</w:t>
      </w:r>
    </w:p>
    <w:p>
      <w:pPr>
        <w:jc w:val="center"/>
        <w:ind w:right="60"/>
        <w:spacing w:after="0" w:line="217" w:lineRule="auto"/>
        <w:rPr>
          <w:sz w:val="20"/>
          <w:szCs w:val="20"/>
          <w:color w:val="auto"/>
        </w:rPr>
      </w:pPr>
      <w:r>
        <w:rPr>
          <w:rFonts w:ascii="Arial" w:cs="Arial" w:eastAsia="Arial" w:hAnsi="Arial"/>
          <w:sz w:val="22"/>
          <w:szCs w:val="22"/>
          <w:color w:val="auto"/>
        </w:rPr>
        <w:t>FINANCIAL CONDITION AND RESULTS OF OPERATIONS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Item 2 – Management’s Discussion and Analysis of Financial Condition and Results of Operations</w:t>
      </w:r>
    </w:p>
    <w:p>
      <w:pPr>
        <w:spacing w:after="0" w:line="206" w:lineRule="exact"/>
        <w:rPr>
          <w:sz w:val="20"/>
          <w:szCs w:val="20"/>
          <w:color w:val="auto"/>
        </w:rPr>
      </w:pPr>
    </w:p>
    <w:p>
      <w:pPr>
        <w:ind w:left="4400"/>
        <w:spacing w:after="0"/>
        <w:rPr>
          <w:sz w:val="20"/>
          <w:szCs w:val="20"/>
          <w:color w:val="auto"/>
        </w:rPr>
      </w:pPr>
      <w:r>
        <w:rPr>
          <w:rFonts w:ascii="Arial" w:cs="Arial" w:eastAsia="Arial" w:hAnsi="Arial"/>
          <w:sz w:val="22"/>
          <w:szCs w:val="22"/>
          <w:u w:val="single" w:color="auto"/>
          <w:color w:val="auto"/>
        </w:rPr>
        <w:t>Forward-looking Statements</w:t>
      </w:r>
    </w:p>
    <w:p>
      <w:pPr>
        <w:spacing w:after="0" w:line="206"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expected timing of closing of our acquisitions;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the COVID-19 pandemic, the effects of regulation, abnormal weather, geopolitical forces, changes in capital requirements and funding, our ability to close acquisitions, changes to the capital markets, and our ability to assimilate acquired operations, as well as those risks, uncertainties and other factors discussed in our Annual Report on Form 10-K for the fiscal year ended December 31, 2021 under the captions “Risk Factors” and “Management’s Discussion and Analysis of Financial Condition and Results of Operations” and elsewhere in such report and those included under the captions “Risk Factors” and this Quarterly Report. As a result, readers are cautioned not to place undue reliance on any forward-looking statements. We undertake no obligation to update or revise forward-looking statements, whether as a result of new information, future events or otherwise.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General Information</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Essential Utilities, Inc. (formerly known as Aqua America, Inc.) (“we”, “us”, “our” or the “Company”), a Pennsylvania corporation, is the holding company for regulated utilities providing water, wastewater, or natural gas services to an estimated five million people in Pennsylvania, Ohio, Texas, Illinois, North Carolina, New Jersey, Indiana, Virginia, West Virginia, and Kentucky under the Aqua and Peoples brands. One of our largest operating subsidiaries, Aqua Pennsylvania, Inc. (“Aqua Pennsylvania”), provides water or wastewater services to approximately one-half of the total number of water or wastewater customers we serve, who are located in the suburban areas in counties north and west of the City of Philadelphia and in 27 other counties in Pennsylvania. Our other regulated water or wastewater utility subsidiaries provide similar services in seven additional states. Additionally, pursuant to the Company’s growth strategy, commencing on March 16, 2020, with the completion of the Peoples Gas Acquisition, the Company began to provide natural gas distribution services to customers in western Pennsylvania, Kentucky, and West Virginia. Approximately 93% of the total number of natural gas utility customers we serve are in western Pennsylvania. The Company also operates market-based businesses, conducted through its non-regulated subsidiaries, that provide utility service line protection solutions and repair services to households and gas marketing and production activities.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1" w:name="page32"/>
    <w:bookmarkEnd w:id="3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For many years, starting in the early 1990s, our business strategy has been primarily directed toward the regulated water and wastewater utility industry, where we have more than quadrupled the number of regulated customers we serve, and have extended our regulated operations from southeastern Pennsylvania to include our current regulated utility operations in seven other states. On March 16, 2020, the Company completed the Peoples Gas Acquisition, a natural gas distribution utility, marking its entrance into the regulated natural gas business. The Company seeks to acquire businesses in the U.S. regulated sector, focusing on water and wastewater utilities and to opportunistically pursue growth ventures in select market-based activities, such as infrastructure opportunities that are supplementary and complementary to our regulated utility businesses.</w:t>
      </w:r>
    </w:p>
    <w:p>
      <w:pPr>
        <w:spacing w:after="0" w:line="166" w:lineRule="exact"/>
        <w:rPr>
          <w:sz w:val="20"/>
          <w:szCs w:val="20"/>
          <w:color w:val="auto"/>
        </w:rPr>
      </w:pPr>
    </w:p>
    <w:p>
      <w:pPr>
        <w:ind w:right="600"/>
        <w:spacing w:after="0" w:line="239" w:lineRule="auto"/>
        <w:rPr>
          <w:sz w:val="20"/>
          <w:szCs w:val="20"/>
          <w:color w:val="auto"/>
        </w:rPr>
      </w:pPr>
      <w:r>
        <w:rPr>
          <w:rFonts w:ascii="Arial" w:cs="Arial" w:eastAsia="Arial" w:hAnsi="Arial"/>
          <w:sz w:val="22"/>
          <w:szCs w:val="22"/>
          <w:i w:val="1"/>
          <w:iCs w:val="1"/>
          <w:color w:val="auto"/>
        </w:rPr>
        <w:t>The following discussion and analysis of our financial condition and results of operations should be read together with our consolidated financial statements and related notes.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COVID-19 Pandemic</w:t>
      </w:r>
    </w:p>
    <w:p>
      <w:pPr>
        <w:spacing w:after="0" w:line="206"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We provide a critical service to our customers, which means that it is paramount that we keep our employees who operate the business safe and informed while supporting our customers and assuring the continuity of our operations. We continue to monitor the COVID-19 pandemic and take steps to mitigate the potential risks to our business. Since the start of the COVID-19 pandemic, we have implemented protective measures in the field, our plants, and within our offices, which we continuously update for changes in conditions and emerging trends and align with the recommendations of the Centers for Disease Control and Prevention and Federal, State and local health authorities. Our office employees returned to the workplace safely in 2021 and remain working in a hybrid flex schedule as positions allow. We also encouraged employees to become vaccinated. In addition, we are monitoring collections of customer utility accounts, risks present in our supply chain, and increased expenses for costs associated with workforce-related supplies, security and cleaning of company offices and operating facilities, as well as other one-time expenses above the expense amounts included in general rates.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Inflationary Cost Environment</w:t>
      </w:r>
    </w:p>
    <w:p>
      <w:pPr>
        <w:spacing w:after="0" w:line="206" w:lineRule="exact"/>
        <w:rPr>
          <w:sz w:val="20"/>
          <w:szCs w:val="20"/>
          <w:color w:val="auto"/>
        </w:rPr>
      </w:pPr>
    </w:p>
    <w:p>
      <w:pPr>
        <w:ind w:right="20"/>
        <w:spacing w:after="0" w:line="230" w:lineRule="auto"/>
        <w:rPr>
          <w:sz w:val="20"/>
          <w:szCs w:val="20"/>
          <w:color w:val="auto"/>
        </w:rPr>
      </w:pPr>
      <w:r>
        <w:rPr>
          <w:rFonts w:ascii="Arial" w:cs="Arial" w:eastAsia="Arial" w:hAnsi="Arial"/>
          <w:sz w:val="21"/>
          <w:szCs w:val="21"/>
          <w:color w:val="auto"/>
        </w:rPr>
        <w:t>During the six months ended June 30, 2022, we experienced inflationary cost increases in our materials, labor and other operating costs, as well as supply chain pressures as a result of the COVID-19 pandemic and global uncertainties associated with the current conflict in Ukraine and sanctions imposed in response to this conflict. The price of natural gas substantially increased and resulted in the significant increase in the revenue and expenses of our Regulated Natural Gas business during the six month period ended June 30, 2022, as compared to the same period a year earlier. We expect these pressures to continue throughout 2022. We continue to review the adequacy of our rates as approved by public utility commissions in relation to the increasing cost of providing services and the inherent regulatory lag in adjusting those rates. We also continue to work with our suppliers to monitor and address the risks present in our supply chain. While we have experienced some delays in certain materials, we have been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ind w:right="120"/>
        <w:spacing w:after="0" w:line="239" w:lineRule="auto"/>
        <w:rPr>
          <w:sz w:val="20"/>
          <w:szCs w:val="20"/>
          <w:color w:val="auto"/>
        </w:rPr>
      </w:pPr>
      <w:r>
        <w:rPr>
          <w:rFonts w:ascii="Arial" w:cs="Arial" w:eastAsia="Arial" w:hAnsi="Arial"/>
          <w:sz w:val="22"/>
          <w:szCs w:val="22"/>
          <w:color w:val="auto"/>
        </w:rPr>
        <w:t>able to adjust our purchasing procedures to secure and stock the necessary materials without materially impacting our operations or capital investment program.</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Company’s consolidated balance sheet historically has had a negative working capital position whereby our current liabilities routinely exceed our current assets. Management believes that internally generated funds along with existing credit facilities, and the proceeds from the issuance of long-term debt and equity will be adequate to provide sufficient working capital to maintain normal operations and to meet our financing requirements for at least the next twelve months.</w:t>
      </w:r>
    </w:p>
    <w:p>
      <w:pPr>
        <w:spacing w:after="0" w:line="157" w:lineRule="exact"/>
        <w:rPr>
          <w:sz w:val="20"/>
          <w:szCs w:val="20"/>
          <w:color w:val="auto"/>
        </w:rPr>
      </w:pPr>
    </w:p>
    <w:p>
      <w:pPr>
        <w:spacing w:after="0" w:line="223" w:lineRule="auto"/>
        <w:rPr>
          <w:sz w:val="20"/>
          <w:szCs w:val="20"/>
          <w:color w:val="auto"/>
        </w:rPr>
      </w:pPr>
      <w:r>
        <w:rPr>
          <w:rFonts w:ascii="Arial" w:cs="Arial" w:eastAsia="Arial" w:hAnsi="Arial"/>
          <w:sz w:val="22"/>
          <w:szCs w:val="22"/>
          <w:color w:val="auto"/>
        </w:rPr>
        <w:t>During the first six months of 2022, we incurred $424,645 of capital expenditures, expended $50,010 for the acquisition of a wastewater utility system, issued $770,376 of long-term debt, and repaid debt and made sinking fund contributions and other loan repayments of $524,882. The capital expenditures were related to new and replacement water, wastewater, and natural gas mains, improvements to treatment plants, tanks, hydrants, and service lines, well and booster improvements, information technology improvements, and other enhancements and improvements. The issuance of long-term debt was for funds borrowed under our revolving credit facility and used for capital expenditures and general corporate purposes, including a municipal acquisition.</w:t>
      </w:r>
    </w:p>
    <w:p>
      <w:pPr>
        <w:spacing w:after="0" w:line="191"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On May 20, 2022, the Company issued $500,000 of long-term debt (the “Senior Notes”), less expenses of $5,815, due in 2052 with an interest rate of 5.30%. The Company used the net proceeds from the issuance of Senior Notes to (1) to repay $49,700 of borrowings under the Aqua Pennsylvania’s 364-day revolving credit facility and $410,000 of borrowings under the Company’s existing five-year unsecured revolving credit facility, and (2) for general corporate purposes.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On April 15, 2021, the Company’s operating subsidiary Aqua Ohio, Inc. issued $100,000 of first mortgage bonds, of which</w:t>
      </w:r>
    </w:p>
    <w:p>
      <w:pPr>
        <w:spacing w:after="0" w:line="29" w:lineRule="exact"/>
        <w:rPr>
          <w:sz w:val="20"/>
          <w:szCs w:val="20"/>
          <w:color w:val="auto"/>
        </w:rPr>
      </w:pPr>
    </w:p>
    <w:p>
      <w:pPr>
        <w:ind w:right="20"/>
        <w:spacing w:after="0" w:line="221" w:lineRule="auto"/>
        <w:rPr>
          <w:sz w:val="20"/>
          <w:szCs w:val="20"/>
          <w:color w:val="auto"/>
        </w:rPr>
      </w:pPr>
      <w:r>
        <w:rPr>
          <w:rFonts w:ascii="Arial" w:cs="Arial" w:eastAsia="Arial" w:hAnsi="Arial"/>
          <w:sz w:val="22"/>
          <w:szCs w:val="22"/>
          <w:color w:val="auto"/>
        </w:rPr>
        <w:t>$50,000 is due in 2031 and $50,000 is due in 2051, with interest rates of 2.37% and 3.35%, respectively. The proceeds from these bonds were used for general corporate purposes and to repay existing indebtedness. Further on April 19, 2021, the Company issued $400,000 of long-term debt, less expenses of $4,010, which is due in 2031 with an interest rate of 2.40%. The Company used the proceeds from this issuance to repay $50,000 of borrowings under our Aqua Pennsylvania five- year revolving credit facility, and the balance was used to repay in full the borrowings under its existing five-year unsecured revolving credit agreement.</w:t>
      </w:r>
    </w:p>
    <w:p>
      <w:pPr>
        <w:spacing w:after="0" w:line="191" w:lineRule="exact"/>
        <w:rPr>
          <w:sz w:val="20"/>
          <w:szCs w:val="20"/>
          <w:color w:val="auto"/>
        </w:rPr>
      </w:pPr>
    </w:p>
    <w:p>
      <w:pPr>
        <w:ind w:right="120"/>
        <w:spacing w:after="0" w:line="231" w:lineRule="auto"/>
        <w:rPr>
          <w:sz w:val="20"/>
          <w:szCs w:val="20"/>
          <w:color w:val="auto"/>
        </w:rPr>
      </w:pPr>
      <w:r>
        <w:rPr>
          <w:rFonts w:ascii="Arial" w:cs="Arial" w:eastAsia="Arial" w:hAnsi="Arial"/>
          <w:sz w:val="22"/>
          <w:szCs w:val="22"/>
          <w:color w:val="auto"/>
        </w:rPr>
        <w:t>At June 30, 2022, we had $12,976 of cash and cash equivalents compared to $10,567 at December 31, 2021. During the first six months of 2022, we used the proceeds from long-term debt and internally generated funds to fund the cash requirements discussed above and to pay dividends.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At June 30, 2022 our $1,000,000 unsecured revolving credit facility, which expires in December 2023, had $840,117 available for borrowing. Additionally, at June 30, 2022, we had short-term lines of credit of $435,500, primarily used for working capital, of which $430,797 was available for borrowing. One of our short-term lines of credit is a Peoples Natural Gas Companies’ 364-day unsecured revolving credit facility, which as of June 30, 2022, was amended to increase the amount available on the facility from $100,000 to $300,000 and to update the termination date to June 29, 2023. Another one of our short-term lines of credit is an Aqua Pennsylvania $100,000 364-day unsecured revolving credit facility, which was also amended on June 30, 2022, to update its termination date to June 29, 2023 to coincide with the Peoples Natural Gas Companies revolving credit facility. As of June 30, 2022, $300,000 and $95,297 were available for borrowing from the Peoples Natural Gas Companies and Aqua Pennsylvania 364-day revolving credit facilities, respectively. Our short-term lines of credit of $435,500 are subject to renewal on an annual basis. Although we believe we will be able to renew these facilities, there is no assurance that they will be renewed, or what the terms of any such renewal will be.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Consolidated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Consolidated financial and operational highlights for the periods ended June 30, 2022 and 2021 are presented below.</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4"/>
              </w:rPr>
              <w:t>Three Months Ended June 30,</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w w:val="96"/>
              </w:rPr>
              <w:t>Six Months Ended June 30,</w:t>
            </w:r>
          </w:p>
        </w:tc>
      </w:tr>
      <w:tr>
        <w:trPr>
          <w:trHeight w:val="183"/>
        </w:trPr>
        <w:tc>
          <w:tcPr>
            <w:tcW w:w="406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0"/>
              <w:spacing w:after="0" w:line="182" w:lineRule="exact"/>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2021</w:t>
            </w:r>
          </w:p>
        </w:tc>
      </w:tr>
      <w:tr>
        <w:trPr>
          <w:trHeight w:val="371"/>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36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448,756</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397,032</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1,148,031</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980,597</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79"/>
        </w:trPr>
        <w:tc>
          <w:tcPr>
            <w:tcW w:w="4060" w:type="dxa"/>
            <w:vAlign w:val="bottom"/>
          </w:tcPr>
          <w:p>
            <w:pPr>
              <w:spacing w:after="0"/>
              <w:rPr>
                <w:sz w:val="20"/>
                <w:szCs w:val="20"/>
                <w:color w:val="auto"/>
              </w:rPr>
            </w:pPr>
            <w:r>
              <w:rPr>
                <w:rFonts w:ascii="Arial" w:cs="Arial" w:eastAsia="Arial" w:hAnsi="Arial"/>
                <w:sz w:val="18"/>
                <w:szCs w:val="18"/>
                <w:color w:val="auto"/>
              </w:rPr>
              <w:t>Operations and maintenance expense</w:t>
            </w:r>
          </w:p>
        </w:tc>
        <w:tc>
          <w:tcPr>
            <w:tcW w:w="13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134,981</w:t>
            </w:r>
          </w:p>
        </w:tc>
        <w:tc>
          <w:tcPr>
            <w:tcW w:w="2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127,515</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277,562</w:t>
            </w:r>
          </w:p>
        </w:tc>
        <w:tc>
          <w:tcPr>
            <w:tcW w:w="220" w:type="dxa"/>
            <w:vAlign w:val="bottom"/>
          </w:tcPr>
          <w:p>
            <w:pPr>
              <w:spacing w:after="0"/>
              <w:rPr>
                <w:sz w:val="24"/>
                <w:szCs w:val="24"/>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252,590</w:t>
            </w:r>
          </w:p>
        </w:tc>
      </w:tr>
      <w:tr>
        <w:trPr>
          <w:trHeight w:val="20"/>
        </w:trPr>
        <w:tc>
          <w:tcPr>
            <w:tcW w:w="40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r>
        <w:trPr>
          <w:trHeight w:val="35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Purchased gas</w:t>
            </w:r>
          </w:p>
        </w:tc>
        <w:tc>
          <w:tcPr>
            <w:tcW w:w="136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75,143</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44,897</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302,855</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177,050</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4060" w:type="dxa"/>
            <w:vAlign w:val="bottom"/>
          </w:tcPr>
          <w:p>
            <w:pPr>
              <w:spacing w:after="0"/>
              <w:rPr>
                <w:sz w:val="20"/>
                <w:szCs w:val="20"/>
                <w:color w:val="auto"/>
              </w:rPr>
            </w:pPr>
            <w:r>
              <w:rPr>
                <w:rFonts w:ascii="Arial" w:cs="Arial" w:eastAsia="Arial" w:hAnsi="Arial"/>
                <w:sz w:val="18"/>
                <w:szCs w:val="18"/>
                <w:color w:val="auto"/>
              </w:rPr>
              <w:t>Net income</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82,291</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80,914</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281,667</w:t>
            </w:r>
          </w:p>
        </w:tc>
        <w:tc>
          <w:tcPr>
            <w:tcW w:w="220" w:type="dxa"/>
            <w:vAlign w:val="bottom"/>
          </w:tcPr>
          <w:p>
            <w:pPr>
              <w:spacing w:after="0"/>
              <w:rPr>
                <w:sz w:val="24"/>
                <w:szCs w:val="24"/>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264,603</w:t>
            </w:r>
          </w:p>
        </w:tc>
      </w:tr>
      <w:tr>
        <w:trPr>
          <w:trHeight w:val="20"/>
        </w:trPr>
        <w:tc>
          <w:tcPr>
            <w:tcW w:w="4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00" w:type="dxa"/>
            <w:vAlign w:val="bottom"/>
          </w:tcPr>
          <w:p>
            <w:pPr>
              <w:spacing w:after="0"/>
              <w:rPr>
                <w:sz w:val="20"/>
                <w:szCs w:val="20"/>
                <w:color w:val="auto"/>
              </w:rPr>
            </w:pPr>
            <w:r>
              <w:rPr>
                <w:rFonts w:ascii="Arial" w:cs="Arial" w:eastAsia="Arial" w:hAnsi="Arial"/>
                <w:sz w:val="18"/>
                <w:szCs w:val="18"/>
                <w:color w:val="auto"/>
              </w:rPr>
              <w:t>Operating Statistics</w:t>
            </w:r>
          </w:p>
        </w:tc>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9"/>
        </w:trPr>
        <w:tc>
          <w:tcPr>
            <w:tcW w:w="5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Selected operating results as a percentage of operating revenues:</w:t>
            </w:r>
          </w:p>
        </w:tc>
        <w:tc>
          <w:tcPr>
            <w:tcW w:w="16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5300" w:type="dxa"/>
            <w:vAlign w:val="bottom"/>
          </w:tcPr>
          <w:p>
            <w:pPr>
              <w:ind w:left="100"/>
              <w:spacing w:after="0" w:line="189" w:lineRule="exact"/>
              <w:rPr>
                <w:sz w:val="20"/>
                <w:szCs w:val="20"/>
                <w:color w:val="auto"/>
              </w:rPr>
            </w:pPr>
            <w:r>
              <w:rPr>
                <w:rFonts w:ascii="Arial" w:cs="Arial" w:eastAsia="Arial" w:hAnsi="Arial"/>
                <w:sz w:val="18"/>
                <w:szCs w:val="18"/>
                <w:color w:val="auto"/>
              </w:rPr>
              <w:t>Operations and maintenance</w:t>
            </w:r>
          </w:p>
        </w:tc>
        <w:tc>
          <w:tcPr>
            <w:tcW w:w="1620" w:type="dxa"/>
            <w:vAlign w:val="bottom"/>
          </w:tcPr>
          <w:p>
            <w:pPr>
              <w:jc w:val="center"/>
              <w:ind w:left="30"/>
              <w:spacing w:after="0" w:line="189" w:lineRule="exact"/>
              <w:rPr>
                <w:sz w:val="20"/>
                <w:szCs w:val="20"/>
                <w:color w:val="auto"/>
              </w:rPr>
            </w:pPr>
            <w:r>
              <w:rPr>
                <w:rFonts w:ascii="Arial" w:cs="Arial" w:eastAsia="Arial" w:hAnsi="Arial"/>
                <w:sz w:val="18"/>
                <w:szCs w:val="18"/>
                <w:color w:val="auto"/>
                <w:w w:val="90"/>
              </w:rPr>
              <w:t>30.1%</w:t>
            </w:r>
          </w:p>
        </w:tc>
        <w:tc>
          <w:tcPr>
            <w:tcW w:w="1500" w:type="dxa"/>
            <w:vAlign w:val="bottom"/>
          </w:tcPr>
          <w:p>
            <w:pPr>
              <w:jc w:val="center"/>
              <w:spacing w:after="0" w:line="189" w:lineRule="exact"/>
              <w:rPr>
                <w:sz w:val="20"/>
                <w:szCs w:val="20"/>
                <w:color w:val="auto"/>
              </w:rPr>
            </w:pPr>
            <w:r>
              <w:rPr>
                <w:rFonts w:ascii="Arial" w:cs="Arial" w:eastAsia="Arial" w:hAnsi="Arial"/>
                <w:sz w:val="18"/>
                <w:szCs w:val="18"/>
                <w:color w:val="auto"/>
                <w:w w:val="90"/>
              </w:rPr>
              <w:t>32.1%</w:t>
            </w:r>
          </w:p>
        </w:tc>
        <w:tc>
          <w:tcPr>
            <w:tcW w:w="162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0"/>
              </w:rPr>
              <w:t>24.2%</w:t>
            </w:r>
          </w:p>
        </w:tc>
        <w:tc>
          <w:tcPr>
            <w:tcW w:w="1200" w:type="dxa"/>
            <w:vAlign w:val="bottom"/>
          </w:tcPr>
          <w:p>
            <w:pPr>
              <w:jc w:val="center"/>
              <w:ind w:left="450"/>
              <w:spacing w:after="0" w:line="189" w:lineRule="exact"/>
              <w:rPr>
                <w:sz w:val="20"/>
                <w:szCs w:val="20"/>
                <w:color w:val="auto"/>
              </w:rPr>
            </w:pPr>
            <w:r>
              <w:rPr>
                <w:rFonts w:ascii="Arial" w:cs="Arial" w:eastAsia="Arial" w:hAnsi="Arial"/>
                <w:sz w:val="18"/>
                <w:szCs w:val="18"/>
                <w:color w:val="auto"/>
                <w:w w:val="90"/>
              </w:rPr>
              <w:t>25.8%</w:t>
            </w:r>
          </w:p>
        </w:tc>
      </w:tr>
      <w:tr>
        <w:trPr>
          <w:trHeight w:val="189"/>
        </w:trPr>
        <w:tc>
          <w:tcPr>
            <w:tcW w:w="530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Purchased gas</w:t>
            </w:r>
          </w:p>
        </w:tc>
        <w:tc>
          <w:tcPr>
            <w:tcW w:w="1620" w:type="dxa"/>
            <w:vAlign w:val="bottom"/>
            <w:shd w:val="clear" w:color="auto" w:fill="CCEEFF"/>
          </w:tcPr>
          <w:p>
            <w:pPr>
              <w:jc w:val="center"/>
              <w:ind w:left="30"/>
              <w:spacing w:after="0" w:line="189" w:lineRule="exact"/>
              <w:rPr>
                <w:sz w:val="20"/>
                <w:szCs w:val="20"/>
                <w:color w:val="auto"/>
              </w:rPr>
            </w:pPr>
            <w:r>
              <w:rPr>
                <w:rFonts w:ascii="Arial" w:cs="Arial" w:eastAsia="Arial" w:hAnsi="Arial"/>
                <w:sz w:val="18"/>
                <w:szCs w:val="18"/>
                <w:color w:val="auto"/>
                <w:w w:val="90"/>
              </w:rPr>
              <w:t>16.7%</w:t>
            </w:r>
          </w:p>
        </w:tc>
        <w:tc>
          <w:tcPr>
            <w:tcW w:w="15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11.3%</w:t>
            </w:r>
          </w:p>
        </w:tc>
        <w:tc>
          <w:tcPr>
            <w:tcW w:w="162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0"/>
              </w:rPr>
              <w:t>26.4%</w:t>
            </w:r>
          </w:p>
        </w:tc>
        <w:tc>
          <w:tcPr>
            <w:tcW w:w="1200" w:type="dxa"/>
            <w:vAlign w:val="bottom"/>
            <w:shd w:val="clear" w:color="auto" w:fill="CCEEFF"/>
          </w:tcPr>
          <w:p>
            <w:pPr>
              <w:jc w:val="center"/>
              <w:ind w:left="450"/>
              <w:spacing w:after="0" w:line="189" w:lineRule="exact"/>
              <w:rPr>
                <w:sz w:val="20"/>
                <w:szCs w:val="20"/>
                <w:color w:val="auto"/>
              </w:rPr>
            </w:pPr>
            <w:r>
              <w:rPr>
                <w:rFonts w:ascii="Arial" w:cs="Arial" w:eastAsia="Arial" w:hAnsi="Arial"/>
                <w:sz w:val="18"/>
                <w:szCs w:val="18"/>
                <w:color w:val="auto"/>
                <w:w w:val="90"/>
              </w:rPr>
              <w:t>18.1%</w:t>
            </w:r>
          </w:p>
        </w:tc>
      </w:tr>
      <w:tr>
        <w:trPr>
          <w:trHeight w:val="189"/>
        </w:trPr>
        <w:tc>
          <w:tcPr>
            <w:tcW w:w="5300" w:type="dxa"/>
            <w:vAlign w:val="bottom"/>
          </w:tcPr>
          <w:p>
            <w:pPr>
              <w:ind w:left="100"/>
              <w:spacing w:after="0" w:line="189" w:lineRule="exact"/>
              <w:rPr>
                <w:sz w:val="20"/>
                <w:szCs w:val="20"/>
                <w:color w:val="auto"/>
              </w:rPr>
            </w:pPr>
            <w:r>
              <w:rPr>
                <w:rFonts w:ascii="Arial" w:cs="Arial" w:eastAsia="Arial" w:hAnsi="Arial"/>
                <w:sz w:val="18"/>
                <w:szCs w:val="18"/>
                <w:color w:val="auto"/>
              </w:rPr>
              <w:t>Depreciation and amortization</w:t>
            </w:r>
          </w:p>
        </w:tc>
        <w:tc>
          <w:tcPr>
            <w:tcW w:w="1620" w:type="dxa"/>
            <w:vAlign w:val="bottom"/>
          </w:tcPr>
          <w:p>
            <w:pPr>
              <w:jc w:val="center"/>
              <w:ind w:left="30"/>
              <w:spacing w:after="0" w:line="189" w:lineRule="exact"/>
              <w:rPr>
                <w:sz w:val="20"/>
                <w:szCs w:val="20"/>
                <w:color w:val="auto"/>
              </w:rPr>
            </w:pPr>
            <w:r>
              <w:rPr>
                <w:rFonts w:ascii="Arial" w:cs="Arial" w:eastAsia="Arial" w:hAnsi="Arial"/>
                <w:sz w:val="18"/>
                <w:szCs w:val="18"/>
                <w:color w:val="auto"/>
                <w:w w:val="90"/>
              </w:rPr>
              <w:t>17.6%</w:t>
            </w:r>
          </w:p>
        </w:tc>
        <w:tc>
          <w:tcPr>
            <w:tcW w:w="1500" w:type="dxa"/>
            <w:vAlign w:val="bottom"/>
          </w:tcPr>
          <w:p>
            <w:pPr>
              <w:jc w:val="center"/>
              <w:spacing w:after="0" w:line="189" w:lineRule="exact"/>
              <w:rPr>
                <w:sz w:val="20"/>
                <w:szCs w:val="20"/>
                <w:color w:val="auto"/>
              </w:rPr>
            </w:pPr>
            <w:r>
              <w:rPr>
                <w:rFonts w:ascii="Arial" w:cs="Arial" w:eastAsia="Arial" w:hAnsi="Arial"/>
                <w:sz w:val="18"/>
                <w:szCs w:val="18"/>
                <w:color w:val="auto"/>
                <w:w w:val="90"/>
              </w:rPr>
              <w:t>18.7%</w:t>
            </w:r>
          </w:p>
        </w:tc>
        <w:tc>
          <w:tcPr>
            <w:tcW w:w="162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0"/>
              </w:rPr>
              <w:t>13.7%</w:t>
            </w:r>
          </w:p>
        </w:tc>
        <w:tc>
          <w:tcPr>
            <w:tcW w:w="1200" w:type="dxa"/>
            <w:vAlign w:val="bottom"/>
          </w:tcPr>
          <w:p>
            <w:pPr>
              <w:jc w:val="center"/>
              <w:ind w:left="450"/>
              <w:spacing w:after="0" w:line="189" w:lineRule="exact"/>
              <w:rPr>
                <w:sz w:val="20"/>
                <w:szCs w:val="20"/>
                <w:color w:val="auto"/>
              </w:rPr>
            </w:pPr>
            <w:r>
              <w:rPr>
                <w:rFonts w:ascii="Arial" w:cs="Arial" w:eastAsia="Arial" w:hAnsi="Arial"/>
                <w:sz w:val="18"/>
                <w:szCs w:val="18"/>
                <w:color w:val="auto"/>
                <w:w w:val="90"/>
              </w:rPr>
              <w:t>15.0%</w:t>
            </w:r>
          </w:p>
        </w:tc>
      </w:tr>
      <w:tr>
        <w:trPr>
          <w:trHeight w:val="189"/>
        </w:trPr>
        <w:tc>
          <w:tcPr>
            <w:tcW w:w="530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Taxes other than income taxes</w:t>
            </w:r>
          </w:p>
        </w:tc>
        <w:tc>
          <w:tcPr>
            <w:tcW w:w="1620" w:type="dxa"/>
            <w:vAlign w:val="bottom"/>
            <w:shd w:val="clear" w:color="auto" w:fill="CCEEFF"/>
          </w:tcPr>
          <w:p>
            <w:pPr>
              <w:jc w:val="center"/>
              <w:ind w:left="30"/>
              <w:spacing w:after="0" w:line="189" w:lineRule="exact"/>
              <w:rPr>
                <w:sz w:val="20"/>
                <w:szCs w:val="20"/>
                <w:color w:val="auto"/>
              </w:rPr>
            </w:pPr>
            <w:r>
              <w:rPr>
                <w:rFonts w:ascii="Arial" w:cs="Arial" w:eastAsia="Arial" w:hAnsi="Arial"/>
                <w:sz w:val="18"/>
                <w:szCs w:val="18"/>
                <w:color w:val="auto"/>
                <w:w w:val="92"/>
              </w:rPr>
              <w:t>4.8%</w:t>
            </w:r>
          </w:p>
        </w:tc>
        <w:tc>
          <w:tcPr>
            <w:tcW w:w="15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5.3%</w:t>
            </w:r>
          </w:p>
        </w:tc>
        <w:tc>
          <w:tcPr>
            <w:tcW w:w="162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2"/>
              </w:rPr>
              <w:t>3.9%</w:t>
            </w:r>
          </w:p>
        </w:tc>
        <w:tc>
          <w:tcPr>
            <w:tcW w:w="1200" w:type="dxa"/>
            <w:vAlign w:val="bottom"/>
            <w:shd w:val="clear" w:color="auto" w:fill="CCEEFF"/>
          </w:tcPr>
          <w:p>
            <w:pPr>
              <w:jc w:val="center"/>
              <w:ind w:left="450"/>
              <w:spacing w:after="0" w:line="189" w:lineRule="exact"/>
              <w:rPr>
                <w:sz w:val="20"/>
                <w:szCs w:val="20"/>
                <w:color w:val="auto"/>
              </w:rPr>
            </w:pPr>
            <w:r>
              <w:rPr>
                <w:rFonts w:ascii="Arial" w:cs="Arial" w:eastAsia="Arial" w:hAnsi="Arial"/>
                <w:sz w:val="18"/>
                <w:szCs w:val="18"/>
                <w:color w:val="auto"/>
                <w:w w:val="92"/>
              </w:rPr>
              <w:t>4.3%</w:t>
            </w:r>
          </w:p>
        </w:tc>
      </w:tr>
      <w:tr>
        <w:trPr>
          <w:trHeight w:val="189"/>
        </w:trPr>
        <w:tc>
          <w:tcPr>
            <w:tcW w:w="5300" w:type="dxa"/>
            <w:vAlign w:val="bottom"/>
          </w:tcPr>
          <w:p>
            <w:pPr>
              <w:ind w:left="100"/>
              <w:spacing w:after="0" w:line="189" w:lineRule="exact"/>
              <w:rPr>
                <w:sz w:val="20"/>
                <w:szCs w:val="20"/>
                <w:color w:val="auto"/>
              </w:rPr>
            </w:pPr>
            <w:r>
              <w:rPr>
                <w:rFonts w:ascii="Arial" w:cs="Arial" w:eastAsia="Arial" w:hAnsi="Arial"/>
                <w:sz w:val="18"/>
                <w:szCs w:val="18"/>
                <w:color w:val="auto"/>
              </w:rPr>
              <w:t>Interest expense, net of interest income</w:t>
            </w:r>
          </w:p>
        </w:tc>
        <w:tc>
          <w:tcPr>
            <w:tcW w:w="1620" w:type="dxa"/>
            <w:vAlign w:val="bottom"/>
          </w:tcPr>
          <w:p>
            <w:pPr>
              <w:jc w:val="center"/>
              <w:ind w:left="30"/>
              <w:spacing w:after="0" w:line="189" w:lineRule="exact"/>
              <w:rPr>
                <w:sz w:val="20"/>
                <w:szCs w:val="20"/>
                <w:color w:val="auto"/>
              </w:rPr>
            </w:pPr>
            <w:r>
              <w:rPr>
                <w:rFonts w:ascii="Arial" w:cs="Arial" w:eastAsia="Arial" w:hAnsi="Arial"/>
                <w:sz w:val="18"/>
                <w:szCs w:val="18"/>
                <w:color w:val="auto"/>
                <w:w w:val="90"/>
              </w:rPr>
              <w:t>12.1%</w:t>
            </w:r>
          </w:p>
        </w:tc>
        <w:tc>
          <w:tcPr>
            <w:tcW w:w="1500" w:type="dxa"/>
            <w:vAlign w:val="bottom"/>
          </w:tcPr>
          <w:p>
            <w:pPr>
              <w:jc w:val="center"/>
              <w:spacing w:after="0" w:line="189" w:lineRule="exact"/>
              <w:rPr>
                <w:sz w:val="20"/>
                <w:szCs w:val="20"/>
                <w:color w:val="auto"/>
              </w:rPr>
            </w:pPr>
            <w:r>
              <w:rPr>
                <w:rFonts w:ascii="Arial" w:cs="Arial" w:eastAsia="Arial" w:hAnsi="Arial"/>
                <w:sz w:val="18"/>
                <w:szCs w:val="18"/>
                <w:color w:val="auto"/>
                <w:w w:val="90"/>
              </w:rPr>
              <w:t>13.0%</w:t>
            </w:r>
          </w:p>
        </w:tc>
        <w:tc>
          <w:tcPr>
            <w:tcW w:w="162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2"/>
              </w:rPr>
              <w:t>9.4%</w:t>
            </w:r>
          </w:p>
        </w:tc>
        <w:tc>
          <w:tcPr>
            <w:tcW w:w="1200" w:type="dxa"/>
            <w:vAlign w:val="bottom"/>
          </w:tcPr>
          <w:p>
            <w:pPr>
              <w:jc w:val="center"/>
              <w:ind w:left="450"/>
              <w:spacing w:after="0" w:line="189" w:lineRule="exact"/>
              <w:rPr>
                <w:sz w:val="20"/>
                <w:szCs w:val="20"/>
                <w:color w:val="auto"/>
              </w:rPr>
            </w:pPr>
            <w:r>
              <w:rPr>
                <w:rFonts w:ascii="Arial" w:cs="Arial" w:eastAsia="Arial" w:hAnsi="Arial"/>
                <w:sz w:val="18"/>
                <w:szCs w:val="18"/>
                <w:color w:val="auto"/>
                <w:w w:val="90"/>
              </w:rPr>
              <w:t>10.4%</w:t>
            </w:r>
          </w:p>
        </w:tc>
      </w:tr>
      <w:tr>
        <w:trPr>
          <w:trHeight w:val="189"/>
        </w:trPr>
        <w:tc>
          <w:tcPr>
            <w:tcW w:w="530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Net income</w:t>
            </w:r>
          </w:p>
        </w:tc>
        <w:tc>
          <w:tcPr>
            <w:tcW w:w="1620" w:type="dxa"/>
            <w:vAlign w:val="bottom"/>
            <w:shd w:val="clear" w:color="auto" w:fill="CCEEFF"/>
          </w:tcPr>
          <w:p>
            <w:pPr>
              <w:jc w:val="center"/>
              <w:ind w:left="30"/>
              <w:spacing w:after="0" w:line="189" w:lineRule="exact"/>
              <w:rPr>
                <w:sz w:val="20"/>
                <w:szCs w:val="20"/>
                <w:color w:val="auto"/>
              </w:rPr>
            </w:pPr>
            <w:r>
              <w:rPr>
                <w:rFonts w:ascii="Arial" w:cs="Arial" w:eastAsia="Arial" w:hAnsi="Arial"/>
                <w:sz w:val="18"/>
                <w:szCs w:val="18"/>
                <w:color w:val="auto"/>
                <w:w w:val="90"/>
              </w:rPr>
              <w:t>18.3%</w:t>
            </w:r>
          </w:p>
        </w:tc>
        <w:tc>
          <w:tcPr>
            <w:tcW w:w="15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20.4%</w:t>
            </w:r>
          </w:p>
        </w:tc>
        <w:tc>
          <w:tcPr>
            <w:tcW w:w="162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0"/>
              </w:rPr>
              <w:t>24.5%</w:t>
            </w:r>
          </w:p>
        </w:tc>
        <w:tc>
          <w:tcPr>
            <w:tcW w:w="1200" w:type="dxa"/>
            <w:vAlign w:val="bottom"/>
            <w:shd w:val="clear" w:color="auto" w:fill="CCEEFF"/>
          </w:tcPr>
          <w:p>
            <w:pPr>
              <w:jc w:val="center"/>
              <w:ind w:left="450"/>
              <w:spacing w:after="0" w:line="189" w:lineRule="exact"/>
              <w:rPr>
                <w:sz w:val="20"/>
                <w:szCs w:val="20"/>
                <w:color w:val="auto"/>
              </w:rPr>
            </w:pPr>
            <w:r>
              <w:rPr>
                <w:rFonts w:ascii="Arial" w:cs="Arial" w:eastAsia="Arial" w:hAnsi="Arial"/>
                <w:sz w:val="18"/>
                <w:szCs w:val="18"/>
                <w:color w:val="auto"/>
                <w:w w:val="90"/>
              </w:rPr>
              <w:t>27.0%</w:t>
            </w:r>
          </w:p>
        </w:tc>
      </w:tr>
      <w:tr>
        <w:trPr>
          <w:trHeight w:val="189"/>
        </w:trPr>
        <w:tc>
          <w:tcPr>
            <w:tcW w:w="5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5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Effective tax rate</w:t>
            </w:r>
          </w:p>
        </w:tc>
        <w:tc>
          <w:tcPr>
            <w:tcW w:w="1620" w:type="dxa"/>
            <w:vAlign w:val="bottom"/>
            <w:shd w:val="clear" w:color="auto" w:fill="CCEEFF"/>
          </w:tcPr>
          <w:p>
            <w:pPr>
              <w:jc w:val="center"/>
              <w:ind w:left="30"/>
              <w:spacing w:after="0" w:line="189" w:lineRule="exact"/>
              <w:rPr>
                <w:sz w:val="20"/>
                <w:szCs w:val="20"/>
                <w:color w:val="auto"/>
              </w:rPr>
            </w:pPr>
            <w:r>
              <w:rPr>
                <w:rFonts w:ascii="Arial" w:cs="Arial" w:eastAsia="Arial" w:hAnsi="Arial"/>
                <w:sz w:val="18"/>
                <w:szCs w:val="18"/>
                <w:color w:val="auto"/>
                <w:w w:val="92"/>
              </w:rPr>
              <w:t>9.0%</w:t>
            </w:r>
          </w:p>
        </w:tc>
        <w:tc>
          <w:tcPr>
            <w:tcW w:w="15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4.5%</w:t>
            </w:r>
          </w:p>
        </w:tc>
        <w:tc>
          <w:tcPr>
            <w:tcW w:w="1620" w:type="dxa"/>
            <w:vAlign w:val="bottom"/>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93"/>
              </w:rPr>
              <w:t>-3.4%</w:t>
            </w:r>
          </w:p>
        </w:tc>
        <w:tc>
          <w:tcPr>
            <w:tcW w:w="1200" w:type="dxa"/>
            <w:vAlign w:val="bottom"/>
            <w:shd w:val="clear" w:color="auto" w:fill="CCEEFF"/>
          </w:tcPr>
          <w:p>
            <w:pPr>
              <w:jc w:val="center"/>
              <w:ind w:left="450"/>
              <w:spacing w:after="0" w:line="189" w:lineRule="exact"/>
              <w:rPr>
                <w:sz w:val="20"/>
                <w:szCs w:val="20"/>
                <w:color w:val="auto"/>
              </w:rPr>
            </w:pPr>
            <w:r>
              <w:rPr>
                <w:rFonts w:ascii="Arial" w:cs="Arial" w:eastAsia="Arial" w:hAnsi="Arial"/>
                <w:sz w:val="18"/>
                <w:szCs w:val="18"/>
                <w:color w:val="auto"/>
                <w:w w:val="92"/>
              </w:rPr>
              <w:t>3.1%</w:t>
            </w: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7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Three months ended June 30, 2022 compared with three months ended June 30, 2021</w:t>
      </w:r>
    </w:p>
    <w:p>
      <w:pPr>
        <w:spacing w:after="0" w:line="206" w:lineRule="exact"/>
        <w:rPr>
          <w:sz w:val="20"/>
          <w:szCs w:val="20"/>
          <w:color w:val="auto"/>
        </w:rPr>
      </w:pPr>
    </w:p>
    <w:p>
      <w:pPr>
        <w:spacing w:after="0" w:line="226" w:lineRule="auto"/>
        <w:rPr>
          <w:sz w:val="20"/>
          <w:szCs w:val="20"/>
          <w:color w:val="auto"/>
        </w:rPr>
      </w:pPr>
      <w:r>
        <w:rPr>
          <w:rFonts w:ascii="Arial" w:cs="Arial" w:eastAsia="Arial" w:hAnsi="Arial"/>
          <w:sz w:val="22"/>
          <w:szCs w:val="22"/>
          <w:color w:val="auto"/>
        </w:rPr>
        <w:t>For the three months ended June 30, 2022, consolidated operating revenues increased by $51,724 or 13.0% as compared to the same period in 2021. Revenues from our Regulated Water segment, Regulated Natural Gas segment and Other business segment increased by $21,178, $26,167 and $4,379, respectively. Refer below for further details on the changes on Regulated Water and Regulated Natural Gas segment revenues. The increase in our Other business segment revenue is due to higher revenues from our non-regulated natural gas operations.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Consolidated operations and maintenance increased by $7,466 or 5.9%, primarily due to:</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increase in production costs for water and wastewater operations of $1,475;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857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jc w:val="both"/>
        <w:ind w:left="660" w:right="180"/>
        <w:spacing w:after="0" w:line="217" w:lineRule="auto"/>
        <w:rPr>
          <w:sz w:val="20"/>
          <w:szCs w:val="20"/>
          <w:color w:val="auto"/>
        </w:rPr>
      </w:pPr>
      <w:r>
        <w:rPr>
          <w:rFonts w:ascii="Arial" w:cs="Arial" w:eastAsia="Arial" w:hAnsi="Arial"/>
          <w:sz w:val="22"/>
          <w:szCs w:val="22"/>
          <w:color w:val="auto"/>
        </w:rPr>
        <w:t>increase in customer assistance surcharge costs of $606 in our Regulated Natural Gas segment, which has an equivalent offsetting amount in revenues. These revenues and offsetting expenses increased mainly due to the increase in average gas prices as compared to the prior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-304165</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60" w:right="220"/>
        <w:spacing w:after="0" w:line="217" w:lineRule="auto"/>
        <w:rPr>
          <w:sz w:val="20"/>
          <w:szCs w:val="20"/>
          <w:color w:val="auto"/>
        </w:rPr>
      </w:pPr>
      <w:r>
        <w:rPr>
          <w:rFonts w:ascii="Arial" w:cs="Arial" w:eastAsia="Arial" w:hAnsi="Arial"/>
          <w:sz w:val="22"/>
          <w:szCs w:val="22"/>
          <w:color w:val="auto"/>
        </w:rPr>
        <w:t>additional operating costs associated with acquired and pending acquisitions of water and wastewater utility systems of $2,239;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-158750</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60" w:right="4320"/>
        <w:spacing w:after="0" w:line="217" w:lineRule="auto"/>
        <w:rPr>
          <w:sz w:val="20"/>
          <w:szCs w:val="20"/>
          <w:color w:val="auto"/>
        </w:rPr>
      </w:pPr>
      <w:r>
        <w:rPr>
          <w:rFonts w:ascii="Arial" w:cs="Arial" w:eastAsia="Arial" w:hAnsi="Arial"/>
          <w:sz w:val="22"/>
          <w:szCs w:val="22"/>
          <w:color w:val="auto"/>
        </w:rPr>
        <w:t>increase in insurance expense of $1,424 due to higher insurance claims; increase in legal expenses of $1,467;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-158750</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-13335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60"/>
        <w:spacing w:after="0" w:line="219" w:lineRule="auto"/>
        <w:rPr>
          <w:sz w:val="20"/>
          <w:szCs w:val="20"/>
          <w:color w:val="auto"/>
        </w:rPr>
      </w:pPr>
      <w:r>
        <w:rPr>
          <w:rFonts w:ascii="Arial" w:cs="Arial" w:eastAsia="Arial" w:hAnsi="Arial"/>
          <w:sz w:val="22"/>
          <w:szCs w:val="22"/>
          <w:color w:val="auto"/>
        </w:rPr>
        <w:t>increase in outside services and maintenance expenses of $7,962 in our Regulated Water segment;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-13970</wp:posOffset>
            </wp:positionV>
            <wp:extent cx="857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ind w:left="660" w:right="120"/>
        <w:spacing w:after="0" w:line="217" w:lineRule="auto"/>
        <w:rPr>
          <w:sz w:val="20"/>
          <w:szCs w:val="20"/>
          <w:color w:val="auto"/>
        </w:rPr>
      </w:pPr>
      <w:r>
        <w:rPr>
          <w:rFonts w:ascii="Arial" w:cs="Arial" w:eastAsia="Arial" w:hAnsi="Arial"/>
          <w:sz w:val="22"/>
          <w:szCs w:val="22"/>
          <w:color w:val="auto"/>
        </w:rPr>
        <w:t>expenses of $164, associated with remediating an advisory for some of our water utility customers served by our Illinois subsidiary. We expect the expenses associated with remediating the advisory to continue through 2022; offset by the decrease in bad debt expense of $788;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-304165</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-12700</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60" w:right="160"/>
        <w:spacing w:after="0" w:line="230" w:lineRule="auto"/>
        <w:rPr>
          <w:sz w:val="20"/>
          <w:szCs w:val="20"/>
          <w:color w:val="auto"/>
        </w:rPr>
      </w:pPr>
      <w:r>
        <w:rPr>
          <w:rFonts w:ascii="Arial" w:cs="Arial" w:eastAsia="Arial" w:hAnsi="Arial"/>
          <w:sz w:val="22"/>
          <w:szCs w:val="22"/>
          <w:color w:val="auto"/>
        </w:rPr>
        <w:t>a decrease in expenses of $6,149 in our Regulated Gas Segment primarily driven by higher capitalization of general and administrative costs as a result of greater capital spend in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-176530</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6" w:lineRule="exact"/>
        <w:rPr>
          <w:sz w:val="20"/>
          <w:szCs w:val="20"/>
          <w:color w:val="auto"/>
        </w:rPr>
      </w:pPr>
    </w:p>
    <w:p>
      <w:pPr>
        <w:ind w:right="320"/>
        <w:spacing w:after="0" w:line="282" w:lineRule="auto"/>
        <w:rPr>
          <w:sz w:val="20"/>
          <w:szCs w:val="20"/>
          <w:color w:val="auto"/>
        </w:rPr>
      </w:pPr>
      <w:r>
        <w:rPr>
          <w:rFonts w:ascii="Arial" w:cs="Arial" w:eastAsia="Arial" w:hAnsi="Arial"/>
          <w:sz w:val="19"/>
          <w:szCs w:val="19"/>
          <w:color w:val="auto"/>
        </w:rPr>
        <w:t>Purchased gas increased by $30,246 or 67.4%. Purchased gas represents the cost of gas sold by Peoples for the regulated and non-regulated gas business and has a corresponding offset in revenue. The expense increased primarily due to the 190.7% increase in the average gas commodity prices in the second quarter of 2022 as compared to the same period in the prior year.</w:t>
      </w:r>
    </w:p>
    <w:p>
      <w:pPr>
        <w:spacing w:after="0" w:line="148" w:lineRule="exact"/>
        <w:rPr>
          <w:sz w:val="20"/>
          <w:szCs w:val="20"/>
          <w:color w:val="auto"/>
        </w:rPr>
      </w:pPr>
    </w:p>
    <w:p>
      <w:pPr>
        <w:ind w:right="100"/>
        <w:spacing w:after="0" w:line="239" w:lineRule="auto"/>
        <w:rPr>
          <w:sz w:val="20"/>
          <w:szCs w:val="20"/>
          <w:color w:val="auto"/>
        </w:rPr>
      </w:pPr>
      <w:r>
        <w:rPr>
          <w:rFonts w:ascii="Arial" w:cs="Arial" w:eastAsia="Arial" w:hAnsi="Arial"/>
          <w:sz w:val="22"/>
          <w:szCs w:val="22"/>
          <w:color w:val="auto"/>
        </w:rPr>
        <w:t>Depreciation and amortization expense increased by $5,004 or 6.7% principally due to continued capital expenditures to expand and improve our utility facilities and our acquisitions of new utility systems.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5" w:name="page36"/>
    <w:bookmarkEnd w:id="3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7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500"/>
        <w:spacing w:after="0" w:line="239" w:lineRule="auto"/>
        <w:rPr>
          <w:sz w:val="20"/>
          <w:szCs w:val="20"/>
          <w:color w:val="auto"/>
        </w:rPr>
      </w:pPr>
      <w:r>
        <w:rPr>
          <w:rFonts w:ascii="Arial" w:cs="Arial" w:eastAsia="Arial" w:hAnsi="Arial"/>
          <w:sz w:val="22"/>
          <w:szCs w:val="22"/>
          <w:color w:val="auto"/>
        </w:rPr>
        <w:t>Interest expense, net of interest income increased by $2,699 or 5.2% for the quarter primarily due to the increase in average borrowings.</w:t>
      </w:r>
    </w:p>
    <w:p>
      <w:pPr>
        <w:spacing w:after="0" w:line="185" w:lineRule="exact"/>
        <w:rPr>
          <w:sz w:val="20"/>
          <w:szCs w:val="20"/>
          <w:color w:val="auto"/>
        </w:rPr>
      </w:pPr>
    </w:p>
    <w:p>
      <w:pPr>
        <w:ind w:right="300"/>
        <w:spacing w:after="0" w:line="239" w:lineRule="auto"/>
        <w:rPr>
          <w:sz w:val="20"/>
          <w:szCs w:val="20"/>
          <w:color w:val="auto"/>
        </w:rPr>
      </w:pPr>
      <w:r>
        <w:rPr>
          <w:rFonts w:ascii="Arial" w:cs="Arial" w:eastAsia="Arial" w:hAnsi="Arial"/>
          <w:sz w:val="22"/>
          <w:szCs w:val="22"/>
          <w:color w:val="auto"/>
        </w:rPr>
        <w:t>Allowance for funds used during construction (“AFUDC”) increased by $1,245 or by 25.4% due to an increase in the average balance of utility plant construction work in progress, to which AFUDC is applied.</w:t>
      </w:r>
    </w:p>
    <w:p>
      <w:pPr>
        <w:spacing w:after="0" w:line="185"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Other income, inclusive of gain on sale of other assets, decreased by $1,263 or by 58.4% due to lower credits recognized from postretirement benefits as compared with the same period in the prior year.</w:t>
      </w:r>
    </w:p>
    <w:p>
      <w:pPr>
        <w:spacing w:after="0" w:line="175" w:lineRule="exact"/>
        <w:rPr>
          <w:sz w:val="20"/>
          <w:szCs w:val="20"/>
          <w:color w:val="auto"/>
        </w:rPr>
      </w:pPr>
    </w:p>
    <w:p>
      <w:pPr>
        <w:ind w:right="260"/>
        <w:spacing w:after="0" w:line="313" w:lineRule="auto"/>
        <w:rPr>
          <w:sz w:val="20"/>
          <w:szCs w:val="20"/>
          <w:color w:val="auto"/>
        </w:rPr>
      </w:pPr>
      <w:r>
        <w:rPr>
          <w:rFonts w:ascii="Arial" w:cs="Arial" w:eastAsia="Arial" w:hAnsi="Arial"/>
          <w:sz w:val="19"/>
          <w:szCs w:val="19"/>
          <w:color w:val="auto"/>
        </w:rPr>
        <w:t>Our effective income tax rate was 9.0% in the second quarter of 2022 and 4.5% in the second quarter of 2021. The increase is primarily attributed to a decrease in the amortization of certain regulatory liabilities associated with deferred taxes.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Six months ended June 30, 2022 compared with six months ended June 30, 2021</w:t>
      </w:r>
    </w:p>
    <w:p>
      <w:pPr>
        <w:spacing w:after="0" w:line="206"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Consolidated operating revenues increased by $167,434 or 17.1% for the six months ended June 30, 2022, as compared to the same period in 2021. Revenues from our Regulated Water segment, Regulated Natural Gas segment and Other business segment increased by $32,023, $128,235 and $7,176, respectively. A detailed discussion of the factors contributing to the changes in segment net revenue is included below under the section, Segment Results of Operations. The increase in our Other business segment revenue is due to higher revenues from our non-regulated natural gas operations.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Consolidated operations and maintenance increased by $24,972 or 9.9%, primarily due to:</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increase in employee related costs of $9,002;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60"/>
        <w:spacing w:after="0" w:line="217" w:lineRule="auto"/>
        <w:rPr>
          <w:sz w:val="20"/>
          <w:szCs w:val="20"/>
          <w:color w:val="auto"/>
        </w:rPr>
      </w:pPr>
      <w:r>
        <w:rPr>
          <w:rFonts w:ascii="Arial" w:cs="Arial" w:eastAsia="Arial" w:hAnsi="Arial"/>
          <w:sz w:val="22"/>
          <w:szCs w:val="22"/>
          <w:color w:val="auto"/>
        </w:rPr>
        <w:t>increase in production costs for water and wastewater operations of $3,001;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-13970</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60" w:right="20"/>
        <w:spacing w:after="0" w:line="217" w:lineRule="auto"/>
        <w:rPr>
          <w:sz w:val="20"/>
          <w:szCs w:val="20"/>
          <w:color w:val="auto"/>
        </w:rPr>
      </w:pPr>
      <w:r>
        <w:rPr>
          <w:rFonts w:ascii="Arial" w:cs="Arial" w:eastAsia="Arial" w:hAnsi="Arial"/>
          <w:sz w:val="22"/>
          <w:szCs w:val="22"/>
          <w:color w:val="auto"/>
        </w:rPr>
        <w:t>increase in customer assistance surcharge costs of $7,367 in our Regulated Natural Gas segment, which has an equivalent offsetting amount in revenues. These revenues and offsetting expenses increased mainly due to the increase in average gas prices during the first six months of 2022 compared to the prior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-304165</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60" w:right="220"/>
        <w:spacing w:after="0" w:line="217" w:lineRule="auto"/>
        <w:rPr>
          <w:sz w:val="20"/>
          <w:szCs w:val="20"/>
          <w:color w:val="auto"/>
        </w:rPr>
      </w:pPr>
      <w:r>
        <w:rPr>
          <w:rFonts w:ascii="Arial" w:cs="Arial" w:eastAsia="Arial" w:hAnsi="Arial"/>
          <w:sz w:val="22"/>
          <w:szCs w:val="22"/>
          <w:color w:val="auto"/>
        </w:rPr>
        <w:t>additional operating costs associated with acquired and pending acquisitions of water and wastewater utility systems of $3,582;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-158750</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color w:val="auto"/>
        </w:rPr>
        <w:t>increase in insurance expense of $4,685, which includes the impact of a favorable insurance reserve adjustment of $2,426</w:t>
      </w:r>
    </w:p>
    <w:p>
      <w:pPr>
        <w:ind w:left="660"/>
        <w:spacing w:after="0" w:line="228" w:lineRule="auto"/>
        <w:rPr>
          <w:sz w:val="20"/>
          <w:szCs w:val="20"/>
          <w:color w:val="auto"/>
        </w:rPr>
      </w:pPr>
      <w:r>
        <w:rPr>
          <w:rFonts w:ascii="Arial" w:cs="Arial" w:eastAsia="Arial" w:hAnsi="Arial"/>
          <w:sz w:val="22"/>
          <w:szCs w:val="22"/>
          <w:color w:val="auto"/>
        </w:rPr>
        <w:t>during the first quarter of 2021;</w:t>
      </w:r>
    </w:p>
    <w:p>
      <w:pPr>
        <w:ind w:left="660"/>
        <w:spacing w:after="0" w:line="217" w:lineRule="auto"/>
        <w:rPr>
          <w:sz w:val="20"/>
          <w:szCs w:val="20"/>
          <w:color w:val="auto"/>
        </w:rPr>
      </w:pPr>
      <w:r>
        <w:rPr>
          <w:rFonts w:ascii="Arial" w:cs="Arial" w:eastAsia="Arial" w:hAnsi="Arial"/>
          <w:sz w:val="22"/>
          <w:szCs w:val="22"/>
          <w:color w:val="auto"/>
        </w:rPr>
        <w:t>increase in legal expenses of $1,280,</w:t>
      </w:r>
    </w:p>
    <w:p>
      <w:pPr>
        <w:spacing w:after="0" w:line="1" w:lineRule="exact"/>
        <w:rPr>
          <w:sz w:val="20"/>
          <w:szCs w:val="20"/>
          <w:color w:val="auto"/>
        </w:rPr>
      </w:pPr>
    </w:p>
    <w:p>
      <w:pPr>
        <w:ind w:left="660" w:right="2040"/>
        <w:spacing w:after="0" w:line="217" w:lineRule="auto"/>
        <w:rPr>
          <w:sz w:val="20"/>
          <w:szCs w:val="20"/>
          <w:color w:val="auto"/>
        </w:rPr>
      </w:pPr>
      <w:r>
        <w:rPr>
          <w:rFonts w:ascii="Arial" w:cs="Arial" w:eastAsia="Arial" w:hAnsi="Arial"/>
          <w:sz w:val="22"/>
          <w:szCs w:val="22"/>
          <w:color w:val="auto"/>
        </w:rPr>
        <w:t>increase in outside services and maintenance expenses of $7,962 in our Regulated Water segment; and,</w:t>
      </w:r>
    </w:p>
    <w:p>
      <w:pPr>
        <w:spacing w:after="0" w:line="2" w:lineRule="exact"/>
        <w:rPr>
          <w:sz w:val="20"/>
          <w:szCs w:val="20"/>
          <w:color w:val="auto"/>
        </w:rPr>
      </w:pPr>
    </w:p>
    <w:p>
      <w:pPr>
        <w:ind w:left="660" w:right="120"/>
        <w:spacing w:after="0" w:line="217" w:lineRule="auto"/>
        <w:rPr>
          <w:sz w:val="20"/>
          <w:szCs w:val="20"/>
          <w:color w:val="auto"/>
        </w:rPr>
      </w:pPr>
      <w:r>
        <w:rPr>
          <w:rFonts w:ascii="Arial" w:cs="Arial" w:eastAsia="Arial" w:hAnsi="Arial"/>
          <w:sz w:val="22"/>
          <w:szCs w:val="22"/>
          <w:color w:val="auto"/>
        </w:rPr>
        <w:t>expenses of $376, associated with remediating an advisory for some of our water utility customers served by our Illinois subsidiary. We expect the expenses associated with remediating the advisory to continue through 2022; offset by the decrease in bad debt expense of $3,718; and,</w:t>
      </w:r>
    </w:p>
    <w:p>
      <w:pPr>
        <w:spacing w:after="0" w:line="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6" w:name="page37"/>
    <w:bookmarkEnd w:id="3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ind w:left="660" w:right="220"/>
        <w:spacing w:after="0" w:line="239" w:lineRule="auto"/>
        <w:rPr>
          <w:sz w:val="20"/>
          <w:szCs w:val="20"/>
          <w:color w:val="auto"/>
        </w:rPr>
      </w:pPr>
      <w:r>
        <w:rPr>
          <w:rFonts w:ascii="Arial" w:cs="Arial" w:eastAsia="Arial" w:hAnsi="Arial"/>
          <w:sz w:val="22"/>
          <w:szCs w:val="22"/>
          <w:color w:val="auto"/>
        </w:rPr>
        <w:t>a decrease in expenses of $6,149 in our Regulated Gas Segment due to higher capitalization as a result of greater capital spend in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-177165</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5" w:lineRule="exact"/>
        <w:rPr>
          <w:sz w:val="20"/>
          <w:szCs w:val="20"/>
          <w:color w:val="auto"/>
        </w:rPr>
      </w:pPr>
    </w:p>
    <w:p>
      <w:pPr>
        <w:ind w:right="280"/>
        <w:spacing w:after="0" w:line="228" w:lineRule="auto"/>
        <w:rPr>
          <w:sz w:val="20"/>
          <w:szCs w:val="20"/>
          <w:color w:val="auto"/>
        </w:rPr>
      </w:pPr>
      <w:r>
        <w:rPr>
          <w:rFonts w:ascii="Arial" w:cs="Arial" w:eastAsia="Arial" w:hAnsi="Arial"/>
          <w:sz w:val="22"/>
          <w:szCs w:val="22"/>
          <w:color w:val="auto"/>
        </w:rPr>
        <w:t>Purchased gas increased by $125,805 or 71.1%. Purchased gas represents the cost of gas sold by Peoples for the regulated and non-regulated gas business and has a corresponding offset in revenue. The expense increased primarily due to the 103.7% increase in the average gas commodity prices during the first six months of 2022 as compared to the same period in the prior year.</w:t>
      </w:r>
    </w:p>
    <w:p>
      <w:pPr>
        <w:spacing w:after="0" w:line="186" w:lineRule="exact"/>
        <w:rPr>
          <w:sz w:val="20"/>
          <w:szCs w:val="20"/>
          <w:color w:val="auto"/>
        </w:rPr>
      </w:pPr>
    </w:p>
    <w:p>
      <w:pPr>
        <w:ind w:right="60"/>
        <w:spacing w:after="0" w:line="239" w:lineRule="auto"/>
        <w:rPr>
          <w:sz w:val="20"/>
          <w:szCs w:val="20"/>
          <w:color w:val="auto"/>
        </w:rPr>
      </w:pPr>
      <w:r>
        <w:rPr>
          <w:rFonts w:ascii="Arial" w:cs="Arial" w:eastAsia="Arial" w:hAnsi="Arial"/>
          <w:sz w:val="22"/>
          <w:szCs w:val="22"/>
          <w:color w:val="auto"/>
        </w:rPr>
        <w:t>Depreciation and amortization expense increased by $10,406 or 7.1% principally due to continued capital expenditures to expand and improve our utility facilities and our acquisitions of new utility systems.</w:t>
      </w:r>
    </w:p>
    <w:p>
      <w:pPr>
        <w:spacing w:after="0" w:line="185"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Taxes other than income taxes increased by $2,566 or 6.1% largely due to an increase in sales and use taxes and regulatory fees in our Regulated Natural Gas segment and pumping fees in our Aqua Texas subsidiary, offset by the decrease in property taxes during the period as compared with prior period.</w:t>
      </w:r>
    </w:p>
    <w:p>
      <w:pPr>
        <w:spacing w:after="0" w:line="188" w:lineRule="exact"/>
        <w:rPr>
          <w:sz w:val="20"/>
          <w:szCs w:val="20"/>
          <w:color w:val="auto"/>
        </w:rPr>
      </w:pPr>
    </w:p>
    <w:p>
      <w:pPr>
        <w:ind w:right="500"/>
        <w:spacing w:after="0" w:line="239" w:lineRule="auto"/>
        <w:rPr>
          <w:sz w:val="20"/>
          <w:szCs w:val="20"/>
          <w:color w:val="auto"/>
        </w:rPr>
      </w:pPr>
      <w:r>
        <w:rPr>
          <w:rFonts w:ascii="Arial" w:cs="Arial" w:eastAsia="Arial" w:hAnsi="Arial"/>
          <w:sz w:val="22"/>
          <w:szCs w:val="22"/>
          <w:color w:val="auto"/>
        </w:rPr>
        <w:t>Interest expense, net of interest income, increased by $5,344 or 5.2% for the quarter primarily due to the increase in average borrowings.</w:t>
      </w:r>
    </w:p>
    <w:p>
      <w:pPr>
        <w:spacing w:after="0" w:line="185" w:lineRule="exact"/>
        <w:rPr>
          <w:sz w:val="20"/>
          <w:szCs w:val="20"/>
          <w:color w:val="auto"/>
        </w:rPr>
      </w:pPr>
    </w:p>
    <w:p>
      <w:pPr>
        <w:ind w:right="360"/>
        <w:spacing w:after="0" w:line="239" w:lineRule="auto"/>
        <w:rPr>
          <w:sz w:val="20"/>
          <w:szCs w:val="20"/>
          <w:color w:val="auto"/>
        </w:rPr>
      </w:pPr>
      <w:r>
        <w:rPr>
          <w:rFonts w:ascii="Arial" w:cs="Arial" w:eastAsia="Arial" w:hAnsi="Arial"/>
          <w:sz w:val="22"/>
          <w:szCs w:val="22"/>
          <w:color w:val="auto"/>
        </w:rPr>
        <w:t>Allowance for funds used during construction (“AFUDC”) increased by $4,150 or by 52.9% due to an increase in the average balance of utility plant construction work in progress, to which AFUDC is applied.</w:t>
      </w:r>
    </w:p>
    <w:p>
      <w:pPr>
        <w:spacing w:after="0" w:line="185" w:lineRule="exact"/>
        <w:rPr>
          <w:sz w:val="20"/>
          <w:szCs w:val="20"/>
          <w:color w:val="auto"/>
        </w:rPr>
      </w:pPr>
    </w:p>
    <w:p>
      <w:pPr>
        <w:ind w:right="40"/>
        <w:spacing w:after="0" w:line="231" w:lineRule="auto"/>
        <w:rPr>
          <w:sz w:val="20"/>
          <w:szCs w:val="20"/>
          <w:color w:val="auto"/>
        </w:rPr>
      </w:pPr>
      <w:r>
        <w:rPr>
          <w:rFonts w:ascii="Arial" w:cs="Arial" w:eastAsia="Arial" w:hAnsi="Arial"/>
          <w:sz w:val="22"/>
          <w:szCs w:val="22"/>
          <w:color w:val="auto"/>
        </w:rPr>
        <w:t>Other income, inclusive of gain on sale of assets, decreased by $3,112 or by 54.5% compared to the same period in the prior year. The first quarter of 2021 included a recovery of a previously incurred cost of $1,917 that resulted in a recognition of a regulatory asset in the prior period. Additionally, during the first half of 2022, there were lower credits recognized from postretirement benefits as compared with the same period in the prior year.</w:t>
      </w:r>
    </w:p>
    <w:p>
      <w:pPr>
        <w:spacing w:after="0" w:line="187" w:lineRule="exact"/>
        <w:rPr>
          <w:sz w:val="20"/>
          <w:szCs w:val="20"/>
          <w:color w:val="auto"/>
        </w:rPr>
      </w:pPr>
    </w:p>
    <w:p>
      <w:pPr>
        <w:ind w:right="60"/>
        <w:spacing w:after="0" w:line="228" w:lineRule="auto"/>
        <w:rPr>
          <w:sz w:val="20"/>
          <w:szCs w:val="20"/>
          <w:color w:val="auto"/>
        </w:rPr>
      </w:pPr>
      <w:r>
        <w:rPr>
          <w:rFonts w:ascii="Arial" w:cs="Arial" w:eastAsia="Arial" w:hAnsi="Arial"/>
          <w:sz w:val="22"/>
          <w:szCs w:val="22"/>
          <w:color w:val="auto"/>
        </w:rPr>
        <w:t>Our effective income tax rate was (3.4)% in the first six months of 2022 and 3.1% in the first six months of 2021. The decrease in the effective tax rate for the first half of the year is primarily attributed to an increase in our income tax benefit associated with the tax deduction for qualifying infrastructure and the amortization of the customer surcredit tax repair catch-up adjustment during the first six months of 2022 in our Regulated Natural Gas segment.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Segment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Regulated Water Segment</w:t>
      </w:r>
    </w:p>
    <w:p>
      <w:pPr>
        <w:spacing w:after="0" w:line="206" w:lineRule="exact"/>
        <w:rPr>
          <w:sz w:val="20"/>
          <w:szCs w:val="20"/>
          <w:color w:val="auto"/>
        </w:rPr>
      </w:pPr>
    </w:p>
    <w:p>
      <w:pPr>
        <w:ind w:right="180"/>
        <w:spacing w:after="0" w:line="231" w:lineRule="auto"/>
        <w:rPr>
          <w:sz w:val="20"/>
          <w:szCs w:val="20"/>
          <w:color w:val="auto"/>
        </w:rPr>
      </w:pPr>
      <w:r>
        <w:rPr>
          <w:rFonts w:ascii="Arial" w:cs="Arial" w:eastAsia="Arial" w:hAnsi="Arial"/>
          <w:sz w:val="22"/>
          <w:szCs w:val="22"/>
          <w:color w:val="auto"/>
        </w:rPr>
        <w:t>Our Regulated Water segment is comprised of eight operating segments representing its water and wastewater regulated utility companies which are organized by the states where the Company provides water and wastewater services. The Regulated Water segment is aggregated into one reportable segment.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tables present selected operating results and statistics for our Regulated Water segment: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Three Months Ended June 30,</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183"/>
        </w:trPr>
        <w:tc>
          <w:tcPr>
            <w:tcW w:w="45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70"/>
              <w:spacing w:after="0" w:line="182" w:lineRule="exact"/>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0"/>
              <w:spacing w:after="0" w:line="182" w:lineRule="exact"/>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80"/>
              <w:spacing w:after="0" w:line="182" w:lineRule="exact"/>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83"/>
        </w:trPr>
        <w:tc>
          <w:tcPr>
            <w:tcW w:w="45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Operating revenues</w:t>
            </w: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269,355</w:t>
            </w:r>
          </w:p>
        </w:tc>
        <w:tc>
          <w:tcPr>
            <w:tcW w:w="3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248,177</w:t>
            </w:r>
          </w:p>
        </w:tc>
        <w:tc>
          <w:tcPr>
            <w:tcW w:w="3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508,553</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476,530</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Operations and maintenance expense</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tcBorders>
              <w:bottom w:val="single" w:sz="8" w:color="CCEEFF"/>
            </w:tcBorders>
            <w:vMerge w:val="continue"/>
          </w:tcPr>
          <w:p>
            <w:pPr>
              <w:spacing w:after="0"/>
              <w:rPr>
                <w:sz w:val="18"/>
                <w:szCs w:val="18"/>
                <w:color w:val="auto"/>
              </w:rPr>
            </w:pPr>
          </w:p>
        </w:tc>
        <w:tc>
          <w:tcPr>
            <w:tcW w:w="380" w:type="dxa"/>
            <w:vAlign w:val="bottom"/>
            <w:tcBorders>
              <w:bottom w:val="single" w:sz="8" w:color="auto"/>
            </w:tcBorders>
          </w:tcPr>
          <w:p>
            <w:pPr>
              <w:jc w:val="right"/>
              <w:ind w:right="227"/>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92,815</w:t>
            </w:r>
          </w:p>
        </w:tc>
        <w:tc>
          <w:tcPr>
            <w:tcW w:w="300" w:type="dxa"/>
            <w:vAlign w:val="bottom"/>
            <w:tcBorders>
              <w:bottom w:val="single" w:sz="8" w:color="CCEEFF"/>
            </w:tcBorders>
            <w:vMerge w:val="continue"/>
          </w:tcPr>
          <w:p>
            <w:pPr>
              <w:spacing w:after="0"/>
              <w:rPr>
                <w:sz w:val="18"/>
                <w:szCs w:val="18"/>
                <w:color w:val="auto"/>
              </w:rPr>
            </w:pPr>
          </w:p>
        </w:tc>
        <w:tc>
          <w:tcPr>
            <w:tcW w:w="440" w:type="dxa"/>
            <w:vAlign w:val="bottom"/>
            <w:tcBorders>
              <w:bottom w:val="single" w:sz="8" w:color="auto"/>
            </w:tcBorders>
          </w:tcPr>
          <w:p>
            <w:pPr>
              <w:jc w:val="right"/>
              <w:ind w:right="250"/>
              <w:spacing w:after="0" w:line="170"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77,801</w:t>
            </w:r>
          </w:p>
        </w:tc>
        <w:tc>
          <w:tcPr>
            <w:tcW w:w="3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jc w:val="right"/>
              <w:ind w:right="90"/>
              <w:spacing w:after="0" w:line="170"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178,903</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line="170"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156,148</w:t>
            </w:r>
          </w:p>
        </w:tc>
        <w:tc>
          <w:tcPr>
            <w:tcW w:w="0" w:type="dxa"/>
            <w:vAlign w:val="bottom"/>
          </w:tcPr>
          <w:p>
            <w:pPr>
              <w:spacing w:after="0"/>
              <w:rPr>
                <w:sz w:val="1"/>
                <w:szCs w:val="1"/>
                <w:color w:val="auto"/>
              </w:rPr>
            </w:pPr>
          </w:p>
        </w:tc>
      </w:tr>
      <w:tr>
        <w:trPr>
          <w:trHeight w:val="169"/>
        </w:trPr>
        <w:tc>
          <w:tcPr>
            <w:tcW w:w="45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CEEFF"/>
          </w:tcPr>
          <w:p>
            <w:pPr>
              <w:jc w:val="right"/>
              <w:ind w:right="227"/>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76,342</w:t>
            </w:r>
          </w:p>
        </w:tc>
        <w:tc>
          <w:tcPr>
            <w:tcW w:w="3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50"/>
              <w:spacing w:after="0" w:line="170"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78,849</w:t>
            </w:r>
          </w:p>
        </w:tc>
        <w:tc>
          <w:tcPr>
            <w:tcW w:w="3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90"/>
              <w:spacing w:after="0" w:line="170"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136,885</w:t>
            </w:r>
          </w:p>
        </w:tc>
        <w:tc>
          <w:tcPr>
            <w:tcW w:w="2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10"/>
              <w:spacing w:after="0" w:line="170"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142,879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Operating Statistics</w:t>
            </w: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540" w:type="dxa"/>
            <w:vAlign w:val="bottom"/>
          </w:tcPr>
          <w:p>
            <w:pPr>
              <w:spacing w:after="0" w:line="161" w:lineRule="exact"/>
              <w:rPr>
                <w:sz w:val="20"/>
                <w:szCs w:val="20"/>
                <w:color w:val="auto"/>
              </w:rPr>
            </w:pPr>
            <w:r>
              <w:rPr>
                <w:rFonts w:ascii="Arial" w:cs="Arial" w:eastAsia="Arial" w:hAnsi="Arial"/>
                <w:sz w:val="18"/>
                <w:szCs w:val="18"/>
                <w:color w:val="auto"/>
              </w:rPr>
              <w:t>Selected operating results as a percentage of operating</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540" w:type="dxa"/>
            <w:vAlign w:val="bottom"/>
          </w:tcPr>
          <w:p>
            <w:pPr>
              <w:spacing w:after="0"/>
              <w:rPr>
                <w:sz w:val="20"/>
                <w:szCs w:val="20"/>
                <w:color w:val="auto"/>
              </w:rPr>
            </w:pPr>
            <w:r>
              <w:rPr>
                <w:rFonts w:ascii="Arial" w:cs="Arial" w:eastAsia="Arial" w:hAnsi="Arial"/>
                <w:sz w:val="18"/>
                <w:szCs w:val="18"/>
                <w:color w:val="auto"/>
              </w:rPr>
              <w:t>revenues:</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Operations and maintenance</w:t>
            </w: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34.5%</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31.3%</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35.2%</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32.8%</w:t>
            </w:r>
          </w:p>
        </w:tc>
        <w:tc>
          <w:tcPr>
            <w:tcW w:w="0" w:type="dxa"/>
            <w:vAlign w:val="bottom"/>
          </w:tcPr>
          <w:p>
            <w:pPr>
              <w:spacing w:after="0"/>
              <w:rPr>
                <w:sz w:val="1"/>
                <w:szCs w:val="1"/>
                <w:color w:val="auto"/>
              </w:rPr>
            </w:pPr>
          </w:p>
        </w:tc>
      </w:tr>
      <w:tr>
        <w:trPr>
          <w:trHeight w:val="189"/>
        </w:trPr>
        <w:tc>
          <w:tcPr>
            <w:tcW w:w="4540" w:type="dxa"/>
            <w:vAlign w:val="bottom"/>
          </w:tcPr>
          <w:p>
            <w:pPr>
              <w:ind w:left="100"/>
              <w:spacing w:after="0" w:line="189" w:lineRule="exact"/>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18.7%</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18.4%</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Arial" w:cs="Arial" w:eastAsia="Arial" w:hAnsi="Arial"/>
                <w:sz w:val="18"/>
                <w:szCs w:val="18"/>
                <w:color w:val="auto"/>
                <w:w w:val="90"/>
              </w:rPr>
              <w:t>19.5%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Arial" w:cs="Arial" w:eastAsia="Arial" w:hAnsi="Arial"/>
                <w:sz w:val="18"/>
                <w:szCs w:val="18"/>
                <w:color w:val="auto"/>
                <w:w w:val="90"/>
              </w:rPr>
              <w:t>19.0%</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Taxes other than income taxes</w:t>
            </w: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6.2%</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6.6%</w:t>
            </w:r>
          </w:p>
        </w:tc>
        <w:tc>
          <w:tcPr>
            <w:tcW w:w="0" w:type="dxa"/>
            <w:vAlign w:val="bottom"/>
          </w:tcPr>
          <w:p>
            <w:pPr>
              <w:spacing w:after="0"/>
              <w:rPr>
                <w:sz w:val="1"/>
                <w:szCs w:val="1"/>
                <w:color w:val="auto"/>
              </w:rPr>
            </w:pPr>
          </w:p>
        </w:tc>
      </w:tr>
      <w:tr>
        <w:trPr>
          <w:trHeight w:val="189"/>
        </w:trPr>
        <w:tc>
          <w:tcPr>
            <w:tcW w:w="4540" w:type="dxa"/>
            <w:vAlign w:val="bottom"/>
          </w:tcPr>
          <w:p>
            <w:pPr>
              <w:ind w:left="100"/>
              <w:spacing w:after="0" w:line="189" w:lineRule="exact"/>
              <w:rPr>
                <w:sz w:val="20"/>
                <w:szCs w:val="20"/>
                <w:color w:val="auto"/>
              </w:rPr>
            </w:pPr>
            <w:r>
              <w:rPr>
                <w:rFonts w:ascii="Arial" w:cs="Arial" w:eastAsia="Arial" w:hAnsi="Arial"/>
                <w:sz w:val="18"/>
                <w:szCs w:val="18"/>
                <w:color w:val="auto"/>
              </w:rPr>
              <w:t>Interest expense, net of interest income</w:t>
            </w:r>
          </w:p>
        </w:tc>
        <w:tc>
          <w:tcPr>
            <w:tcW w:w="38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10.2%</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10.9%</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Arial" w:cs="Arial" w:eastAsia="Arial" w:hAnsi="Arial"/>
                <w:sz w:val="18"/>
                <w:szCs w:val="18"/>
                <w:color w:val="auto"/>
                <w:w w:val="90"/>
              </w:rPr>
              <w:t>10.8%</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Arial" w:cs="Arial" w:eastAsia="Arial" w:hAnsi="Arial"/>
                <w:sz w:val="18"/>
                <w:szCs w:val="18"/>
                <w:color w:val="auto"/>
                <w:w w:val="90"/>
              </w:rPr>
              <w:t>11.2%</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28.3%</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31.8%</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26.9%</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30.0%</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Effective tax rate</w:t>
            </w: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10.4%</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13.5%</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8.2%</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Three months ended June 30, 2022 compared with three months ended June 30, 2021</w:t>
      </w:r>
    </w:p>
    <w:p>
      <w:pPr>
        <w:spacing w:after="0" w:line="206" w:lineRule="exact"/>
        <w:rPr>
          <w:sz w:val="20"/>
          <w:szCs w:val="20"/>
          <w:color w:val="auto"/>
        </w:rPr>
      </w:pPr>
    </w:p>
    <w:p>
      <w:pPr>
        <w:ind w:right="340"/>
        <w:spacing w:after="0" w:line="239" w:lineRule="auto"/>
        <w:rPr>
          <w:sz w:val="20"/>
          <w:szCs w:val="20"/>
          <w:color w:val="auto"/>
        </w:rPr>
      </w:pPr>
      <w:r>
        <w:rPr>
          <w:rFonts w:ascii="Arial" w:cs="Arial" w:eastAsia="Arial" w:hAnsi="Arial"/>
          <w:sz w:val="22"/>
          <w:szCs w:val="22"/>
          <w:color w:val="auto"/>
        </w:rPr>
        <w:t>Revenues from our Regulated Water segment increased by $21,178 or 8.5% for the second quarter of 2022 as compared to the same period in 2021, mainly due to the following:</w:t>
      </w:r>
    </w:p>
    <w:p>
      <w:pPr>
        <w:spacing w:after="0" w:line="185" w:lineRule="exact"/>
        <w:rPr>
          <w:sz w:val="20"/>
          <w:szCs w:val="20"/>
          <w:color w:val="auto"/>
        </w:rPr>
      </w:pPr>
    </w:p>
    <w:p>
      <w:pPr>
        <w:ind w:left="660" w:right="1580"/>
        <w:spacing w:after="0" w:line="226" w:lineRule="auto"/>
        <w:rPr>
          <w:sz w:val="20"/>
          <w:szCs w:val="20"/>
          <w:color w:val="auto"/>
        </w:rPr>
      </w:pPr>
      <w:r>
        <w:rPr>
          <w:rFonts w:ascii="Arial" w:cs="Arial" w:eastAsia="Arial" w:hAnsi="Arial"/>
          <w:sz w:val="22"/>
          <w:szCs w:val="22"/>
          <w:color w:val="auto"/>
        </w:rPr>
        <w:t>an increase in water and wastewater rates, including infrastructure rehabilitation surcharges, of $10,044; increase in volume consumption of $3,943,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-159385</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-13970</wp:posOffset>
            </wp:positionV>
            <wp:extent cx="85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ind w:left="660" w:right="120"/>
        <w:spacing w:after="0" w:line="230" w:lineRule="auto"/>
        <w:rPr>
          <w:sz w:val="20"/>
          <w:szCs w:val="20"/>
          <w:color w:val="auto"/>
        </w:rPr>
      </w:pPr>
      <w:r>
        <w:rPr>
          <w:rFonts w:ascii="Arial" w:cs="Arial" w:eastAsia="Arial" w:hAnsi="Arial"/>
          <w:sz w:val="22"/>
          <w:szCs w:val="22"/>
          <w:color w:val="auto"/>
        </w:rPr>
        <w:t>additional water and wastewater revenues of $6,215 associated with a larger customer base due to utility acquisitions and organic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-176530</wp:posOffset>
            </wp:positionV>
            <wp:extent cx="85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6" w:lineRule="exact"/>
        <w:rPr>
          <w:sz w:val="20"/>
          <w:szCs w:val="20"/>
          <w:color w:val="auto"/>
        </w:rPr>
      </w:pPr>
    </w:p>
    <w:p>
      <w:pPr>
        <w:ind w:right="40"/>
        <w:spacing w:after="0" w:line="239" w:lineRule="auto"/>
        <w:rPr>
          <w:sz w:val="20"/>
          <w:szCs w:val="20"/>
          <w:color w:val="auto"/>
        </w:rPr>
      </w:pPr>
      <w:r>
        <w:rPr>
          <w:rFonts w:ascii="Arial" w:cs="Arial" w:eastAsia="Arial" w:hAnsi="Arial"/>
          <w:sz w:val="22"/>
          <w:szCs w:val="22"/>
          <w:color w:val="auto"/>
        </w:rPr>
        <w:t>Operations and maintenance expense for the three months ended June 30, 2022 increased by $15,014 or 19.3% was primarily due to the following:</w:t>
      </w:r>
    </w:p>
    <w:p>
      <w:pPr>
        <w:spacing w:after="0" w:line="185" w:lineRule="exact"/>
        <w:rPr>
          <w:sz w:val="20"/>
          <w:szCs w:val="20"/>
          <w:color w:val="auto"/>
        </w:rPr>
      </w:pPr>
    </w:p>
    <w:p>
      <w:pPr>
        <w:ind w:left="660" w:right="560"/>
        <w:spacing w:after="0" w:line="226" w:lineRule="auto"/>
        <w:rPr>
          <w:sz w:val="20"/>
          <w:szCs w:val="20"/>
          <w:color w:val="auto"/>
        </w:rPr>
      </w:pPr>
      <w:r>
        <w:rPr>
          <w:rFonts w:ascii="Arial" w:cs="Arial" w:eastAsia="Arial" w:hAnsi="Arial"/>
          <w:sz w:val="22"/>
          <w:szCs w:val="22"/>
          <w:color w:val="auto"/>
        </w:rPr>
        <w:t>additional operating costs resulting from acquired water and wastewater utility systems and higher customer base of $2,239;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-159385</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5520" w:right="4060" w:hanging="4859"/>
        <w:spacing w:after="0" w:line="230" w:lineRule="auto"/>
        <w:rPr>
          <w:sz w:val="20"/>
          <w:szCs w:val="20"/>
          <w:color w:val="auto"/>
        </w:rPr>
      </w:pPr>
      <w:r>
        <w:rPr>
          <w:rFonts w:ascii="Arial" w:cs="Arial" w:eastAsia="Arial" w:hAnsi="Arial"/>
          <w:sz w:val="22"/>
          <w:szCs w:val="22"/>
          <w:color w:val="auto"/>
        </w:rPr>
        <w:t>increase in production costs for water and wastewater operations of $1,475;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-176530</wp:posOffset>
            </wp:positionV>
            <wp:extent cx="857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ind w:left="660" w:right="180"/>
        <w:spacing w:after="0" w:line="223" w:lineRule="auto"/>
        <w:rPr>
          <w:sz w:val="20"/>
          <w:szCs w:val="20"/>
          <w:color w:val="auto"/>
        </w:rPr>
      </w:pPr>
      <w:r>
        <w:rPr>
          <w:rFonts w:ascii="Arial" w:cs="Arial" w:eastAsia="Arial" w:hAnsi="Arial"/>
          <w:sz w:val="22"/>
          <w:szCs w:val="22"/>
          <w:color w:val="auto"/>
        </w:rPr>
        <w:t>expenses of $164, associated with remediating an advisory for some of our water utility customers served by our Illinois subsidiary. We expect the expenses associated with remediating the advisory to continue through 2022; increase in legal expense of $1,266;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-304800</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2"/>
          <w:szCs w:val="22"/>
          <w:color w:val="auto"/>
        </w:rPr>
        <w:t>increase in outside services and maintenance expenses of $7,962 in our Regulated Water segment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Depreciation and amortization increased by $4,714 or 10.3% primarily due to continued capital spend.</w:t>
      </w:r>
    </w:p>
    <w:p>
      <w:pPr>
        <w:spacing w:after="0" w:line="206" w:lineRule="exact"/>
        <w:rPr>
          <w:sz w:val="20"/>
          <w:szCs w:val="20"/>
          <w:color w:val="auto"/>
        </w:rPr>
      </w:pPr>
    </w:p>
    <w:p>
      <w:pPr>
        <w:ind w:right="140"/>
        <w:spacing w:after="0" w:line="239" w:lineRule="auto"/>
        <w:rPr>
          <w:sz w:val="20"/>
          <w:szCs w:val="20"/>
          <w:color w:val="auto"/>
        </w:rPr>
      </w:pPr>
      <w:r>
        <w:rPr>
          <w:rFonts w:ascii="Arial" w:cs="Arial" w:eastAsia="Arial" w:hAnsi="Arial"/>
          <w:sz w:val="22"/>
          <w:szCs w:val="22"/>
          <w:color w:val="auto"/>
        </w:rPr>
        <w:t>AFUDC increased by $909 or by 20.5% due to the increase in the average balance of utility plant construction work in progress, to which AFUDC is applied.</w:t>
      </w:r>
    </w:p>
    <w:p>
      <w:pPr>
        <w:spacing w:after="0" w:line="185"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Our effective income tax rate for our Regulated Water Segment was 15.4% in the second quarter of 2022 and 10.4% in the second quarter of 2021. The increase in the effective tax rate is primarily the result of lower income tax benefit associated with the tax deduction for qualifying infrastructure in the second quarter of 2022 as compared to 2021.</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Six months ended June 30, 2022 compared with six months ended June 30, 2021</w:t>
      </w:r>
    </w:p>
    <w:p>
      <w:pPr>
        <w:spacing w:after="0" w:line="206" w:lineRule="exact"/>
        <w:rPr>
          <w:sz w:val="20"/>
          <w:szCs w:val="20"/>
          <w:color w:val="auto"/>
        </w:rPr>
      </w:pPr>
    </w:p>
    <w:p>
      <w:pPr>
        <w:ind w:right="40"/>
        <w:spacing w:after="0" w:line="239" w:lineRule="auto"/>
        <w:rPr>
          <w:sz w:val="20"/>
          <w:szCs w:val="20"/>
          <w:color w:val="auto"/>
        </w:rPr>
      </w:pPr>
      <w:r>
        <w:rPr>
          <w:rFonts w:ascii="Arial" w:cs="Arial" w:eastAsia="Arial" w:hAnsi="Arial"/>
          <w:sz w:val="22"/>
          <w:szCs w:val="22"/>
          <w:color w:val="auto"/>
        </w:rPr>
        <w:t>Revenues increased by $32,023 or 6.7%% for the first six months of 2022 as compared to the same period in 2021, mainly due to the following:</w:t>
      </w:r>
    </w:p>
    <w:p>
      <w:pPr>
        <w:spacing w:after="0" w:line="185" w:lineRule="exact"/>
        <w:rPr>
          <w:sz w:val="20"/>
          <w:szCs w:val="20"/>
          <w:color w:val="auto"/>
        </w:rPr>
      </w:pPr>
    </w:p>
    <w:p>
      <w:pPr>
        <w:ind w:left="660" w:right="1580"/>
        <w:spacing w:after="0" w:line="226" w:lineRule="auto"/>
        <w:rPr>
          <w:sz w:val="20"/>
          <w:szCs w:val="20"/>
          <w:color w:val="auto"/>
        </w:rPr>
      </w:pPr>
      <w:r>
        <w:rPr>
          <w:rFonts w:ascii="Arial" w:cs="Arial" w:eastAsia="Arial" w:hAnsi="Arial"/>
          <w:sz w:val="22"/>
          <w:szCs w:val="22"/>
          <w:color w:val="auto"/>
        </w:rPr>
        <w:t>an increase in water and wastewater rates, including infrastructure rehabilitation surcharges, of $15,904; increase in volume consumption of $4,226,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-159385</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-13970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60"/>
        <w:spacing w:after="0" w:line="230" w:lineRule="auto"/>
        <w:rPr>
          <w:sz w:val="20"/>
          <w:szCs w:val="20"/>
          <w:color w:val="auto"/>
        </w:rPr>
      </w:pPr>
      <w:r>
        <w:rPr>
          <w:rFonts w:ascii="Arial" w:cs="Arial" w:eastAsia="Arial" w:hAnsi="Arial"/>
          <w:sz w:val="22"/>
          <w:szCs w:val="22"/>
          <w:color w:val="auto"/>
        </w:rPr>
        <w:t>additional water and wastewater revenues of $10,557 associated with a larger customer base due to utility acquisitions and organic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-176530</wp:posOffset>
            </wp:positionV>
            <wp:extent cx="85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6" w:lineRule="exact"/>
        <w:rPr>
          <w:sz w:val="20"/>
          <w:szCs w:val="20"/>
          <w:color w:val="auto"/>
        </w:rPr>
      </w:pPr>
    </w:p>
    <w:p>
      <w:pPr>
        <w:ind w:right="220"/>
        <w:spacing w:after="0" w:line="239" w:lineRule="auto"/>
        <w:rPr>
          <w:sz w:val="20"/>
          <w:szCs w:val="20"/>
          <w:color w:val="auto"/>
        </w:rPr>
      </w:pPr>
      <w:r>
        <w:rPr>
          <w:rFonts w:ascii="Arial" w:cs="Arial" w:eastAsia="Arial" w:hAnsi="Arial"/>
          <w:sz w:val="22"/>
          <w:szCs w:val="22"/>
          <w:color w:val="auto"/>
        </w:rPr>
        <w:t>Operations and maintenance expense for the six months ended June 30, 2022 increased by $22,755 or 14.6% was primarily due to the following:</w:t>
      </w:r>
    </w:p>
    <w:p>
      <w:pPr>
        <w:spacing w:after="0" w:line="185" w:lineRule="exact"/>
        <w:rPr>
          <w:sz w:val="20"/>
          <w:szCs w:val="20"/>
          <w:color w:val="auto"/>
        </w:rPr>
      </w:pPr>
    </w:p>
    <w:p>
      <w:pPr>
        <w:ind w:left="660" w:right="560"/>
        <w:spacing w:after="0" w:line="226" w:lineRule="auto"/>
        <w:rPr>
          <w:sz w:val="20"/>
          <w:szCs w:val="20"/>
          <w:color w:val="auto"/>
        </w:rPr>
      </w:pPr>
      <w:r>
        <w:rPr>
          <w:rFonts w:ascii="Arial" w:cs="Arial" w:eastAsia="Arial" w:hAnsi="Arial"/>
          <w:sz w:val="22"/>
          <w:szCs w:val="22"/>
          <w:color w:val="auto"/>
        </w:rPr>
        <w:t>additional operating costs resulting from acquired water and wastewater utility systems and higher customer base of $3,582;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-159385</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60"/>
        <w:spacing w:after="0" w:line="218" w:lineRule="auto"/>
        <w:rPr>
          <w:sz w:val="20"/>
          <w:szCs w:val="20"/>
          <w:color w:val="auto"/>
        </w:rPr>
      </w:pPr>
      <w:r>
        <w:rPr>
          <w:rFonts w:ascii="Arial" w:cs="Arial" w:eastAsia="Arial" w:hAnsi="Arial"/>
          <w:sz w:val="22"/>
          <w:szCs w:val="22"/>
          <w:color w:val="auto"/>
        </w:rPr>
        <w:t>increase in employee related costs of $3,781;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-13970</wp:posOffset>
            </wp:positionV>
            <wp:extent cx="857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ind w:left="660"/>
        <w:spacing w:after="0" w:line="218" w:lineRule="auto"/>
        <w:rPr>
          <w:sz w:val="20"/>
          <w:szCs w:val="20"/>
          <w:color w:val="auto"/>
        </w:rPr>
      </w:pPr>
      <w:r>
        <w:rPr>
          <w:rFonts w:ascii="Arial" w:cs="Arial" w:eastAsia="Arial" w:hAnsi="Arial"/>
          <w:sz w:val="22"/>
          <w:szCs w:val="22"/>
          <w:color w:val="auto"/>
        </w:rPr>
        <w:t>increase in production costs for water and wastewater operations of $3,001;</w:t>
      </w:r>
    </w:p>
    <w:p>
      <w:pPr>
        <w:ind w:left="660" w:right="180"/>
        <w:spacing w:after="0" w:line="252" w:lineRule="auto"/>
        <w:rPr>
          <w:sz w:val="20"/>
          <w:szCs w:val="20"/>
          <w:color w:val="auto"/>
        </w:rPr>
      </w:pPr>
      <w:r>
        <w:rPr>
          <w:rFonts w:ascii="Arial" w:cs="Arial" w:eastAsia="Arial" w:hAnsi="Arial"/>
          <w:sz w:val="19"/>
          <w:szCs w:val="19"/>
          <w:color w:val="auto"/>
        </w:rPr>
        <w:t>expenses of $376, associated with remediating an advisory for some of our water utility customers served by our Illinois subsidiary. We expect the expenses associated with remediating the advisory to continue through 2022;</w:t>
      </w: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3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increase in legal expenses of $1,073;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60" w:right="540"/>
        <w:spacing w:after="0" w:line="230" w:lineRule="auto"/>
        <w:rPr>
          <w:sz w:val="20"/>
          <w:szCs w:val="20"/>
          <w:color w:val="auto"/>
        </w:rPr>
      </w:pPr>
      <w:r>
        <w:rPr>
          <w:rFonts w:ascii="Arial" w:cs="Arial" w:eastAsia="Arial" w:hAnsi="Arial"/>
          <w:sz w:val="22"/>
          <w:szCs w:val="22"/>
          <w:color w:val="auto"/>
        </w:rPr>
        <w:t>increase in outside services and maintenance expenses of $7,962 in our Regulated Water segment during the second quarter of 2022 as compared with the prior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-176530</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6" w:lineRule="exact"/>
        <w:rPr>
          <w:sz w:val="20"/>
          <w:szCs w:val="20"/>
          <w:color w:val="auto"/>
        </w:rPr>
      </w:pPr>
    </w:p>
    <w:p>
      <w:pPr>
        <w:ind w:right="280"/>
        <w:spacing w:after="0" w:line="239" w:lineRule="auto"/>
        <w:rPr>
          <w:sz w:val="20"/>
          <w:szCs w:val="20"/>
          <w:color w:val="auto"/>
        </w:rPr>
      </w:pPr>
      <w:r>
        <w:rPr>
          <w:rFonts w:ascii="Arial" w:cs="Arial" w:eastAsia="Arial" w:hAnsi="Arial"/>
          <w:sz w:val="22"/>
          <w:szCs w:val="22"/>
          <w:color w:val="auto"/>
        </w:rPr>
        <w:t>Depreciation and amortization increased by $8,292 or 9.1% primarily due to continued capital spend, offset by a change in the amortization of a regulated liability in 2022.</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Interest expense, net, increased by $1,576 or 2.9% for the quarter primarily due to an increase in average borrowings.</w:t>
      </w:r>
    </w:p>
    <w:p>
      <w:pPr>
        <w:spacing w:after="0" w:line="218"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AFUDC increased by $2,811 or 36.6% due to the increase in the average balance of utility plant construction work in progress, to which AFUDC is applied.</w:t>
      </w:r>
    </w:p>
    <w:p>
      <w:pPr>
        <w:spacing w:after="0" w:line="185" w:lineRule="exact"/>
        <w:rPr>
          <w:sz w:val="20"/>
          <w:szCs w:val="20"/>
          <w:color w:val="auto"/>
        </w:rPr>
      </w:pPr>
    </w:p>
    <w:p>
      <w:pPr>
        <w:jc w:val="both"/>
        <w:ind w:right="180"/>
        <w:spacing w:after="0" w:line="244" w:lineRule="auto"/>
        <w:rPr>
          <w:sz w:val="20"/>
          <w:szCs w:val="20"/>
          <w:color w:val="auto"/>
        </w:rPr>
      </w:pPr>
      <w:r>
        <w:rPr>
          <w:rFonts w:ascii="Arial" w:cs="Arial" w:eastAsia="Arial" w:hAnsi="Arial"/>
          <w:sz w:val="21"/>
          <w:szCs w:val="21"/>
          <w:color w:val="auto"/>
        </w:rPr>
        <w:t>Our effective income tax rate for our Regulated Water Segment was 13.5% in the first six months of 2022 and 8.2% in the first six months of 2021. The increase in the effective tax rate is primarily the result of lower income tax benefit associated with the tax deduction for qualifying infrastructure in the first six months of 2022 as compared to 2021.</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Regulated Natural Gas Segment</w:t>
      </w:r>
    </w:p>
    <w:p>
      <w:pPr>
        <w:spacing w:after="0" w:line="206" w:lineRule="exact"/>
        <w:rPr>
          <w:sz w:val="20"/>
          <w:szCs w:val="20"/>
          <w:color w:val="auto"/>
        </w:rPr>
      </w:pPr>
    </w:p>
    <w:p>
      <w:pPr>
        <w:ind w:right="20"/>
        <w:spacing w:after="0" w:line="228" w:lineRule="auto"/>
        <w:rPr>
          <w:sz w:val="20"/>
          <w:szCs w:val="20"/>
          <w:color w:val="auto"/>
        </w:rPr>
      </w:pPr>
      <w:r>
        <w:rPr>
          <w:rFonts w:ascii="Arial" w:cs="Arial" w:eastAsia="Arial" w:hAnsi="Arial"/>
          <w:sz w:val="22"/>
          <w:szCs w:val="22"/>
          <w:color w:val="auto"/>
        </w:rPr>
        <w:t>Our Regulated Natural Gas segment recognizes revenues by selling gas directly to customers at approved rates or by transporting gas through our pipelines at approved rates to customers that have purchased gas directly from other producers, brokers, or marketers. Natural gas sales to residential, commercial and industrial customers are seasonal, which results in higher demand for natural gas for heating purposes during the colder months.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0" w:name="page41"/>
    <w:bookmarkEnd w:id="4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tables present selected operating results and statistics for our Regulated Natural Gas segment: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ind w:left="160"/>
              <w:spacing w:after="0"/>
              <w:rPr>
                <w:sz w:val="20"/>
                <w:szCs w:val="20"/>
                <w:color w:val="auto"/>
              </w:rPr>
            </w:pPr>
            <w:r>
              <w:rPr>
                <w:rFonts w:ascii="Arial" w:cs="Arial" w:eastAsia="Arial" w:hAnsi="Arial"/>
                <w:sz w:val="18"/>
                <w:szCs w:val="18"/>
                <w:color w:val="auto"/>
              </w:rPr>
              <w:t>Three Months Ended June 30,</w:t>
            </w:r>
          </w:p>
        </w:tc>
        <w:tc>
          <w:tcPr>
            <w:tcW w:w="240" w:type="dxa"/>
            <w:vAlign w:val="bottom"/>
          </w:tcPr>
          <w:p>
            <w:pPr>
              <w:spacing w:after="0"/>
              <w:rPr>
                <w:sz w:val="18"/>
                <w:szCs w:val="18"/>
                <w:color w:val="auto"/>
              </w:rPr>
            </w:pPr>
          </w:p>
        </w:tc>
        <w:tc>
          <w:tcPr>
            <w:tcW w:w="2540" w:type="dxa"/>
            <w:vAlign w:val="bottom"/>
            <w:gridSpan w:val="5"/>
          </w:tcPr>
          <w:p>
            <w:pPr>
              <w:ind w:left="16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183"/>
        </w:trPr>
        <w:tc>
          <w:tcPr>
            <w:tcW w:w="53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2022</w:t>
            </w:r>
          </w:p>
        </w:tc>
        <w:tc>
          <w:tcPr>
            <w:tcW w:w="26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30"/>
              <w:spacing w:after="0" w:line="182" w:lineRule="exact"/>
              <w:rPr>
                <w:sz w:val="20"/>
                <w:szCs w:val="20"/>
                <w:color w:val="auto"/>
              </w:rPr>
            </w:pPr>
            <w:r>
              <w:rPr>
                <w:rFonts w:ascii="Arial" w:cs="Arial" w:eastAsia="Arial" w:hAnsi="Arial"/>
                <w:sz w:val="18"/>
                <w:szCs w:val="18"/>
                <w:color w:val="auto"/>
              </w:rPr>
              <w:t>2021</w:t>
            </w:r>
          </w:p>
        </w:tc>
        <w:tc>
          <w:tcPr>
            <w:tcW w:w="2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50"/>
              <w:spacing w:after="0" w:line="182" w:lineRule="exact"/>
              <w:rPr>
                <w:sz w:val="20"/>
                <w:szCs w:val="20"/>
                <w:color w:val="auto"/>
              </w:rPr>
            </w:pPr>
            <w:r>
              <w:rPr>
                <w:rFonts w:ascii="Arial" w:cs="Arial" w:eastAsia="Arial" w:hAnsi="Arial"/>
                <w:sz w:val="18"/>
                <w:szCs w:val="18"/>
                <w:color w:val="auto"/>
              </w:rPr>
              <w:t>2022</w:t>
            </w:r>
          </w:p>
        </w:tc>
        <w:tc>
          <w:tcPr>
            <w:tcW w:w="26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Operating revenues</w:t>
            </w: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167,729</w:t>
            </w:r>
          </w:p>
        </w:tc>
        <w:tc>
          <w:tcPr>
            <w:tcW w:w="2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141,562</w:t>
            </w:r>
          </w:p>
        </w:tc>
        <w:tc>
          <w:tcPr>
            <w:tcW w:w="2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612,912</w:t>
            </w:r>
          </w:p>
        </w:tc>
        <w:tc>
          <w:tcPr>
            <w:tcW w:w="2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484,677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Operations and maintenance expense</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44,907</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0"/>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52,334</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104,359</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67"/>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103,660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3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Purchased gas</w:t>
            </w: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63,392</w:t>
            </w:r>
          </w:p>
        </w:tc>
        <w:tc>
          <w:tcPr>
            <w:tcW w:w="2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70"/>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39,788</w:t>
            </w:r>
          </w:p>
        </w:tc>
        <w:tc>
          <w:tcPr>
            <w:tcW w:w="2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280,698</w:t>
            </w:r>
          </w:p>
        </w:tc>
        <w:tc>
          <w:tcPr>
            <w:tcW w:w="2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7"/>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162,676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11,478</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0"/>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1,905</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150,964</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67"/>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121,155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line="189" w:lineRule="exact"/>
              <w:rPr>
                <w:sz w:val="20"/>
                <w:szCs w:val="20"/>
                <w:color w:val="auto"/>
              </w:rPr>
            </w:pPr>
            <w:r>
              <w:rPr>
                <w:rFonts w:ascii="Arial" w:cs="Arial" w:eastAsia="Arial" w:hAnsi="Arial"/>
                <w:sz w:val="18"/>
                <w:szCs w:val="18"/>
                <w:color w:val="auto"/>
              </w:rPr>
              <w:t>Operating Statistics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Selected operating results as a percentage of operating revenues:</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100"/>
              <w:spacing w:after="0" w:line="189" w:lineRule="exact"/>
              <w:rPr>
                <w:sz w:val="20"/>
                <w:szCs w:val="20"/>
                <w:color w:val="auto"/>
              </w:rPr>
            </w:pPr>
            <w:r>
              <w:rPr>
                <w:rFonts w:ascii="Arial" w:cs="Arial" w:eastAsia="Arial" w:hAnsi="Arial"/>
                <w:sz w:val="18"/>
                <w:szCs w:val="18"/>
                <w:color w:val="auto"/>
              </w:rPr>
              <w:t>Operations and maintenance</w:t>
            </w:r>
          </w:p>
        </w:tc>
        <w:tc>
          <w:tcPr>
            <w:tcW w:w="2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26.8%</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37.0%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17.0%</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21.4%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Purchased gas</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37.8%</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45.8%</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100"/>
              <w:spacing w:after="0" w:line="189" w:lineRule="exact"/>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17.4%</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19.9%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9.6%</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Taxes other than income taxes</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100"/>
              <w:spacing w:after="0" w:line="189" w:lineRule="exact"/>
              <w:rPr>
                <w:sz w:val="20"/>
                <w:szCs w:val="20"/>
                <w:color w:val="auto"/>
              </w:rPr>
            </w:pPr>
            <w:r>
              <w:rPr>
                <w:rFonts w:ascii="Arial" w:cs="Arial" w:eastAsia="Arial" w:hAnsi="Arial"/>
                <w:sz w:val="18"/>
                <w:szCs w:val="18"/>
                <w:color w:val="auto"/>
              </w:rPr>
              <w:t>Interest expense, net of interest income</w:t>
            </w:r>
          </w:p>
        </w:tc>
        <w:tc>
          <w:tcPr>
            <w:tcW w:w="2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11.4%</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14.4%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6.5%</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24.6%</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Effective tax rate</w:t>
            </w:r>
          </w:p>
        </w:tc>
        <w:tc>
          <w:tcPr>
            <w:tcW w:w="2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-82.0%</w:t>
            </w: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167.2%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-26.5%</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Our Regulated Natural Gas segment is affected by the cost of natural gas, which is passed through to customers using a purchased gas adjustment clause and includes commodity price, transportation and storage costs. These costs are reflected in the consolidated statement of operations and comprehensive income as purchased gas expenses. Therefore, fluctuations in the cost of purchased gas impact operating revenues on a dollar-for-dollar basis, but do not impact gross margin. Management uses gross margin, a non-GAAP financial measure, defined as operating revenues less purchased gas expense, to analyze the financial performance of our Regulated Natural Gas segment, as management believes gross margin provides a meaningful basis for evaluating our natural gas utility operations since purchased gas expenses are included in operating revenues and passed through to customers. The following table shows the reconciliation of gross margin (non-GAAP) to operating revenues (GAAP):</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3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80" w:type="dxa"/>
            <w:vAlign w:val="bottom"/>
            <w:gridSpan w:val="5"/>
          </w:tcPr>
          <w:p>
            <w:pPr>
              <w:jc w:val="center"/>
              <w:ind w:right="1440"/>
              <w:spacing w:after="0"/>
              <w:rPr>
                <w:sz w:val="20"/>
                <w:szCs w:val="20"/>
                <w:color w:val="auto"/>
              </w:rPr>
            </w:pPr>
            <w:r>
              <w:rPr>
                <w:rFonts w:ascii="Arial" w:cs="Arial" w:eastAsia="Arial" w:hAnsi="Arial"/>
                <w:sz w:val="22"/>
                <w:szCs w:val="22"/>
                <w:color w:val="auto"/>
                <w:w w:val="88"/>
              </w:rPr>
              <w:t>Three Months Ended</w:t>
            </w:r>
          </w:p>
        </w:tc>
        <w:tc>
          <w:tcPr>
            <w:tcW w:w="340" w:type="dxa"/>
            <w:vAlign w:val="bottom"/>
          </w:tcPr>
          <w:p>
            <w:pPr>
              <w:spacing w:after="0"/>
              <w:rPr>
                <w:sz w:val="24"/>
                <w:szCs w:val="24"/>
                <w:color w:val="auto"/>
              </w:rPr>
            </w:pPr>
          </w:p>
        </w:tc>
        <w:tc>
          <w:tcPr>
            <w:tcW w:w="2960" w:type="dxa"/>
            <w:vAlign w:val="bottom"/>
            <w:gridSpan w:val="4"/>
          </w:tcPr>
          <w:p>
            <w:pPr>
              <w:jc w:val="right"/>
              <w:ind w:right="732"/>
              <w:spacing w:after="0"/>
              <w:rPr>
                <w:sz w:val="20"/>
                <w:szCs w:val="20"/>
                <w:color w:val="auto"/>
              </w:rPr>
            </w:pPr>
            <w:r>
              <w:rPr>
                <w:rFonts w:ascii="Arial" w:cs="Arial" w:eastAsia="Arial" w:hAnsi="Arial"/>
                <w:sz w:val="22"/>
                <w:szCs w:val="22"/>
                <w:color w:val="auto"/>
              </w:rPr>
              <w:t>Six Months Ended</w:t>
            </w:r>
          </w:p>
        </w:tc>
        <w:tc>
          <w:tcPr>
            <w:tcW w:w="0" w:type="dxa"/>
            <w:vAlign w:val="bottom"/>
          </w:tcPr>
          <w:p>
            <w:pPr>
              <w:spacing w:after="0"/>
              <w:rPr>
                <w:sz w:val="1"/>
                <w:szCs w:val="1"/>
                <w:color w:val="auto"/>
              </w:rPr>
            </w:pPr>
          </w:p>
        </w:tc>
      </w:tr>
      <w:tr>
        <w:trPr>
          <w:trHeight w:val="260"/>
        </w:trPr>
        <w:tc>
          <w:tcPr>
            <w:tcW w:w="33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center"/>
              <w:ind w:left="832"/>
              <w:spacing w:after="0"/>
              <w:rPr>
                <w:sz w:val="20"/>
                <w:szCs w:val="20"/>
                <w:color w:val="auto"/>
              </w:rPr>
            </w:pPr>
            <w:r>
              <w:rPr>
                <w:rFonts w:ascii="Arial" w:cs="Arial" w:eastAsia="Arial" w:hAnsi="Arial"/>
                <w:sz w:val="22"/>
                <w:szCs w:val="22"/>
                <w:color w:val="auto"/>
                <w:w w:val="85"/>
              </w:rPr>
              <w:t>June 30,</w:t>
            </w:r>
          </w:p>
        </w:tc>
        <w:tc>
          <w:tcPr>
            <w:tcW w:w="1380" w:type="dxa"/>
            <w:vAlign w:val="bottom"/>
            <w:tcBorders>
              <w:bottom w:val="single" w:sz="8" w:color="auto"/>
            </w:tcBorders>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22"/>
                <w:szCs w:val="22"/>
                <w:color w:val="auto"/>
              </w:rPr>
              <w:t>June 30,</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3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color w:val="auto"/>
              </w:rPr>
              <w:t>2022</w:t>
            </w:r>
          </w:p>
        </w:tc>
        <w:tc>
          <w:tcPr>
            <w:tcW w:w="1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color w:val="auto"/>
              </w:rPr>
              <w:t>2021</w:t>
            </w:r>
          </w:p>
        </w:tc>
        <w:tc>
          <w:tcPr>
            <w:tcW w:w="10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color w:val="auto"/>
              </w:rPr>
              <w:t>2022</w:t>
            </w:r>
          </w:p>
        </w:tc>
        <w:tc>
          <w:tcPr>
            <w:tcW w:w="1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color w:val="auto"/>
              </w:rPr>
              <w:t>2021</w:t>
            </w:r>
          </w:p>
        </w:tc>
        <w:tc>
          <w:tcPr>
            <w:tcW w:w="0" w:type="dxa"/>
            <w:vAlign w:val="bottom"/>
          </w:tcPr>
          <w:p>
            <w:pPr>
              <w:spacing w:after="0"/>
              <w:rPr>
                <w:sz w:val="1"/>
                <w:szCs w:val="1"/>
                <w:color w:val="auto"/>
              </w:rPr>
            </w:pPr>
          </w:p>
        </w:tc>
      </w:tr>
      <w:tr>
        <w:trPr>
          <w:trHeight w:val="263"/>
        </w:trPr>
        <w:tc>
          <w:tcPr>
            <w:tcW w:w="3380" w:type="dxa"/>
            <w:vAlign w:val="bottom"/>
            <w:shd w:val="clear" w:color="auto" w:fill="CCEEFF"/>
          </w:tcPr>
          <w:p>
            <w:pPr>
              <w:spacing w:after="0"/>
              <w:rPr>
                <w:sz w:val="20"/>
                <w:szCs w:val="20"/>
                <w:color w:val="auto"/>
              </w:rPr>
            </w:pPr>
            <w:r>
              <w:rPr>
                <w:rFonts w:ascii="Arial" w:cs="Arial" w:eastAsia="Arial" w:hAnsi="Arial"/>
                <w:sz w:val="22"/>
                <w:szCs w:val="22"/>
                <w:color w:val="auto"/>
              </w:rPr>
              <w:t>Operating revenues (GAAP)</w:t>
            </w:r>
          </w:p>
        </w:tc>
        <w:tc>
          <w:tcPr>
            <w:tcW w:w="38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8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167,729</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9"/>
                <w:szCs w:val="19"/>
                <w:color w:val="auto"/>
                <w:w w:val="7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141,562</w:t>
            </w:r>
          </w:p>
        </w:tc>
        <w:tc>
          <w:tcPr>
            <w:tcW w:w="106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8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612,912</w:t>
            </w: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9"/>
                <w:szCs w:val="19"/>
                <w:color w:val="auto"/>
                <w:w w:val="7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484,677</w:t>
            </w:r>
          </w:p>
        </w:tc>
        <w:tc>
          <w:tcPr>
            <w:tcW w:w="0" w:type="dxa"/>
            <w:vAlign w:val="bottom"/>
          </w:tcPr>
          <w:p>
            <w:pPr>
              <w:spacing w:after="0"/>
              <w:rPr>
                <w:sz w:val="1"/>
                <w:szCs w:val="1"/>
                <w:color w:val="auto"/>
              </w:rPr>
            </w:pPr>
          </w:p>
        </w:tc>
      </w:tr>
      <w:tr>
        <w:trPr>
          <w:trHeight w:val="284"/>
        </w:trPr>
        <w:tc>
          <w:tcPr>
            <w:tcW w:w="3380" w:type="dxa"/>
            <w:vAlign w:val="bottom"/>
            <w:tcBorders>
              <w:bottom w:val="single" w:sz="8" w:color="CCEEFF"/>
            </w:tcBorders>
          </w:tcPr>
          <w:p>
            <w:pPr>
              <w:spacing w:after="0"/>
              <w:rPr>
                <w:sz w:val="20"/>
                <w:szCs w:val="20"/>
                <w:color w:val="auto"/>
              </w:rPr>
            </w:pPr>
            <w:r>
              <w:rPr>
                <w:rFonts w:ascii="Arial" w:cs="Arial" w:eastAsia="Arial" w:hAnsi="Arial"/>
                <w:sz w:val="22"/>
                <w:szCs w:val="22"/>
                <w:color w:val="auto"/>
              </w:rPr>
              <w:t>Purchased gas</w:t>
            </w: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63,392</w:t>
            </w:r>
          </w:p>
        </w:tc>
        <w:tc>
          <w:tcPr>
            <w:tcW w:w="1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39,788</w:t>
            </w:r>
          </w:p>
        </w:tc>
        <w:tc>
          <w:tcPr>
            <w:tcW w:w="10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280,698</w:t>
            </w:r>
          </w:p>
        </w:tc>
        <w:tc>
          <w:tcPr>
            <w:tcW w:w="1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162,676</w:t>
            </w:r>
          </w:p>
        </w:tc>
        <w:tc>
          <w:tcPr>
            <w:tcW w:w="0" w:type="dxa"/>
            <w:vAlign w:val="bottom"/>
          </w:tcPr>
          <w:p>
            <w:pPr>
              <w:spacing w:after="0"/>
              <w:rPr>
                <w:sz w:val="1"/>
                <w:szCs w:val="1"/>
                <w:color w:val="auto"/>
              </w:rPr>
            </w:pPr>
          </w:p>
        </w:tc>
      </w:tr>
      <w:tr>
        <w:trPr>
          <w:trHeight w:val="263"/>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rPr>
              <w:t>Gross margin (non-GAAP)</w:t>
            </w:r>
          </w:p>
        </w:tc>
        <w:tc>
          <w:tcPr>
            <w:tcW w:w="3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22"/>
                <w:szCs w:val="22"/>
                <w:color w:val="auto"/>
                <w:w w:val="8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104,337</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101,774</w:t>
            </w:r>
          </w:p>
        </w:tc>
        <w:tc>
          <w:tcPr>
            <w:tcW w:w="10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color w:val="auto"/>
                <w:w w:val="8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332,214</w:t>
            </w:r>
          </w:p>
        </w:tc>
        <w:tc>
          <w:tcPr>
            <w:tcW w:w="1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9"/>
                <w:szCs w:val="19"/>
                <w:color w:val="auto"/>
                <w:w w:val="7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322,001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32"/>
              <w:spacing w:after="0"/>
              <w:rPr>
                <w:sz w:val="20"/>
                <w:szCs w:val="20"/>
                <w:color w:val="auto"/>
              </w:rPr>
            </w:pPr>
            <w:r>
              <w:rPr>
                <w:rFonts w:ascii="Arial" w:cs="Arial" w:eastAsia="Arial" w:hAnsi="Arial"/>
                <w:sz w:val="22"/>
                <w:szCs w:val="22"/>
                <w:color w:val="auto"/>
                <w:w w:val="89"/>
              </w:rPr>
              <w:t>40</w:t>
            </w:r>
          </w:p>
        </w:tc>
        <w:tc>
          <w:tcPr>
            <w:tcW w:w="106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440"/>
        <w:spacing w:after="0" w:line="231" w:lineRule="auto"/>
        <w:rPr>
          <w:sz w:val="20"/>
          <w:szCs w:val="20"/>
          <w:color w:val="auto"/>
        </w:rPr>
      </w:pPr>
      <w:r>
        <w:rPr>
          <w:rFonts w:ascii="Arial" w:cs="Arial" w:eastAsia="Arial" w:hAnsi="Arial"/>
          <w:sz w:val="22"/>
          <w:szCs w:val="22"/>
          <w:color w:val="auto"/>
        </w:rPr>
        <w:t>The term gross margin is not intended to represent operating revenues, the most comparable GAAP financial measure, as an indicator of operating performance. In addition, our measurement of gross margin is not necessarily comparable to similarly titled measures reported by other companies.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Three months ended June 30, 2022 compared with three months ended June 30, 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Operating revenues from the Regulated Natural Gas segment increased by $26,167 or 18.5% due to:</w:t>
      </w:r>
    </w:p>
    <w:p>
      <w:pPr>
        <w:spacing w:after="0" w:line="206" w:lineRule="exact"/>
        <w:rPr>
          <w:sz w:val="20"/>
          <w:szCs w:val="20"/>
          <w:color w:val="auto"/>
        </w:rPr>
      </w:pPr>
    </w:p>
    <w:p>
      <w:pPr>
        <w:ind w:left="660" w:right="2980"/>
        <w:spacing w:after="0" w:line="226" w:lineRule="auto"/>
        <w:rPr>
          <w:sz w:val="20"/>
          <w:szCs w:val="20"/>
          <w:color w:val="auto"/>
        </w:rPr>
      </w:pPr>
      <w:r>
        <w:rPr>
          <w:rFonts w:ascii="Arial" w:cs="Arial" w:eastAsia="Arial" w:hAnsi="Arial"/>
          <w:sz w:val="22"/>
          <w:szCs w:val="22"/>
          <w:color w:val="auto"/>
        </w:rPr>
        <w:t>impact of higher gas cost of $23,604 during the quarter as compared to the prior period; higher gas consumption of $2,332;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-159385</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-13970</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60" w:right="100"/>
        <w:spacing w:after="0" w:line="217" w:lineRule="auto"/>
        <w:rPr>
          <w:sz w:val="20"/>
          <w:szCs w:val="20"/>
          <w:color w:val="auto"/>
        </w:rPr>
      </w:pPr>
      <w:r>
        <w:rPr>
          <w:rFonts w:ascii="Arial" w:cs="Arial" w:eastAsia="Arial" w:hAnsi="Arial"/>
          <w:sz w:val="22"/>
          <w:szCs w:val="22"/>
          <w:color w:val="auto"/>
        </w:rPr>
        <w:t>increase in customer assistance surcharge of $606, which has an equivalent offsetting amount in operations and maintenance expense. These revenues and offsetting expenses increased mainly due to the increase in average gas prices during the second quarter of 2022 compared to the prior period; and, increase of $2,601 due to higher rates and other surcharges;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-449580</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2"/>
          <w:szCs w:val="22"/>
          <w:color w:val="auto"/>
        </w:rPr>
        <w:t>offset by the tax repair surcredits to customers of $4,751.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-29210</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8" w:lineRule="exact"/>
        <w:rPr>
          <w:sz w:val="20"/>
          <w:szCs w:val="20"/>
          <w:color w:val="auto"/>
        </w:rPr>
      </w:pPr>
    </w:p>
    <w:p>
      <w:pPr>
        <w:ind w:right="260"/>
        <w:spacing w:after="0" w:line="239" w:lineRule="auto"/>
        <w:rPr>
          <w:sz w:val="20"/>
          <w:szCs w:val="20"/>
          <w:color w:val="auto"/>
        </w:rPr>
      </w:pPr>
      <w:r>
        <w:rPr>
          <w:rFonts w:ascii="Arial" w:cs="Arial" w:eastAsia="Arial" w:hAnsi="Arial"/>
          <w:sz w:val="22"/>
          <w:szCs w:val="22"/>
          <w:color w:val="auto"/>
        </w:rPr>
        <w:t>Operations and maintenance expense for the three months ended June 30, 2022 decreased by $7,427 or 14.2% primarily due to the following:</w:t>
      </w:r>
    </w:p>
    <w:p>
      <w:pPr>
        <w:spacing w:after="0" w:line="185" w:lineRule="exact"/>
        <w:rPr>
          <w:sz w:val="20"/>
          <w:szCs w:val="20"/>
          <w:color w:val="auto"/>
        </w:rPr>
      </w:pPr>
    </w:p>
    <w:p>
      <w:pPr>
        <w:ind w:left="660" w:right="900"/>
        <w:spacing w:after="0" w:line="226" w:lineRule="auto"/>
        <w:rPr>
          <w:sz w:val="20"/>
          <w:szCs w:val="20"/>
          <w:color w:val="auto"/>
        </w:rPr>
      </w:pPr>
      <w:r>
        <w:rPr>
          <w:rFonts w:ascii="Arial" w:cs="Arial" w:eastAsia="Arial" w:hAnsi="Arial"/>
          <w:sz w:val="22"/>
          <w:szCs w:val="22"/>
          <w:color w:val="auto"/>
        </w:rPr>
        <w:t>increase in customer assistance surcharge costs of $606, which has an equivalent offsetting amount in revenues; offset by a decrease in bad debt expense of $1,156;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-159385</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-13970</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60" w:right="320"/>
        <w:spacing w:after="0" w:line="230" w:lineRule="auto"/>
        <w:rPr>
          <w:sz w:val="20"/>
          <w:szCs w:val="20"/>
          <w:color w:val="auto"/>
        </w:rPr>
      </w:pPr>
      <w:r>
        <w:rPr>
          <w:rFonts w:ascii="Arial" w:cs="Arial" w:eastAsia="Arial" w:hAnsi="Arial"/>
          <w:sz w:val="22"/>
          <w:szCs w:val="22"/>
          <w:color w:val="auto"/>
        </w:rPr>
        <w:t>a decrease in expenses of $6,149 in our Regulated Gas Segment primarily driven by higher capitalization as a result of greater capital spend in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-176530</wp:posOffset>
            </wp:positionV>
            <wp:extent cx="857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6" w:lineRule="exact"/>
        <w:rPr>
          <w:sz w:val="20"/>
          <w:szCs w:val="20"/>
          <w:color w:val="auto"/>
        </w:rPr>
      </w:pPr>
    </w:p>
    <w:p>
      <w:pPr>
        <w:ind w:right="100"/>
        <w:spacing w:after="0" w:line="239" w:lineRule="auto"/>
        <w:rPr>
          <w:sz w:val="20"/>
          <w:szCs w:val="20"/>
          <w:color w:val="auto"/>
        </w:rPr>
      </w:pPr>
      <w:r>
        <w:rPr>
          <w:rFonts w:ascii="Arial" w:cs="Arial" w:eastAsia="Arial" w:hAnsi="Arial"/>
          <w:sz w:val="22"/>
          <w:szCs w:val="22"/>
          <w:color w:val="auto"/>
        </w:rPr>
        <w:t>Purchased gas increased by $23,604 or 59.3%. The increase is largely due to the 190.7% increase in the average gas commodity prices in the second quarter of 2022 as compared to the prior period.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Depreciation and amortization increased by $1,010 or 3.6% primarily due to continued capital spend.</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Taxes other than income taxes increased by $976 or 21.0% largely due to increase in sales and use taxes and regulatory fees.</w:t>
      </w:r>
    </w:p>
    <w:p>
      <w:pPr>
        <w:spacing w:after="0" w:line="241" w:lineRule="exact"/>
        <w:rPr>
          <w:sz w:val="20"/>
          <w:szCs w:val="20"/>
          <w:color w:val="auto"/>
        </w:rPr>
      </w:pPr>
    </w:p>
    <w:p>
      <w:pPr>
        <w:ind w:right="420"/>
        <w:spacing w:after="0" w:line="239" w:lineRule="auto"/>
        <w:rPr>
          <w:sz w:val="20"/>
          <w:szCs w:val="20"/>
          <w:color w:val="auto"/>
        </w:rPr>
      </w:pPr>
      <w:r>
        <w:rPr>
          <w:rFonts w:ascii="Arial" w:cs="Arial" w:eastAsia="Arial" w:hAnsi="Arial"/>
          <w:sz w:val="22"/>
          <w:szCs w:val="22"/>
          <w:color w:val="auto"/>
        </w:rPr>
        <w:t>Interest expense, net, decreased by $1,251 or 6.1% for the quarter due to higher interest expense during the second quarter in 2021 that did not continue in 2022.</w:t>
      </w:r>
    </w:p>
    <w:p>
      <w:pPr>
        <w:spacing w:after="0" w:line="185" w:lineRule="exact"/>
        <w:rPr>
          <w:sz w:val="20"/>
          <w:szCs w:val="20"/>
          <w:color w:val="auto"/>
        </w:rPr>
      </w:pPr>
    </w:p>
    <w:p>
      <w:pPr>
        <w:spacing w:after="0" w:line="228" w:lineRule="auto"/>
        <w:rPr>
          <w:sz w:val="20"/>
          <w:szCs w:val="20"/>
          <w:color w:val="auto"/>
        </w:rPr>
      </w:pPr>
      <w:r>
        <w:rPr>
          <w:rFonts w:ascii="Arial" w:cs="Arial" w:eastAsia="Arial" w:hAnsi="Arial"/>
          <w:sz w:val="22"/>
          <w:szCs w:val="22"/>
          <w:color w:val="auto"/>
        </w:rPr>
        <w:t>Our effective income tax rate was (82.0)% in the second quarter of 2022 and 167.2% in the second quarter of 2021. The decrease in the effective tax rate is primarily attributed to the increase in the income tax benefit associated with the tax deduction for qualifying infrastructure and the amortization of the catch-up adjustment during the second quarter of 2022 in our Regulated Natural Gas segment.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Six months ended June 30, 2022 compared with six months ended June 30, 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Operating revenues from the Regulated Natural Gas segment increased by $128,235 or 26.5% due to:</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impact of higher gas cost of $118,023 during the period compared to the prior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857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ind w:left="660" w:right="20"/>
        <w:spacing w:after="0" w:line="217" w:lineRule="auto"/>
        <w:rPr>
          <w:sz w:val="20"/>
          <w:szCs w:val="20"/>
          <w:color w:val="auto"/>
        </w:rPr>
      </w:pPr>
      <w:r>
        <w:rPr>
          <w:rFonts w:ascii="Arial" w:cs="Arial" w:eastAsia="Arial" w:hAnsi="Arial"/>
          <w:sz w:val="22"/>
          <w:szCs w:val="22"/>
          <w:color w:val="auto"/>
        </w:rPr>
        <w:t>higher usage of $10,990 due to colder than normal weather during the first half of 2022 as compared to the same period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-158750</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60" w:right="100"/>
        <w:spacing w:after="0" w:line="217" w:lineRule="auto"/>
        <w:rPr>
          <w:sz w:val="20"/>
          <w:szCs w:val="20"/>
          <w:color w:val="auto"/>
        </w:rPr>
      </w:pPr>
      <w:r>
        <w:rPr>
          <w:rFonts w:ascii="Arial" w:cs="Arial" w:eastAsia="Arial" w:hAnsi="Arial"/>
          <w:sz w:val="22"/>
          <w:szCs w:val="22"/>
          <w:color w:val="auto"/>
        </w:rPr>
        <w:t>increase in customer assistance surcharge of $7,367, which has an equivalent offsetting amount in operations and maintenance expense. These revenues and offsetting expenses increased mainly due to the increase in average gas prices during the first half of 2022 compared to the prior period; and, increase of $5,968 due to higher rates and other surcharges;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-449580</wp:posOffset>
            </wp:positionV>
            <wp:extent cx="857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2"/>
          <w:szCs w:val="22"/>
          <w:color w:val="auto"/>
        </w:rPr>
        <w:t>offset by the tax repair surcredits to customers of $17,238.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-29210</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8" w:lineRule="exact"/>
        <w:rPr>
          <w:sz w:val="20"/>
          <w:szCs w:val="20"/>
          <w:color w:val="auto"/>
        </w:rPr>
      </w:pPr>
    </w:p>
    <w:p>
      <w:pPr>
        <w:ind w:right="420"/>
        <w:spacing w:after="0" w:line="239" w:lineRule="auto"/>
        <w:rPr>
          <w:sz w:val="20"/>
          <w:szCs w:val="20"/>
          <w:color w:val="auto"/>
        </w:rPr>
      </w:pPr>
      <w:r>
        <w:rPr>
          <w:rFonts w:ascii="Arial" w:cs="Arial" w:eastAsia="Arial" w:hAnsi="Arial"/>
          <w:sz w:val="22"/>
          <w:szCs w:val="22"/>
          <w:color w:val="auto"/>
        </w:rPr>
        <w:t>Operations and maintenance expense for the six months ended June 30, 2022 increased by $699 or 0.7% primarily due to the following:</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increase in employee related costs of $4,259;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60" w:right="740"/>
        <w:spacing w:after="0" w:line="217" w:lineRule="auto"/>
        <w:rPr>
          <w:sz w:val="20"/>
          <w:szCs w:val="20"/>
          <w:color w:val="auto"/>
        </w:rPr>
      </w:pPr>
      <w:r>
        <w:rPr>
          <w:rFonts w:ascii="Arial" w:cs="Arial" w:eastAsia="Arial" w:hAnsi="Arial"/>
          <w:sz w:val="22"/>
          <w:szCs w:val="22"/>
          <w:color w:val="auto"/>
        </w:rPr>
        <w:t>increase in customer assistance surcharge costs of $7,367, which has an equivalent offsetting amount in revenues; offset by a decrease in bad debt expense of $1,785;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-158750</wp:posOffset>
            </wp:positionV>
            <wp:extent cx="85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-13335</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60" w:right="320"/>
        <w:spacing w:after="0" w:line="230" w:lineRule="auto"/>
        <w:rPr>
          <w:sz w:val="20"/>
          <w:szCs w:val="20"/>
          <w:color w:val="auto"/>
        </w:rPr>
      </w:pPr>
      <w:r>
        <w:rPr>
          <w:rFonts w:ascii="Arial" w:cs="Arial" w:eastAsia="Arial" w:hAnsi="Arial"/>
          <w:sz w:val="22"/>
          <w:szCs w:val="22"/>
          <w:color w:val="auto"/>
        </w:rPr>
        <w:t>a decrease in expenses of $6,149 during the second quarter of 2022 in our Regulated Gas Segment primarily driven by higher capitalization as a result of greater capital spend in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-176530</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6"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Purchased gas increased by $118,022 or 72.6%. The increase is largely due to the 103.7% increase in the average gas commodity prices in the first six months of 2022 as compared to the prior period.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Depreciation and amortization increased by $3,124 or 5.6% primarily due to continued capital spend.</w:t>
      </w:r>
    </w:p>
    <w:p>
      <w:pPr>
        <w:spacing w:after="0" w:line="206" w:lineRule="exact"/>
        <w:rPr>
          <w:sz w:val="20"/>
          <w:szCs w:val="20"/>
          <w:color w:val="auto"/>
        </w:rPr>
      </w:pPr>
    </w:p>
    <w:p>
      <w:pPr>
        <w:ind w:right="100"/>
        <w:spacing w:after="0" w:line="239" w:lineRule="auto"/>
        <w:rPr>
          <w:sz w:val="20"/>
          <w:szCs w:val="20"/>
          <w:color w:val="auto"/>
        </w:rPr>
      </w:pPr>
      <w:r>
        <w:rPr>
          <w:rFonts w:ascii="Arial" w:cs="Arial" w:eastAsia="Arial" w:hAnsi="Arial"/>
          <w:sz w:val="22"/>
          <w:szCs w:val="22"/>
          <w:color w:val="auto"/>
        </w:rPr>
        <w:t>Taxes other than income taxes increased by $2,720 or 29.9% mainly due to an increase in sales and use taxes and regulatory fees during the first quarter of 2022 as compared to the same period in 2021.</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Interest expense, net, increased by $2,104 or 5.6% due to additional borrowings pushed down by Essential Utilities, Inc.</w:t>
      </w:r>
    </w:p>
    <w:p>
      <w:pPr>
        <w:spacing w:after="0" w:line="218" w:lineRule="exact"/>
        <w:rPr>
          <w:sz w:val="20"/>
          <w:szCs w:val="20"/>
          <w:color w:val="auto"/>
        </w:rPr>
      </w:pPr>
    </w:p>
    <w:p>
      <w:pPr>
        <w:ind w:right="260"/>
        <w:spacing w:after="0" w:line="239" w:lineRule="auto"/>
        <w:rPr>
          <w:sz w:val="20"/>
          <w:szCs w:val="20"/>
          <w:color w:val="auto"/>
        </w:rPr>
      </w:pPr>
      <w:r>
        <w:rPr>
          <w:rFonts w:ascii="Arial" w:cs="Arial" w:eastAsia="Arial" w:hAnsi="Arial"/>
          <w:sz w:val="22"/>
          <w:szCs w:val="22"/>
          <w:color w:val="auto"/>
        </w:rPr>
        <w:t>AFUDC increased by $1,339 due to the increase in the average balance of utility plant construction work in progress, to which AFUDC is applied.</w:t>
      </w:r>
    </w:p>
    <w:p>
      <w:pPr>
        <w:spacing w:after="0" w:line="185"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Our effective income tax rate was (26.5)% in the first half of 2022 and (3.7)% in the first half of 2021. The decrease in the effective tax rate is primarily attributed to the increase in the income tax benefit associated with the tax deduction for qualifying infrastructure and the amortization of the catch-up adjustment during the first half of 2022 in our Regulated Natural Gas segment.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 w:name="page44"/>
    <w:bookmarkEnd w:id="4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120"/>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600"/>
        <w:spacing w:after="0"/>
        <w:rPr>
          <w:sz w:val="20"/>
          <w:szCs w:val="20"/>
          <w:color w:val="auto"/>
        </w:rPr>
      </w:pPr>
      <w:r>
        <w:rPr>
          <w:rFonts w:ascii="Arial" w:cs="Arial" w:eastAsia="Arial" w:hAnsi="Arial"/>
          <w:sz w:val="22"/>
          <w:szCs w:val="22"/>
          <w:u w:val="single" w:color="auto"/>
          <w:color w:val="auto"/>
        </w:rPr>
        <w:t>Impact of Recent Accounting Pronouncements</w:t>
      </w:r>
    </w:p>
    <w:p>
      <w:pPr>
        <w:spacing w:after="0" w:line="206" w:lineRule="exact"/>
        <w:rPr>
          <w:sz w:val="20"/>
          <w:szCs w:val="20"/>
          <w:color w:val="auto"/>
        </w:rPr>
      </w:pPr>
    </w:p>
    <w:p>
      <w:pPr>
        <w:ind w:right="19"/>
        <w:spacing w:after="0" w:line="239" w:lineRule="auto"/>
        <w:rPr>
          <w:sz w:val="20"/>
          <w:szCs w:val="20"/>
          <w:color w:val="auto"/>
        </w:rPr>
      </w:pPr>
      <w:r>
        <w:rPr>
          <w:rFonts w:ascii="Arial" w:cs="Arial" w:eastAsia="Arial" w:hAnsi="Arial"/>
          <w:sz w:val="22"/>
          <w:szCs w:val="22"/>
          <w:color w:val="auto"/>
        </w:rPr>
        <w:t xml:space="preserve">We describe the impact of recent accounting pronouncements in Note 15, </w:t>
      </w:r>
      <w:r>
        <w:rPr>
          <w:rFonts w:ascii="Arial" w:cs="Arial" w:eastAsia="Arial" w:hAnsi="Arial"/>
          <w:sz w:val="22"/>
          <w:szCs w:val="22"/>
          <w:i w:val="1"/>
          <w:iCs w:val="1"/>
          <w:color w:val="auto"/>
        </w:rPr>
        <w:t>Recent Accounting Pronouncements</w:t>
      </w:r>
      <w:r>
        <w:rPr>
          <w:rFonts w:ascii="Arial" w:cs="Arial" w:eastAsia="Arial" w:hAnsi="Arial"/>
          <w:sz w:val="22"/>
          <w:szCs w:val="22"/>
          <w:color w:val="auto"/>
        </w:rPr>
        <w:t>, to the consolidated financial statements in this report.</w:t>
      </w:r>
    </w:p>
    <w:p>
      <w:pPr>
        <w:spacing w:after="0" w:line="185"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4" w:name="page45"/>
    <w:bookmarkEnd w:id="4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Item 3 – Quantitative and Qualitative Disclosures About Market Risk</w:t>
      </w:r>
    </w:p>
    <w:p>
      <w:pPr>
        <w:spacing w:after="0" w:line="206" w:lineRule="exact"/>
        <w:rPr>
          <w:sz w:val="20"/>
          <w:szCs w:val="20"/>
          <w:color w:val="auto"/>
        </w:rPr>
      </w:pPr>
    </w:p>
    <w:p>
      <w:pPr>
        <w:ind w:right="280"/>
        <w:spacing w:after="0" w:line="231" w:lineRule="auto"/>
        <w:rPr>
          <w:sz w:val="20"/>
          <w:szCs w:val="20"/>
          <w:color w:val="auto"/>
        </w:rPr>
      </w:pPr>
      <w:r>
        <w:rPr>
          <w:rFonts w:ascii="Arial" w:cs="Arial" w:eastAsia="Arial" w:hAnsi="Arial"/>
          <w:sz w:val="22"/>
          <w:szCs w:val="22"/>
          <w:color w:val="auto"/>
        </w:rPr>
        <w:t>We are subject to market risks in the normal course of business, including changes in interest rates and equity prices. Refer to Item 7A of the Company’s Annual Report on Form 10-K for the year ended December 31, 2021, filed March 1, 2022, for additional information on market risks.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4 – Controls and Procedures</w:t>
      </w:r>
    </w:p>
    <w:p>
      <w:pPr>
        <w:spacing w:after="0" w:line="20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Evaluation of Disclosure Controls and Procedures</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Changes in Internal Control over Financial Reporting</w:t>
      </w:r>
    </w:p>
    <w:p>
      <w:pPr>
        <w:spacing w:after="0" w:line="206"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We have implemented a new enterprise resource planning (ERP) system for our Regulated Water business segment that enhances our business and financial processes and standardizes some of our information technology systems with our other segments. In connection with this new ERP implementation, we have updated our internal controls over financial reporting, as necessary, to accommodate modifications in our Regulated Water business processes and accounting procedures.</w:t>
      </w:r>
    </w:p>
    <w:p>
      <w:pPr>
        <w:spacing w:after="0" w:line="157" w:lineRule="exact"/>
        <w:rPr>
          <w:sz w:val="20"/>
          <w:szCs w:val="20"/>
          <w:color w:val="auto"/>
        </w:rPr>
      </w:pPr>
    </w:p>
    <w:p>
      <w:pPr>
        <w:jc w:val="both"/>
        <w:ind w:right="140"/>
        <w:spacing w:after="0" w:line="313" w:lineRule="auto"/>
        <w:rPr>
          <w:sz w:val="20"/>
          <w:szCs w:val="20"/>
          <w:color w:val="auto"/>
        </w:rPr>
      </w:pPr>
      <w:r>
        <w:rPr>
          <w:rFonts w:ascii="Arial" w:cs="Arial" w:eastAsia="Arial" w:hAnsi="Arial"/>
          <w:sz w:val="19"/>
          <w:szCs w:val="19"/>
          <w:color w:val="auto"/>
        </w:rPr>
        <w:t>Except as described above, there were no changes in our internal control over financial reporting, during the quarter ended June 30, 2022 that have materially affected, or are reasonably likely to materially affect, our internal control over financial reporting.</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Part II. 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1 – Legal Proceedings</w:t>
      </w:r>
    </w:p>
    <w:p>
      <w:pPr>
        <w:spacing w:after="0" w:line="206" w:lineRule="exact"/>
        <w:rPr>
          <w:sz w:val="20"/>
          <w:szCs w:val="20"/>
          <w:color w:val="auto"/>
        </w:rPr>
      </w:pPr>
    </w:p>
    <w:p>
      <w:pPr>
        <w:ind w:right="140"/>
        <w:spacing w:after="0" w:line="228" w:lineRule="auto"/>
        <w:rPr>
          <w:sz w:val="20"/>
          <w:szCs w:val="20"/>
          <w:color w:val="auto"/>
        </w:rPr>
      </w:pPr>
      <w:r>
        <w:rPr>
          <w:rFonts w:ascii="Arial" w:cs="Arial" w:eastAsia="Arial" w:hAnsi="Arial"/>
          <w:sz w:val="22"/>
          <w:szCs w:val="22"/>
          <w:color w:val="auto"/>
        </w:rPr>
        <w:t>We are party to various legal proceedings in the ordinary course of business. Although the results of these legal proceedings cannot be predicted with certainty, there are no pending legal proceedings to which we or any of our subsidiaries is a party or to which any of our properties is the subject that we believe are material or are expected to have a material adverse effect on our financial position, results of operations or cash flows.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Item 1A – Risk Factors</w:t>
      </w:r>
    </w:p>
    <w:p>
      <w:pPr>
        <w:spacing w:after="0" w:line="206" w:lineRule="exact"/>
        <w:rPr>
          <w:sz w:val="20"/>
          <w:szCs w:val="20"/>
          <w:color w:val="auto"/>
        </w:rPr>
      </w:pPr>
    </w:p>
    <w:p>
      <w:pPr>
        <w:ind w:right="20"/>
        <w:spacing w:after="0" w:line="239" w:lineRule="auto"/>
        <w:rPr>
          <w:sz w:val="20"/>
          <w:szCs w:val="20"/>
          <w:color w:val="auto"/>
        </w:rPr>
      </w:pPr>
      <w:r>
        <w:rPr>
          <w:rFonts w:ascii="Arial" w:cs="Arial" w:eastAsia="Arial" w:hAnsi="Arial"/>
          <w:sz w:val="22"/>
          <w:szCs w:val="22"/>
          <w:color w:val="auto"/>
        </w:rPr>
        <w:t>Please review the risks disclosed in our Annual Report on Form 10-K for the year ended December 31, 2021, under “Part 1, Item 1A – Risk Factors.”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5" w:name="page46"/>
    <w:bookmarkEnd w:id="4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Item 2 – Unregistered Sales of Equity Securities and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the Company’s purchases of its common stock for the quarter ended June 30,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4160" w:type="dxa"/>
            <w:vAlign w:val="bottom"/>
            <w:gridSpan w:val="7"/>
          </w:tcPr>
          <w:p>
            <w:pPr>
              <w:ind w:left="20"/>
              <w:spacing w:after="0"/>
              <w:rPr>
                <w:sz w:val="20"/>
                <w:szCs w:val="20"/>
                <w:color w:val="auto"/>
              </w:rPr>
            </w:pPr>
            <w:r>
              <w:rPr>
                <w:rFonts w:ascii="Arial" w:cs="Arial" w:eastAsia="Arial" w:hAnsi="Arial"/>
                <w:sz w:val="22"/>
                <w:szCs w:val="22"/>
                <w:color w:val="auto"/>
              </w:rPr>
              <w:t>Issuer Purchases of Equity Securities</w:t>
            </w:r>
          </w:p>
        </w:tc>
        <w:tc>
          <w:tcPr>
            <w:tcW w:w="1860" w:type="dxa"/>
            <w:vAlign w:val="bottom"/>
            <w:gridSpan w:val="2"/>
            <w:vMerge w:val="restart"/>
          </w:tcPr>
          <w:p>
            <w:pPr>
              <w:jc w:val="right"/>
              <w:ind w:right="260"/>
              <w:spacing w:after="0"/>
              <w:rPr>
                <w:sz w:val="20"/>
                <w:szCs w:val="20"/>
                <w:color w:val="auto"/>
              </w:rPr>
            </w:pPr>
            <w:r>
              <w:rPr>
                <w:rFonts w:ascii="Arial" w:cs="Arial" w:eastAsia="Arial" w:hAnsi="Arial"/>
                <w:sz w:val="22"/>
                <w:szCs w:val="22"/>
                <w:color w:val="auto"/>
              </w:rPr>
              <w:t>Total</w:t>
            </w:r>
          </w:p>
        </w:tc>
        <w:tc>
          <w:tcPr>
            <w:tcW w:w="1820" w:type="dxa"/>
            <w:vAlign w:val="bottom"/>
            <w:vMerge w:val="restart"/>
          </w:tcPr>
          <w:p>
            <w:pPr>
              <w:jc w:val="right"/>
              <w:spacing w:after="0"/>
              <w:rPr>
                <w:sz w:val="20"/>
                <w:szCs w:val="20"/>
                <w:color w:val="auto"/>
              </w:rPr>
            </w:pPr>
            <w:r>
              <w:rPr>
                <w:rFonts w:ascii="Arial" w:cs="Arial" w:eastAsia="Arial" w:hAnsi="Arial"/>
                <w:sz w:val="22"/>
                <w:szCs w:val="22"/>
                <w:color w:val="auto"/>
              </w:rPr>
              <w:t>Maximum</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Number of</w:t>
            </w:r>
          </w:p>
        </w:tc>
        <w:tc>
          <w:tcPr>
            <w:tcW w:w="1820" w:type="dxa"/>
            <w:vAlign w:val="bottom"/>
          </w:tcPr>
          <w:p>
            <w:pPr>
              <w:jc w:val="right"/>
              <w:spacing w:after="0" w:line="229" w:lineRule="exact"/>
              <w:rPr>
                <w:sz w:val="20"/>
                <w:szCs w:val="20"/>
                <w:color w:val="auto"/>
              </w:rPr>
            </w:pPr>
            <w:r>
              <w:rPr>
                <w:rFonts w:ascii="Arial" w:cs="Arial" w:eastAsia="Arial" w:hAnsi="Arial"/>
                <w:sz w:val="22"/>
                <w:szCs w:val="22"/>
                <w:color w:val="auto"/>
              </w:rPr>
              <w:t>Number of</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Shares</w:t>
            </w:r>
          </w:p>
        </w:tc>
        <w:tc>
          <w:tcPr>
            <w:tcW w:w="1820" w:type="dxa"/>
            <w:vAlign w:val="bottom"/>
          </w:tcPr>
          <w:p>
            <w:pPr>
              <w:jc w:val="right"/>
              <w:spacing w:after="0" w:line="229" w:lineRule="exact"/>
              <w:rPr>
                <w:sz w:val="20"/>
                <w:szCs w:val="20"/>
                <w:color w:val="auto"/>
              </w:rPr>
            </w:pPr>
            <w:r>
              <w:rPr>
                <w:rFonts w:ascii="Arial" w:cs="Arial" w:eastAsia="Arial" w:hAnsi="Arial"/>
                <w:sz w:val="22"/>
                <w:szCs w:val="22"/>
                <w:color w:val="auto"/>
              </w:rPr>
              <w:t>Shares</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Purchased</w:t>
            </w:r>
          </w:p>
        </w:tc>
        <w:tc>
          <w:tcPr>
            <w:tcW w:w="1820" w:type="dxa"/>
            <w:vAlign w:val="bottom"/>
          </w:tcPr>
          <w:p>
            <w:pPr>
              <w:jc w:val="right"/>
              <w:spacing w:after="0" w:line="229" w:lineRule="exact"/>
              <w:rPr>
                <w:sz w:val="20"/>
                <w:szCs w:val="20"/>
                <w:color w:val="auto"/>
              </w:rPr>
            </w:pPr>
            <w:r>
              <w:rPr>
                <w:rFonts w:ascii="Arial" w:cs="Arial" w:eastAsia="Arial" w:hAnsi="Arial"/>
                <w:sz w:val="22"/>
                <w:szCs w:val="22"/>
                <w:color w:val="auto"/>
              </w:rPr>
              <w:t>that May</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as Part of</w:t>
            </w:r>
          </w:p>
        </w:tc>
        <w:tc>
          <w:tcPr>
            <w:tcW w:w="1820" w:type="dxa"/>
            <w:vAlign w:val="bottom"/>
          </w:tcPr>
          <w:p>
            <w:pPr>
              <w:jc w:val="right"/>
              <w:spacing w:after="0" w:line="229" w:lineRule="exact"/>
              <w:rPr>
                <w:sz w:val="20"/>
                <w:szCs w:val="20"/>
                <w:color w:val="auto"/>
              </w:rPr>
            </w:pPr>
            <w:r>
              <w:rPr>
                <w:rFonts w:ascii="Arial" w:cs="Arial" w:eastAsia="Arial" w:hAnsi="Arial"/>
                <w:sz w:val="22"/>
                <w:szCs w:val="22"/>
                <w:color w:val="auto"/>
              </w:rPr>
              <w:t>Yet be</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80" w:type="dxa"/>
            <w:vAlign w:val="bottom"/>
            <w:gridSpan w:val="2"/>
          </w:tcPr>
          <w:p>
            <w:pPr>
              <w:jc w:val="right"/>
              <w:ind w:right="120"/>
              <w:spacing w:after="0" w:line="229" w:lineRule="exact"/>
              <w:rPr>
                <w:sz w:val="20"/>
                <w:szCs w:val="20"/>
                <w:color w:val="auto"/>
              </w:rPr>
            </w:pPr>
            <w:r>
              <w:rPr>
                <w:rFonts w:ascii="Arial" w:cs="Arial" w:eastAsia="Arial" w:hAnsi="Arial"/>
                <w:sz w:val="22"/>
                <w:szCs w:val="22"/>
                <w:color w:val="auto"/>
              </w:rPr>
              <w:t>Total</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Publicly</w:t>
            </w:r>
          </w:p>
        </w:tc>
        <w:tc>
          <w:tcPr>
            <w:tcW w:w="1820" w:type="dxa"/>
            <w:vAlign w:val="bottom"/>
          </w:tcPr>
          <w:p>
            <w:pPr>
              <w:jc w:val="right"/>
              <w:spacing w:after="0" w:line="229" w:lineRule="exact"/>
              <w:rPr>
                <w:sz w:val="20"/>
                <w:szCs w:val="20"/>
                <w:color w:val="auto"/>
              </w:rPr>
            </w:pPr>
            <w:r>
              <w:rPr>
                <w:rFonts w:ascii="Arial" w:cs="Arial" w:eastAsia="Arial" w:hAnsi="Arial"/>
                <w:sz w:val="22"/>
                <w:szCs w:val="22"/>
                <w:color w:val="auto"/>
              </w:rPr>
              <w:t>Purchased</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80" w:type="dxa"/>
            <w:vAlign w:val="bottom"/>
            <w:gridSpan w:val="2"/>
          </w:tcPr>
          <w:p>
            <w:pPr>
              <w:jc w:val="right"/>
              <w:ind w:right="120"/>
              <w:spacing w:after="0" w:line="229" w:lineRule="exact"/>
              <w:rPr>
                <w:sz w:val="20"/>
                <w:szCs w:val="20"/>
                <w:color w:val="auto"/>
              </w:rPr>
            </w:pPr>
            <w:r>
              <w:rPr>
                <w:rFonts w:ascii="Arial" w:cs="Arial" w:eastAsia="Arial" w:hAnsi="Arial"/>
                <w:sz w:val="22"/>
                <w:szCs w:val="22"/>
                <w:color w:val="auto"/>
              </w:rPr>
              <w:t>Number</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gridSpan w:val="3"/>
          </w:tcPr>
          <w:p>
            <w:pPr>
              <w:jc w:val="right"/>
              <w:ind w:right="240"/>
              <w:spacing w:after="0" w:line="229" w:lineRule="exact"/>
              <w:rPr>
                <w:sz w:val="20"/>
                <w:szCs w:val="20"/>
                <w:color w:val="auto"/>
              </w:rPr>
            </w:pPr>
            <w:r>
              <w:rPr>
                <w:rFonts w:ascii="Arial" w:cs="Arial" w:eastAsia="Arial" w:hAnsi="Arial"/>
                <w:sz w:val="22"/>
                <w:szCs w:val="22"/>
                <w:color w:val="auto"/>
              </w:rPr>
              <w:t>Average</w:t>
            </w:r>
          </w:p>
        </w:tc>
        <w:tc>
          <w:tcPr>
            <w:tcW w:w="186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Announced</w:t>
            </w:r>
          </w:p>
        </w:tc>
        <w:tc>
          <w:tcPr>
            <w:tcW w:w="1820" w:type="dxa"/>
            <w:vAlign w:val="bottom"/>
          </w:tcPr>
          <w:p>
            <w:pPr>
              <w:jc w:val="right"/>
              <w:spacing w:after="0" w:line="229" w:lineRule="exact"/>
              <w:rPr>
                <w:sz w:val="20"/>
                <w:szCs w:val="20"/>
                <w:color w:val="auto"/>
              </w:rPr>
            </w:pPr>
            <w:r>
              <w:rPr>
                <w:rFonts w:ascii="Arial" w:cs="Arial" w:eastAsia="Arial" w:hAnsi="Arial"/>
                <w:sz w:val="22"/>
                <w:szCs w:val="22"/>
                <w:color w:val="auto"/>
              </w:rPr>
              <w:t>Under the</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80" w:type="dxa"/>
            <w:vAlign w:val="bottom"/>
            <w:gridSpan w:val="2"/>
          </w:tcPr>
          <w:p>
            <w:pPr>
              <w:jc w:val="right"/>
              <w:ind w:right="120"/>
              <w:spacing w:after="0" w:line="229" w:lineRule="exact"/>
              <w:rPr>
                <w:sz w:val="20"/>
                <w:szCs w:val="20"/>
                <w:color w:val="auto"/>
              </w:rPr>
            </w:pPr>
            <w:r>
              <w:rPr>
                <w:rFonts w:ascii="Arial" w:cs="Arial" w:eastAsia="Arial" w:hAnsi="Arial"/>
                <w:sz w:val="22"/>
                <w:szCs w:val="22"/>
                <w:color w:val="auto"/>
              </w:rPr>
              <w:t>of Shares</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gridSpan w:val="3"/>
          </w:tcPr>
          <w:p>
            <w:pPr>
              <w:jc w:val="right"/>
              <w:ind w:right="240"/>
              <w:spacing w:after="0" w:line="229" w:lineRule="exact"/>
              <w:rPr>
                <w:sz w:val="20"/>
                <w:szCs w:val="20"/>
                <w:color w:val="auto"/>
              </w:rPr>
            </w:pPr>
            <w:r>
              <w:rPr>
                <w:rFonts w:ascii="Arial" w:cs="Arial" w:eastAsia="Arial" w:hAnsi="Arial"/>
                <w:sz w:val="22"/>
                <w:szCs w:val="22"/>
                <w:color w:val="auto"/>
              </w:rPr>
              <w:t>Price Paid</w:t>
            </w:r>
          </w:p>
        </w:tc>
        <w:tc>
          <w:tcPr>
            <w:tcW w:w="186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Plans or</w:t>
            </w:r>
          </w:p>
        </w:tc>
        <w:tc>
          <w:tcPr>
            <w:tcW w:w="1820" w:type="dxa"/>
            <w:vAlign w:val="bottom"/>
          </w:tcPr>
          <w:p>
            <w:pPr>
              <w:jc w:val="right"/>
              <w:spacing w:after="0" w:line="229" w:lineRule="exact"/>
              <w:rPr>
                <w:sz w:val="20"/>
                <w:szCs w:val="20"/>
                <w:color w:val="auto"/>
              </w:rPr>
            </w:pPr>
            <w:r>
              <w:rPr>
                <w:rFonts w:ascii="Arial" w:cs="Arial" w:eastAsia="Arial" w:hAnsi="Arial"/>
                <w:sz w:val="22"/>
                <w:szCs w:val="22"/>
                <w:color w:val="auto"/>
              </w:rPr>
              <w:t>Plan or</w:t>
            </w:r>
          </w:p>
        </w:tc>
        <w:tc>
          <w:tcPr>
            <w:tcW w:w="0" w:type="dxa"/>
            <w:vAlign w:val="bottom"/>
          </w:tcPr>
          <w:p>
            <w:pPr>
              <w:spacing w:after="0"/>
              <w:rPr>
                <w:sz w:val="1"/>
                <w:szCs w:val="1"/>
                <w:color w:val="auto"/>
              </w:rPr>
            </w:pPr>
          </w:p>
        </w:tc>
      </w:tr>
      <w:tr>
        <w:trPr>
          <w:trHeight w:val="224"/>
        </w:trPr>
        <w:tc>
          <w:tcPr>
            <w:tcW w:w="3400" w:type="dxa"/>
            <w:vAlign w:val="bottom"/>
            <w:gridSpan w:val="2"/>
          </w:tcPr>
          <w:p>
            <w:pPr>
              <w:spacing w:after="0" w:line="224" w:lineRule="exact"/>
              <w:rPr>
                <w:sz w:val="20"/>
                <w:szCs w:val="20"/>
                <w:color w:val="auto"/>
              </w:rPr>
            </w:pPr>
            <w:r>
              <w:rPr>
                <w:rFonts w:ascii="Arial" w:cs="Arial" w:eastAsia="Arial" w:hAnsi="Arial"/>
                <w:sz w:val="22"/>
                <w:szCs w:val="22"/>
                <w:color w:val="auto"/>
              </w:rPr>
              <w:t>Period</w:t>
            </w:r>
          </w:p>
        </w:tc>
        <w:tc>
          <w:tcPr>
            <w:tcW w:w="2080" w:type="dxa"/>
            <w:vAlign w:val="bottom"/>
            <w:gridSpan w:val="2"/>
          </w:tcPr>
          <w:p>
            <w:pPr>
              <w:jc w:val="right"/>
              <w:ind w:right="120"/>
              <w:spacing w:after="0" w:line="224" w:lineRule="exact"/>
              <w:rPr>
                <w:sz w:val="20"/>
                <w:szCs w:val="20"/>
                <w:color w:val="auto"/>
              </w:rPr>
            </w:pPr>
            <w:r>
              <w:rPr>
                <w:rFonts w:ascii="Arial" w:cs="Arial" w:eastAsia="Arial" w:hAnsi="Arial"/>
                <w:sz w:val="22"/>
                <w:szCs w:val="22"/>
                <w:color w:val="auto"/>
              </w:rPr>
              <w:t>Purchased (1)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gridSpan w:val="3"/>
          </w:tcPr>
          <w:p>
            <w:pPr>
              <w:jc w:val="right"/>
              <w:ind w:right="240"/>
              <w:spacing w:after="0" w:line="224" w:lineRule="exact"/>
              <w:rPr>
                <w:sz w:val="20"/>
                <w:szCs w:val="20"/>
                <w:color w:val="auto"/>
              </w:rPr>
            </w:pPr>
            <w:r>
              <w:rPr>
                <w:rFonts w:ascii="Arial" w:cs="Arial" w:eastAsia="Arial" w:hAnsi="Arial"/>
                <w:sz w:val="22"/>
                <w:szCs w:val="22"/>
                <w:color w:val="auto"/>
              </w:rPr>
              <w:t>per Share</w:t>
            </w:r>
          </w:p>
        </w:tc>
        <w:tc>
          <w:tcPr>
            <w:tcW w:w="1860" w:type="dxa"/>
            <w:vAlign w:val="bottom"/>
            <w:gridSpan w:val="2"/>
          </w:tcPr>
          <w:p>
            <w:pPr>
              <w:jc w:val="right"/>
              <w:ind w:right="260"/>
              <w:spacing w:after="0" w:line="224" w:lineRule="exact"/>
              <w:rPr>
                <w:sz w:val="20"/>
                <w:szCs w:val="20"/>
                <w:color w:val="auto"/>
              </w:rPr>
            </w:pPr>
            <w:r>
              <w:rPr>
                <w:rFonts w:ascii="Arial" w:cs="Arial" w:eastAsia="Arial" w:hAnsi="Arial"/>
                <w:sz w:val="22"/>
                <w:szCs w:val="22"/>
                <w:color w:val="auto"/>
              </w:rPr>
              <w:t>Programs</w:t>
            </w:r>
          </w:p>
        </w:tc>
        <w:tc>
          <w:tcPr>
            <w:tcW w:w="1820" w:type="dxa"/>
            <w:vAlign w:val="bottom"/>
          </w:tcPr>
          <w:p>
            <w:pPr>
              <w:jc w:val="right"/>
              <w:spacing w:after="0" w:line="224" w:lineRule="exact"/>
              <w:rPr>
                <w:sz w:val="20"/>
                <w:szCs w:val="20"/>
                <w:color w:val="auto"/>
              </w:rPr>
            </w:pPr>
            <w:r>
              <w:rPr>
                <w:rFonts w:ascii="Arial" w:cs="Arial" w:eastAsia="Arial" w:hAnsi="Arial"/>
                <w:sz w:val="22"/>
                <w:szCs w:val="22"/>
                <w:color w:val="auto"/>
              </w:rPr>
              <w:t>Programs</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2"/>
            <w:shd w:val="clear" w:color="auto" w:fill="CCEEFF"/>
          </w:tcPr>
          <w:p>
            <w:pPr>
              <w:spacing w:after="0" w:line="210" w:lineRule="exact"/>
              <w:rPr>
                <w:sz w:val="20"/>
                <w:szCs w:val="20"/>
                <w:color w:val="auto"/>
              </w:rPr>
            </w:pPr>
            <w:r>
              <w:rPr>
                <w:rFonts w:ascii="Arial" w:cs="Arial" w:eastAsia="Arial" w:hAnsi="Arial"/>
                <w:sz w:val="22"/>
                <w:szCs w:val="22"/>
                <w:color w:val="auto"/>
              </w:rPr>
              <w:t>April 1 - 30, 2022</w:t>
            </w:r>
          </w:p>
        </w:tc>
        <w:tc>
          <w:tcPr>
            <w:tcW w:w="1960" w:type="dxa"/>
            <w:vAlign w:val="bottom"/>
            <w:shd w:val="clear" w:color="auto" w:fill="CCEEFF"/>
          </w:tcPr>
          <w:p>
            <w:pPr>
              <w:jc w:val="right"/>
              <w:spacing w:after="0" w:line="210" w:lineRule="exact"/>
              <w:rPr>
                <w:sz w:val="20"/>
                <w:szCs w:val="20"/>
                <w:color w:val="auto"/>
              </w:rPr>
            </w:pPr>
            <w:r>
              <w:rPr>
                <w:rFonts w:ascii="Arial" w:cs="Arial" w:eastAsia="Arial" w:hAnsi="Arial"/>
                <w:sz w:val="22"/>
                <w:szCs w:val="22"/>
                <w:color w:val="auto"/>
              </w:rPr>
              <w:t>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63"/>
              <w:spacing w:after="0" w:line="210" w:lineRule="exact"/>
              <w:rPr>
                <w:sz w:val="20"/>
                <w:szCs w:val="20"/>
                <w:color w:val="auto"/>
              </w:rPr>
            </w:pPr>
            <w:r>
              <w:rPr>
                <w:rFonts w:ascii="Arial" w:cs="Arial" w:eastAsia="Arial" w:hAnsi="Arial"/>
                <w:sz w:val="19"/>
                <w:szCs w:val="19"/>
                <w:color w:val="auto"/>
                <w:w w:val="75"/>
              </w:rPr>
              <w:t>$</w:t>
            </w:r>
          </w:p>
        </w:tc>
        <w:tc>
          <w:tcPr>
            <w:tcW w:w="1240" w:type="dxa"/>
            <w:vAlign w:val="bottom"/>
            <w:gridSpan w:val="2"/>
            <w:shd w:val="clear" w:color="auto" w:fill="CCEEFF"/>
          </w:tcPr>
          <w:p>
            <w:pPr>
              <w:jc w:val="right"/>
              <w:spacing w:after="0" w:line="210" w:lineRule="exact"/>
              <w:rPr>
                <w:sz w:val="20"/>
                <w:szCs w:val="20"/>
                <w:color w:val="auto"/>
              </w:rPr>
            </w:pPr>
            <w:r>
              <w:rPr>
                <w:rFonts w:ascii="Arial" w:cs="Arial" w:eastAsia="Arial" w:hAnsi="Arial"/>
                <w:sz w:val="22"/>
                <w:szCs w:val="22"/>
                <w:color w:val="auto"/>
              </w:rPr>
              <w:t>51.75</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line="210"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line="210"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29"/>
        </w:trPr>
        <w:tc>
          <w:tcPr>
            <w:tcW w:w="3400" w:type="dxa"/>
            <w:vAlign w:val="bottom"/>
            <w:gridSpan w:val="2"/>
          </w:tcPr>
          <w:p>
            <w:pPr>
              <w:spacing w:after="0" w:line="229" w:lineRule="exact"/>
              <w:rPr>
                <w:sz w:val="20"/>
                <w:szCs w:val="20"/>
                <w:color w:val="auto"/>
              </w:rPr>
            </w:pPr>
            <w:r>
              <w:rPr>
                <w:rFonts w:ascii="Arial" w:cs="Arial" w:eastAsia="Arial" w:hAnsi="Arial"/>
                <w:sz w:val="22"/>
                <w:szCs w:val="22"/>
                <w:color w:val="auto"/>
              </w:rPr>
              <w:t>May 1 -31, 2022</w:t>
            </w:r>
          </w:p>
        </w:tc>
        <w:tc>
          <w:tcPr>
            <w:tcW w:w="2080" w:type="dxa"/>
            <w:vAlign w:val="bottom"/>
            <w:gridSpan w:val="2"/>
          </w:tcPr>
          <w:p>
            <w:pPr>
              <w:jc w:val="right"/>
              <w:ind w:right="120"/>
              <w:spacing w:after="0" w:line="229" w:lineRule="exact"/>
              <w:rPr>
                <w:sz w:val="20"/>
                <w:szCs w:val="20"/>
                <w:color w:val="auto"/>
              </w:rPr>
            </w:pPr>
            <w:r>
              <w:rPr>
                <w:rFonts w:ascii="Arial" w:cs="Arial" w:eastAsia="Arial" w:hAnsi="Arial"/>
                <w:sz w:val="22"/>
                <w:szCs w:val="22"/>
                <w:color w:val="auto"/>
              </w:rPr>
              <w:t>66</w:t>
            </w:r>
          </w:p>
        </w:tc>
        <w:tc>
          <w:tcPr>
            <w:tcW w:w="600" w:type="dxa"/>
            <w:vAlign w:val="bottom"/>
            <w:gridSpan w:val="2"/>
          </w:tcPr>
          <w:p>
            <w:pPr>
              <w:jc w:val="right"/>
              <w:ind w:right="263"/>
              <w:spacing w:after="0" w:line="229" w:lineRule="exact"/>
              <w:rPr>
                <w:sz w:val="20"/>
                <w:szCs w:val="20"/>
                <w:color w:val="auto"/>
              </w:rPr>
            </w:pPr>
            <w:r>
              <w:rPr>
                <w:rFonts w:ascii="Arial" w:cs="Arial" w:eastAsia="Arial" w:hAnsi="Arial"/>
                <w:sz w:val="22"/>
                <w:szCs w:val="22"/>
                <w:color w:val="auto"/>
              </w:rPr>
              <w:t>$</w:t>
            </w:r>
          </w:p>
        </w:tc>
        <w:tc>
          <w:tcPr>
            <w:tcW w:w="124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49.31</w:t>
            </w:r>
          </w:p>
        </w:tc>
        <w:tc>
          <w:tcPr>
            <w:tcW w:w="240" w:type="dxa"/>
            <w:vAlign w:val="bottom"/>
          </w:tcPr>
          <w:p>
            <w:pPr>
              <w:spacing w:after="0"/>
              <w:rPr>
                <w:sz w:val="19"/>
                <w:szCs w:val="19"/>
                <w:color w:val="auto"/>
              </w:rPr>
            </w:pPr>
          </w:p>
        </w:tc>
        <w:tc>
          <w:tcPr>
            <w:tcW w:w="160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19"/>
                <w:szCs w:val="19"/>
                <w:color w:val="auto"/>
              </w:rPr>
            </w:pPr>
          </w:p>
        </w:tc>
        <w:tc>
          <w:tcPr>
            <w:tcW w:w="182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spacing w:after="0" w:line="229" w:lineRule="exact"/>
              <w:rPr>
                <w:sz w:val="20"/>
                <w:szCs w:val="20"/>
                <w:color w:val="auto"/>
              </w:rPr>
            </w:pPr>
            <w:r>
              <w:rPr>
                <w:rFonts w:ascii="Arial" w:cs="Arial" w:eastAsia="Arial" w:hAnsi="Arial"/>
                <w:sz w:val="22"/>
                <w:szCs w:val="22"/>
                <w:color w:val="auto"/>
              </w:rPr>
              <w:t>June 1 - 30, 2022</w:t>
            </w:r>
          </w:p>
        </w:tc>
        <w:tc>
          <w:tcPr>
            <w:tcW w:w="2080" w:type="dxa"/>
            <w:vAlign w:val="bottom"/>
            <w:gridSpan w:val="2"/>
            <w:shd w:val="clear" w:color="auto" w:fill="CCEEFF"/>
          </w:tcPr>
          <w:p>
            <w:pPr>
              <w:jc w:val="right"/>
              <w:ind w:right="120"/>
              <w:spacing w:after="0" w:line="229" w:lineRule="exact"/>
              <w:rPr>
                <w:sz w:val="20"/>
                <w:szCs w:val="20"/>
                <w:color w:val="auto"/>
              </w:rPr>
            </w:pPr>
            <w:r>
              <w:rPr>
                <w:rFonts w:ascii="Arial" w:cs="Arial" w:eastAsia="Arial" w:hAnsi="Arial"/>
                <w:sz w:val="22"/>
                <w:szCs w:val="22"/>
                <w:color w:val="auto"/>
              </w:rPr>
              <w:t>192</w:t>
            </w:r>
          </w:p>
        </w:tc>
        <w:tc>
          <w:tcPr>
            <w:tcW w:w="600" w:type="dxa"/>
            <w:vAlign w:val="bottom"/>
            <w:gridSpan w:val="2"/>
            <w:shd w:val="clear" w:color="auto" w:fill="CCEEFF"/>
          </w:tcPr>
          <w:p>
            <w:pPr>
              <w:jc w:val="right"/>
              <w:ind w:right="263"/>
              <w:spacing w:after="0" w:line="229" w:lineRule="exact"/>
              <w:rPr>
                <w:sz w:val="20"/>
                <w:szCs w:val="20"/>
                <w:color w:val="auto"/>
              </w:rPr>
            </w:pPr>
            <w:r>
              <w:rPr>
                <w:rFonts w:ascii="Arial" w:cs="Arial" w:eastAsia="Arial" w:hAnsi="Arial"/>
                <w:sz w:val="22"/>
                <w:szCs w:val="22"/>
                <w:color w:val="auto"/>
              </w:rPr>
              <w:t>$</w:t>
            </w:r>
          </w:p>
        </w:tc>
        <w:tc>
          <w:tcPr>
            <w:tcW w:w="1240" w:type="dxa"/>
            <w:vAlign w:val="bottom"/>
            <w:gridSpan w:val="2"/>
            <w:shd w:val="clear" w:color="auto" w:fill="CCEEFF"/>
          </w:tcPr>
          <w:p>
            <w:pPr>
              <w:jc w:val="right"/>
              <w:spacing w:after="0" w:line="229" w:lineRule="exact"/>
              <w:rPr>
                <w:sz w:val="20"/>
                <w:szCs w:val="20"/>
                <w:color w:val="auto"/>
              </w:rPr>
            </w:pPr>
            <w:r>
              <w:rPr>
                <w:rFonts w:ascii="Arial" w:cs="Arial" w:eastAsia="Arial" w:hAnsi="Arial"/>
                <w:sz w:val="22"/>
                <w:szCs w:val="22"/>
                <w:color w:val="auto"/>
              </w:rPr>
              <w:t>47.01</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line="223" w:lineRule="exact"/>
              <w:rPr>
                <w:sz w:val="20"/>
                <w:szCs w:val="20"/>
                <w:color w:val="auto"/>
              </w:rPr>
            </w:pPr>
            <w:r>
              <w:rPr>
                <w:rFonts w:ascii="Arial" w:cs="Arial" w:eastAsia="Arial" w:hAnsi="Arial"/>
                <w:sz w:val="22"/>
                <w:szCs w:val="22"/>
                <w:color w:val="auto"/>
              </w:rPr>
              <w:t>Total</w:t>
            </w:r>
          </w:p>
        </w:tc>
        <w:tc>
          <w:tcPr>
            <w:tcW w:w="19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305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9"/>
                <w:szCs w:val="19"/>
                <w:color w:val="auto"/>
                <w:w w:val="75"/>
              </w:rPr>
              <w:t>$</w:t>
            </w:r>
          </w:p>
        </w:tc>
        <w:tc>
          <w:tcPr>
            <w:tcW w:w="1240" w:type="dxa"/>
            <w:vAlign w:val="bottom"/>
            <w:tcBorders>
              <w:top w:val="single" w:sz="8" w:color="auto"/>
              <w:bottom w:val="single" w:sz="8" w:color="auto"/>
            </w:tcBorders>
            <w:gridSpan w:val="2"/>
          </w:tcPr>
          <w:p>
            <w:pPr>
              <w:jc w:val="right"/>
              <w:ind w:right="80"/>
              <w:spacing w:after="0" w:line="223" w:lineRule="exact"/>
              <w:rPr>
                <w:sz w:val="20"/>
                <w:szCs w:val="20"/>
                <w:color w:val="auto"/>
              </w:rPr>
            </w:pPr>
            <w:r>
              <w:rPr>
                <w:rFonts w:ascii="Arial" w:cs="Arial" w:eastAsia="Arial" w:hAnsi="Arial"/>
                <w:sz w:val="22"/>
                <w:szCs w:val="22"/>
                <w:color w:val="auto"/>
              </w:rPr>
              <w:t>48.24</w:t>
            </w:r>
          </w:p>
        </w:tc>
        <w:tc>
          <w:tcPr>
            <w:tcW w:w="24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60" w:right="20" w:hanging="328"/>
        <w:spacing w:after="0" w:line="272" w:lineRule="auto"/>
        <w:tabs>
          <w:tab w:leader="none" w:pos="66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These amounts consist of 305 shares we acquired from employees associated with the withholding of shares to pay certain withholding taxes upon the vesting of stock-based compensation. This feature of our equity compensation plan is available to all employees who receive stock-based compensation under the plan. We purchased these shares at their fair market value, as determined by reference to the closing price of our common stock on the day prior to the award vesting.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Item 6 – Exhibits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19"/>
                <w:szCs w:val="19"/>
                <w:color w:val="auto"/>
              </w:rPr>
            </w:pPr>
          </w:p>
        </w:tc>
        <w:tc>
          <w:tcPr>
            <w:tcW w:w="9060" w:type="dxa"/>
            <w:vAlign w:val="bottom"/>
            <w:gridSpan w:val="15"/>
          </w:tcPr>
          <w:p>
            <w:pPr>
              <w:ind w:left="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55"/>
        </w:trPr>
        <w:tc>
          <w:tcPr>
            <w:tcW w:w="170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4.1</w:t>
            </w:r>
          </w:p>
        </w:tc>
        <w:tc>
          <w:tcPr>
            <w:tcW w:w="4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9060" w:type="dxa"/>
            <w:vAlign w:val="bottom"/>
            <w:tcBorders>
              <w:top w:val="single" w:sz="8" w:color="auto"/>
            </w:tcBorders>
            <w:gridSpan w:val="15"/>
            <w:shd w:val="clear" w:color="auto" w:fill="CCEEFF"/>
          </w:tcPr>
          <w:p>
            <w:pPr>
              <w:spacing w:after="0" w:line="156" w:lineRule="exact"/>
              <w:rPr>
                <w:rFonts w:ascii="Arial" w:cs="Arial" w:eastAsia="Arial" w:hAnsi="Arial"/>
                <w:sz w:val="18"/>
                <w:szCs w:val="18"/>
                <w:color w:val="0563C1"/>
                <w:w w:val="99"/>
              </w:rPr>
            </w:pPr>
            <w:hyperlink r:id="rId103">
              <w:r>
                <w:rPr>
                  <w:rFonts w:ascii="Arial" w:cs="Arial" w:eastAsia="Arial" w:hAnsi="Arial"/>
                  <w:sz w:val="18"/>
                  <w:szCs w:val="18"/>
                  <w:color w:val="0563C1"/>
                  <w:w w:val="99"/>
                </w:rPr>
                <w:t>Fifth Supplemental Indenture, dated April 19, 2021, between Essential Utilities, Inc. and U.S. Bank N.A., as trustee</w:t>
              </w:r>
            </w:hyperlink>
          </w:p>
        </w:tc>
        <w:tc>
          <w:tcPr>
            <w:tcW w:w="0" w:type="dxa"/>
            <w:vAlign w:val="bottom"/>
          </w:tcPr>
          <w:p>
            <w:pPr>
              <w:spacing w:after="0"/>
              <w:rPr>
                <w:sz w:val="1"/>
                <w:szCs w:val="1"/>
                <w:color w:val="auto"/>
              </w:rPr>
            </w:pPr>
          </w:p>
        </w:tc>
      </w:tr>
      <w:tr>
        <w:trPr>
          <w:trHeight w:val="169"/>
        </w:trPr>
        <w:tc>
          <w:tcPr>
            <w:tcW w:w="170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360" w:type="dxa"/>
            <w:vAlign w:val="bottom"/>
            <w:tcBorders>
              <w:top w:val="single" w:sz="8" w:color="0563C1"/>
              <w:bottom w:val="single" w:sz="8" w:color="0563C1"/>
            </w:tcBorders>
            <w:gridSpan w:val="7"/>
            <w:shd w:val="clear" w:color="auto" w:fill="CCEEFF"/>
          </w:tcPr>
          <w:p>
            <w:pPr>
              <w:spacing w:after="0" w:line="169" w:lineRule="exact"/>
              <w:rPr>
                <w:rFonts w:ascii="Arial" w:cs="Arial" w:eastAsia="Arial" w:hAnsi="Arial"/>
                <w:sz w:val="18"/>
                <w:szCs w:val="18"/>
                <w:color w:val="0563C1"/>
                <w:w w:val="91"/>
              </w:rPr>
            </w:pPr>
            <w:hyperlink r:id="rId103">
              <w:r>
                <w:rPr>
                  <w:rFonts w:ascii="Arial" w:cs="Arial" w:eastAsia="Arial" w:hAnsi="Arial"/>
                  <w:sz w:val="18"/>
                  <w:szCs w:val="18"/>
                  <w:color w:val="0563C1"/>
                  <w:w w:val="91"/>
                </w:rPr>
                <w:t>(incorporated by reference to Exhibit 4.3 to the Company’s Current Report on Form 8-K, filed with the SEC on April</w:t>
              </w:r>
            </w:hyperlink>
          </w:p>
        </w:tc>
        <w:tc>
          <w:tcPr>
            <w:tcW w:w="380" w:type="dxa"/>
            <w:vAlign w:val="bottom"/>
            <w:tcBorders>
              <w:top w:val="single" w:sz="8" w:color="CCEEFF"/>
              <w:bottom w:val="single" w:sz="8" w:color="0563C1"/>
            </w:tcBorders>
            <w:gridSpan w:val="5"/>
            <w:shd w:val="clear" w:color="auto" w:fill="CCEEFF"/>
          </w:tcPr>
          <w:p>
            <w:pPr>
              <w:jc w:val="right"/>
              <w:ind w:right="40"/>
              <w:spacing w:after="0" w:line="169" w:lineRule="exact"/>
              <w:rPr>
                <w:rFonts w:ascii="Arial" w:cs="Arial" w:eastAsia="Arial" w:hAnsi="Arial"/>
                <w:sz w:val="18"/>
                <w:szCs w:val="18"/>
                <w:color w:val="0563C1"/>
              </w:rPr>
            </w:pPr>
            <w:hyperlink r:id="rId103">
              <w:r>
                <w:rPr>
                  <w:rFonts w:ascii="Arial" w:cs="Arial" w:eastAsia="Arial" w:hAnsi="Arial"/>
                  <w:sz w:val="18"/>
                  <w:szCs w:val="18"/>
                  <w:color w:val="0563C1"/>
                </w:rPr>
                <w:t>19,</w:t>
              </w:r>
            </w:hyperlink>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spacing w:after="0" w:line="169" w:lineRule="exact"/>
              <w:rPr>
                <w:rFonts w:ascii="Arial" w:cs="Arial" w:eastAsia="Arial" w:hAnsi="Arial"/>
                <w:sz w:val="18"/>
                <w:szCs w:val="18"/>
                <w:color w:val="0563C1"/>
              </w:rPr>
            </w:pPr>
            <w:hyperlink r:id="rId103">
              <w:r>
                <w:rPr>
                  <w:rFonts w:ascii="Arial" w:cs="Arial" w:eastAsia="Arial" w:hAnsi="Arial"/>
                  <w:sz w:val="18"/>
                  <w:szCs w:val="18"/>
                  <w:color w:val="0563C1"/>
                </w:rPr>
                <w:t>2021)</w:t>
              </w:r>
            </w:hyperlink>
          </w:p>
        </w:tc>
        <w:tc>
          <w:tcPr>
            <w:tcW w:w="25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0563C1"/>
            </w:tcBorders>
          </w:tcPr>
          <w:p>
            <w:pPr>
              <w:spacing w:after="0"/>
              <w:rPr>
                <w:sz w:val="16"/>
                <w:szCs w:val="16"/>
                <w:color w:val="auto"/>
              </w:rPr>
            </w:pPr>
          </w:p>
        </w:tc>
        <w:tc>
          <w:tcPr>
            <w:tcW w:w="1520" w:type="dxa"/>
            <w:vAlign w:val="bottom"/>
            <w:tcBorders>
              <w:top w:val="single" w:sz="8" w:color="CCEEFF"/>
            </w:tcBorders>
          </w:tcPr>
          <w:p>
            <w:pPr>
              <w:spacing w:after="0"/>
              <w:rPr>
                <w:sz w:val="16"/>
                <w:szCs w:val="16"/>
                <w:color w:val="auto"/>
              </w:rPr>
            </w:pPr>
          </w:p>
        </w:tc>
        <w:tc>
          <w:tcPr>
            <w:tcW w:w="254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1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4.2</w:t>
            </w: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60" w:type="dxa"/>
            <w:vAlign w:val="bottom"/>
            <w:gridSpan w:val="15"/>
            <w:shd w:val="clear" w:color="auto" w:fill="CCEEFF"/>
          </w:tcPr>
          <w:p>
            <w:pPr>
              <w:spacing w:after="0" w:line="162" w:lineRule="exact"/>
              <w:rPr>
                <w:rFonts w:ascii="Arial" w:cs="Arial" w:eastAsia="Arial" w:hAnsi="Arial"/>
                <w:sz w:val="18"/>
                <w:szCs w:val="18"/>
                <w:color w:val="0563C1"/>
                <w:w w:val="92"/>
              </w:rPr>
            </w:pPr>
            <w:hyperlink r:id="rId104">
              <w:r>
                <w:rPr>
                  <w:rFonts w:ascii="Arial" w:cs="Arial" w:eastAsia="Arial" w:hAnsi="Arial"/>
                  <w:sz w:val="18"/>
                  <w:szCs w:val="18"/>
                  <w:color w:val="0563C1"/>
                  <w:w w:val="92"/>
                </w:rPr>
                <w:t>Sixth Supplemental Indenture, dated May 20,2022, between Essential Utilities, Inc. and U.S. Bank Trust Company National</w:t>
              </w:r>
            </w:hyperlink>
          </w:p>
        </w:tc>
        <w:tc>
          <w:tcPr>
            <w:tcW w:w="0" w:type="dxa"/>
            <w:vAlign w:val="bottom"/>
          </w:tcPr>
          <w:p>
            <w:pPr>
              <w:spacing w:after="0"/>
              <w:rPr>
                <w:sz w:val="1"/>
                <w:szCs w:val="1"/>
                <w:color w:val="auto"/>
              </w:rPr>
            </w:pPr>
          </w:p>
        </w:tc>
      </w:tr>
      <w:tr>
        <w:trPr>
          <w:trHeight w:val="169"/>
        </w:trPr>
        <w:tc>
          <w:tcPr>
            <w:tcW w:w="17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960" w:type="dxa"/>
            <w:vAlign w:val="bottom"/>
            <w:tcBorders>
              <w:top w:val="single" w:sz="8" w:color="0563C1"/>
            </w:tcBorders>
            <w:gridSpan w:val="14"/>
            <w:shd w:val="clear" w:color="auto" w:fill="CCEEFF"/>
          </w:tcPr>
          <w:p>
            <w:pPr>
              <w:spacing w:after="0" w:line="169" w:lineRule="exact"/>
              <w:rPr>
                <w:rFonts w:ascii="Arial" w:cs="Arial" w:eastAsia="Arial" w:hAnsi="Arial"/>
                <w:sz w:val="18"/>
                <w:szCs w:val="18"/>
                <w:color w:val="0563C1"/>
                <w:w w:val="93"/>
              </w:rPr>
            </w:pPr>
            <w:hyperlink r:id="rId104">
              <w:r>
                <w:rPr>
                  <w:rFonts w:ascii="Arial" w:cs="Arial" w:eastAsia="Arial" w:hAnsi="Arial"/>
                  <w:sz w:val="18"/>
                  <w:szCs w:val="18"/>
                  <w:color w:val="0563C1"/>
                  <w:w w:val="93"/>
                </w:rPr>
                <w:t>Association, as trustee (incorporated by reference to Exhibit 4.3 to the Company’s Current Report on Form 8-K, filed with</w:t>
              </w:r>
            </w:hyperlink>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840" w:type="dxa"/>
            <w:vAlign w:val="bottom"/>
            <w:tcBorders>
              <w:top w:val="single" w:sz="8" w:color="0563C1"/>
            </w:tcBorders>
            <w:gridSpan w:val="13"/>
            <w:shd w:val="clear" w:color="auto" w:fill="CCEEFF"/>
          </w:tcPr>
          <w:p>
            <w:pPr>
              <w:spacing w:after="0" w:line="169" w:lineRule="exact"/>
              <w:rPr>
                <w:rFonts w:ascii="Arial" w:cs="Arial" w:eastAsia="Arial" w:hAnsi="Arial"/>
                <w:sz w:val="18"/>
                <w:szCs w:val="18"/>
                <w:color w:val="0563C1"/>
              </w:rPr>
            </w:pPr>
            <w:hyperlink r:id="rId104">
              <w:r>
                <w:rPr>
                  <w:rFonts w:ascii="Arial" w:cs="Arial" w:eastAsia="Arial" w:hAnsi="Arial"/>
                  <w:sz w:val="18"/>
                  <w:szCs w:val="18"/>
                  <w:color w:val="0563C1"/>
                </w:rPr>
                <w:t>the SEC on May 20, 2022)</w:t>
              </w:r>
            </w:hyperlink>
          </w:p>
        </w:tc>
        <w:tc>
          <w:tcPr>
            <w:tcW w:w="22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0563C1"/>
            </w:tcBorders>
          </w:tcPr>
          <w:p>
            <w:pPr>
              <w:spacing w:after="0"/>
              <w:rPr>
                <w:sz w:val="16"/>
                <w:szCs w:val="16"/>
                <w:color w:val="auto"/>
              </w:rPr>
            </w:pPr>
          </w:p>
        </w:tc>
        <w:tc>
          <w:tcPr>
            <w:tcW w:w="1520" w:type="dxa"/>
            <w:vAlign w:val="bottom"/>
            <w:tcBorders>
              <w:top w:val="single" w:sz="8" w:color="0563C1"/>
            </w:tcBorders>
          </w:tcPr>
          <w:p>
            <w:pPr>
              <w:spacing w:after="0"/>
              <w:rPr>
                <w:sz w:val="16"/>
                <w:szCs w:val="16"/>
                <w:color w:val="auto"/>
              </w:rPr>
            </w:pPr>
          </w:p>
        </w:tc>
        <w:tc>
          <w:tcPr>
            <w:tcW w:w="254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1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10.1*</w:t>
            </w: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60" w:type="dxa"/>
            <w:vAlign w:val="bottom"/>
            <w:gridSpan w:val="15"/>
            <w:shd w:val="clear" w:color="auto" w:fill="CCEEFF"/>
          </w:tcPr>
          <w:p>
            <w:pPr>
              <w:spacing w:after="0" w:line="162" w:lineRule="exact"/>
              <w:rPr>
                <w:rFonts w:ascii="Arial" w:cs="Arial" w:eastAsia="Arial" w:hAnsi="Arial"/>
                <w:sz w:val="18"/>
                <w:szCs w:val="18"/>
                <w:color w:val="0563C1"/>
                <w:w w:val="94"/>
              </w:rPr>
            </w:pPr>
            <w:hyperlink w:anchor="page49">
              <w:r>
                <w:rPr>
                  <w:rFonts w:ascii="Arial" w:cs="Arial" w:eastAsia="Arial" w:hAnsi="Arial"/>
                  <w:sz w:val="18"/>
                  <w:szCs w:val="18"/>
                  <w:color w:val="0563C1"/>
                  <w:w w:val="94"/>
                </w:rPr>
                <w:t>Second Amendment to Credit Agreement, dated June 30, 2022, by and between PNG Companies, LLC and PNC Bank,</w:t>
              </w:r>
            </w:hyperlink>
          </w:p>
        </w:tc>
        <w:tc>
          <w:tcPr>
            <w:tcW w:w="0" w:type="dxa"/>
            <w:vAlign w:val="bottom"/>
          </w:tcPr>
          <w:p>
            <w:pPr>
              <w:spacing w:after="0"/>
              <w:rPr>
                <w:sz w:val="1"/>
                <w:szCs w:val="1"/>
                <w:color w:val="auto"/>
              </w:rPr>
            </w:pPr>
          </w:p>
        </w:tc>
      </w:tr>
      <w:tr>
        <w:trPr>
          <w:trHeight w:val="176"/>
        </w:trPr>
        <w:tc>
          <w:tcPr>
            <w:tcW w:w="1700" w:type="dxa"/>
            <w:vAlign w:val="bottom"/>
            <w:tcBorders>
              <w:top w:val="single" w:sz="8" w:color="CCEEFF"/>
            </w:tcBorders>
            <w:vMerge w:val="continue"/>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620" w:type="dxa"/>
            <w:vAlign w:val="bottom"/>
            <w:tcBorders>
              <w:top w:val="single" w:sz="8" w:color="0563C1"/>
            </w:tcBorders>
            <w:gridSpan w:val="9"/>
            <w:shd w:val="clear" w:color="auto" w:fill="CCEEFF"/>
          </w:tcPr>
          <w:p>
            <w:pPr>
              <w:spacing w:after="0" w:line="169" w:lineRule="exact"/>
              <w:rPr>
                <w:rFonts w:ascii="Arial" w:cs="Arial" w:eastAsia="Arial" w:hAnsi="Arial"/>
                <w:sz w:val="18"/>
                <w:szCs w:val="18"/>
                <w:color w:val="0563C1"/>
              </w:rPr>
            </w:pPr>
            <w:hyperlink w:anchor="page49">
              <w:r>
                <w:rPr>
                  <w:rFonts w:ascii="Arial" w:cs="Arial" w:eastAsia="Arial" w:hAnsi="Arial"/>
                  <w:sz w:val="18"/>
                  <w:szCs w:val="18"/>
                  <w:color w:val="0563C1"/>
                </w:rPr>
                <w:t>National Association, TD Bank, N.A., and Citizens Bank N.A</w:t>
              </w:r>
            </w:hyperlink>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0563C1"/>
            </w:tcBorders>
          </w:tcPr>
          <w:p>
            <w:pPr>
              <w:spacing w:after="0"/>
              <w:rPr>
                <w:sz w:val="16"/>
                <w:szCs w:val="16"/>
                <w:color w:val="auto"/>
              </w:rPr>
            </w:pPr>
          </w:p>
        </w:tc>
        <w:tc>
          <w:tcPr>
            <w:tcW w:w="1520" w:type="dxa"/>
            <w:vAlign w:val="bottom"/>
            <w:tcBorders>
              <w:top w:val="single" w:sz="8" w:color="0563C1"/>
            </w:tcBorders>
          </w:tcPr>
          <w:p>
            <w:pPr>
              <w:spacing w:after="0"/>
              <w:rPr>
                <w:sz w:val="16"/>
                <w:szCs w:val="16"/>
                <w:color w:val="auto"/>
              </w:rPr>
            </w:pPr>
          </w:p>
        </w:tc>
        <w:tc>
          <w:tcPr>
            <w:tcW w:w="2540" w:type="dxa"/>
            <w:vAlign w:val="bottom"/>
            <w:tcBorders>
              <w:top w:val="single" w:sz="8" w:color="0563C1"/>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1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10.2*</w:t>
            </w: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60" w:type="dxa"/>
            <w:vAlign w:val="bottom"/>
            <w:gridSpan w:val="15"/>
            <w:shd w:val="clear" w:color="auto" w:fill="CCEEFF"/>
          </w:tcPr>
          <w:p>
            <w:pPr>
              <w:spacing w:after="0" w:line="162" w:lineRule="exact"/>
              <w:rPr>
                <w:rFonts w:ascii="Arial" w:cs="Arial" w:eastAsia="Arial" w:hAnsi="Arial"/>
                <w:sz w:val="18"/>
                <w:szCs w:val="18"/>
                <w:color w:val="0563C1"/>
                <w:w w:val="98"/>
              </w:rPr>
            </w:pPr>
            <w:hyperlink w:anchor="page75">
              <w:r>
                <w:rPr>
                  <w:rFonts w:ascii="Arial" w:cs="Arial" w:eastAsia="Arial" w:hAnsi="Arial"/>
                  <w:sz w:val="18"/>
                  <w:szCs w:val="18"/>
                  <w:color w:val="0563C1"/>
                  <w:w w:val="98"/>
                </w:rPr>
                <w:t>Sixth Amendment to Credit Agreement, dated June 30, 2022, between Aqua Pennsylvania and PNC Bank, National</w:t>
              </w:r>
            </w:hyperlink>
          </w:p>
        </w:tc>
        <w:tc>
          <w:tcPr>
            <w:tcW w:w="0" w:type="dxa"/>
            <w:vAlign w:val="bottom"/>
          </w:tcPr>
          <w:p>
            <w:pPr>
              <w:spacing w:after="0"/>
              <w:rPr>
                <w:sz w:val="1"/>
                <w:szCs w:val="1"/>
                <w:color w:val="auto"/>
              </w:rPr>
            </w:pPr>
          </w:p>
        </w:tc>
      </w:tr>
      <w:tr>
        <w:trPr>
          <w:trHeight w:val="176"/>
        </w:trPr>
        <w:tc>
          <w:tcPr>
            <w:tcW w:w="1700" w:type="dxa"/>
            <w:vAlign w:val="bottom"/>
            <w:tcBorders>
              <w:top w:val="single" w:sz="8" w:color="CCEEFF"/>
            </w:tcBorders>
            <w:vMerge w:val="continue"/>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380" w:type="dxa"/>
            <w:vAlign w:val="bottom"/>
            <w:tcBorders>
              <w:top w:val="single" w:sz="8" w:color="0563C1"/>
            </w:tcBorders>
            <w:gridSpan w:val="8"/>
            <w:shd w:val="clear" w:color="auto" w:fill="CCEEFF"/>
          </w:tcPr>
          <w:p>
            <w:pPr>
              <w:spacing w:after="0" w:line="169" w:lineRule="exact"/>
              <w:rPr>
                <w:rFonts w:ascii="Arial" w:cs="Arial" w:eastAsia="Arial" w:hAnsi="Arial"/>
                <w:sz w:val="18"/>
                <w:szCs w:val="18"/>
                <w:color w:val="0563C1"/>
              </w:rPr>
            </w:pPr>
            <w:hyperlink w:anchor="page75">
              <w:r>
                <w:rPr>
                  <w:rFonts w:ascii="Arial" w:cs="Arial" w:eastAsia="Arial" w:hAnsi="Arial"/>
                  <w:sz w:val="18"/>
                  <w:szCs w:val="18"/>
                  <w:color w:val="0563C1"/>
                </w:rPr>
                <w:t>Association, Citizens Bank, N.A., TD Bank, N.A., and The Huntington National Bank</w:t>
              </w:r>
            </w:hyperlink>
          </w:p>
        </w:tc>
        <w:tc>
          <w:tcPr>
            <w:tcW w:w="26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0563C1"/>
            </w:tcBorders>
          </w:tcPr>
          <w:p>
            <w:pPr>
              <w:spacing w:after="0"/>
              <w:rPr>
                <w:sz w:val="16"/>
                <w:szCs w:val="16"/>
                <w:color w:val="auto"/>
              </w:rPr>
            </w:pPr>
          </w:p>
        </w:tc>
        <w:tc>
          <w:tcPr>
            <w:tcW w:w="1520" w:type="dxa"/>
            <w:vAlign w:val="bottom"/>
            <w:tcBorders>
              <w:top w:val="single" w:sz="8" w:color="0563C1"/>
            </w:tcBorders>
          </w:tcPr>
          <w:p>
            <w:pPr>
              <w:spacing w:after="0"/>
              <w:rPr>
                <w:sz w:val="16"/>
                <w:szCs w:val="16"/>
                <w:color w:val="auto"/>
              </w:rPr>
            </w:pPr>
          </w:p>
        </w:tc>
        <w:tc>
          <w:tcPr>
            <w:tcW w:w="2540" w:type="dxa"/>
            <w:vAlign w:val="bottom"/>
            <w:tcBorders>
              <w:top w:val="single" w:sz="8" w:color="0563C1"/>
            </w:tcBorders>
          </w:tcPr>
          <w:p>
            <w:pPr>
              <w:spacing w:after="0"/>
              <w:rPr>
                <w:sz w:val="16"/>
                <w:szCs w:val="16"/>
                <w:color w:val="auto"/>
              </w:rPr>
            </w:pPr>
          </w:p>
        </w:tc>
        <w:tc>
          <w:tcPr>
            <w:tcW w:w="1700" w:type="dxa"/>
            <w:vAlign w:val="bottom"/>
            <w:tcBorders>
              <w:top w:val="single" w:sz="8" w:color="0563C1"/>
            </w:tcBorders>
          </w:tcPr>
          <w:p>
            <w:pPr>
              <w:spacing w:after="0"/>
              <w:rPr>
                <w:sz w:val="16"/>
                <w:szCs w:val="16"/>
                <w:color w:val="auto"/>
              </w:rPr>
            </w:pPr>
          </w:p>
        </w:tc>
        <w:tc>
          <w:tcPr>
            <w:tcW w:w="40" w:type="dxa"/>
            <w:vAlign w:val="bottom"/>
            <w:tcBorders>
              <w:top w:val="single" w:sz="8" w:color="0563C1"/>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1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31.1*</w:t>
            </w: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60" w:type="dxa"/>
            <w:vAlign w:val="bottom"/>
            <w:gridSpan w:val="15"/>
            <w:shd w:val="clear" w:color="auto" w:fill="CCEEFF"/>
          </w:tcPr>
          <w:p>
            <w:pPr>
              <w:spacing w:after="0" w:line="162" w:lineRule="exact"/>
              <w:rPr>
                <w:rFonts w:ascii="Arial" w:cs="Arial" w:eastAsia="Arial" w:hAnsi="Arial"/>
                <w:sz w:val="18"/>
                <w:szCs w:val="18"/>
                <w:color w:val="0563C1"/>
                <w:w w:val="95"/>
              </w:rPr>
            </w:pPr>
            <w:hyperlink w:anchor="page83">
              <w:r>
                <w:rPr>
                  <w:rFonts w:ascii="Arial" w:cs="Arial" w:eastAsia="Arial" w:hAnsi="Arial"/>
                  <w:sz w:val="18"/>
                  <w:szCs w:val="18"/>
                  <w:color w:val="0563C1"/>
                  <w:w w:val="95"/>
                </w:rPr>
                <w:t>Certification of Chief Executive Officer, filed pursuant to Rule 13a-14(a) under the Securities and Exchange Act of 1934</w:t>
              </w:r>
            </w:hyperlink>
          </w:p>
        </w:tc>
        <w:tc>
          <w:tcPr>
            <w:tcW w:w="0" w:type="dxa"/>
            <w:vAlign w:val="bottom"/>
          </w:tcPr>
          <w:p>
            <w:pPr>
              <w:spacing w:after="0"/>
              <w:rPr>
                <w:sz w:val="1"/>
                <w:szCs w:val="1"/>
                <w:color w:val="auto"/>
              </w:rPr>
            </w:pPr>
          </w:p>
        </w:tc>
      </w:tr>
      <w:tr>
        <w:trPr>
          <w:trHeight w:val="189"/>
        </w:trPr>
        <w:tc>
          <w:tcPr>
            <w:tcW w:w="17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0563C1"/>
            </w:tcBorders>
          </w:tcPr>
          <w:p>
            <w:pPr>
              <w:spacing w:after="0"/>
              <w:rPr>
                <w:sz w:val="16"/>
                <w:szCs w:val="16"/>
                <w:color w:val="auto"/>
              </w:rPr>
            </w:pPr>
          </w:p>
        </w:tc>
        <w:tc>
          <w:tcPr>
            <w:tcW w:w="1520" w:type="dxa"/>
            <w:vAlign w:val="bottom"/>
            <w:tcBorders>
              <w:top w:val="single" w:sz="8" w:color="0563C1"/>
            </w:tcBorders>
          </w:tcPr>
          <w:p>
            <w:pPr>
              <w:spacing w:after="0"/>
              <w:rPr>
                <w:sz w:val="16"/>
                <w:szCs w:val="16"/>
                <w:color w:val="auto"/>
              </w:rPr>
            </w:pPr>
          </w:p>
        </w:tc>
        <w:tc>
          <w:tcPr>
            <w:tcW w:w="2540" w:type="dxa"/>
            <w:vAlign w:val="bottom"/>
            <w:tcBorders>
              <w:top w:val="single" w:sz="8" w:color="0563C1"/>
            </w:tcBorders>
          </w:tcPr>
          <w:p>
            <w:pPr>
              <w:spacing w:after="0"/>
              <w:rPr>
                <w:sz w:val="16"/>
                <w:szCs w:val="16"/>
                <w:color w:val="auto"/>
              </w:rPr>
            </w:pPr>
          </w:p>
        </w:tc>
        <w:tc>
          <w:tcPr>
            <w:tcW w:w="1700" w:type="dxa"/>
            <w:vAlign w:val="bottom"/>
            <w:tcBorders>
              <w:top w:val="single" w:sz="8" w:color="0563C1"/>
            </w:tcBorders>
          </w:tcPr>
          <w:p>
            <w:pPr>
              <w:spacing w:after="0"/>
              <w:rPr>
                <w:sz w:val="16"/>
                <w:szCs w:val="16"/>
                <w:color w:val="auto"/>
              </w:rPr>
            </w:pPr>
          </w:p>
        </w:tc>
        <w:tc>
          <w:tcPr>
            <w:tcW w:w="40" w:type="dxa"/>
            <w:vAlign w:val="bottom"/>
            <w:tcBorders>
              <w:top w:val="single" w:sz="8" w:color="0563C1"/>
            </w:tcBorders>
          </w:tcPr>
          <w:p>
            <w:pPr>
              <w:spacing w:after="0"/>
              <w:rPr>
                <w:sz w:val="16"/>
                <w:szCs w:val="16"/>
                <w:color w:val="auto"/>
              </w:rPr>
            </w:pPr>
          </w:p>
        </w:tc>
        <w:tc>
          <w:tcPr>
            <w:tcW w:w="20" w:type="dxa"/>
            <w:vAlign w:val="bottom"/>
            <w:tcBorders>
              <w:top w:val="single" w:sz="8" w:color="0563C1"/>
            </w:tcBorders>
          </w:tcPr>
          <w:p>
            <w:pPr>
              <w:spacing w:after="0"/>
              <w:rPr>
                <w:sz w:val="16"/>
                <w:szCs w:val="16"/>
                <w:color w:val="auto"/>
              </w:rPr>
            </w:pPr>
          </w:p>
        </w:tc>
        <w:tc>
          <w:tcPr>
            <w:tcW w:w="2140" w:type="dxa"/>
            <w:vAlign w:val="bottom"/>
            <w:tcBorders>
              <w:top w:val="single" w:sz="8" w:color="0563C1"/>
            </w:tcBorders>
          </w:tcPr>
          <w:p>
            <w:pPr>
              <w:spacing w:after="0"/>
              <w:rPr>
                <w:sz w:val="16"/>
                <w:szCs w:val="16"/>
                <w:color w:val="auto"/>
              </w:rPr>
            </w:pPr>
          </w:p>
        </w:tc>
        <w:tc>
          <w:tcPr>
            <w:tcW w:w="20" w:type="dxa"/>
            <w:vAlign w:val="bottom"/>
            <w:tcBorders>
              <w:top w:val="single" w:sz="8" w:color="0563C1"/>
            </w:tcBorders>
          </w:tcPr>
          <w:p>
            <w:pPr>
              <w:spacing w:after="0"/>
              <w:rPr>
                <w:sz w:val="16"/>
                <w:szCs w:val="16"/>
                <w:color w:val="auto"/>
              </w:rPr>
            </w:pPr>
          </w:p>
        </w:tc>
        <w:tc>
          <w:tcPr>
            <w:tcW w:w="240" w:type="dxa"/>
            <w:vAlign w:val="bottom"/>
            <w:tcBorders>
              <w:top w:val="single" w:sz="8" w:color="0563C1"/>
            </w:tcBorders>
          </w:tcPr>
          <w:p>
            <w:pPr>
              <w:spacing w:after="0"/>
              <w:rPr>
                <w:sz w:val="16"/>
                <w:szCs w:val="16"/>
                <w:color w:val="auto"/>
              </w:rPr>
            </w:pPr>
          </w:p>
        </w:tc>
        <w:tc>
          <w:tcPr>
            <w:tcW w:w="20" w:type="dxa"/>
            <w:vAlign w:val="bottom"/>
            <w:tcBorders>
              <w:top w:val="single" w:sz="8" w:color="0563C1"/>
            </w:tcBorders>
          </w:tcPr>
          <w:p>
            <w:pPr>
              <w:spacing w:after="0"/>
              <w:rPr>
                <w:sz w:val="16"/>
                <w:szCs w:val="16"/>
                <w:color w:val="auto"/>
              </w:rPr>
            </w:pPr>
          </w:p>
        </w:tc>
        <w:tc>
          <w:tcPr>
            <w:tcW w:w="60" w:type="dxa"/>
            <w:vAlign w:val="bottom"/>
            <w:tcBorders>
              <w:top w:val="single" w:sz="8" w:color="0563C1"/>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31.2*</w:t>
            </w: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60" w:type="dxa"/>
            <w:vAlign w:val="bottom"/>
            <w:gridSpan w:val="15"/>
            <w:shd w:val="clear" w:color="auto" w:fill="CCEEFF"/>
          </w:tcPr>
          <w:p>
            <w:pPr>
              <w:spacing w:after="0" w:line="162" w:lineRule="exact"/>
              <w:rPr>
                <w:rFonts w:ascii="Arial" w:cs="Arial" w:eastAsia="Arial" w:hAnsi="Arial"/>
                <w:sz w:val="18"/>
                <w:szCs w:val="18"/>
                <w:color w:val="0563C1"/>
                <w:w w:val="96"/>
              </w:rPr>
            </w:pPr>
            <w:hyperlink w:anchor="page84">
              <w:r>
                <w:rPr>
                  <w:rFonts w:ascii="Arial" w:cs="Arial" w:eastAsia="Arial" w:hAnsi="Arial"/>
                  <w:sz w:val="18"/>
                  <w:szCs w:val="18"/>
                  <w:color w:val="0563C1"/>
                  <w:w w:val="96"/>
                </w:rPr>
                <w:t>Certification of Chief Financial Officer, filed pursuant to Rule 13a-14(a) under the Securities and Exchange Act of 1934</w:t>
              </w:r>
            </w:hyperlink>
          </w:p>
        </w:tc>
        <w:tc>
          <w:tcPr>
            <w:tcW w:w="0" w:type="dxa"/>
            <w:vAlign w:val="bottom"/>
          </w:tcPr>
          <w:p>
            <w:pPr>
              <w:spacing w:after="0"/>
              <w:rPr>
                <w:sz w:val="1"/>
                <w:szCs w:val="1"/>
                <w:color w:val="auto"/>
              </w:rPr>
            </w:pPr>
          </w:p>
        </w:tc>
      </w:tr>
      <w:tr>
        <w:trPr>
          <w:trHeight w:val="189"/>
        </w:trPr>
        <w:tc>
          <w:tcPr>
            <w:tcW w:w="17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0563C1"/>
            </w:tcBorders>
          </w:tcPr>
          <w:p>
            <w:pPr>
              <w:spacing w:after="0"/>
              <w:rPr>
                <w:sz w:val="16"/>
                <w:szCs w:val="16"/>
                <w:color w:val="auto"/>
              </w:rPr>
            </w:pPr>
          </w:p>
        </w:tc>
        <w:tc>
          <w:tcPr>
            <w:tcW w:w="1520" w:type="dxa"/>
            <w:vAlign w:val="bottom"/>
            <w:tcBorders>
              <w:top w:val="single" w:sz="8" w:color="0563C1"/>
            </w:tcBorders>
          </w:tcPr>
          <w:p>
            <w:pPr>
              <w:spacing w:after="0"/>
              <w:rPr>
                <w:sz w:val="16"/>
                <w:szCs w:val="16"/>
                <w:color w:val="auto"/>
              </w:rPr>
            </w:pPr>
          </w:p>
        </w:tc>
        <w:tc>
          <w:tcPr>
            <w:tcW w:w="2540" w:type="dxa"/>
            <w:vAlign w:val="bottom"/>
            <w:tcBorders>
              <w:top w:val="single" w:sz="8" w:color="0563C1"/>
            </w:tcBorders>
          </w:tcPr>
          <w:p>
            <w:pPr>
              <w:spacing w:after="0"/>
              <w:rPr>
                <w:sz w:val="16"/>
                <w:szCs w:val="16"/>
                <w:color w:val="auto"/>
              </w:rPr>
            </w:pPr>
          </w:p>
        </w:tc>
        <w:tc>
          <w:tcPr>
            <w:tcW w:w="1700" w:type="dxa"/>
            <w:vAlign w:val="bottom"/>
            <w:tcBorders>
              <w:top w:val="single" w:sz="8" w:color="0563C1"/>
            </w:tcBorders>
          </w:tcPr>
          <w:p>
            <w:pPr>
              <w:spacing w:after="0"/>
              <w:rPr>
                <w:sz w:val="16"/>
                <w:szCs w:val="16"/>
                <w:color w:val="auto"/>
              </w:rPr>
            </w:pPr>
          </w:p>
        </w:tc>
        <w:tc>
          <w:tcPr>
            <w:tcW w:w="40" w:type="dxa"/>
            <w:vAlign w:val="bottom"/>
            <w:tcBorders>
              <w:top w:val="single" w:sz="8" w:color="0563C1"/>
            </w:tcBorders>
          </w:tcPr>
          <w:p>
            <w:pPr>
              <w:spacing w:after="0"/>
              <w:rPr>
                <w:sz w:val="16"/>
                <w:szCs w:val="16"/>
                <w:color w:val="auto"/>
              </w:rPr>
            </w:pPr>
          </w:p>
        </w:tc>
        <w:tc>
          <w:tcPr>
            <w:tcW w:w="20" w:type="dxa"/>
            <w:vAlign w:val="bottom"/>
            <w:tcBorders>
              <w:top w:val="single" w:sz="8" w:color="0563C1"/>
            </w:tcBorders>
          </w:tcPr>
          <w:p>
            <w:pPr>
              <w:spacing w:after="0"/>
              <w:rPr>
                <w:sz w:val="16"/>
                <w:szCs w:val="16"/>
                <w:color w:val="auto"/>
              </w:rPr>
            </w:pPr>
          </w:p>
        </w:tc>
        <w:tc>
          <w:tcPr>
            <w:tcW w:w="2140" w:type="dxa"/>
            <w:vAlign w:val="bottom"/>
            <w:tcBorders>
              <w:top w:val="single" w:sz="8" w:color="0563C1"/>
            </w:tcBorders>
          </w:tcPr>
          <w:p>
            <w:pPr>
              <w:spacing w:after="0"/>
              <w:rPr>
                <w:sz w:val="16"/>
                <w:szCs w:val="16"/>
                <w:color w:val="auto"/>
              </w:rPr>
            </w:pPr>
          </w:p>
        </w:tc>
        <w:tc>
          <w:tcPr>
            <w:tcW w:w="20" w:type="dxa"/>
            <w:vAlign w:val="bottom"/>
            <w:tcBorders>
              <w:top w:val="single" w:sz="8" w:color="0563C1"/>
            </w:tcBorders>
          </w:tcPr>
          <w:p>
            <w:pPr>
              <w:spacing w:after="0"/>
              <w:rPr>
                <w:sz w:val="16"/>
                <w:szCs w:val="16"/>
                <w:color w:val="auto"/>
              </w:rPr>
            </w:pPr>
          </w:p>
        </w:tc>
        <w:tc>
          <w:tcPr>
            <w:tcW w:w="240" w:type="dxa"/>
            <w:vAlign w:val="bottom"/>
            <w:tcBorders>
              <w:top w:val="single" w:sz="8" w:color="0563C1"/>
            </w:tcBorders>
          </w:tcPr>
          <w:p>
            <w:pPr>
              <w:spacing w:after="0"/>
              <w:rPr>
                <w:sz w:val="16"/>
                <w:szCs w:val="16"/>
                <w:color w:val="auto"/>
              </w:rPr>
            </w:pPr>
          </w:p>
        </w:tc>
        <w:tc>
          <w:tcPr>
            <w:tcW w:w="20" w:type="dxa"/>
            <w:vAlign w:val="bottom"/>
            <w:tcBorders>
              <w:top w:val="single" w:sz="8" w:color="0563C1"/>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32.1*</w:t>
            </w: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60" w:type="dxa"/>
            <w:vAlign w:val="bottom"/>
            <w:gridSpan w:val="15"/>
            <w:shd w:val="clear" w:color="auto" w:fill="CCEEFF"/>
          </w:tcPr>
          <w:p>
            <w:pPr>
              <w:spacing w:after="0" w:line="162" w:lineRule="exact"/>
              <w:rPr>
                <w:rFonts w:ascii="Arial" w:cs="Arial" w:eastAsia="Arial" w:hAnsi="Arial"/>
                <w:sz w:val="18"/>
                <w:szCs w:val="18"/>
                <w:color w:val="0563C1"/>
              </w:rPr>
            </w:pPr>
            <w:hyperlink w:anchor="page85">
              <w:r>
                <w:rPr>
                  <w:rFonts w:ascii="Arial" w:cs="Arial" w:eastAsia="Arial" w:hAnsi="Arial"/>
                  <w:sz w:val="18"/>
                  <w:szCs w:val="18"/>
                  <w:color w:val="0563C1"/>
                </w:rPr>
                <w:t>Certification of Chief Executive Officer, furnished pursuant to 18 U.S.C. Section 1350</w:t>
              </w:r>
            </w:hyperlink>
          </w:p>
        </w:tc>
        <w:tc>
          <w:tcPr>
            <w:tcW w:w="0" w:type="dxa"/>
            <w:vAlign w:val="bottom"/>
          </w:tcPr>
          <w:p>
            <w:pPr>
              <w:spacing w:after="0"/>
              <w:rPr>
                <w:sz w:val="1"/>
                <w:szCs w:val="1"/>
                <w:color w:val="auto"/>
              </w:rPr>
            </w:pPr>
          </w:p>
        </w:tc>
      </w:tr>
      <w:tr>
        <w:trPr>
          <w:trHeight w:val="189"/>
        </w:trPr>
        <w:tc>
          <w:tcPr>
            <w:tcW w:w="17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0563C1"/>
            </w:tcBorders>
          </w:tcPr>
          <w:p>
            <w:pPr>
              <w:spacing w:after="0"/>
              <w:rPr>
                <w:sz w:val="16"/>
                <w:szCs w:val="16"/>
                <w:color w:val="auto"/>
              </w:rPr>
            </w:pPr>
          </w:p>
        </w:tc>
        <w:tc>
          <w:tcPr>
            <w:tcW w:w="1520" w:type="dxa"/>
            <w:vAlign w:val="bottom"/>
            <w:tcBorders>
              <w:top w:val="single" w:sz="8" w:color="0563C1"/>
            </w:tcBorders>
          </w:tcPr>
          <w:p>
            <w:pPr>
              <w:spacing w:after="0"/>
              <w:rPr>
                <w:sz w:val="16"/>
                <w:szCs w:val="16"/>
                <w:color w:val="auto"/>
              </w:rPr>
            </w:pPr>
          </w:p>
        </w:tc>
        <w:tc>
          <w:tcPr>
            <w:tcW w:w="2540" w:type="dxa"/>
            <w:vAlign w:val="bottom"/>
            <w:tcBorders>
              <w:top w:val="single" w:sz="8" w:color="0563C1"/>
            </w:tcBorders>
          </w:tcPr>
          <w:p>
            <w:pPr>
              <w:spacing w:after="0"/>
              <w:rPr>
                <w:sz w:val="16"/>
                <w:szCs w:val="16"/>
                <w:color w:val="auto"/>
              </w:rPr>
            </w:pPr>
          </w:p>
        </w:tc>
        <w:tc>
          <w:tcPr>
            <w:tcW w:w="1700" w:type="dxa"/>
            <w:vAlign w:val="bottom"/>
            <w:tcBorders>
              <w:top w:val="single" w:sz="8" w:color="0563C1"/>
            </w:tcBorders>
          </w:tcPr>
          <w:p>
            <w:pPr>
              <w:spacing w:after="0"/>
              <w:rPr>
                <w:sz w:val="16"/>
                <w:szCs w:val="16"/>
                <w:color w:val="auto"/>
              </w:rPr>
            </w:pPr>
          </w:p>
        </w:tc>
        <w:tc>
          <w:tcPr>
            <w:tcW w:w="40" w:type="dxa"/>
            <w:vAlign w:val="bottom"/>
            <w:tcBorders>
              <w:top w:val="single" w:sz="8" w:color="0563C1"/>
            </w:tcBorders>
          </w:tcPr>
          <w:p>
            <w:pPr>
              <w:spacing w:after="0"/>
              <w:rPr>
                <w:sz w:val="16"/>
                <w:szCs w:val="16"/>
                <w:color w:val="auto"/>
              </w:rPr>
            </w:pPr>
          </w:p>
        </w:tc>
        <w:tc>
          <w:tcPr>
            <w:tcW w:w="20" w:type="dxa"/>
            <w:vAlign w:val="bottom"/>
            <w:tcBorders>
              <w:top w:val="single" w:sz="8" w:color="0563C1"/>
            </w:tcBorders>
          </w:tcPr>
          <w:p>
            <w:pPr>
              <w:spacing w:after="0"/>
              <w:rPr>
                <w:sz w:val="16"/>
                <w:szCs w:val="16"/>
                <w:color w:val="auto"/>
              </w:rPr>
            </w:pPr>
          </w:p>
        </w:tc>
        <w:tc>
          <w:tcPr>
            <w:tcW w:w="21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32.2*</w:t>
            </w: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60" w:type="dxa"/>
            <w:vAlign w:val="bottom"/>
            <w:gridSpan w:val="15"/>
            <w:shd w:val="clear" w:color="auto" w:fill="CCEEFF"/>
          </w:tcPr>
          <w:p>
            <w:pPr>
              <w:spacing w:after="0" w:line="162" w:lineRule="exact"/>
              <w:rPr>
                <w:rFonts w:ascii="Arial" w:cs="Arial" w:eastAsia="Arial" w:hAnsi="Arial"/>
                <w:sz w:val="18"/>
                <w:szCs w:val="18"/>
                <w:color w:val="0563C1"/>
              </w:rPr>
            </w:pPr>
            <w:hyperlink w:anchor="page86">
              <w:r>
                <w:rPr>
                  <w:rFonts w:ascii="Arial" w:cs="Arial" w:eastAsia="Arial" w:hAnsi="Arial"/>
                  <w:sz w:val="18"/>
                  <w:szCs w:val="18"/>
                  <w:color w:val="0563C1"/>
                </w:rPr>
                <w:t>Certification of Chief Financial Officer, furnished pursuant to 18 U.S.C. Section 1350</w:t>
              </w:r>
            </w:hyperlink>
          </w:p>
        </w:tc>
        <w:tc>
          <w:tcPr>
            <w:tcW w:w="0" w:type="dxa"/>
            <w:vAlign w:val="bottom"/>
          </w:tcPr>
          <w:p>
            <w:pPr>
              <w:spacing w:after="0"/>
              <w:rPr>
                <w:sz w:val="1"/>
                <w:szCs w:val="1"/>
                <w:color w:val="auto"/>
              </w:rPr>
            </w:pPr>
          </w:p>
        </w:tc>
      </w:tr>
      <w:tr>
        <w:trPr>
          <w:trHeight w:val="189"/>
        </w:trPr>
        <w:tc>
          <w:tcPr>
            <w:tcW w:w="17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0563C1"/>
            </w:tcBorders>
          </w:tcPr>
          <w:p>
            <w:pPr>
              <w:spacing w:after="0"/>
              <w:rPr>
                <w:sz w:val="16"/>
                <w:szCs w:val="16"/>
                <w:color w:val="auto"/>
              </w:rPr>
            </w:pPr>
          </w:p>
        </w:tc>
        <w:tc>
          <w:tcPr>
            <w:tcW w:w="1520" w:type="dxa"/>
            <w:vAlign w:val="bottom"/>
            <w:tcBorders>
              <w:top w:val="single" w:sz="8" w:color="0563C1"/>
            </w:tcBorders>
          </w:tcPr>
          <w:p>
            <w:pPr>
              <w:spacing w:after="0"/>
              <w:rPr>
                <w:sz w:val="16"/>
                <w:szCs w:val="16"/>
                <w:color w:val="auto"/>
              </w:rPr>
            </w:pPr>
          </w:p>
        </w:tc>
        <w:tc>
          <w:tcPr>
            <w:tcW w:w="2540" w:type="dxa"/>
            <w:vAlign w:val="bottom"/>
            <w:tcBorders>
              <w:top w:val="single" w:sz="8" w:color="0563C1"/>
            </w:tcBorders>
          </w:tcPr>
          <w:p>
            <w:pPr>
              <w:spacing w:after="0"/>
              <w:rPr>
                <w:sz w:val="16"/>
                <w:szCs w:val="16"/>
                <w:color w:val="auto"/>
              </w:rPr>
            </w:pPr>
          </w:p>
        </w:tc>
        <w:tc>
          <w:tcPr>
            <w:tcW w:w="1700" w:type="dxa"/>
            <w:vAlign w:val="bottom"/>
            <w:tcBorders>
              <w:top w:val="single" w:sz="8" w:color="0563C1"/>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1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16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8"/>
                <w:szCs w:val="18"/>
                <w:color w:val="auto"/>
              </w:rPr>
              <w:t>101.INS</w:t>
            </w:r>
          </w:p>
        </w:tc>
        <w:tc>
          <w:tcPr>
            <w:tcW w:w="20" w:type="dxa"/>
            <w:vAlign w:val="bottom"/>
            <w:shd w:val="clear" w:color="auto" w:fill="CCEEFF"/>
          </w:tcPr>
          <w:p>
            <w:pPr>
              <w:spacing w:after="0"/>
              <w:rPr>
                <w:sz w:val="14"/>
                <w:szCs w:val="14"/>
                <w:color w:val="auto"/>
              </w:rPr>
            </w:pPr>
          </w:p>
        </w:tc>
        <w:tc>
          <w:tcPr>
            <w:tcW w:w="9060" w:type="dxa"/>
            <w:vAlign w:val="bottom"/>
            <w:gridSpan w:val="15"/>
            <w:shd w:val="clear" w:color="auto" w:fill="CCEEFF"/>
          </w:tcPr>
          <w:p>
            <w:pPr>
              <w:spacing w:after="0" w:line="161" w:lineRule="exact"/>
              <w:rPr>
                <w:sz w:val="20"/>
                <w:szCs w:val="20"/>
                <w:color w:val="auto"/>
              </w:rPr>
            </w:pPr>
            <w:r>
              <w:rPr>
                <w:rFonts w:ascii="Arial" w:cs="Arial" w:eastAsia="Arial" w:hAnsi="Arial"/>
                <w:sz w:val="18"/>
                <w:szCs w:val="18"/>
                <w:color w:val="auto"/>
                <w:w w:val="94"/>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17"/>
        </w:trPr>
        <w:tc>
          <w:tcPr>
            <w:tcW w:w="1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6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101.SCH</w:t>
            </w:r>
          </w:p>
        </w:tc>
        <w:tc>
          <w:tcPr>
            <w:tcW w:w="20" w:type="dxa"/>
            <w:vAlign w:val="bottom"/>
            <w:shd w:val="clear" w:color="auto" w:fill="CCEEFF"/>
          </w:tcPr>
          <w:p>
            <w:pPr>
              <w:spacing w:after="0"/>
              <w:rPr>
                <w:sz w:val="16"/>
                <w:szCs w:val="16"/>
                <w:color w:val="auto"/>
              </w:rPr>
            </w:pPr>
          </w:p>
        </w:tc>
        <w:tc>
          <w:tcPr>
            <w:tcW w:w="906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101.CAL</w:t>
            </w:r>
          </w:p>
        </w:tc>
        <w:tc>
          <w:tcPr>
            <w:tcW w:w="20" w:type="dxa"/>
            <w:vAlign w:val="bottom"/>
            <w:shd w:val="clear" w:color="auto" w:fill="CCEEFF"/>
          </w:tcPr>
          <w:p>
            <w:pPr>
              <w:spacing w:after="0"/>
              <w:rPr>
                <w:sz w:val="16"/>
                <w:szCs w:val="16"/>
                <w:color w:val="auto"/>
              </w:rPr>
            </w:pPr>
          </w:p>
        </w:tc>
        <w:tc>
          <w:tcPr>
            <w:tcW w:w="906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101.DEF</w:t>
            </w:r>
          </w:p>
        </w:tc>
        <w:tc>
          <w:tcPr>
            <w:tcW w:w="20" w:type="dxa"/>
            <w:vAlign w:val="bottom"/>
            <w:shd w:val="clear" w:color="auto" w:fill="CCEEFF"/>
          </w:tcPr>
          <w:p>
            <w:pPr>
              <w:spacing w:after="0"/>
              <w:rPr>
                <w:sz w:val="16"/>
                <w:szCs w:val="16"/>
                <w:color w:val="auto"/>
              </w:rPr>
            </w:pPr>
          </w:p>
        </w:tc>
        <w:tc>
          <w:tcPr>
            <w:tcW w:w="906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101.LAB</w:t>
            </w:r>
          </w:p>
        </w:tc>
        <w:tc>
          <w:tcPr>
            <w:tcW w:w="20" w:type="dxa"/>
            <w:vAlign w:val="bottom"/>
            <w:shd w:val="clear" w:color="auto" w:fill="CCEEFF"/>
          </w:tcPr>
          <w:p>
            <w:pPr>
              <w:spacing w:after="0"/>
              <w:rPr>
                <w:sz w:val="16"/>
                <w:szCs w:val="16"/>
                <w:color w:val="auto"/>
              </w:rPr>
            </w:pPr>
          </w:p>
        </w:tc>
        <w:tc>
          <w:tcPr>
            <w:tcW w:w="906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101.PRES</w:t>
            </w:r>
          </w:p>
        </w:tc>
        <w:tc>
          <w:tcPr>
            <w:tcW w:w="20" w:type="dxa"/>
            <w:vAlign w:val="bottom"/>
            <w:shd w:val="clear" w:color="auto" w:fill="CCEEFF"/>
          </w:tcPr>
          <w:p>
            <w:pPr>
              <w:spacing w:after="0"/>
              <w:rPr>
                <w:sz w:val="16"/>
                <w:szCs w:val="16"/>
                <w:color w:val="auto"/>
              </w:rPr>
            </w:pPr>
          </w:p>
        </w:tc>
        <w:tc>
          <w:tcPr>
            <w:tcW w:w="906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66"/>
        </w:trPr>
        <w:tc>
          <w:tcPr>
            <w:tcW w:w="1700" w:type="dxa"/>
            <w:vAlign w:val="bottom"/>
          </w:tcPr>
          <w:p>
            <w:pPr>
              <w:ind w:left="20"/>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gridSpan w:val="15"/>
          </w:tcPr>
          <w:p>
            <w:pPr>
              <w:spacing w:after="0"/>
              <w:rPr>
                <w:sz w:val="20"/>
                <w:szCs w:val="20"/>
                <w:color w:val="auto"/>
              </w:rPr>
            </w:pPr>
            <w:r>
              <w:rPr>
                <w:rFonts w:ascii="Arial" w:cs="Arial" w:eastAsia="Arial" w:hAnsi="Arial"/>
                <w:sz w:val="18"/>
                <w:szCs w:val="18"/>
                <w:color w:val="auto"/>
                <w:w w:val="91"/>
              </w:rPr>
              <w:t>The cover page from the Company’s Quarterly Report on Form 10-Q for the quarter ended June 30, 2022, formatted in Inline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2400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2160"/>
        <w:spacing w:after="0"/>
        <w:rPr>
          <w:sz w:val="20"/>
          <w:szCs w:val="20"/>
          <w:color w:val="auto"/>
        </w:rPr>
      </w:pPr>
      <w:r>
        <w:rPr>
          <w:rFonts w:ascii="Arial" w:cs="Arial" w:eastAsia="Arial" w:hAnsi="Arial"/>
          <w:sz w:val="18"/>
          <w:szCs w:val="18"/>
          <w:color w:val="auto"/>
        </w:rPr>
        <w:t>XBRL (included in Exhibit 101)</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SIGNATURES</w:t>
      </w:r>
    </w:p>
    <w:p>
      <w:pPr>
        <w:spacing w:after="0" w:line="71" w:lineRule="exact"/>
        <w:rPr>
          <w:sz w:val="20"/>
          <w:szCs w:val="20"/>
          <w:color w:val="auto"/>
        </w:rPr>
      </w:pPr>
    </w:p>
    <w:p>
      <w:pPr>
        <w:spacing w:after="0" w:line="207"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executed on its behalf by the undersigned thereunto duly authorized.</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August 9, 2022</w:t>
      </w:r>
    </w:p>
    <w:p>
      <w:pPr>
        <w:spacing w:after="0" w:line="152"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Essential Utilities,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wp:posOffset>
            </wp:positionV>
            <wp:extent cx="31375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630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366"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wp:posOffset>
            </wp:positionV>
            <wp:extent cx="31375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6300"/>
        <w:spacing w:after="0" w:line="225" w:lineRule="auto"/>
        <w:rPr>
          <w:sz w:val="20"/>
          <w:szCs w:val="20"/>
          <w:color w:val="auto"/>
        </w:rPr>
      </w:pPr>
      <w:r>
        <w:rPr>
          <w:rFonts w:ascii="Arial" w:cs="Arial" w:eastAsia="Arial" w:hAnsi="Arial"/>
          <w:sz w:val="22"/>
          <w:szCs w:val="22"/>
          <w:color w:val="auto"/>
        </w:rPr>
        <w:t>Christopher H. Franklin</w:t>
      </w:r>
    </w:p>
    <w:p>
      <w:pPr>
        <w:ind w:left="6300"/>
        <w:spacing w:after="0" w:line="218" w:lineRule="auto"/>
        <w:rPr>
          <w:sz w:val="20"/>
          <w:szCs w:val="20"/>
          <w:color w:val="auto"/>
        </w:rPr>
      </w:pPr>
      <w:r>
        <w:rPr>
          <w:rFonts w:ascii="Arial" w:cs="Arial" w:eastAsia="Arial" w:hAnsi="Arial"/>
          <w:sz w:val="22"/>
          <w:szCs w:val="22"/>
          <w:color w:val="auto"/>
        </w:rPr>
        <w:t>Chairman, President and</w:t>
      </w:r>
    </w:p>
    <w:p>
      <w:pPr>
        <w:ind w:left="63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66"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wp:posOffset>
            </wp:positionV>
            <wp:extent cx="31375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300"/>
        <w:spacing w:after="0" w:line="225" w:lineRule="auto"/>
        <w:rPr>
          <w:sz w:val="20"/>
          <w:szCs w:val="20"/>
          <w:color w:val="auto"/>
        </w:rPr>
      </w:pPr>
      <w:r>
        <w:rPr>
          <w:rFonts w:ascii="Arial" w:cs="Arial" w:eastAsia="Arial" w:hAnsi="Arial"/>
          <w:sz w:val="22"/>
          <w:szCs w:val="22"/>
          <w:color w:val="auto"/>
        </w:rPr>
        <w:t>Daniel J. Schuller</w:t>
      </w:r>
    </w:p>
    <w:p>
      <w:pPr>
        <w:ind w:left="6300"/>
        <w:spacing w:after="0" w:line="218" w:lineRule="auto"/>
        <w:rPr>
          <w:sz w:val="20"/>
          <w:szCs w:val="20"/>
          <w:color w:val="auto"/>
        </w:rPr>
      </w:pPr>
      <w:r>
        <w:rPr>
          <w:rFonts w:ascii="Arial" w:cs="Arial" w:eastAsia="Arial" w:hAnsi="Arial"/>
          <w:sz w:val="22"/>
          <w:szCs w:val="22"/>
          <w:color w:val="auto"/>
        </w:rPr>
        <w:t>Executive Vice President and</w:t>
      </w:r>
    </w:p>
    <w:p>
      <w:pPr>
        <w:ind w:left="6300"/>
        <w:spacing w:after="0"/>
        <w:rPr>
          <w:sz w:val="20"/>
          <w:szCs w:val="20"/>
          <w:color w:val="auto"/>
        </w:rPr>
      </w:pPr>
      <w:r>
        <w:rPr>
          <w:rFonts w:ascii="Arial" w:cs="Arial" w:eastAsia="Arial" w:hAnsi="Arial"/>
          <w:sz w:val="22"/>
          <w:szCs w:val="22"/>
          <w:color w:val="auto"/>
        </w:rPr>
        <w:t>Chief Financial Officer</w:t>
      </w:r>
    </w:p>
    <w:p>
      <w:pPr>
        <w:spacing w:after="0" w:line="35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100"/>
          </w:cols>
          <w:pgMar w:left="320" w:top="118" w:right="479" w:bottom="1440" w:gutter="0" w:footer="0" w:header="0"/>
        </w:sectPr>
      </w:pPr>
    </w:p>
    <w:bookmarkStart w:id="48" w:name="page49"/>
    <w:bookmarkEnd w:id="48"/>
    <w:p>
      <w:pPr>
        <w:jc w:val="right"/>
        <w:ind w:right="199"/>
        <w:spacing w:after="0"/>
        <w:rPr>
          <w:sz w:val="20"/>
          <w:szCs w:val="20"/>
          <w:color w:val="auto"/>
        </w:rPr>
      </w:pPr>
      <w:r>
        <w:rPr>
          <w:rFonts w:ascii="Arial" w:cs="Arial" w:eastAsia="Arial" w:hAnsi="Arial"/>
          <w:sz w:val="22"/>
          <w:szCs w:val="22"/>
          <w:color w:val="auto"/>
        </w:rPr>
        <w:t>Exhibit 10.1</w:t>
      </w:r>
    </w:p>
    <w:p>
      <w:pPr>
        <w:jc w:val="right"/>
        <w:ind w:right="199"/>
        <w:spacing w:after="0" w:line="238" w:lineRule="auto"/>
        <w:rPr>
          <w:sz w:val="20"/>
          <w:szCs w:val="20"/>
          <w:color w:val="auto"/>
        </w:rPr>
      </w:pPr>
      <w:r>
        <w:rPr>
          <w:rFonts w:ascii="Arial" w:cs="Arial" w:eastAsia="Arial" w:hAnsi="Arial"/>
          <w:sz w:val="22"/>
          <w:szCs w:val="22"/>
          <w:color w:val="auto"/>
        </w:rPr>
        <w:t>EXECUTION VERSION</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auto"/>
        </w:rPr>
        <w:t>SECOND AMENDMENT TO CREDIT AGREEMENT</w:t>
      </w:r>
    </w:p>
    <w:p>
      <w:pPr>
        <w:spacing w:after="0" w:line="200" w:lineRule="exact"/>
        <w:rPr>
          <w:sz w:val="20"/>
          <w:szCs w:val="20"/>
          <w:color w:val="auto"/>
        </w:rPr>
      </w:pPr>
    </w:p>
    <w:p>
      <w:pPr>
        <w:spacing w:after="0" w:line="204" w:lineRule="exact"/>
        <w:rPr>
          <w:sz w:val="20"/>
          <w:szCs w:val="20"/>
          <w:color w:val="auto"/>
        </w:rPr>
      </w:pPr>
    </w:p>
    <w:p>
      <w:pPr>
        <w:jc w:val="both"/>
        <w:ind w:left="180" w:right="199" w:firstLine="1296"/>
        <w:spacing w:after="0" w:line="245" w:lineRule="auto"/>
        <w:rPr>
          <w:sz w:val="20"/>
          <w:szCs w:val="20"/>
          <w:color w:val="auto"/>
        </w:rPr>
      </w:pPr>
      <w:r>
        <w:rPr>
          <w:rFonts w:ascii="Arial" w:cs="Arial" w:eastAsia="Arial" w:hAnsi="Arial"/>
          <w:sz w:val="21"/>
          <w:szCs w:val="21"/>
          <w:color w:val="auto"/>
        </w:rPr>
        <w:t>THIS SECOND AMENDMENT TO CREDIT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as of this 30th day of June, 2022, by and among (i) PNG COMPANIES LLC, a Delaware limited liability company (“</w:t>
      </w:r>
      <w:r>
        <w:rPr>
          <w:rFonts w:ascii="Arial" w:cs="Arial" w:eastAsia="Arial" w:hAnsi="Arial"/>
          <w:sz w:val="21"/>
          <w:szCs w:val="21"/>
          <w:u w:val="single" w:color="auto"/>
          <w:color w:val="auto"/>
        </w:rPr>
        <w:t>Borrower</w:t>
      </w:r>
      <w:r>
        <w:rPr>
          <w:rFonts w:ascii="Arial" w:cs="Arial" w:eastAsia="Arial" w:hAnsi="Arial"/>
          <w:sz w:val="21"/>
          <w:szCs w:val="21"/>
          <w:color w:val="auto"/>
        </w:rPr>
        <w:t>”), (ii) the several banks and other financial institutions or entities parties on the date hereof to the Existing Credit Agreement (as defined below) and listed on the signature pages hereto as an “</w:t>
      </w:r>
      <w:r>
        <w:rPr>
          <w:rFonts w:ascii="Arial" w:cs="Arial" w:eastAsia="Arial" w:hAnsi="Arial"/>
          <w:sz w:val="21"/>
          <w:szCs w:val="21"/>
          <w:u w:val="single" w:color="auto"/>
          <w:color w:val="auto"/>
        </w:rPr>
        <w:t>Existing Lender</w:t>
      </w:r>
      <w:r>
        <w:rPr>
          <w:rFonts w:ascii="Arial" w:cs="Arial" w:eastAsia="Arial" w:hAnsi="Arial"/>
          <w:sz w:val="21"/>
          <w:szCs w:val="21"/>
          <w:color w:val="auto"/>
        </w:rPr>
        <w:t>” (each an “</w:t>
      </w:r>
      <w:r>
        <w:rPr>
          <w:rFonts w:ascii="Arial" w:cs="Arial" w:eastAsia="Arial" w:hAnsi="Arial"/>
          <w:sz w:val="21"/>
          <w:szCs w:val="21"/>
          <w:u w:val="single" w:color="auto"/>
          <w:color w:val="auto"/>
        </w:rPr>
        <w:t>Existing Lender</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Existing Lenders</w:t>
      </w:r>
      <w:r>
        <w:rPr>
          <w:rFonts w:ascii="Arial" w:cs="Arial" w:eastAsia="Arial" w:hAnsi="Arial"/>
          <w:sz w:val="21"/>
          <w:szCs w:val="21"/>
          <w:color w:val="auto"/>
        </w:rPr>
        <w:t>”), (iii) the new lender joining the Existing Credit Agreement on the date hereof and listed on the signature pages hereto as the “New Lender” (the “</w:t>
      </w:r>
      <w:r>
        <w:rPr>
          <w:rFonts w:ascii="Arial" w:cs="Arial" w:eastAsia="Arial" w:hAnsi="Arial"/>
          <w:sz w:val="21"/>
          <w:szCs w:val="21"/>
          <w:u w:val="single" w:color="auto"/>
          <w:color w:val="auto"/>
        </w:rPr>
        <w:t>New Lender</w:t>
      </w:r>
      <w:r>
        <w:rPr>
          <w:rFonts w:ascii="Arial" w:cs="Arial" w:eastAsia="Arial" w:hAnsi="Arial"/>
          <w:sz w:val="21"/>
          <w:szCs w:val="21"/>
          <w:color w:val="auto"/>
        </w:rPr>
        <w:t>” and, together with the Existing Lenders, each a “</w:t>
      </w:r>
      <w:r>
        <w:rPr>
          <w:rFonts w:ascii="Arial" w:cs="Arial" w:eastAsia="Arial" w:hAnsi="Arial"/>
          <w:sz w:val="21"/>
          <w:szCs w:val="21"/>
          <w:u w:val="single" w:color="auto"/>
          <w:color w:val="auto"/>
        </w:rPr>
        <w:t>Lender</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Lenders</w:t>
      </w:r>
      <w:r>
        <w:rPr>
          <w:rFonts w:ascii="Arial" w:cs="Arial" w:eastAsia="Arial" w:hAnsi="Arial"/>
          <w:sz w:val="21"/>
          <w:szCs w:val="21"/>
          <w:color w:val="auto"/>
        </w:rPr>
        <w:t>”) and (iv) PNC BANK, NATIONAL ASSOCIATION in its capacity as administrative agent for the Lenders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BACKGROUND</w:t>
      </w:r>
    </w:p>
    <w:p>
      <w:pPr>
        <w:spacing w:after="0" w:line="206" w:lineRule="exact"/>
        <w:rPr>
          <w:sz w:val="20"/>
          <w:szCs w:val="20"/>
          <w:color w:val="auto"/>
        </w:rPr>
      </w:pPr>
    </w:p>
    <w:p>
      <w:pPr>
        <w:jc w:val="both"/>
        <w:ind w:left="300" w:right="199" w:firstLine="532"/>
        <w:spacing w:after="0" w:line="276" w:lineRule="auto"/>
        <w:tabs>
          <w:tab w:leader="none" w:pos="1495"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Borrower, the Administrative Agent and the Existing Lenders are parties to a Credit Agreement, dated as of November 25, 2020 (as heretofore amended, supplemented,</w:t>
      </w:r>
    </w:p>
    <w:p>
      <w:pPr>
        <w:spacing w:after="0" w:line="1" w:lineRule="exact"/>
        <w:rPr>
          <w:sz w:val="20"/>
          <w:szCs w:val="20"/>
          <w:color w:val="auto"/>
        </w:rPr>
      </w:pPr>
    </w:p>
    <w:p>
      <w:pPr>
        <w:jc w:val="both"/>
        <w:ind w:left="180" w:right="199"/>
        <w:spacing w:after="0" w:line="243" w:lineRule="auto"/>
        <w:rPr>
          <w:sz w:val="20"/>
          <w:szCs w:val="20"/>
          <w:color w:val="auto"/>
        </w:rPr>
      </w:pPr>
      <w:r>
        <w:rPr>
          <w:rFonts w:ascii="Arial" w:cs="Arial" w:eastAsia="Arial" w:hAnsi="Arial"/>
          <w:sz w:val="21"/>
          <w:szCs w:val="21"/>
          <w:color w:val="auto"/>
        </w:rPr>
        <w:t>modified, or restated, including by the First Amendment to Credit Agreement, dated as of November 5, 2021, the “</w:t>
      </w:r>
      <w:r>
        <w:rPr>
          <w:rFonts w:ascii="Arial" w:cs="Arial" w:eastAsia="Arial" w:hAnsi="Arial"/>
          <w:sz w:val="21"/>
          <w:szCs w:val="21"/>
          <w:u w:val="single" w:color="auto"/>
          <w:color w:val="auto"/>
        </w:rPr>
        <w:t>Existing Credit Agreement</w:t>
      </w:r>
      <w:r>
        <w:rPr>
          <w:rFonts w:ascii="Arial" w:cs="Arial" w:eastAsia="Arial" w:hAnsi="Arial"/>
          <w:sz w:val="21"/>
          <w:szCs w:val="21"/>
          <w:color w:val="auto"/>
        </w:rPr>
        <w:t>”; the Existing Credit Agreement, as amended by this Agreement and as may be further amended, supplemented, modified or restated from time to time, the “</w:t>
      </w:r>
      <w:r>
        <w:rPr>
          <w:rFonts w:ascii="Arial" w:cs="Arial" w:eastAsia="Arial" w:hAnsi="Arial"/>
          <w:sz w:val="21"/>
          <w:szCs w:val="21"/>
          <w:u w:val="single" w:color="auto"/>
          <w:color w:val="auto"/>
        </w:rPr>
        <w:t>Amended Credit Agreement</w:t>
      </w:r>
      <w:r>
        <w:rPr>
          <w:rFonts w:ascii="Arial" w:cs="Arial" w:eastAsia="Arial" w:hAnsi="Arial"/>
          <w:sz w:val="21"/>
          <w:szCs w:val="21"/>
          <w:color w:val="auto"/>
        </w:rPr>
        <w:t>”), pursuant to which the Lenders have made available to the Borrower a revolving credit facility in an aggregate amount of $100,000,000 (the “</w:t>
      </w:r>
      <w:r>
        <w:rPr>
          <w:rFonts w:ascii="Arial" w:cs="Arial" w:eastAsia="Arial" w:hAnsi="Arial"/>
          <w:sz w:val="21"/>
          <w:szCs w:val="21"/>
          <w:u w:val="single" w:color="auto"/>
          <w:color w:val="auto"/>
        </w:rPr>
        <w:t>Existing Facility</w:t>
      </w:r>
      <w:r>
        <w:rPr>
          <w:rFonts w:ascii="Arial" w:cs="Arial" w:eastAsia="Arial" w:hAnsi="Arial"/>
          <w:sz w:val="21"/>
          <w:szCs w:val="21"/>
          <w:color w:val="auto"/>
        </w:rPr>
        <w:t>”). The loans under the Existing Facility are evidenced by the Borrower’s Notes to the Lenders in the aggregate principal amount of $100,000,000.</w:t>
      </w:r>
    </w:p>
    <w:p>
      <w:pPr>
        <w:spacing w:after="0" w:line="188" w:lineRule="exact"/>
        <w:rPr>
          <w:sz w:val="20"/>
          <w:szCs w:val="20"/>
          <w:color w:val="auto"/>
        </w:rPr>
      </w:pPr>
    </w:p>
    <w:p>
      <w:pPr>
        <w:ind w:left="180" w:right="199" w:firstLine="652"/>
        <w:spacing w:after="0" w:line="250" w:lineRule="auto"/>
        <w:tabs>
          <w:tab w:leader="none" w:pos="1472" w:val="left"/>
        </w:tabs>
        <w:numPr>
          <w:ilvl w:val="1"/>
          <w:numId w:val="7"/>
        </w:numPr>
        <w:rPr>
          <w:rFonts w:ascii="Arial" w:cs="Arial" w:eastAsia="Arial" w:hAnsi="Arial"/>
          <w:sz w:val="22"/>
          <w:szCs w:val="22"/>
          <w:color w:val="auto"/>
        </w:rPr>
      </w:pPr>
      <w:r>
        <w:rPr>
          <w:rFonts w:ascii="Arial" w:cs="Arial" w:eastAsia="Arial" w:hAnsi="Arial"/>
          <w:sz w:val="22"/>
          <w:szCs w:val="22"/>
          <w:color w:val="auto"/>
        </w:rPr>
        <w:t>The Borrower has requested that the New Lender join the Existing Credit Agreement as a Lender.</w:t>
      </w:r>
    </w:p>
    <w:p>
      <w:pPr>
        <w:spacing w:after="0" w:line="174" w:lineRule="exact"/>
        <w:rPr>
          <w:rFonts w:ascii="Arial" w:cs="Arial" w:eastAsia="Arial" w:hAnsi="Arial"/>
          <w:sz w:val="22"/>
          <w:szCs w:val="22"/>
          <w:color w:val="auto"/>
        </w:rPr>
      </w:pPr>
    </w:p>
    <w:p>
      <w:pPr>
        <w:ind w:left="1480" w:hanging="648"/>
        <w:spacing w:after="0"/>
        <w:tabs>
          <w:tab w:leader="none" w:pos="1480" w:val="left"/>
        </w:tabs>
        <w:numPr>
          <w:ilvl w:val="1"/>
          <w:numId w:val="7"/>
        </w:numPr>
        <w:rPr>
          <w:rFonts w:ascii="Arial" w:cs="Arial" w:eastAsia="Arial" w:hAnsi="Arial"/>
          <w:sz w:val="21"/>
          <w:szCs w:val="21"/>
          <w:color w:val="auto"/>
        </w:rPr>
      </w:pPr>
      <w:r>
        <w:rPr>
          <w:rFonts w:ascii="Arial" w:cs="Arial" w:eastAsia="Arial" w:hAnsi="Arial"/>
          <w:sz w:val="21"/>
          <w:szCs w:val="21"/>
          <w:color w:val="auto"/>
        </w:rPr>
        <w:t>In addition, the Borrower, the Administrative Agent and the Lenders desire to</w:t>
      </w:r>
    </w:p>
    <w:p>
      <w:pPr>
        <w:spacing w:after="0" w:line="19" w:lineRule="exact"/>
        <w:rPr>
          <w:rFonts w:ascii="Arial" w:cs="Arial" w:eastAsia="Arial" w:hAnsi="Arial"/>
          <w:sz w:val="21"/>
          <w:szCs w:val="21"/>
          <w:color w:val="auto"/>
        </w:rPr>
      </w:pPr>
    </w:p>
    <w:p>
      <w:pPr>
        <w:jc w:val="both"/>
        <w:ind w:left="180" w:right="199" w:firstLine="4"/>
        <w:spacing w:after="0" w:line="248" w:lineRule="auto"/>
        <w:tabs>
          <w:tab w:leader="none" w:pos="438" w:val="left"/>
        </w:tabs>
        <w:numPr>
          <w:ilvl w:val="0"/>
          <w:numId w:val="8"/>
        </w:numPr>
        <w:rPr>
          <w:rFonts w:ascii="Arial" w:cs="Arial" w:eastAsia="Arial" w:hAnsi="Arial"/>
          <w:sz w:val="21"/>
          <w:szCs w:val="21"/>
          <w:color w:val="auto"/>
        </w:rPr>
      </w:pPr>
      <w:r>
        <w:rPr>
          <w:rFonts w:ascii="Arial" w:cs="Arial" w:eastAsia="Arial" w:hAnsi="Arial"/>
          <w:sz w:val="21"/>
          <w:szCs w:val="21"/>
          <w:color w:val="auto"/>
        </w:rPr>
        <w:t>extend the Revolving Commitment Termination Date; (ii) increase the aggregate amount of the Revolving Commitments to $300,000,000; and (iii) modify certain other provisions of the Existing Credit Agreement, all on the terms and subject to the conditions herein set forth.</w:t>
      </w:r>
    </w:p>
    <w:p>
      <w:pPr>
        <w:spacing w:after="0" w:line="178"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NOW THEREFORE, the parties hereto, intending to be legally bound hereby, agree</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as follows: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AGREEMENT</w:t>
      </w:r>
    </w:p>
    <w:p>
      <w:pPr>
        <w:spacing w:after="0" w:line="206" w:lineRule="exact"/>
        <w:rPr>
          <w:sz w:val="20"/>
          <w:szCs w:val="20"/>
          <w:color w:val="auto"/>
        </w:rPr>
      </w:pPr>
    </w:p>
    <w:p>
      <w:pPr>
        <w:ind w:left="180" w:right="199" w:firstLine="1300"/>
        <w:spacing w:after="0" w:line="250" w:lineRule="auto"/>
        <w:tabs>
          <w:tab w:leader="none" w:pos="2097"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Terms</w:t>
      </w:r>
      <w:r>
        <w:rPr>
          <w:rFonts w:ascii="Arial" w:cs="Arial" w:eastAsia="Arial" w:hAnsi="Arial"/>
          <w:sz w:val="22"/>
          <w:szCs w:val="22"/>
          <w:color w:val="auto"/>
        </w:rPr>
        <w:t>. Capitalized terms used herein and not otherwise defined herein shall have the meanings given to such terms in the Amended Credit Agreement.</w:t>
      </w:r>
    </w:p>
    <w:p>
      <w:pPr>
        <w:spacing w:after="0" w:line="174" w:lineRule="exact"/>
        <w:rPr>
          <w:rFonts w:ascii="Arial" w:cs="Arial" w:eastAsia="Arial" w:hAnsi="Arial"/>
          <w:sz w:val="22"/>
          <w:szCs w:val="22"/>
          <w:color w:val="auto"/>
        </w:rPr>
      </w:pPr>
    </w:p>
    <w:p>
      <w:pPr>
        <w:jc w:val="both"/>
        <w:ind w:left="180" w:right="199" w:firstLine="1300"/>
        <w:spacing w:after="0"/>
        <w:tabs>
          <w:tab w:leader="none" w:pos="2097"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Amendments to Existing Credit Agreement</w:t>
      </w:r>
      <w:r>
        <w:rPr>
          <w:rFonts w:ascii="Arial" w:cs="Arial" w:eastAsia="Arial" w:hAnsi="Arial"/>
          <w:sz w:val="22"/>
          <w:szCs w:val="22"/>
          <w:color w:val="auto"/>
        </w:rPr>
        <w:t>. Effective on June 30, 2022 (the “</w:t>
      </w:r>
      <w:r>
        <w:rPr>
          <w:rFonts w:ascii="Arial" w:cs="Arial" w:eastAsia="Arial" w:hAnsi="Arial"/>
          <w:sz w:val="22"/>
          <w:szCs w:val="22"/>
          <w:u w:val="single" w:color="auto"/>
          <w:color w:val="auto"/>
        </w:rPr>
        <w:t>Second Amendment Effective Date</w:t>
      </w:r>
      <w:r>
        <w:rPr>
          <w:rFonts w:ascii="Arial" w:cs="Arial" w:eastAsia="Arial" w:hAnsi="Arial"/>
          <w:sz w:val="22"/>
          <w:szCs w:val="22"/>
          <w:color w:val="auto"/>
        </w:rPr>
        <w:t>”), the Existing Credit Agreement shall be amended as follows:</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#403601135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9" w:name="page50"/>
    <w:bookmarkEnd w:id="49"/>
    <w:p>
      <w:pPr>
        <w:ind w:left="2780" w:hanging="652"/>
        <w:spacing w:after="0"/>
        <w:tabs>
          <w:tab w:leader="none" w:pos="27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Cover Page shall be amended to insert in the upper right hand</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corner the following:</w:t>
      </w:r>
    </w:p>
    <w:p>
      <w:pPr>
        <w:spacing w:after="0" w:line="18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CUSIP No. 69349CAP3</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REVOLVER CUSIP No. 69349CAQ15.</w:t>
      </w:r>
    </w:p>
    <w:p>
      <w:pPr>
        <w:spacing w:after="0" w:line="188" w:lineRule="exact"/>
        <w:rPr>
          <w:sz w:val="20"/>
          <w:szCs w:val="20"/>
          <w:color w:val="auto"/>
        </w:rPr>
      </w:pPr>
    </w:p>
    <w:p>
      <w:pPr>
        <w:ind w:left="2780" w:hanging="652"/>
        <w:spacing w:after="0"/>
        <w:tabs>
          <w:tab w:leader="none" w:pos="2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first WHEREAS clause shall be amended and restated to read in</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full as follows:</w:t>
      </w:r>
    </w:p>
    <w:p>
      <w:pPr>
        <w:spacing w:after="0" w:line="188" w:lineRule="exact"/>
        <w:rPr>
          <w:sz w:val="20"/>
          <w:szCs w:val="20"/>
          <w:color w:val="auto"/>
        </w:rPr>
      </w:pPr>
    </w:p>
    <w:p>
      <w:pPr>
        <w:jc w:val="both"/>
        <w:ind w:left="2780" w:right="839"/>
        <w:spacing w:after="0" w:line="277" w:lineRule="auto"/>
        <w:rPr>
          <w:sz w:val="20"/>
          <w:szCs w:val="20"/>
          <w:color w:val="auto"/>
        </w:rPr>
      </w:pPr>
      <w:r>
        <w:rPr>
          <w:rFonts w:ascii="Arial" w:cs="Arial" w:eastAsia="Arial" w:hAnsi="Arial"/>
          <w:sz w:val="19"/>
          <w:szCs w:val="19"/>
          <w:color w:val="auto"/>
        </w:rPr>
        <w:t>WHEREAS, the Borrower has requested, and the Lenders have agreed, to make available a revolving facility in an aggregate amount, as of the Second Amendment Effective Date, of $300,000,000, the proceeds of which shall be used for (i) purchases of natural gas inventory and/or (ii) other working capital needs and general corporate purposes of the Borrower and its Subsidiaries.</w:t>
      </w:r>
    </w:p>
    <w:p>
      <w:pPr>
        <w:spacing w:after="0" w:line="152" w:lineRule="exact"/>
        <w:rPr>
          <w:sz w:val="20"/>
          <w:szCs w:val="20"/>
          <w:color w:val="auto"/>
        </w:rPr>
      </w:pPr>
    </w:p>
    <w:p>
      <w:pPr>
        <w:ind w:left="180" w:right="199" w:firstLine="1948"/>
        <w:spacing w:after="0" w:line="250" w:lineRule="auto"/>
        <w:tabs>
          <w:tab w:leader="none" w:pos="2769"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following definitions in Section 1.1 shall be amended and restated to read in full as follows:</w:t>
      </w:r>
    </w:p>
    <w:p>
      <w:pPr>
        <w:spacing w:after="0" w:line="175" w:lineRule="exact"/>
        <w:rPr>
          <w:sz w:val="20"/>
          <w:szCs w:val="20"/>
          <w:color w:val="auto"/>
        </w:rPr>
      </w:pPr>
    </w:p>
    <w:p>
      <w:pPr>
        <w:jc w:val="both"/>
        <w:ind w:left="2780" w:right="839"/>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Anti-Corruption Laws</w:t>
      </w:r>
      <w:r>
        <w:rPr>
          <w:rFonts w:ascii="Arial" w:cs="Arial" w:eastAsia="Arial" w:hAnsi="Arial"/>
          <w:sz w:val="19"/>
          <w:szCs w:val="19"/>
          <w:color w:val="auto"/>
        </w:rPr>
        <w:t>”: all laws, rules and regulations of any jurisdiction applicable to the Borrower or its Subsidiaries from time to time concerning or relating to bribery or corruption, including without limitation, the Foreign Corrupt Practices Act of 1977 and the U.K. Bribery Act of 2010 and the rules and regulations thereunder.</w:t>
      </w:r>
    </w:p>
    <w:p>
      <w:pPr>
        <w:spacing w:after="0" w:line="150" w:lineRule="exact"/>
        <w:rPr>
          <w:sz w:val="20"/>
          <w:szCs w:val="20"/>
          <w:color w:val="auto"/>
        </w:rPr>
      </w:pPr>
    </w:p>
    <w:p>
      <w:pPr>
        <w:jc w:val="both"/>
        <w:ind w:left="2780" w:right="839"/>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Request</w:t>
      </w:r>
      <w:r>
        <w:rPr>
          <w:rFonts w:ascii="Arial" w:cs="Arial" w:eastAsia="Arial" w:hAnsi="Arial"/>
          <w:sz w:val="22"/>
          <w:szCs w:val="22"/>
          <w:color w:val="auto"/>
        </w:rPr>
        <w:t xml:space="preserve">”: with respect to any request for borrowing of Revolving Loans hereunder, a notice from the Borrower, substantially in the form of, and containing the information prescribed by,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(or such other form approved by the Administrative Agent) delivered to the Administrative Agent, which Borrowing Request shall, unless otherwise agreed by the Administrative Agent and the Borrower, detail whether the proceeds of such Revolving Loan are being used for (a) purchases of natural gas inventory or (b) other working capital needs and general corporate purposes.</w:t>
      </w:r>
    </w:p>
    <w:p>
      <w:pPr>
        <w:spacing w:after="0" w:line="18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Commitment Termination Date</w:t>
      </w:r>
      <w:r>
        <w:rPr>
          <w:rFonts w:ascii="Arial" w:cs="Arial" w:eastAsia="Arial" w:hAnsi="Arial"/>
          <w:sz w:val="22"/>
          <w:szCs w:val="22"/>
          <w:color w:val="auto"/>
        </w:rPr>
        <w:t>”: June 29, 2023.</w:t>
      </w:r>
    </w:p>
    <w:p>
      <w:pPr>
        <w:spacing w:after="0" w:line="206" w:lineRule="exact"/>
        <w:rPr>
          <w:sz w:val="20"/>
          <w:szCs w:val="20"/>
          <w:color w:val="auto"/>
        </w:rPr>
      </w:pPr>
    </w:p>
    <w:p>
      <w:pPr>
        <w:jc w:val="both"/>
        <w:ind w:left="2780" w:right="839"/>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Sanctioned Country</w:t>
      </w:r>
      <w:r>
        <w:rPr>
          <w:rFonts w:ascii="Arial" w:cs="Arial" w:eastAsia="Arial" w:hAnsi="Arial"/>
          <w:sz w:val="21"/>
          <w:szCs w:val="21"/>
          <w:color w:val="auto"/>
        </w:rPr>
        <w:t>”: any country, territory, or region that is the subject of sanctions administered by the Office of Foreign Assets Control of the U.S. Department of the Treasury, which countries, territories, and regions include,</w:t>
      </w:r>
    </w:p>
    <w:p>
      <w:pPr>
        <w:spacing w:after="0" w:line="174"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940" w:type="dxa"/>
            <w:vAlign w:val="bottom"/>
          </w:tcPr>
          <w:p>
            <w:pPr>
              <w:spacing w:after="0"/>
              <w:rPr>
                <w:sz w:val="20"/>
                <w:szCs w:val="20"/>
                <w:color w:val="auto"/>
              </w:rPr>
            </w:pPr>
            <w:r>
              <w:rPr>
                <w:rFonts w:ascii="Arial" w:cs="Arial" w:eastAsia="Arial" w:hAnsi="Arial"/>
                <w:sz w:val="14"/>
                <w:szCs w:val="14"/>
                <w:color w:val="auto"/>
              </w:rPr>
              <w:t>DMFIRM #403601135 v6</w:t>
            </w:r>
          </w:p>
        </w:tc>
        <w:tc>
          <w:tcPr>
            <w:tcW w:w="5740" w:type="dxa"/>
            <w:vAlign w:val="bottom"/>
          </w:tcPr>
          <w:p>
            <w:pPr>
              <w:jc w:val="right"/>
              <w:ind w:right="4192"/>
              <w:spacing w:after="0"/>
              <w:rPr>
                <w:sz w:val="20"/>
                <w:szCs w:val="20"/>
                <w:color w:val="auto"/>
              </w:rPr>
            </w:pPr>
            <w:r>
              <w:rPr>
                <w:rFonts w:ascii="Arial" w:cs="Arial" w:eastAsia="Arial" w:hAnsi="Arial"/>
                <w:sz w:val="22"/>
                <w:szCs w:val="22"/>
                <w:color w:val="auto"/>
              </w:rPr>
              <w:t>2</w:t>
            </w:r>
          </w:p>
        </w:tc>
      </w:tr>
      <w:tr>
        <w:trPr>
          <w:trHeight w:val="341"/>
        </w:trPr>
        <w:tc>
          <w:tcPr>
            <w:tcW w:w="294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r>
      <w:tr>
        <w:trPr>
          <w:trHeight w:val="20"/>
        </w:trPr>
        <w:tc>
          <w:tcPr>
            <w:tcW w:w="2940" w:type="dxa"/>
            <w:vAlign w:val="bottom"/>
            <w:tcBorders>
              <w:bottom w:val="single" w:sz="8" w:color="EEEEEE"/>
            </w:tcBorders>
          </w:tcPr>
          <w:p>
            <w:pPr>
              <w:spacing w:after="0" w:line="20" w:lineRule="exact"/>
              <w:rPr>
                <w:sz w:val="1"/>
                <w:szCs w:val="1"/>
                <w:color w:val="auto"/>
              </w:rPr>
            </w:pPr>
          </w:p>
        </w:tc>
        <w:tc>
          <w:tcPr>
            <w:tcW w:w="57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0" w:name="page51"/>
    <w:bookmarkEnd w:id="50"/>
    <w:p>
      <w:pPr>
        <w:jc w:val="both"/>
        <w:ind w:left="2780" w:right="839"/>
        <w:spacing w:after="0" w:line="238" w:lineRule="auto"/>
        <w:rPr>
          <w:sz w:val="20"/>
          <w:szCs w:val="20"/>
          <w:color w:val="auto"/>
        </w:rPr>
      </w:pPr>
      <w:r>
        <w:rPr>
          <w:rFonts w:ascii="Arial" w:cs="Arial" w:eastAsia="Arial" w:hAnsi="Arial"/>
          <w:sz w:val="22"/>
          <w:szCs w:val="22"/>
          <w:color w:val="auto"/>
        </w:rPr>
        <w:t>as of the Second Amendment Effective Date, the Crimea region of Ukraine, Cuba, Iran, North Korea, Syria, and the separatist-controlled portions of the Donetsk and Luhansk regions of Ukraine.</w:t>
      </w:r>
    </w:p>
    <w:p>
      <w:pPr>
        <w:spacing w:after="0" w:line="185" w:lineRule="exact"/>
        <w:rPr>
          <w:sz w:val="20"/>
          <w:szCs w:val="20"/>
          <w:color w:val="auto"/>
        </w:rPr>
      </w:pPr>
    </w:p>
    <w:p>
      <w:pPr>
        <w:jc w:val="both"/>
        <w:ind w:left="2780" w:right="83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at any time, (a) any Person listed in any Sanctions-related list of designated Persons maintained by the Office of Foreign Assets Control of the U.S. Department of the Treasury or the U.S. Department of State or by the United Nations Security Council, the European Union, the United Kingdom or any European Union member state, (b) any Person operating, organized or resident in a Sanctioned Country or (c) any Person controlled by any such Person described in the foregoing clauses (a) and (b).</w:t>
      </w:r>
    </w:p>
    <w:p>
      <w:pPr>
        <w:spacing w:after="0" w:line="158" w:lineRule="exact"/>
        <w:rPr>
          <w:sz w:val="20"/>
          <w:szCs w:val="20"/>
          <w:color w:val="auto"/>
        </w:rPr>
      </w:pPr>
    </w:p>
    <w:p>
      <w:pPr>
        <w:jc w:val="both"/>
        <w:ind w:left="2780" w:right="83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 or other relevant sanctions authority with jurisdiction over any Lender, the Borrower or any of its or their Subsidiaries.</w:t>
      </w:r>
    </w:p>
    <w:p>
      <w:pPr>
        <w:spacing w:after="0" w:line="15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Sublimit</w:t>
      </w:r>
      <w:r>
        <w:rPr>
          <w:rFonts w:ascii="Arial" w:cs="Arial" w:eastAsia="Arial" w:hAnsi="Arial"/>
          <w:sz w:val="22"/>
          <w:szCs w:val="22"/>
          <w:color w:val="auto"/>
        </w:rPr>
        <w:t>”: 30,000,000.</w:t>
      </w:r>
    </w:p>
    <w:p>
      <w:pPr>
        <w:spacing w:after="0" w:line="206" w:lineRule="exact"/>
        <w:rPr>
          <w:sz w:val="20"/>
          <w:szCs w:val="20"/>
          <w:color w:val="auto"/>
        </w:rPr>
      </w:pPr>
    </w:p>
    <w:p>
      <w:pPr>
        <w:jc w:val="both"/>
        <w:ind w:left="2780" w:right="83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Revolving Commitments</w:t>
      </w:r>
      <w:r>
        <w:rPr>
          <w:rFonts w:ascii="Arial" w:cs="Arial" w:eastAsia="Arial" w:hAnsi="Arial"/>
          <w:sz w:val="19"/>
          <w:szCs w:val="19"/>
          <w:color w:val="auto"/>
        </w:rPr>
        <w:t>”: at any time, the aggregate amount of the Revolving Commitments then in effect. The amount of the Total Revolving Commitments as of the Second Amendment Effective Date is $300,000,000.</w:t>
      </w:r>
    </w:p>
    <w:p>
      <w:pPr>
        <w:spacing w:after="0" w:line="143" w:lineRule="exact"/>
        <w:rPr>
          <w:sz w:val="20"/>
          <w:szCs w:val="20"/>
          <w:color w:val="auto"/>
        </w:rPr>
      </w:pPr>
    </w:p>
    <w:p>
      <w:pPr>
        <w:ind w:left="180" w:right="199" w:firstLine="1948"/>
        <w:spacing w:after="0" w:line="250" w:lineRule="auto"/>
        <w:tabs>
          <w:tab w:leader="none" w:pos="2781"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following definitions are hereby added to Section 1.1 in the appropriate alphabetical order:</w:t>
      </w:r>
    </w:p>
    <w:p>
      <w:pPr>
        <w:sectPr>
          <w:pgSz w:w="11900" w:h="16838" w:orient="portrait"/>
          <w:cols w:equalWidth="0" w:num="1">
            <w:col w:w="9019"/>
          </w:cols>
          <w:pgMar w:left="14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#403601135 v6</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both"/>
        <w:ind w:right="83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Amendment</w:t>
      </w:r>
      <w:r>
        <w:rPr>
          <w:rFonts w:ascii="Arial" w:cs="Arial" w:eastAsia="Arial" w:hAnsi="Arial"/>
          <w:sz w:val="22"/>
          <w:szCs w:val="22"/>
          <w:color w:val="auto"/>
        </w:rPr>
        <w:t>”: the Second Amendment to Credit Agreement by and among the Borrower, the Lenders party thereto and the Administrative Agent, dated as of the Second Amendment Effective Date.</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Second Amendment Effective Date</w:t>
      </w:r>
      <w:r>
        <w:rPr>
          <w:rFonts w:ascii="Arial" w:cs="Arial" w:eastAsia="Arial" w:hAnsi="Arial"/>
          <w:sz w:val="19"/>
          <w:szCs w:val="19"/>
          <w:color w:val="auto"/>
        </w:rPr>
        <w:t>” means June 30, 2022.</w:t>
      </w:r>
    </w:p>
    <w:p>
      <w:pPr>
        <w:spacing w:after="0" w:line="241"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217170</wp:posOffset>
            </wp:positionV>
            <wp:extent cx="5528945" cy="50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2">
            <w:col w:w="2060" w:space="720"/>
            <w:col w:w="6239"/>
          </w:cols>
          <w:pgMar w:left="1440" w:top="118" w:right="1440" w:bottom="1440" w:gutter="0" w:footer="0" w:header="0"/>
          <w:type w:val="continuous"/>
        </w:sectPr>
      </w:pPr>
    </w:p>
    <w:bookmarkStart w:id="51" w:name="page52"/>
    <w:bookmarkEnd w:id="51"/>
    <w:p>
      <w:pPr>
        <w:jc w:val="both"/>
        <w:ind w:left="180" w:right="199" w:firstLine="1948"/>
        <w:spacing w:after="0" w:line="277" w:lineRule="auto"/>
        <w:tabs>
          <w:tab w:leader="none" w:pos="2769" w:val="left"/>
        </w:tabs>
        <w:numPr>
          <w:ilvl w:val="1"/>
          <w:numId w:val="14"/>
        </w:numPr>
        <w:rPr>
          <w:rFonts w:ascii="Arial" w:cs="Arial" w:eastAsia="Arial" w:hAnsi="Arial"/>
          <w:sz w:val="19"/>
          <w:szCs w:val="19"/>
          <w:color w:val="auto"/>
        </w:rPr>
      </w:pPr>
      <w:r>
        <w:rPr>
          <w:rFonts w:ascii="Arial" w:cs="Arial" w:eastAsia="Arial" w:hAnsi="Arial"/>
          <w:sz w:val="19"/>
          <w:szCs w:val="19"/>
          <w:color w:val="auto"/>
        </w:rPr>
        <w:t>Section 2.8 shall be amended by deleting the phrase “six (6) Borrowing Tranches” the one time it appears therein and inserting in lieu thereof the phrase “eight</w:t>
      </w:r>
    </w:p>
    <w:p>
      <w:pPr>
        <w:ind w:left="480" w:hanging="296"/>
        <w:spacing w:after="0"/>
        <w:tabs>
          <w:tab w:leader="none" w:pos="4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Borrowing Tranches”.</w:t>
      </w:r>
    </w:p>
    <w:p>
      <w:pPr>
        <w:spacing w:after="0" w:line="188" w:lineRule="exact"/>
        <w:rPr>
          <w:rFonts w:ascii="Arial" w:cs="Arial" w:eastAsia="Arial" w:hAnsi="Arial"/>
          <w:sz w:val="22"/>
          <w:szCs w:val="22"/>
          <w:color w:val="auto"/>
        </w:rPr>
      </w:pPr>
    </w:p>
    <w:p>
      <w:pPr>
        <w:ind w:left="180" w:right="199" w:firstLine="1948"/>
        <w:spacing w:after="0" w:line="250" w:lineRule="auto"/>
        <w:tabs>
          <w:tab w:leader="none" w:pos="2785" w:val="left"/>
        </w:tabs>
        <w:numPr>
          <w:ilvl w:val="1"/>
          <w:numId w:val="15"/>
        </w:numPr>
        <w:rPr>
          <w:rFonts w:ascii="Arial" w:cs="Arial" w:eastAsia="Arial" w:hAnsi="Arial"/>
          <w:sz w:val="22"/>
          <w:szCs w:val="22"/>
          <w:color w:val="auto"/>
        </w:rPr>
      </w:pPr>
      <w:r>
        <w:rPr>
          <w:rFonts w:ascii="Arial" w:cs="Arial" w:eastAsia="Arial" w:hAnsi="Arial"/>
          <w:sz w:val="22"/>
          <w:szCs w:val="22"/>
          <w:color w:val="auto"/>
        </w:rPr>
        <w:t>Section 2.13 shall be amended to insert at the end of such Section a new clause (d) reading in full as follows:</w:t>
      </w:r>
    </w:p>
    <w:p>
      <w:pPr>
        <w:spacing w:after="0" w:line="174" w:lineRule="exact"/>
        <w:rPr>
          <w:rFonts w:ascii="Arial" w:cs="Arial" w:eastAsia="Arial" w:hAnsi="Arial"/>
          <w:sz w:val="22"/>
          <w:szCs w:val="22"/>
          <w:color w:val="auto"/>
        </w:rPr>
      </w:pPr>
    </w:p>
    <w:p>
      <w:pPr>
        <w:jc w:val="both"/>
        <w:ind w:left="2780" w:right="839" w:hanging="4"/>
        <w:spacing w:after="0" w:line="269" w:lineRule="auto"/>
        <w:tabs>
          <w:tab w:leader="none" w:pos="3680" w:val="left"/>
        </w:tabs>
        <w:numPr>
          <w:ilvl w:val="2"/>
          <w:numId w:val="15"/>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of this Agreement, if any Lender shall notify the Agent that the introduction of or any change in or in the interpretation of any law or regulation makes it unlawful or impracticable, or any central bank or other governmental authority asserts that it is unlawful, for any Lender or its lending office to perform its obligations hereunder to make BSBY Rate Loans or to fund or maintain BSBY Rate Loans hereunder, (i) each BSBY Rate Loan will automatically, upon such demand, convert into a ABR Loan and (ii) the obligation of the Lenders to make BSBY Rate Loans or to convert Loans into BSBY Rate Loans shall be suspended until the Administrative Agent shall notify the Borrower and the Lenders that the circumstances causing such suspension no longer exist;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before making any such demand, each Lender agrees to use reasonable efforts (consistent with its internal policy and legal and regulatory restrictions) to designate a different lending office if the making of such a designation would allow such Lender or its lending office to continue to perform its obligations to continue to fund or maintain BSBY Rate Loans and would not, in the judgment of such Lender, subject such Lender to any unreimbursed cost or expense or otherwise be disadvantageous to such Lender.</w:t>
      </w:r>
    </w:p>
    <w:p>
      <w:pPr>
        <w:spacing w:after="0" w:line="172" w:lineRule="exact"/>
        <w:rPr>
          <w:rFonts w:ascii="Arial" w:cs="Arial" w:eastAsia="Arial" w:hAnsi="Arial"/>
          <w:sz w:val="19"/>
          <w:szCs w:val="19"/>
          <w:color w:val="auto"/>
        </w:rPr>
      </w:pPr>
    </w:p>
    <w:p>
      <w:pPr>
        <w:jc w:val="both"/>
        <w:ind w:left="180" w:right="199" w:firstLine="1948"/>
        <w:spacing w:after="0" w:line="297" w:lineRule="auto"/>
        <w:tabs>
          <w:tab w:leader="none" w:pos="2781" w:val="left"/>
        </w:tabs>
        <w:numPr>
          <w:ilvl w:val="1"/>
          <w:numId w:val="15"/>
        </w:numPr>
        <w:rPr>
          <w:rFonts w:ascii="Arial" w:cs="Arial" w:eastAsia="Arial" w:hAnsi="Arial"/>
          <w:sz w:val="19"/>
          <w:szCs w:val="19"/>
          <w:color w:val="auto"/>
        </w:rPr>
      </w:pPr>
      <w:r>
        <w:rPr>
          <w:rFonts w:ascii="Arial" w:cs="Arial" w:eastAsia="Arial" w:hAnsi="Arial"/>
          <w:sz w:val="19"/>
          <w:szCs w:val="19"/>
          <w:color w:val="auto"/>
        </w:rPr>
        <w:t xml:space="preserve">Section 4.21(a) shall be amended by (i) deleting the word “and” immediately after the phrase “the Bank Secrecy Act, 31, U.S.C. §5311 </w:t>
      </w:r>
      <w:r>
        <w:rPr>
          <w:rFonts w:ascii="Arial" w:cs="Arial" w:eastAsia="Arial" w:hAnsi="Arial"/>
          <w:sz w:val="19"/>
          <w:szCs w:val="19"/>
          <w:u w:val="single" w:color="auto"/>
          <w:color w:val="auto"/>
        </w:rPr>
        <w:t>et</w:t>
      </w:r>
      <w:r>
        <w:rPr>
          <w:rFonts w:ascii="Arial" w:cs="Arial" w:eastAsia="Arial" w:hAnsi="Arial"/>
          <w:sz w:val="19"/>
          <w:szCs w:val="19"/>
          <w:color w:val="auto"/>
        </w:rPr>
        <w:t xml:space="preserve">. </w:t>
      </w:r>
      <w:r>
        <w:rPr>
          <w:rFonts w:ascii="Arial" w:cs="Arial" w:eastAsia="Arial" w:hAnsi="Arial"/>
          <w:sz w:val="19"/>
          <w:szCs w:val="19"/>
          <w:u w:val="single" w:color="auto"/>
          <w:color w:val="auto"/>
        </w:rPr>
        <w:t>seq</w:t>
      </w:r>
      <w:r>
        <w:rPr>
          <w:rFonts w:ascii="Arial" w:cs="Arial" w:eastAsia="Arial" w:hAnsi="Arial"/>
          <w:sz w:val="19"/>
          <w:szCs w:val="19"/>
          <w:color w:val="auto"/>
        </w:rPr>
        <w:t>.,” and (ii) inserting at the end of such Section immediately after the words “Public Law 107-56” the following:</w:t>
      </w:r>
    </w:p>
    <w:p>
      <w:pPr>
        <w:spacing w:after="0" w:line="134" w:lineRule="exact"/>
        <w:rPr>
          <w:sz w:val="20"/>
          <w:szCs w:val="20"/>
          <w:color w:val="auto"/>
        </w:rPr>
      </w:pPr>
    </w:p>
    <w:p>
      <w:pPr>
        <w:jc w:val="both"/>
        <w:ind w:left="2780" w:right="839" w:hanging="4"/>
        <w:spacing w:after="0" w:line="233" w:lineRule="auto"/>
        <w:tabs>
          <w:tab w:leader="none" w:pos="2963"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the International Emergency Economic Powers Act, 50 U.S.C. 1701,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the Trading with the Enemy Act, 50 U.S.C. App. 1, </w:t>
      </w:r>
      <w:r>
        <w:rPr>
          <w:rFonts w:ascii="Arial" w:cs="Arial" w:eastAsia="Arial" w:hAnsi="Arial"/>
          <w:sz w:val="22"/>
          <w:szCs w:val="22"/>
          <w:i w:val="1"/>
          <w:iCs w:val="1"/>
          <w:color w:val="auto"/>
        </w:rPr>
        <w:t>et seq.</w:t>
      </w:r>
      <w:r>
        <w:rPr>
          <w:rFonts w:ascii="Arial" w:cs="Arial" w:eastAsia="Arial" w:hAnsi="Arial"/>
          <w:sz w:val="22"/>
          <w:szCs w:val="22"/>
          <w:color w:val="auto"/>
        </w:rPr>
        <w:t>, 18 U.S.C. § 2332d, and 18 U.S.C. § 2339B and the laws administered by the United States Treasury Department’s Office of Foreign Asset Control, and any regulation, order or directive promulgated, issued or enforced pursuant to any such law (as any of the foregoing may from time to time be amended, renewed, extended, or replaced).</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940" w:type="dxa"/>
            <w:vAlign w:val="bottom"/>
          </w:tcPr>
          <w:p>
            <w:pPr>
              <w:spacing w:after="0"/>
              <w:rPr>
                <w:sz w:val="20"/>
                <w:szCs w:val="20"/>
                <w:color w:val="auto"/>
              </w:rPr>
            </w:pPr>
            <w:r>
              <w:rPr>
                <w:rFonts w:ascii="Arial" w:cs="Arial" w:eastAsia="Arial" w:hAnsi="Arial"/>
                <w:sz w:val="14"/>
                <w:szCs w:val="14"/>
                <w:color w:val="auto"/>
              </w:rPr>
              <w:t>DMFIRM #403601135 v6</w:t>
            </w:r>
          </w:p>
        </w:tc>
        <w:tc>
          <w:tcPr>
            <w:tcW w:w="5740" w:type="dxa"/>
            <w:vAlign w:val="bottom"/>
          </w:tcPr>
          <w:p>
            <w:pPr>
              <w:jc w:val="right"/>
              <w:ind w:right="4192"/>
              <w:spacing w:after="0"/>
              <w:rPr>
                <w:sz w:val="20"/>
                <w:szCs w:val="20"/>
                <w:color w:val="auto"/>
              </w:rPr>
            </w:pPr>
            <w:r>
              <w:rPr>
                <w:rFonts w:ascii="Arial" w:cs="Arial" w:eastAsia="Arial" w:hAnsi="Arial"/>
                <w:sz w:val="22"/>
                <w:szCs w:val="22"/>
                <w:color w:val="auto"/>
              </w:rPr>
              <w:t>4</w:t>
            </w:r>
          </w:p>
        </w:tc>
      </w:tr>
      <w:tr>
        <w:trPr>
          <w:trHeight w:val="341"/>
        </w:trPr>
        <w:tc>
          <w:tcPr>
            <w:tcW w:w="294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r>
      <w:tr>
        <w:trPr>
          <w:trHeight w:val="20"/>
        </w:trPr>
        <w:tc>
          <w:tcPr>
            <w:tcW w:w="2940" w:type="dxa"/>
            <w:vAlign w:val="bottom"/>
            <w:tcBorders>
              <w:bottom w:val="single" w:sz="8" w:color="EEEEEE"/>
            </w:tcBorders>
          </w:tcPr>
          <w:p>
            <w:pPr>
              <w:spacing w:after="0" w:line="20" w:lineRule="exact"/>
              <w:rPr>
                <w:sz w:val="1"/>
                <w:szCs w:val="1"/>
                <w:color w:val="auto"/>
              </w:rPr>
            </w:pPr>
          </w:p>
        </w:tc>
        <w:tc>
          <w:tcPr>
            <w:tcW w:w="57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2" w:name="page53"/>
    <w:bookmarkEnd w:id="52"/>
    <w:p>
      <w:pPr>
        <w:ind w:left="2780" w:hanging="652"/>
        <w:spacing w:after="0"/>
        <w:tabs>
          <w:tab w:leader="none" w:pos="27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Section 6.9 shall be amended and restated to read in full as follows:</w:t>
      </w:r>
    </w:p>
    <w:p>
      <w:pPr>
        <w:spacing w:after="0" w:line="241" w:lineRule="exact"/>
        <w:rPr>
          <w:rFonts w:ascii="Arial" w:cs="Arial" w:eastAsia="Arial" w:hAnsi="Arial"/>
          <w:sz w:val="19"/>
          <w:szCs w:val="19"/>
          <w:color w:val="auto"/>
        </w:rPr>
      </w:pPr>
    </w:p>
    <w:p>
      <w:pPr>
        <w:jc w:val="both"/>
        <w:ind w:left="2780" w:right="839"/>
        <w:spacing w:after="0" w:line="252" w:lineRule="auto"/>
        <w:rPr>
          <w:rFonts w:ascii="Arial" w:cs="Arial" w:eastAsia="Arial" w:hAnsi="Arial"/>
          <w:sz w:val="19"/>
          <w:szCs w:val="19"/>
          <w:color w:val="auto"/>
        </w:rPr>
      </w:pPr>
      <w:r>
        <w:rPr>
          <w:rFonts w:ascii="Arial" w:cs="Arial" w:eastAsia="Arial" w:hAnsi="Arial"/>
          <w:sz w:val="21"/>
          <w:szCs w:val="21"/>
          <w:color w:val="auto"/>
        </w:rPr>
        <w:t xml:space="preserve">6.9 </w:t>
      </w:r>
      <w:r>
        <w:rPr>
          <w:rFonts w:ascii="Arial" w:cs="Arial" w:eastAsia="Arial" w:hAnsi="Arial"/>
          <w:sz w:val="21"/>
          <w:szCs w:val="21"/>
          <w:u w:val="single" w:color="auto"/>
          <w:color w:val="auto"/>
        </w:rPr>
        <w:t>Use of Proceeds</w:t>
      </w:r>
      <w:r>
        <w:rPr>
          <w:rFonts w:ascii="Arial" w:cs="Arial" w:eastAsia="Arial" w:hAnsi="Arial"/>
          <w:sz w:val="21"/>
          <w:szCs w:val="21"/>
          <w:color w:val="auto"/>
        </w:rPr>
        <w:t>. Ensure that proceeds of Loans shall be used for (i) the purchase of natural gas inventory and/or (ii) other working capital needs and other general corporate purposes of the Borrower and its Subsidiaries.</w:t>
      </w:r>
    </w:p>
    <w:p>
      <w:pPr>
        <w:spacing w:after="0" w:line="173" w:lineRule="exact"/>
        <w:rPr>
          <w:rFonts w:ascii="Arial" w:cs="Arial" w:eastAsia="Arial" w:hAnsi="Arial"/>
          <w:sz w:val="19"/>
          <w:szCs w:val="19"/>
          <w:color w:val="auto"/>
        </w:rPr>
      </w:pPr>
    </w:p>
    <w:p>
      <w:pPr>
        <w:ind w:left="180" w:right="199" w:firstLine="1948"/>
        <w:spacing w:after="0" w:line="250" w:lineRule="auto"/>
        <w:tabs>
          <w:tab w:leader="none" w:pos="2787" w:val="left"/>
        </w:tabs>
        <w:numPr>
          <w:ilvl w:val="0"/>
          <w:numId w:val="17"/>
        </w:numPr>
        <w:rPr>
          <w:rFonts w:ascii="Arial" w:cs="Arial" w:eastAsia="Arial" w:hAnsi="Arial"/>
          <w:sz w:val="22"/>
          <w:szCs w:val="22"/>
          <w:color w:val="auto"/>
        </w:rPr>
      </w:pPr>
      <w:r>
        <w:rPr>
          <w:rFonts w:ascii="Arial" w:cs="Arial" w:eastAsia="Arial" w:hAnsi="Arial"/>
          <w:sz w:val="22"/>
          <w:szCs w:val="22"/>
          <w:color w:val="auto"/>
        </w:rPr>
        <w:t>Section 9 shall be amended by inserting at the end thereto a new Section 9.13 which shall read in full as follows:</w:t>
      </w:r>
    </w:p>
    <w:p>
      <w:pPr>
        <w:spacing w:after="0" w:line="175" w:lineRule="exact"/>
        <w:rPr>
          <w:sz w:val="20"/>
          <w:szCs w:val="20"/>
          <w:color w:val="auto"/>
        </w:rPr>
      </w:pPr>
    </w:p>
    <w:p>
      <w:pPr>
        <w:jc w:val="both"/>
        <w:ind w:left="2780" w:right="839"/>
        <w:spacing w:after="0" w:line="268" w:lineRule="auto"/>
        <w:rPr>
          <w:sz w:val="20"/>
          <w:szCs w:val="20"/>
          <w:color w:val="auto"/>
        </w:rPr>
      </w:pPr>
      <w:r>
        <w:rPr>
          <w:rFonts w:ascii="Arial" w:cs="Arial" w:eastAsia="Arial" w:hAnsi="Arial"/>
          <w:sz w:val="19"/>
          <w:szCs w:val="19"/>
          <w:color w:val="auto"/>
        </w:rPr>
        <w:t xml:space="preserve">9.13 </w:t>
      </w:r>
      <w:r>
        <w:rPr>
          <w:rFonts w:ascii="Arial" w:cs="Arial" w:eastAsia="Arial" w:hAnsi="Arial"/>
          <w:sz w:val="19"/>
          <w:szCs w:val="19"/>
          <w:u w:val="single" w:color="auto"/>
          <w:color w:val="auto"/>
        </w:rPr>
        <w:t>No Advisory or Fiduciary Relationship</w:t>
      </w:r>
      <w:r>
        <w:rPr>
          <w:rFonts w:ascii="Arial" w:cs="Arial" w:eastAsia="Arial" w:hAnsi="Arial"/>
          <w:sz w:val="19"/>
          <w:szCs w:val="19"/>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(a) (i) no fiduciary, advisory or agency relationship between the Borrower and its Subsidiaries and any Arranger, any Bookrunner, the Administrative Agent or any Lender is intended to be or has been created in respect of the transactions contemplated hereby or by the other Loan Documents, irrespective of whether any Arranger, any Bookrunner, the Administrative Agent, or any Lender has advised or is advising the Borrower or any Subsidiary on other matters, (ii) the arranging and other services regarding this Agreement provided by any Arranger, any Bookrunner, the Administrative Agent, and the Lenders are arm’s-length commercial transactions between the Borrower and its Affiliates, on the one hand, and the Arrangers, the Bookrunners, the Administrative Agent, and the Lenders, on the other hand, (iii) the Borrower has consulted its own legal, accounting, regulatory and tax advisors to the extent that it has deemed appropriate and (iv) the Borrower is capable of evaluating, and understands and accepts, the terms, risks and conditions of the transactions contemplated hereby and by the other Loan Documents; and</w:t>
      </w:r>
    </w:p>
    <w:p>
      <w:pPr>
        <w:spacing w:after="0" w:line="238" w:lineRule="exact"/>
        <w:rPr>
          <w:sz w:val="20"/>
          <w:szCs w:val="20"/>
          <w:color w:val="auto"/>
        </w:rPr>
      </w:pPr>
    </w:p>
    <w:p>
      <w:pPr>
        <w:jc w:val="both"/>
        <w:ind w:left="2780" w:right="839" w:hanging="4"/>
        <w:spacing w:after="0" w:line="271" w:lineRule="auto"/>
        <w:tabs>
          <w:tab w:leader="none" w:pos="3086" w:val="left"/>
        </w:tabs>
        <w:numPr>
          <w:ilvl w:val="0"/>
          <w:numId w:val="18"/>
        </w:numPr>
        <w:rPr>
          <w:rFonts w:ascii="Arial" w:cs="Arial" w:eastAsia="Arial" w:hAnsi="Arial"/>
          <w:sz w:val="19"/>
          <w:szCs w:val="19"/>
          <w:color w:val="auto"/>
        </w:rPr>
      </w:pPr>
      <w:r>
        <w:rPr>
          <w:rFonts w:ascii="Arial" w:cs="Arial" w:eastAsia="Arial" w:hAnsi="Arial"/>
          <w:sz w:val="19"/>
          <w:szCs w:val="19"/>
          <w:color w:val="auto"/>
        </w:rPr>
        <w:t>(i) each of the Arrangers, the Bookrunners, the Agent, and the Lenders is and has been acting solely as a principal and, except as expressly agreed in writing by the relevant parties, has not been, is not, and will not be acting as an advisor, agent or fiduciary for the Borrower or any of its Affiliates, or any other Person; (ii) none of the Arrangers, the Bookrunners, the Administrative Agent, and the Lenders has any obligation to the Borrower or any of the Borrower’s Affiliates with respect to the transactions contemplated hereby except those obligations</w:t>
      </w:r>
    </w:p>
    <w:p>
      <w:pPr>
        <w:spacing w:after="0" w:line="200" w:lineRule="exact"/>
        <w:rPr>
          <w:sz w:val="20"/>
          <w:szCs w:val="20"/>
          <w:color w:val="auto"/>
        </w:rPr>
      </w:pPr>
    </w:p>
    <w:p>
      <w:pPr>
        <w:spacing w:after="0" w:line="208"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940" w:type="dxa"/>
            <w:vAlign w:val="bottom"/>
          </w:tcPr>
          <w:p>
            <w:pPr>
              <w:spacing w:after="0"/>
              <w:rPr>
                <w:sz w:val="20"/>
                <w:szCs w:val="20"/>
                <w:color w:val="auto"/>
              </w:rPr>
            </w:pPr>
            <w:r>
              <w:rPr>
                <w:rFonts w:ascii="Arial" w:cs="Arial" w:eastAsia="Arial" w:hAnsi="Arial"/>
                <w:sz w:val="14"/>
                <w:szCs w:val="14"/>
                <w:color w:val="auto"/>
              </w:rPr>
              <w:t>DMFIRM #403601135 v6</w:t>
            </w:r>
          </w:p>
        </w:tc>
        <w:tc>
          <w:tcPr>
            <w:tcW w:w="5740" w:type="dxa"/>
            <w:vAlign w:val="bottom"/>
          </w:tcPr>
          <w:p>
            <w:pPr>
              <w:jc w:val="right"/>
              <w:ind w:right="4192"/>
              <w:spacing w:after="0"/>
              <w:rPr>
                <w:sz w:val="20"/>
                <w:szCs w:val="20"/>
                <w:color w:val="auto"/>
              </w:rPr>
            </w:pPr>
            <w:r>
              <w:rPr>
                <w:rFonts w:ascii="Arial" w:cs="Arial" w:eastAsia="Arial" w:hAnsi="Arial"/>
                <w:sz w:val="22"/>
                <w:szCs w:val="22"/>
                <w:color w:val="auto"/>
              </w:rPr>
              <w:t>5</w:t>
            </w:r>
          </w:p>
        </w:tc>
      </w:tr>
      <w:tr>
        <w:trPr>
          <w:trHeight w:val="341"/>
        </w:trPr>
        <w:tc>
          <w:tcPr>
            <w:tcW w:w="294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r>
      <w:tr>
        <w:trPr>
          <w:trHeight w:val="20"/>
        </w:trPr>
        <w:tc>
          <w:tcPr>
            <w:tcW w:w="2940" w:type="dxa"/>
            <w:vAlign w:val="bottom"/>
            <w:tcBorders>
              <w:bottom w:val="single" w:sz="8" w:color="EEEEEE"/>
            </w:tcBorders>
          </w:tcPr>
          <w:p>
            <w:pPr>
              <w:spacing w:after="0" w:line="20" w:lineRule="exact"/>
              <w:rPr>
                <w:sz w:val="1"/>
                <w:szCs w:val="1"/>
                <w:color w:val="auto"/>
              </w:rPr>
            </w:pPr>
          </w:p>
        </w:tc>
        <w:tc>
          <w:tcPr>
            <w:tcW w:w="57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3" w:name="page54"/>
    <w:bookmarkEnd w:id="53"/>
    <w:p>
      <w:pPr>
        <w:jc w:val="both"/>
        <w:ind w:left="2780" w:right="839"/>
        <w:spacing w:after="0" w:line="271" w:lineRule="auto"/>
        <w:rPr>
          <w:sz w:val="20"/>
          <w:szCs w:val="20"/>
          <w:color w:val="auto"/>
        </w:rPr>
      </w:pPr>
      <w:r>
        <w:rPr>
          <w:rFonts w:ascii="Arial" w:cs="Arial" w:eastAsia="Arial" w:hAnsi="Arial"/>
          <w:sz w:val="19"/>
          <w:szCs w:val="19"/>
          <w:color w:val="auto"/>
        </w:rPr>
        <w:t>expressly set forth herein and in the other Loan Documents; and (iii) the Arrangers, the Bookrunners, the Administrative Agent, and the Lenders and their respective Affiliates may be engaged, for their own accounts or the accounts of customers, in a broad range of transactions that involve interests that differ from those of the Borrower and its Affiliates, and none of the Arrangers, the Bookrunners, the Administrative Agent, and the Lenders has any obligation to disclose any of such interests to the Borrower or its Affiliates. To the fullest extent permitted by law, the Borrower hereby waives and releases any claims that it may have against any of the Arrangers, the Bookrunners, the Administrative Agent, and the Lenders with respect to any breach or alleged breach of agency or fiduciary duty in connection with any aspect of any transaction contemplated hereby.</w:t>
      </w:r>
    </w:p>
    <w:p>
      <w:pPr>
        <w:spacing w:after="0" w:line="161" w:lineRule="exact"/>
        <w:rPr>
          <w:sz w:val="20"/>
          <w:szCs w:val="20"/>
          <w:color w:val="auto"/>
        </w:rPr>
      </w:pPr>
    </w:p>
    <w:p>
      <w:pPr>
        <w:ind w:left="180" w:right="199" w:firstLine="1948"/>
        <w:spacing w:after="0" w:line="250" w:lineRule="auto"/>
        <w:tabs>
          <w:tab w:leader="none" w:pos="2773"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address for the Borrower in Section 10.2 shall be amended and restated to read in full as follows:</w:t>
      </w:r>
    </w:p>
    <w:p>
      <w:pPr>
        <w:sectPr>
          <w:pgSz w:w="11900" w:h="16838" w:orient="portrait"/>
          <w:cols w:equalWidth="0" w:num="1">
            <w:col w:w="9019"/>
          </w:cols>
          <w:pgMar w:left="1440" w:top="118" w:right="1440" w:bottom="1440" w:gutter="0" w:footer="0" w:header="0"/>
        </w:sectPr>
      </w:pPr>
    </w:p>
    <w:p>
      <w:pPr>
        <w:spacing w:after="0" w:line="175" w:lineRule="exact"/>
        <w:rPr>
          <w:sz w:val="20"/>
          <w:szCs w:val="20"/>
          <w:color w:val="auto"/>
        </w:rPr>
      </w:pPr>
    </w:p>
    <w:p>
      <w:pPr>
        <w:ind w:left="960"/>
        <w:spacing w:after="0"/>
        <w:rPr>
          <w:sz w:val="20"/>
          <w:szCs w:val="20"/>
          <w:color w:val="auto"/>
        </w:rPr>
      </w:pPr>
      <w:r>
        <w:rPr>
          <w:rFonts w:ascii="Arial" w:cs="Arial" w:eastAsia="Arial" w:hAnsi="Arial"/>
          <w:sz w:val="19"/>
          <w:szCs w:val="19"/>
          <w:color w:val="auto"/>
        </w:rPr>
        <w:t>Borrower: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PNG Companies LLC</w:t>
      </w:r>
    </w:p>
    <w:p>
      <w:pPr>
        <w:spacing w:after="0" w:line="238" w:lineRule="auto"/>
        <w:rPr>
          <w:sz w:val="20"/>
          <w:szCs w:val="20"/>
          <w:color w:val="auto"/>
        </w:rPr>
      </w:pPr>
      <w:r>
        <w:rPr>
          <w:rFonts w:ascii="Arial" w:cs="Arial" w:eastAsia="Arial" w:hAnsi="Arial"/>
          <w:sz w:val="22"/>
          <w:szCs w:val="22"/>
          <w:color w:val="auto"/>
        </w:rPr>
        <w:t>375 North Shore Drive, Suite 600</w:t>
      </w:r>
    </w:p>
    <w:p>
      <w:pPr>
        <w:spacing w:after="0" w:line="230" w:lineRule="auto"/>
        <w:rPr>
          <w:sz w:val="20"/>
          <w:szCs w:val="20"/>
          <w:color w:val="auto"/>
        </w:rPr>
      </w:pPr>
      <w:r>
        <w:rPr>
          <w:rFonts w:ascii="Arial" w:cs="Arial" w:eastAsia="Arial" w:hAnsi="Arial"/>
          <w:sz w:val="22"/>
          <w:szCs w:val="22"/>
          <w:color w:val="auto"/>
        </w:rPr>
        <w:t>Pittsburgh, PA 15212</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Kim Edvardsson, Vice President, Finance</w:t>
      </w:r>
    </w:p>
    <w:p>
      <w:pPr>
        <w:spacing w:after="0" w:line="25"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kim.edvardsson@peoples-gas.com</w:t>
      </w:r>
    </w:p>
    <w:p>
      <w:pPr>
        <w:spacing w:after="0" w:line="188" w:lineRule="exact"/>
        <w:rPr>
          <w:sz w:val="20"/>
          <w:szCs w:val="20"/>
          <w:color w:val="auto"/>
        </w:rPr>
      </w:pPr>
    </w:p>
    <w:p>
      <w:pPr>
        <w:sectPr>
          <w:pgSz w:w="11900" w:h="16838" w:orient="portrait"/>
          <w:cols w:equalWidth="0" w:num="2">
            <w:col w:w="3120" w:space="720"/>
            <w:col w:w="5179"/>
          </w:cols>
          <w:pgMar w:left="1440" w:top="118" w:right="1440" w:bottom="1440" w:gutter="0" w:footer="0" w:header="0"/>
          <w:type w:val="continuous"/>
        </w:sectPr>
      </w:pPr>
    </w:p>
    <w:p>
      <w:pPr>
        <w:ind w:left="180" w:right="199" w:firstLine="1948"/>
        <w:spacing w:after="0" w:line="250" w:lineRule="auto"/>
        <w:tabs>
          <w:tab w:leader="none" w:pos="2781" w:val="left"/>
        </w:tabs>
        <w:numPr>
          <w:ilvl w:val="1"/>
          <w:numId w:val="20"/>
        </w:numPr>
        <w:rPr>
          <w:rFonts w:ascii="Arial" w:cs="Arial" w:eastAsia="Arial" w:hAnsi="Arial"/>
          <w:sz w:val="22"/>
          <w:szCs w:val="22"/>
          <w:color w:val="auto"/>
        </w:rPr>
      </w:pPr>
      <w:r>
        <w:rPr>
          <w:rFonts w:ascii="Arial" w:cs="Arial" w:eastAsia="Arial" w:hAnsi="Arial"/>
          <w:sz w:val="22"/>
          <w:szCs w:val="22"/>
          <w:color w:val="auto"/>
        </w:rPr>
        <w:t>Schedule 1.1(A) to the Existing Credit Agreement shall be amended and restated to read in full as set forth on Exhibit A hereto.</w:t>
      </w:r>
    </w:p>
    <w:p>
      <w:pPr>
        <w:spacing w:after="0" w:line="174" w:lineRule="exact"/>
        <w:rPr>
          <w:rFonts w:ascii="Arial" w:cs="Arial" w:eastAsia="Arial" w:hAnsi="Arial"/>
          <w:sz w:val="22"/>
          <w:szCs w:val="22"/>
          <w:color w:val="auto"/>
        </w:rPr>
      </w:pPr>
    </w:p>
    <w:p>
      <w:pPr>
        <w:ind w:left="2800" w:hanging="672"/>
        <w:spacing w:after="0"/>
        <w:tabs>
          <w:tab w:leader="none" w:pos="2800" w:val="left"/>
        </w:tabs>
        <w:numPr>
          <w:ilvl w:val="1"/>
          <w:numId w:val="20"/>
        </w:numPr>
        <w:rPr>
          <w:rFonts w:ascii="Arial" w:cs="Arial" w:eastAsia="Arial" w:hAnsi="Arial"/>
          <w:sz w:val="22"/>
          <w:szCs w:val="22"/>
          <w:color w:val="auto"/>
        </w:rPr>
      </w:pPr>
      <w:r>
        <w:rPr>
          <w:rFonts w:ascii="Arial" w:cs="Arial" w:eastAsia="Arial" w:hAnsi="Arial"/>
          <w:sz w:val="22"/>
          <w:szCs w:val="22"/>
          <w:color w:val="auto"/>
        </w:rPr>
        <w:t>Exhibit F to the Existing Credit Agreement (Form of Borrowing</w:t>
      </w:r>
    </w:p>
    <w:p>
      <w:pPr>
        <w:spacing w:after="0" w:line="8" w:lineRule="exact"/>
        <w:rPr>
          <w:rFonts w:ascii="Arial" w:cs="Arial" w:eastAsia="Arial" w:hAnsi="Arial"/>
          <w:sz w:val="22"/>
          <w:szCs w:val="22"/>
          <w:color w:val="auto"/>
        </w:rPr>
      </w:pPr>
    </w:p>
    <w:p>
      <w:pPr>
        <w:ind w:left="180"/>
        <w:spacing w:after="0"/>
        <w:rPr>
          <w:rFonts w:ascii="Arial" w:cs="Arial" w:eastAsia="Arial" w:hAnsi="Arial"/>
          <w:sz w:val="22"/>
          <w:szCs w:val="22"/>
          <w:color w:val="auto"/>
        </w:rPr>
      </w:pPr>
      <w:r>
        <w:rPr>
          <w:rFonts w:ascii="Arial" w:cs="Arial" w:eastAsia="Arial" w:hAnsi="Arial"/>
          <w:sz w:val="22"/>
          <w:szCs w:val="22"/>
          <w:color w:val="auto"/>
        </w:rPr>
        <w:t>Request) shall be amended and restated to read in full as set forth on Exhibit B hereto.</w:t>
      </w:r>
    </w:p>
    <w:p>
      <w:pPr>
        <w:spacing w:after="0" w:line="188" w:lineRule="exact"/>
        <w:rPr>
          <w:rFonts w:ascii="Arial" w:cs="Arial" w:eastAsia="Arial" w:hAnsi="Arial"/>
          <w:sz w:val="22"/>
          <w:szCs w:val="22"/>
          <w:color w:val="auto"/>
        </w:rPr>
      </w:pPr>
    </w:p>
    <w:p>
      <w:pPr>
        <w:jc w:val="both"/>
        <w:ind w:left="180" w:right="199" w:firstLine="1948"/>
        <w:spacing w:after="0"/>
        <w:tabs>
          <w:tab w:leader="none" w:pos="2814" w:val="left"/>
        </w:tabs>
        <w:numPr>
          <w:ilvl w:val="1"/>
          <w:numId w:val="20"/>
        </w:numPr>
        <w:rPr>
          <w:rFonts w:ascii="Arial" w:cs="Arial" w:eastAsia="Arial" w:hAnsi="Arial"/>
          <w:sz w:val="22"/>
          <w:szCs w:val="22"/>
          <w:color w:val="auto"/>
        </w:rPr>
      </w:pPr>
      <w:r>
        <w:rPr>
          <w:rFonts w:ascii="Arial" w:cs="Arial" w:eastAsia="Arial" w:hAnsi="Arial"/>
          <w:sz w:val="22"/>
          <w:szCs w:val="22"/>
          <w:color w:val="auto"/>
        </w:rPr>
        <w:t>Exhibit H to the Existing Credit Agreement (Form of Conversion/Continuation Notice) shall be amended and restated to read in full as set forth on Exhibit C hereto.</w:t>
      </w:r>
    </w:p>
    <w:p>
      <w:pPr>
        <w:spacing w:after="0" w:line="186" w:lineRule="exact"/>
        <w:rPr>
          <w:rFonts w:ascii="Arial" w:cs="Arial" w:eastAsia="Arial" w:hAnsi="Arial"/>
          <w:sz w:val="22"/>
          <w:szCs w:val="22"/>
          <w:color w:val="auto"/>
        </w:rPr>
      </w:pPr>
    </w:p>
    <w:p>
      <w:pPr>
        <w:jc w:val="both"/>
        <w:ind w:left="180" w:right="199" w:firstLine="1300"/>
        <w:spacing w:after="0" w:line="274" w:lineRule="auto"/>
        <w:tabs>
          <w:tab w:leader="none" w:pos="2097"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New Notes; Second Amendment Documents</w:t>
      </w:r>
      <w:r>
        <w:rPr>
          <w:rFonts w:ascii="Arial" w:cs="Arial" w:eastAsia="Arial" w:hAnsi="Arial"/>
          <w:sz w:val="19"/>
          <w:szCs w:val="19"/>
          <w:color w:val="auto"/>
        </w:rPr>
        <w:t>. The Borrower shall execute and deliver to the Administrative Agent on the Second Amendment Effective Date (a)(i) for each Existing Lender whose Revolving Commitment is changing, an amended and restated revolving note and (ii) for the New Lender, a revolving note, in each case, in an amount equal to the amount of such Lender’s Revolving Commitment after giving effect to this Agreement (the revolving notes referred to in clauses (i) and (ii) being collectively referred to herein as the “</w:t>
      </w:r>
      <w:r>
        <w:rPr>
          <w:rFonts w:ascii="Arial" w:cs="Arial" w:eastAsia="Arial" w:hAnsi="Arial"/>
          <w:sz w:val="19"/>
          <w:szCs w:val="19"/>
          <w:u w:val="single" w:color="auto"/>
          <w:color w:val="auto"/>
        </w:rPr>
        <w:t>Revolving Notes</w:t>
      </w:r>
      <w:r>
        <w:rPr>
          <w:rFonts w:ascii="Arial" w:cs="Arial" w:eastAsia="Arial" w:hAnsi="Arial"/>
          <w:sz w:val="19"/>
          <w:szCs w:val="19"/>
          <w:color w:val="auto"/>
        </w:rPr>
        <w:t>” and each as a “</w:t>
      </w:r>
      <w:r>
        <w:rPr>
          <w:rFonts w:ascii="Arial" w:cs="Arial" w:eastAsia="Arial" w:hAnsi="Arial"/>
          <w:sz w:val="19"/>
          <w:szCs w:val="19"/>
          <w:u w:val="single" w:color="auto"/>
          <w:color w:val="auto"/>
        </w:rPr>
        <w:t>Revolving Note</w:t>
      </w:r>
      <w:r>
        <w:rPr>
          <w:rFonts w:ascii="Arial" w:cs="Arial" w:eastAsia="Arial" w:hAnsi="Arial"/>
          <w:sz w:val="19"/>
          <w:szCs w:val="19"/>
          <w:color w:val="auto"/>
        </w:rPr>
        <w:t>”) and (b) an amended and restated swingline note in favor of PNC, as the Swing Line Lender (the “</w:t>
      </w:r>
      <w:r>
        <w:rPr>
          <w:rFonts w:ascii="Arial" w:cs="Arial" w:eastAsia="Arial" w:hAnsi="Arial"/>
          <w:sz w:val="19"/>
          <w:szCs w:val="19"/>
          <w:u w:val="single" w:color="auto"/>
          <w:color w:val="auto"/>
        </w:rPr>
        <w:t>Swingline Note</w:t>
      </w:r>
      <w:r>
        <w:rPr>
          <w:rFonts w:ascii="Arial" w:cs="Arial" w:eastAsia="Arial" w:hAnsi="Arial"/>
          <w:sz w:val="19"/>
          <w:szCs w:val="19"/>
          <w:color w:val="auto"/>
        </w:rPr>
        <w:t>” and together with the Revolving Notes, collectively, the “</w:t>
      </w:r>
      <w:r>
        <w:rPr>
          <w:rFonts w:ascii="Arial" w:cs="Arial" w:eastAsia="Arial" w:hAnsi="Arial"/>
          <w:sz w:val="19"/>
          <w:szCs w:val="19"/>
          <w:u w:val="single" w:color="auto"/>
          <w:color w:val="auto"/>
        </w:rPr>
        <w:t>New Notes</w:t>
      </w:r>
      <w:r>
        <w:rPr>
          <w:rFonts w:ascii="Arial" w:cs="Arial" w:eastAsia="Arial" w:hAnsi="Arial"/>
          <w:sz w:val="19"/>
          <w:szCs w:val="19"/>
          <w:color w:val="auto"/>
        </w:rPr>
        <w:t>”). This Agreement, together with the New Notes, are collectively referred to</w:t>
      </w:r>
    </w:p>
    <w:p>
      <w:pPr>
        <w:spacing w:after="0" w:line="158"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940" w:type="dxa"/>
            <w:vAlign w:val="bottom"/>
          </w:tcPr>
          <w:p>
            <w:pPr>
              <w:spacing w:after="0"/>
              <w:rPr>
                <w:sz w:val="20"/>
                <w:szCs w:val="20"/>
                <w:color w:val="auto"/>
              </w:rPr>
            </w:pPr>
            <w:r>
              <w:rPr>
                <w:rFonts w:ascii="Arial" w:cs="Arial" w:eastAsia="Arial" w:hAnsi="Arial"/>
                <w:sz w:val="14"/>
                <w:szCs w:val="14"/>
                <w:color w:val="auto"/>
              </w:rPr>
              <w:t>DMFIRM #403601135 v6</w:t>
            </w:r>
          </w:p>
        </w:tc>
        <w:tc>
          <w:tcPr>
            <w:tcW w:w="5740" w:type="dxa"/>
            <w:vAlign w:val="bottom"/>
          </w:tcPr>
          <w:p>
            <w:pPr>
              <w:jc w:val="right"/>
              <w:ind w:right="4192"/>
              <w:spacing w:after="0"/>
              <w:rPr>
                <w:sz w:val="20"/>
                <w:szCs w:val="20"/>
                <w:color w:val="auto"/>
              </w:rPr>
            </w:pPr>
            <w:r>
              <w:rPr>
                <w:rFonts w:ascii="Arial" w:cs="Arial" w:eastAsia="Arial" w:hAnsi="Arial"/>
                <w:sz w:val="22"/>
                <w:szCs w:val="22"/>
                <w:color w:val="auto"/>
              </w:rPr>
              <w:t>6</w:t>
            </w:r>
          </w:p>
        </w:tc>
      </w:tr>
      <w:tr>
        <w:trPr>
          <w:trHeight w:val="341"/>
        </w:trPr>
        <w:tc>
          <w:tcPr>
            <w:tcW w:w="294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r>
      <w:tr>
        <w:trPr>
          <w:trHeight w:val="20"/>
        </w:trPr>
        <w:tc>
          <w:tcPr>
            <w:tcW w:w="2940" w:type="dxa"/>
            <w:vAlign w:val="bottom"/>
            <w:tcBorders>
              <w:bottom w:val="single" w:sz="8" w:color="EEEEEE"/>
            </w:tcBorders>
          </w:tcPr>
          <w:p>
            <w:pPr>
              <w:spacing w:after="0" w:line="20" w:lineRule="exact"/>
              <w:rPr>
                <w:sz w:val="1"/>
                <w:szCs w:val="1"/>
                <w:color w:val="auto"/>
              </w:rPr>
            </w:pPr>
          </w:p>
        </w:tc>
        <w:tc>
          <w:tcPr>
            <w:tcW w:w="57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54" w:name="page55"/>
    <w:bookmarkEnd w:id="54"/>
    <w:p>
      <w:pPr>
        <w:ind w:left="180" w:right="199"/>
        <w:spacing w:after="0" w:line="251" w:lineRule="auto"/>
        <w:rPr>
          <w:sz w:val="20"/>
          <w:szCs w:val="20"/>
          <w:color w:val="auto"/>
        </w:rPr>
      </w:pPr>
      <w:r>
        <w:rPr>
          <w:rFonts w:ascii="Arial" w:cs="Arial" w:eastAsia="Arial" w:hAnsi="Arial"/>
          <w:sz w:val="22"/>
          <w:szCs w:val="22"/>
          <w:color w:val="auto"/>
        </w:rPr>
        <w:t>herein as the “</w:t>
      </w:r>
      <w:r>
        <w:rPr>
          <w:rFonts w:ascii="Arial" w:cs="Arial" w:eastAsia="Arial" w:hAnsi="Arial"/>
          <w:sz w:val="22"/>
          <w:szCs w:val="22"/>
          <w:u w:val="single" w:color="auto"/>
          <w:color w:val="auto"/>
        </w:rPr>
        <w:t>Second Amendment Documents</w:t>
      </w:r>
      <w:r>
        <w:rPr>
          <w:rFonts w:ascii="Arial" w:cs="Arial" w:eastAsia="Arial" w:hAnsi="Arial"/>
          <w:sz w:val="22"/>
          <w:szCs w:val="22"/>
          <w:color w:val="auto"/>
        </w:rPr>
        <w:t>” and, individually, as a “</w:t>
      </w:r>
      <w:r>
        <w:rPr>
          <w:rFonts w:ascii="Arial" w:cs="Arial" w:eastAsia="Arial" w:hAnsi="Arial"/>
          <w:sz w:val="22"/>
          <w:szCs w:val="22"/>
          <w:u w:val="single" w:color="auto"/>
          <w:color w:val="auto"/>
        </w:rPr>
        <w:t>Second Amendment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Document</w:t>
      </w:r>
      <w:r>
        <w:rPr>
          <w:rFonts w:ascii="Arial" w:cs="Arial" w:eastAsia="Arial" w:hAnsi="Arial"/>
          <w:sz w:val="22"/>
          <w:szCs w:val="22"/>
          <w:color w:val="auto"/>
        </w:rPr>
        <w:t>”.</w:t>
      </w:r>
    </w:p>
    <w:p>
      <w:pPr>
        <w:spacing w:after="0" w:line="173" w:lineRule="exact"/>
        <w:rPr>
          <w:sz w:val="20"/>
          <w:szCs w:val="20"/>
          <w:color w:val="auto"/>
        </w:rPr>
      </w:pPr>
    </w:p>
    <w:p>
      <w:pPr>
        <w:jc w:val="both"/>
        <w:ind w:left="180" w:right="199" w:firstLine="1300"/>
        <w:spacing w:after="0" w:line="270" w:lineRule="auto"/>
        <w:tabs>
          <w:tab w:leader="none" w:pos="2097"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New Lender</w:t>
      </w:r>
      <w:r>
        <w:rPr>
          <w:rFonts w:ascii="Arial" w:cs="Arial" w:eastAsia="Arial" w:hAnsi="Arial"/>
          <w:sz w:val="19"/>
          <w:szCs w:val="19"/>
          <w:color w:val="auto"/>
        </w:rPr>
        <w:t>. The New Lender (i) confirms that a copy of the Existing Credit Agreement and the other applicable Loan Documents, together with copies of the financial statements referred to therein and such other documents and information as it has deemed appropriate to make its own credit analysis and decision to enter into this Agreement and provide a Revolving Commitment, have been made available to the New Lender, (ii) agrees that it will, independently and without reliance upon the Administrative Agent, any other agent or arranger listed on the cover page to the Amended Credit Agreement or any other Lender and based on such documents and information as it shall deem appropriate at the time, continue to make its own credit decisions in taking or not taking action under the Amended Credit Agreement and the other Loan Documents, including this Agreement and the other Second Amendment Documents, (iii) appoints and authorizes the Administrative Agent to take such action as agent on its behalf and to exercise such powers under the Amended Credit Agreement and the other Loan Documents as are delegated to the Administrative Agent by the terms thereof, together with such powers as are reasonably incidental thereto, and (iv) acknowledges and agrees that effective on and as the Second Amendment Effective Date, the New Lender shall be a “Lender” under, and for all purposes of, the Amended Credit Agreement and the other Loan Documents, and shall be subject to and bound by the terms thereof, and shall perform all the obligations of and shall have all rights of a Lender thereunder.</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ind w:left="2100" w:hanging="620"/>
        <w:spacing w:after="0"/>
        <w:tabs>
          <w:tab w:leader="none" w:pos="2100"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Second Amendment Effective Date Reallocations; Treatment of Outstanding</w:t>
      </w:r>
    </w:p>
    <w:p>
      <w:pPr>
        <w:spacing w:after="0" w:line="42"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u w:val="single" w:color="auto"/>
          <w:color w:val="auto"/>
        </w:rPr>
        <w:t>Loans</w:t>
      </w: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jc w:val="both"/>
        <w:ind w:left="180" w:right="199" w:firstLine="1948"/>
        <w:spacing w:after="0" w:line="271" w:lineRule="auto"/>
        <w:tabs>
          <w:tab w:leader="none" w:pos="2769" w:val="left"/>
        </w:tabs>
        <w:numPr>
          <w:ilvl w:val="1"/>
          <w:numId w:val="22"/>
        </w:numPr>
        <w:rPr>
          <w:rFonts w:ascii="Arial" w:cs="Arial" w:eastAsia="Arial" w:hAnsi="Arial"/>
          <w:sz w:val="19"/>
          <w:szCs w:val="19"/>
          <w:color w:val="auto"/>
        </w:rPr>
      </w:pPr>
      <w:r>
        <w:rPr>
          <w:rFonts w:ascii="Arial" w:cs="Arial" w:eastAsia="Arial" w:hAnsi="Arial"/>
          <w:sz w:val="19"/>
          <w:szCs w:val="19"/>
          <w:color w:val="auto"/>
        </w:rPr>
        <w:t>On the Second Amendment Effective Date (i) all “Revolving Loans” (as defined in the Existing Credit Agreement) made under the Existing Credit Agreement which are outstanding on the Second Amendment Effective Date shall continue as Revolving Loans under (and shall be governed by the terms of) the Amended Credit Agreement and shall have the same Interest Periods as in effect under the Existing Credit Agreement, (ii) all obligations constituting “Obligations” under and as defined in the Existing Credit Agreement or any Loan Document with any Lender which are outstanding on the Second Amendment Effective Date and are not being paid on such date shall continue as Obligations under the Amended Credit Agreement and the other Loan Documents and (iii) the Administrative Agent shall make such reallocations, sales, assignments or other relevant actions in respect of each Lender’s credit and loan exposure under the Existing Credit Agreement as are necessary in order that such Lender’s pro rata share of the outstanding Loans thereunder reflect such Lender’s pro rata share of the outstanding aggregate Loans on the Second Amendment Effective Date based on its Revolving Percentage, provided, however, that for the avoidance of doubt, each Existing Lender under this Agreement agrees to waive any right to compensation under Section 2.15 of the Amended Credit Agreement in connection with the reallocation and transactions described above.</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180" w:right="199" w:firstLine="1948"/>
        <w:spacing w:after="0" w:line="297" w:lineRule="auto"/>
        <w:tabs>
          <w:tab w:leader="none" w:pos="2781" w:val="left"/>
        </w:tabs>
        <w:numPr>
          <w:ilvl w:val="1"/>
          <w:numId w:val="22"/>
        </w:numPr>
        <w:rPr>
          <w:rFonts w:ascii="Arial" w:cs="Arial" w:eastAsia="Arial" w:hAnsi="Arial"/>
          <w:sz w:val="19"/>
          <w:szCs w:val="19"/>
          <w:color w:val="auto"/>
        </w:rPr>
      </w:pPr>
      <w:r>
        <w:rPr>
          <w:rFonts w:ascii="Arial" w:cs="Arial" w:eastAsia="Arial" w:hAnsi="Arial"/>
          <w:sz w:val="19"/>
          <w:szCs w:val="19"/>
          <w:color w:val="auto"/>
        </w:rPr>
        <w:t>On the Second Amendment Effective Date, to the extent necessary, each Lender (including the New Lender) shall fund Revolving Loans (or receive payment of its “Revolving Loans”, as defined in the Existing Credit Agreement) such that immediately after</w:t>
      </w:r>
    </w:p>
    <w:p>
      <w:pPr>
        <w:spacing w:after="0" w:line="134"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940" w:type="dxa"/>
            <w:vAlign w:val="bottom"/>
          </w:tcPr>
          <w:p>
            <w:pPr>
              <w:spacing w:after="0"/>
              <w:rPr>
                <w:sz w:val="20"/>
                <w:szCs w:val="20"/>
                <w:color w:val="auto"/>
              </w:rPr>
            </w:pPr>
            <w:r>
              <w:rPr>
                <w:rFonts w:ascii="Arial" w:cs="Arial" w:eastAsia="Arial" w:hAnsi="Arial"/>
                <w:sz w:val="14"/>
                <w:szCs w:val="14"/>
                <w:color w:val="auto"/>
              </w:rPr>
              <w:t>DMFIRM #403601135 v6</w:t>
            </w:r>
          </w:p>
        </w:tc>
        <w:tc>
          <w:tcPr>
            <w:tcW w:w="5740" w:type="dxa"/>
            <w:vAlign w:val="bottom"/>
          </w:tcPr>
          <w:p>
            <w:pPr>
              <w:jc w:val="right"/>
              <w:ind w:right="4192"/>
              <w:spacing w:after="0"/>
              <w:rPr>
                <w:sz w:val="20"/>
                <w:szCs w:val="20"/>
                <w:color w:val="auto"/>
              </w:rPr>
            </w:pPr>
            <w:r>
              <w:rPr>
                <w:rFonts w:ascii="Arial" w:cs="Arial" w:eastAsia="Arial" w:hAnsi="Arial"/>
                <w:sz w:val="22"/>
                <w:szCs w:val="22"/>
                <w:color w:val="auto"/>
              </w:rPr>
              <w:t>7</w:t>
            </w:r>
          </w:p>
        </w:tc>
      </w:tr>
      <w:tr>
        <w:trPr>
          <w:trHeight w:val="341"/>
        </w:trPr>
        <w:tc>
          <w:tcPr>
            <w:tcW w:w="294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r>
      <w:tr>
        <w:trPr>
          <w:trHeight w:val="20"/>
        </w:trPr>
        <w:tc>
          <w:tcPr>
            <w:tcW w:w="2940" w:type="dxa"/>
            <w:vAlign w:val="bottom"/>
            <w:tcBorders>
              <w:bottom w:val="single" w:sz="8" w:color="EEEEEE"/>
            </w:tcBorders>
          </w:tcPr>
          <w:p>
            <w:pPr>
              <w:spacing w:after="0" w:line="20" w:lineRule="exact"/>
              <w:rPr>
                <w:sz w:val="1"/>
                <w:szCs w:val="1"/>
                <w:color w:val="auto"/>
              </w:rPr>
            </w:pPr>
          </w:p>
        </w:tc>
        <w:tc>
          <w:tcPr>
            <w:tcW w:w="57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5" w:name="page56"/>
    <w:bookmarkEnd w:id="55"/>
    <w:p>
      <w:pPr>
        <w:jc w:val="both"/>
        <w:ind w:left="180" w:right="199"/>
        <w:spacing w:after="0" w:line="282" w:lineRule="auto"/>
        <w:rPr>
          <w:sz w:val="20"/>
          <w:szCs w:val="20"/>
          <w:color w:val="auto"/>
        </w:rPr>
      </w:pPr>
      <w:r>
        <w:rPr>
          <w:rFonts w:ascii="Arial" w:cs="Arial" w:eastAsia="Arial" w:hAnsi="Arial"/>
          <w:sz w:val="19"/>
          <w:szCs w:val="19"/>
          <w:color w:val="auto"/>
        </w:rPr>
        <w:t>giving effect to this Agreement, the Revolving Loans of each of the Lenders on the Second Amendment Effective Date are equal to its Revolving Percentage of the Revolving Loans of all of the Lenders outstanding on the Second Amendment Effective Date. The requirements in respect of minimum borrowing, pro rata borrowing and pro rata payment requirements contained in the Amended Credit Agreement shall not apply to the transactions effect pursuant to this Section 4.</w:t>
      </w:r>
    </w:p>
    <w:p>
      <w:pPr>
        <w:spacing w:after="0" w:line="148" w:lineRule="exact"/>
        <w:rPr>
          <w:sz w:val="20"/>
          <w:szCs w:val="20"/>
          <w:color w:val="auto"/>
        </w:rPr>
      </w:pPr>
    </w:p>
    <w:p>
      <w:pPr>
        <w:jc w:val="both"/>
        <w:ind w:left="180" w:right="199" w:firstLine="1300"/>
        <w:spacing w:after="0"/>
        <w:tabs>
          <w:tab w:leader="none" w:pos="2097"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No Novation</w:t>
      </w:r>
      <w:r>
        <w:rPr>
          <w:rFonts w:ascii="Arial" w:cs="Arial" w:eastAsia="Arial" w:hAnsi="Arial"/>
          <w:sz w:val="22"/>
          <w:szCs w:val="22"/>
          <w:color w:val="auto"/>
        </w:rPr>
        <w:t>. This Agreement shall not constitute a termination of the Existing Credit Agreement nor a novation of any indebtedness or other obligations owing to the Administrative Agent or any Lender under the Existing Credit Agreement.</w:t>
      </w:r>
    </w:p>
    <w:p>
      <w:pPr>
        <w:spacing w:after="0" w:line="186" w:lineRule="exact"/>
        <w:rPr>
          <w:rFonts w:ascii="Arial" w:cs="Arial" w:eastAsia="Arial" w:hAnsi="Arial"/>
          <w:sz w:val="22"/>
          <w:szCs w:val="22"/>
          <w:color w:val="auto"/>
        </w:rPr>
      </w:pPr>
    </w:p>
    <w:p>
      <w:pPr>
        <w:jc w:val="both"/>
        <w:ind w:left="180" w:right="199" w:firstLine="1300"/>
        <w:spacing w:after="0" w:line="233" w:lineRule="auto"/>
        <w:tabs>
          <w:tab w:leader="none" w:pos="2097"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Borrower’s Ratification</w:t>
      </w:r>
      <w:r>
        <w:rPr>
          <w:rFonts w:ascii="Arial" w:cs="Arial" w:eastAsia="Arial" w:hAnsi="Arial"/>
          <w:sz w:val="22"/>
          <w:szCs w:val="22"/>
          <w:color w:val="auto"/>
        </w:rPr>
        <w:t>. The Borrower agrees that it has no defenses, set-offs, counterclaim or challenge against the Lenders or the Administrative Agent or their respective officers, directors, employees, agents or attorneys, with respect to the Loan Documents, all of which are in full force and effect, and that all of the terms and conditions of the Loan Documents not inconsistent herewith shall remain in full force and effect unless and until modified or amended in writing in accordance with their terms. The Borrower hereby ratifies and confirms its obligations under the Loan Documents as amended hereby and agrees that the execution and delivery of this Agreement does not in any way diminish or invalidate any of its obligations thereunder.</w:t>
      </w:r>
    </w:p>
    <w:p>
      <w:pPr>
        <w:spacing w:after="0" w:line="192" w:lineRule="exact"/>
        <w:rPr>
          <w:rFonts w:ascii="Arial" w:cs="Arial" w:eastAsia="Arial" w:hAnsi="Arial"/>
          <w:sz w:val="22"/>
          <w:szCs w:val="22"/>
          <w:color w:val="auto"/>
        </w:rPr>
      </w:pPr>
    </w:p>
    <w:p>
      <w:pPr>
        <w:ind w:left="180" w:right="199" w:firstLine="1300"/>
        <w:spacing w:after="0" w:line="250" w:lineRule="auto"/>
        <w:tabs>
          <w:tab w:leader="none" w:pos="2097"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Borrower hereby represents and warrants to the Administrative Agent and the Lenders that:</w:t>
      </w:r>
    </w:p>
    <w:p>
      <w:pPr>
        <w:spacing w:after="0" w:line="174" w:lineRule="exact"/>
        <w:rPr>
          <w:rFonts w:ascii="Arial" w:cs="Arial" w:eastAsia="Arial" w:hAnsi="Arial"/>
          <w:sz w:val="22"/>
          <w:szCs w:val="22"/>
          <w:color w:val="auto"/>
        </w:rPr>
      </w:pPr>
    </w:p>
    <w:p>
      <w:pPr>
        <w:jc w:val="both"/>
        <w:ind w:left="180" w:right="199" w:firstLine="1948"/>
        <w:spacing w:after="0" w:line="245" w:lineRule="auto"/>
        <w:tabs>
          <w:tab w:leader="none" w:pos="2769" w:val="left"/>
        </w:tabs>
        <w:numPr>
          <w:ilvl w:val="1"/>
          <w:numId w:val="23"/>
        </w:numPr>
        <w:rPr>
          <w:rFonts w:ascii="Arial" w:cs="Arial" w:eastAsia="Arial" w:hAnsi="Arial"/>
          <w:sz w:val="21"/>
          <w:szCs w:val="21"/>
          <w:color w:val="auto"/>
        </w:rPr>
      </w:pPr>
      <w:r>
        <w:rPr>
          <w:rFonts w:ascii="Arial" w:cs="Arial" w:eastAsia="Arial" w:hAnsi="Arial"/>
          <w:sz w:val="21"/>
          <w:szCs w:val="21"/>
          <w:color w:val="auto"/>
        </w:rPr>
        <w:t>Immediately before giving effect to this Agreement, the representations and warranties of the Borrower set forth in the Existing Credit Agreement, and immediately after giving effect to this Agreement, the representations and warranties of the Borrower set forth in the Amended Credit Agreement and the other Loan Documents, are in each case true and correct in all material respects (it being understood that the materiality qualifier shall not be applicable with respect to any clause of any representation or warranty which itself contains a materiality qualification) as of the Second Amendment Effective Date (except representations and warranties which relate solely to an earlier date or time, which representations and warranties shall be true and correct in all material respects (or all respects, as applicable) on and as of the specific dates or times referred to therein);</w:t>
      </w:r>
    </w:p>
    <w:p>
      <w:pPr>
        <w:spacing w:after="0" w:line="180" w:lineRule="exact"/>
        <w:rPr>
          <w:rFonts w:ascii="Arial" w:cs="Arial" w:eastAsia="Arial" w:hAnsi="Arial"/>
          <w:sz w:val="21"/>
          <w:szCs w:val="21"/>
          <w:color w:val="auto"/>
        </w:rPr>
      </w:pPr>
    </w:p>
    <w:p>
      <w:pPr>
        <w:jc w:val="both"/>
        <w:ind w:left="180" w:right="199" w:firstLine="1948"/>
        <w:spacing w:after="0" w:line="238" w:lineRule="auto"/>
        <w:tabs>
          <w:tab w:leader="none" w:pos="2781" w:val="left"/>
        </w:tabs>
        <w:numPr>
          <w:ilvl w:val="1"/>
          <w:numId w:val="23"/>
        </w:numPr>
        <w:rPr>
          <w:rFonts w:ascii="Arial" w:cs="Arial" w:eastAsia="Arial" w:hAnsi="Arial"/>
          <w:sz w:val="22"/>
          <w:szCs w:val="22"/>
          <w:color w:val="auto"/>
        </w:rPr>
      </w:pPr>
      <w:r>
        <w:rPr>
          <w:rFonts w:ascii="Arial" w:cs="Arial" w:eastAsia="Arial" w:hAnsi="Arial"/>
          <w:sz w:val="22"/>
          <w:szCs w:val="22"/>
          <w:color w:val="auto"/>
        </w:rPr>
        <w:t>Immediately before giving effect to this Agreement, there exists no Default or Event of Default under the Existing Credit Agreement, and immediately after giving effect to this Agreement there exists no Default or Event of Default under the Amended Credit Agreement;</w:t>
      </w:r>
    </w:p>
    <w:p>
      <w:pPr>
        <w:spacing w:after="0" w:line="184" w:lineRule="exact"/>
        <w:rPr>
          <w:rFonts w:ascii="Arial" w:cs="Arial" w:eastAsia="Arial" w:hAnsi="Arial"/>
          <w:sz w:val="22"/>
          <w:szCs w:val="22"/>
          <w:color w:val="auto"/>
        </w:rPr>
      </w:pPr>
    </w:p>
    <w:p>
      <w:pPr>
        <w:jc w:val="both"/>
        <w:ind w:left="180" w:right="199" w:firstLine="1948"/>
        <w:spacing w:after="0" w:line="297" w:lineRule="auto"/>
        <w:tabs>
          <w:tab w:leader="none" w:pos="2769" w:val="left"/>
        </w:tabs>
        <w:numPr>
          <w:ilvl w:val="1"/>
          <w:numId w:val="23"/>
        </w:numPr>
        <w:rPr>
          <w:rFonts w:ascii="Arial" w:cs="Arial" w:eastAsia="Arial" w:hAnsi="Arial"/>
          <w:sz w:val="19"/>
          <w:szCs w:val="19"/>
          <w:color w:val="auto"/>
        </w:rPr>
      </w:pPr>
      <w:r>
        <w:rPr>
          <w:rFonts w:ascii="Arial" w:cs="Arial" w:eastAsia="Arial" w:hAnsi="Arial"/>
          <w:sz w:val="19"/>
          <w:szCs w:val="19"/>
          <w:color w:val="auto"/>
        </w:rPr>
        <w:t>Each of this Agreement (including the Amended Credit Agreement) and each New Note has been duly authorized, executed and delivered and constitutes the legal, valid and binding obligation of the Borrower, enforceable in accordance with its terms; and</w:t>
      </w:r>
    </w:p>
    <w:p>
      <w:pPr>
        <w:spacing w:after="0" w:line="133" w:lineRule="exact"/>
        <w:rPr>
          <w:rFonts w:ascii="Arial" w:cs="Arial" w:eastAsia="Arial" w:hAnsi="Arial"/>
          <w:sz w:val="19"/>
          <w:szCs w:val="19"/>
          <w:color w:val="auto"/>
        </w:rPr>
      </w:pPr>
    </w:p>
    <w:p>
      <w:pPr>
        <w:ind w:left="180" w:right="199" w:firstLine="1948"/>
        <w:spacing w:after="0" w:line="328" w:lineRule="auto"/>
        <w:tabs>
          <w:tab w:leader="none" w:pos="2781" w:val="left"/>
        </w:tabs>
        <w:numPr>
          <w:ilvl w:val="1"/>
          <w:numId w:val="23"/>
        </w:numPr>
        <w:rPr>
          <w:rFonts w:ascii="Arial" w:cs="Arial" w:eastAsia="Arial" w:hAnsi="Arial"/>
          <w:sz w:val="19"/>
          <w:szCs w:val="19"/>
          <w:color w:val="auto"/>
        </w:rPr>
      </w:pPr>
      <w:r>
        <w:rPr>
          <w:rFonts w:ascii="Arial" w:cs="Arial" w:eastAsia="Arial" w:hAnsi="Arial"/>
          <w:sz w:val="19"/>
          <w:szCs w:val="19"/>
          <w:color w:val="auto"/>
        </w:rPr>
        <w:t>No consent, approval or authorization of, filing, registration or recording with, notice to or other act by or in respect of, any Governmental Authority or any other</w:t>
      </w:r>
    </w:p>
    <w:p>
      <w:pPr>
        <w:spacing w:after="0" w:line="105"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940" w:type="dxa"/>
            <w:vAlign w:val="bottom"/>
          </w:tcPr>
          <w:p>
            <w:pPr>
              <w:spacing w:after="0"/>
              <w:rPr>
                <w:sz w:val="20"/>
                <w:szCs w:val="20"/>
                <w:color w:val="auto"/>
              </w:rPr>
            </w:pPr>
            <w:r>
              <w:rPr>
                <w:rFonts w:ascii="Arial" w:cs="Arial" w:eastAsia="Arial" w:hAnsi="Arial"/>
                <w:sz w:val="14"/>
                <w:szCs w:val="14"/>
                <w:color w:val="auto"/>
              </w:rPr>
              <w:t>DMFIRM #403601135 v6</w:t>
            </w:r>
          </w:p>
        </w:tc>
        <w:tc>
          <w:tcPr>
            <w:tcW w:w="5740" w:type="dxa"/>
            <w:vAlign w:val="bottom"/>
          </w:tcPr>
          <w:p>
            <w:pPr>
              <w:jc w:val="right"/>
              <w:ind w:right="4192"/>
              <w:spacing w:after="0"/>
              <w:rPr>
                <w:sz w:val="20"/>
                <w:szCs w:val="20"/>
                <w:color w:val="auto"/>
              </w:rPr>
            </w:pPr>
            <w:r>
              <w:rPr>
                <w:rFonts w:ascii="Arial" w:cs="Arial" w:eastAsia="Arial" w:hAnsi="Arial"/>
                <w:sz w:val="22"/>
                <w:szCs w:val="22"/>
                <w:color w:val="auto"/>
              </w:rPr>
              <w:t>8</w:t>
            </w:r>
          </w:p>
        </w:tc>
      </w:tr>
      <w:tr>
        <w:trPr>
          <w:trHeight w:val="341"/>
        </w:trPr>
        <w:tc>
          <w:tcPr>
            <w:tcW w:w="294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r>
      <w:tr>
        <w:trPr>
          <w:trHeight w:val="20"/>
        </w:trPr>
        <w:tc>
          <w:tcPr>
            <w:tcW w:w="2940" w:type="dxa"/>
            <w:vAlign w:val="bottom"/>
            <w:tcBorders>
              <w:bottom w:val="single" w:sz="8" w:color="EEEEEE"/>
            </w:tcBorders>
          </w:tcPr>
          <w:p>
            <w:pPr>
              <w:spacing w:after="0" w:line="20" w:lineRule="exact"/>
              <w:rPr>
                <w:sz w:val="1"/>
                <w:szCs w:val="1"/>
                <w:color w:val="auto"/>
              </w:rPr>
            </w:pPr>
          </w:p>
        </w:tc>
        <w:tc>
          <w:tcPr>
            <w:tcW w:w="57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6" w:name="page57"/>
    <w:bookmarkEnd w:id="56"/>
    <w:p>
      <w:pPr>
        <w:jc w:val="both"/>
        <w:ind w:left="180" w:right="199"/>
        <w:spacing w:after="0" w:line="241" w:lineRule="auto"/>
        <w:rPr>
          <w:sz w:val="20"/>
          <w:szCs w:val="20"/>
          <w:color w:val="auto"/>
        </w:rPr>
      </w:pPr>
      <w:r>
        <w:rPr>
          <w:rFonts w:ascii="Arial" w:cs="Arial" w:eastAsia="Arial" w:hAnsi="Arial"/>
          <w:sz w:val="22"/>
          <w:szCs w:val="22"/>
          <w:color w:val="auto"/>
        </w:rPr>
        <w:t>Person is required in connection with the execution, delivery or performance by the Borrower of this Agreement, the Amended Credit Agreement or the New Notes (except for those which have been obtained on or prior to the date hereof).</w:t>
      </w:r>
    </w:p>
    <w:p>
      <w:pPr>
        <w:spacing w:after="0" w:line="184"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All of the above representations and warranties shall survive the making of this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jc w:val="both"/>
        <w:ind w:left="180" w:right="199" w:firstLine="1300"/>
        <w:spacing w:after="0" w:line="297" w:lineRule="auto"/>
        <w:tabs>
          <w:tab w:leader="none" w:pos="2097"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Conditions Precedent</w:t>
      </w:r>
      <w:r>
        <w:rPr>
          <w:rFonts w:ascii="Arial" w:cs="Arial" w:eastAsia="Arial" w:hAnsi="Arial"/>
          <w:sz w:val="19"/>
          <w:szCs w:val="19"/>
          <w:color w:val="auto"/>
        </w:rPr>
        <w:t>. The effectiveness of the amendments set forth herein is subject to the fulfillment, to the satisfaction of the Administrative Agent and its counsel, of the following conditions precedent on or before the Second Amendment Effective Date:</w:t>
      </w:r>
    </w:p>
    <w:p>
      <w:pPr>
        <w:spacing w:after="0" w:line="133" w:lineRule="exact"/>
        <w:rPr>
          <w:rFonts w:ascii="Arial" w:cs="Arial" w:eastAsia="Arial" w:hAnsi="Arial"/>
          <w:sz w:val="19"/>
          <w:szCs w:val="19"/>
          <w:color w:val="auto"/>
        </w:rPr>
      </w:pPr>
    </w:p>
    <w:p>
      <w:pPr>
        <w:jc w:val="both"/>
        <w:ind w:left="180" w:right="199" w:firstLine="1948"/>
        <w:spacing w:after="0" w:line="238" w:lineRule="auto"/>
        <w:tabs>
          <w:tab w:leader="none" w:pos="2769" w:val="left"/>
        </w:tabs>
        <w:numPr>
          <w:ilvl w:val="1"/>
          <w:numId w:val="24"/>
        </w:numPr>
        <w:rPr>
          <w:rFonts w:ascii="Arial" w:cs="Arial" w:eastAsia="Arial" w:hAnsi="Arial"/>
          <w:sz w:val="22"/>
          <w:szCs w:val="22"/>
          <w:color w:val="auto"/>
        </w:rPr>
      </w:pPr>
      <w:r>
        <w:rPr>
          <w:rFonts w:ascii="Arial" w:cs="Arial" w:eastAsia="Arial" w:hAnsi="Arial"/>
          <w:sz w:val="22"/>
          <w:szCs w:val="22"/>
          <w:color w:val="auto"/>
        </w:rPr>
        <w:t>The Administrative Agent shall have received the following, all of which shall be in form and substance satisfactory to the Administrative Agent and shall be duly completed and executed by the Borrower, the Administrative Agent and the Lenders, as applicable:</w:t>
      </w:r>
    </w:p>
    <w:p>
      <w:pPr>
        <w:spacing w:after="0" w:line="184" w:lineRule="exact"/>
        <w:rPr>
          <w:rFonts w:ascii="Arial" w:cs="Arial" w:eastAsia="Arial" w:hAnsi="Arial"/>
          <w:sz w:val="22"/>
          <w:szCs w:val="22"/>
          <w:color w:val="auto"/>
        </w:rPr>
      </w:pPr>
    </w:p>
    <w:p>
      <w:pPr>
        <w:ind w:left="3420" w:hanging="644"/>
        <w:spacing w:after="0"/>
        <w:tabs>
          <w:tab w:leader="none" w:pos="3420" w:val="left"/>
        </w:tabs>
        <w:numPr>
          <w:ilvl w:val="2"/>
          <w:numId w:val="24"/>
        </w:numPr>
        <w:rPr>
          <w:rFonts w:ascii="Arial" w:cs="Arial" w:eastAsia="Arial" w:hAnsi="Arial"/>
          <w:sz w:val="22"/>
          <w:szCs w:val="22"/>
          <w:color w:val="auto"/>
        </w:rPr>
      </w:pPr>
      <w:r>
        <w:rPr>
          <w:rFonts w:ascii="Arial" w:cs="Arial" w:eastAsia="Arial" w:hAnsi="Arial"/>
          <w:sz w:val="22"/>
          <w:szCs w:val="22"/>
          <w:color w:val="auto"/>
        </w:rPr>
        <w:t>This Agreement;</w:t>
      </w:r>
    </w:p>
    <w:p>
      <w:pPr>
        <w:spacing w:after="0" w:line="206" w:lineRule="exact"/>
        <w:rPr>
          <w:rFonts w:ascii="Arial" w:cs="Arial" w:eastAsia="Arial" w:hAnsi="Arial"/>
          <w:sz w:val="22"/>
          <w:szCs w:val="22"/>
          <w:color w:val="auto"/>
        </w:rPr>
      </w:pPr>
    </w:p>
    <w:p>
      <w:pPr>
        <w:ind w:left="3420" w:hanging="644"/>
        <w:spacing w:after="0"/>
        <w:tabs>
          <w:tab w:leader="none" w:pos="3420" w:val="left"/>
        </w:tabs>
        <w:numPr>
          <w:ilvl w:val="2"/>
          <w:numId w:val="24"/>
        </w:numPr>
        <w:rPr>
          <w:rFonts w:ascii="Arial" w:cs="Arial" w:eastAsia="Arial" w:hAnsi="Arial"/>
          <w:sz w:val="22"/>
          <w:szCs w:val="22"/>
          <w:color w:val="auto"/>
        </w:rPr>
      </w:pPr>
      <w:r>
        <w:rPr>
          <w:rFonts w:ascii="Arial" w:cs="Arial" w:eastAsia="Arial" w:hAnsi="Arial"/>
          <w:sz w:val="22"/>
          <w:szCs w:val="22"/>
          <w:color w:val="auto"/>
        </w:rPr>
        <w:t>The New Notes;</w:t>
      </w:r>
    </w:p>
    <w:p>
      <w:pPr>
        <w:spacing w:after="0" w:line="206" w:lineRule="exact"/>
        <w:rPr>
          <w:rFonts w:ascii="Arial" w:cs="Arial" w:eastAsia="Arial" w:hAnsi="Arial"/>
          <w:sz w:val="22"/>
          <w:szCs w:val="22"/>
          <w:color w:val="auto"/>
        </w:rPr>
      </w:pPr>
    </w:p>
    <w:p>
      <w:pPr>
        <w:jc w:val="both"/>
        <w:ind w:left="3420" w:right="199" w:hanging="644"/>
        <w:spacing w:after="0" w:line="279" w:lineRule="auto"/>
        <w:tabs>
          <w:tab w:leader="none" w:pos="3420" w:val="left"/>
        </w:tabs>
        <w:numPr>
          <w:ilvl w:val="2"/>
          <w:numId w:val="24"/>
        </w:numPr>
        <w:rPr>
          <w:rFonts w:ascii="Arial" w:cs="Arial" w:eastAsia="Arial" w:hAnsi="Arial"/>
          <w:sz w:val="19"/>
          <w:szCs w:val="19"/>
          <w:color w:val="auto"/>
        </w:rPr>
      </w:pPr>
      <w:r>
        <w:rPr>
          <w:rFonts w:ascii="Arial" w:cs="Arial" w:eastAsia="Arial" w:hAnsi="Arial"/>
          <w:sz w:val="19"/>
          <w:szCs w:val="19"/>
          <w:color w:val="auto"/>
        </w:rPr>
        <w:t>Copies, certified by an officer of the Borrower as of a recent date, of resolutions of the board of directors of the Borrower in effect on the date hereof authorizing the execution, delivery and performance of this Agreement, the New Notes and the other documents and transactions contemplated hereby and the performance of the Amended Credit Agreement;</w:t>
      </w:r>
    </w:p>
    <w:p>
      <w:pPr>
        <w:spacing w:after="0" w:line="150" w:lineRule="exact"/>
        <w:rPr>
          <w:rFonts w:ascii="Arial" w:cs="Arial" w:eastAsia="Arial" w:hAnsi="Arial"/>
          <w:sz w:val="19"/>
          <w:szCs w:val="19"/>
          <w:color w:val="auto"/>
        </w:rPr>
      </w:pPr>
    </w:p>
    <w:p>
      <w:pPr>
        <w:jc w:val="both"/>
        <w:ind w:left="3420" w:right="199" w:hanging="644"/>
        <w:spacing w:after="0" w:line="246" w:lineRule="auto"/>
        <w:tabs>
          <w:tab w:leader="none" w:pos="3462" w:val="left"/>
        </w:tabs>
        <w:numPr>
          <w:ilvl w:val="2"/>
          <w:numId w:val="24"/>
        </w:numPr>
        <w:rPr>
          <w:rFonts w:ascii="Arial" w:cs="Arial" w:eastAsia="Arial" w:hAnsi="Arial"/>
          <w:sz w:val="21"/>
          <w:szCs w:val="21"/>
          <w:color w:val="auto"/>
        </w:rPr>
      </w:pPr>
      <w:r>
        <w:rPr>
          <w:rFonts w:ascii="Arial" w:cs="Arial" w:eastAsia="Arial" w:hAnsi="Arial"/>
          <w:sz w:val="21"/>
          <w:szCs w:val="21"/>
          <w:color w:val="auto"/>
        </w:rPr>
        <w:t>Copies, certified by an officer of the Borrower as of a recent date, of the certificate of formation and limited liability company agreement of the Borrower as in effect on the Second Amendment Effective Date, or a certificate stating that there have been no changes to any such documents since the most recent date true and correct copies thereof were delivered to the Administrative Agent;</w:t>
      </w:r>
    </w:p>
    <w:p>
      <w:pPr>
        <w:spacing w:after="0" w:line="184" w:lineRule="exact"/>
        <w:rPr>
          <w:rFonts w:ascii="Arial" w:cs="Arial" w:eastAsia="Arial" w:hAnsi="Arial"/>
          <w:sz w:val="21"/>
          <w:szCs w:val="21"/>
          <w:color w:val="auto"/>
        </w:rPr>
      </w:pPr>
    </w:p>
    <w:p>
      <w:pPr>
        <w:ind w:left="3420" w:right="199" w:hanging="644"/>
        <w:spacing w:after="0" w:line="250" w:lineRule="auto"/>
        <w:tabs>
          <w:tab w:leader="none" w:pos="3469" w:val="left"/>
        </w:tabs>
        <w:numPr>
          <w:ilvl w:val="2"/>
          <w:numId w:val="24"/>
        </w:numPr>
        <w:rPr>
          <w:rFonts w:ascii="Arial" w:cs="Arial" w:eastAsia="Arial" w:hAnsi="Arial"/>
          <w:sz w:val="22"/>
          <w:szCs w:val="22"/>
          <w:color w:val="auto"/>
        </w:rPr>
      </w:pPr>
      <w:r>
        <w:rPr>
          <w:rFonts w:ascii="Arial" w:cs="Arial" w:eastAsia="Arial" w:hAnsi="Arial"/>
          <w:sz w:val="22"/>
          <w:szCs w:val="22"/>
          <w:color w:val="auto"/>
        </w:rPr>
        <w:t>A good standing certificate for the Borrower in the State of its formation dated as of a recent date;</w:t>
      </w:r>
    </w:p>
    <w:p>
      <w:pPr>
        <w:spacing w:after="0" w:line="174" w:lineRule="exact"/>
        <w:rPr>
          <w:rFonts w:ascii="Arial" w:cs="Arial" w:eastAsia="Arial" w:hAnsi="Arial"/>
          <w:sz w:val="22"/>
          <w:szCs w:val="22"/>
          <w:color w:val="auto"/>
        </w:rPr>
      </w:pPr>
    </w:p>
    <w:p>
      <w:pPr>
        <w:jc w:val="both"/>
        <w:ind w:left="3420" w:right="199" w:hanging="644"/>
        <w:spacing w:after="0" w:line="238" w:lineRule="auto"/>
        <w:tabs>
          <w:tab w:leader="none" w:pos="3462" w:val="left"/>
        </w:tabs>
        <w:numPr>
          <w:ilvl w:val="2"/>
          <w:numId w:val="24"/>
        </w:numPr>
        <w:rPr>
          <w:rFonts w:ascii="Arial" w:cs="Arial" w:eastAsia="Arial" w:hAnsi="Arial"/>
          <w:sz w:val="22"/>
          <w:szCs w:val="22"/>
          <w:color w:val="auto"/>
        </w:rPr>
      </w:pPr>
      <w:r>
        <w:rPr>
          <w:rFonts w:ascii="Arial" w:cs="Arial" w:eastAsia="Arial" w:hAnsi="Arial"/>
          <w:sz w:val="22"/>
          <w:szCs w:val="22"/>
          <w:color w:val="auto"/>
        </w:rPr>
        <w:t>State-level Uniform Commercial Code lien searches with respect to the Borrower in its jurisdiction of organization and with results reasonably acceptable to the Administrative Agent;</w:t>
      </w:r>
    </w:p>
    <w:p>
      <w:pPr>
        <w:spacing w:after="0" w:line="184" w:lineRule="exact"/>
        <w:rPr>
          <w:rFonts w:ascii="Arial" w:cs="Arial" w:eastAsia="Arial" w:hAnsi="Arial"/>
          <w:sz w:val="22"/>
          <w:szCs w:val="22"/>
          <w:color w:val="auto"/>
        </w:rPr>
      </w:pPr>
    </w:p>
    <w:p>
      <w:pPr>
        <w:jc w:val="both"/>
        <w:ind w:left="3420" w:right="199" w:hanging="644"/>
        <w:spacing w:after="0" w:line="297" w:lineRule="auto"/>
        <w:tabs>
          <w:tab w:leader="none" w:pos="3468" w:val="left"/>
        </w:tabs>
        <w:numPr>
          <w:ilvl w:val="2"/>
          <w:numId w:val="24"/>
        </w:numPr>
        <w:rPr>
          <w:rFonts w:ascii="Arial" w:cs="Arial" w:eastAsia="Arial" w:hAnsi="Arial"/>
          <w:sz w:val="19"/>
          <w:szCs w:val="19"/>
          <w:color w:val="auto"/>
        </w:rPr>
      </w:pPr>
      <w:r>
        <w:rPr>
          <w:rFonts w:ascii="Arial" w:cs="Arial" w:eastAsia="Arial" w:hAnsi="Arial"/>
          <w:sz w:val="19"/>
          <w:szCs w:val="19"/>
          <w:color w:val="auto"/>
        </w:rPr>
        <w:t xml:space="preserve">Insurance certificates satisfying the requirements of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of the Security Agreement and evidencing that all necessary insurance is in place or will be in effect by the</w:t>
      </w:r>
    </w:p>
    <w:p>
      <w:pPr>
        <w:spacing w:after="0" w:line="134"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940" w:type="dxa"/>
            <w:vAlign w:val="bottom"/>
          </w:tcPr>
          <w:p>
            <w:pPr>
              <w:spacing w:after="0"/>
              <w:rPr>
                <w:sz w:val="20"/>
                <w:szCs w:val="20"/>
                <w:color w:val="auto"/>
              </w:rPr>
            </w:pPr>
            <w:r>
              <w:rPr>
                <w:rFonts w:ascii="Arial" w:cs="Arial" w:eastAsia="Arial" w:hAnsi="Arial"/>
                <w:sz w:val="14"/>
                <w:szCs w:val="14"/>
                <w:color w:val="auto"/>
              </w:rPr>
              <w:t>DMFIRM #403601135 v6</w:t>
            </w:r>
          </w:p>
        </w:tc>
        <w:tc>
          <w:tcPr>
            <w:tcW w:w="5740" w:type="dxa"/>
            <w:vAlign w:val="bottom"/>
          </w:tcPr>
          <w:p>
            <w:pPr>
              <w:jc w:val="right"/>
              <w:ind w:right="4192"/>
              <w:spacing w:after="0"/>
              <w:rPr>
                <w:sz w:val="20"/>
                <w:szCs w:val="20"/>
                <w:color w:val="auto"/>
              </w:rPr>
            </w:pPr>
            <w:r>
              <w:rPr>
                <w:rFonts w:ascii="Arial" w:cs="Arial" w:eastAsia="Arial" w:hAnsi="Arial"/>
                <w:sz w:val="22"/>
                <w:szCs w:val="22"/>
                <w:color w:val="auto"/>
              </w:rPr>
              <w:t>9</w:t>
            </w:r>
          </w:p>
        </w:tc>
      </w:tr>
      <w:tr>
        <w:trPr>
          <w:trHeight w:val="341"/>
        </w:trPr>
        <w:tc>
          <w:tcPr>
            <w:tcW w:w="294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r>
      <w:tr>
        <w:trPr>
          <w:trHeight w:val="20"/>
        </w:trPr>
        <w:tc>
          <w:tcPr>
            <w:tcW w:w="2940" w:type="dxa"/>
            <w:vAlign w:val="bottom"/>
            <w:tcBorders>
              <w:bottom w:val="single" w:sz="8" w:color="EEEEEE"/>
            </w:tcBorders>
          </w:tcPr>
          <w:p>
            <w:pPr>
              <w:spacing w:after="0" w:line="20" w:lineRule="exact"/>
              <w:rPr>
                <w:sz w:val="1"/>
                <w:szCs w:val="1"/>
                <w:color w:val="auto"/>
              </w:rPr>
            </w:pPr>
          </w:p>
        </w:tc>
        <w:tc>
          <w:tcPr>
            <w:tcW w:w="57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7" w:name="page58"/>
    <w:bookmarkEnd w:id="57"/>
    <w:p>
      <w:pPr>
        <w:jc w:val="both"/>
        <w:ind w:left="3420" w:right="199"/>
        <w:spacing w:after="0" w:line="238" w:lineRule="auto"/>
        <w:rPr>
          <w:sz w:val="20"/>
          <w:szCs w:val="20"/>
          <w:color w:val="auto"/>
        </w:rPr>
      </w:pPr>
      <w:r>
        <w:rPr>
          <w:rFonts w:ascii="Arial" w:cs="Arial" w:eastAsia="Arial" w:hAnsi="Arial"/>
          <w:sz w:val="22"/>
          <w:szCs w:val="22"/>
          <w:color w:val="auto"/>
        </w:rPr>
        <w:t>Second Amendment Effective Date, so long as such insurance is reasonably available in the commercial insurance market and typically maintained by similarly situated companies in the same industry;</w:t>
      </w:r>
    </w:p>
    <w:p>
      <w:pPr>
        <w:spacing w:after="0" w:line="185" w:lineRule="exact"/>
        <w:rPr>
          <w:sz w:val="20"/>
          <w:szCs w:val="20"/>
          <w:color w:val="auto"/>
        </w:rPr>
      </w:pPr>
    </w:p>
    <w:p>
      <w:pPr>
        <w:jc w:val="both"/>
        <w:ind w:left="3420" w:right="199" w:hanging="644"/>
        <w:spacing w:after="0"/>
        <w:tabs>
          <w:tab w:leader="none" w:pos="3460" w:val="left"/>
        </w:tabs>
        <w:numPr>
          <w:ilvl w:val="1"/>
          <w:numId w:val="25"/>
        </w:numPr>
        <w:rPr>
          <w:rFonts w:ascii="Arial" w:cs="Arial" w:eastAsia="Arial" w:hAnsi="Arial"/>
          <w:sz w:val="22"/>
          <w:szCs w:val="22"/>
          <w:color w:val="auto"/>
        </w:rPr>
      </w:pPr>
      <w:r>
        <w:rPr>
          <w:rFonts w:ascii="Arial" w:cs="Arial" w:eastAsia="Arial" w:hAnsi="Arial"/>
          <w:sz w:val="22"/>
          <w:szCs w:val="22"/>
          <w:color w:val="auto"/>
        </w:rPr>
        <w:t>An executed legal opinion of counsel to the Borrower, reasonably satisfactory in form and substance to the Administrative Agent and its counsel;</w:t>
      </w:r>
    </w:p>
    <w:p>
      <w:pPr>
        <w:spacing w:after="0" w:line="186" w:lineRule="exact"/>
        <w:rPr>
          <w:rFonts w:ascii="Arial" w:cs="Arial" w:eastAsia="Arial" w:hAnsi="Arial"/>
          <w:sz w:val="22"/>
          <w:szCs w:val="22"/>
          <w:color w:val="auto"/>
        </w:rPr>
      </w:pPr>
    </w:p>
    <w:p>
      <w:pPr>
        <w:jc w:val="both"/>
        <w:ind w:left="3420" w:right="199" w:hanging="644"/>
        <w:spacing w:after="0" w:line="277" w:lineRule="auto"/>
        <w:tabs>
          <w:tab w:leader="none" w:pos="3462" w:val="left"/>
        </w:tabs>
        <w:numPr>
          <w:ilvl w:val="1"/>
          <w:numId w:val="25"/>
        </w:numPr>
        <w:rPr>
          <w:rFonts w:ascii="Arial" w:cs="Arial" w:eastAsia="Arial" w:hAnsi="Arial"/>
          <w:sz w:val="19"/>
          <w:szCs w:val="19"/>
          <w:color w:val="auto"/>
        </w:rPr>
      </w:pPr>
      <w:r>
        <w:rPr>
          <w:rFonts w:ascii="Arial" w:cs="Arial" w:eastAsia="Arial" w:hAnsi="Arial"/>
          <w:sz w:val="19"/>
          <w:szCs w:val="19"/>
          <w:color w:val="auto"/>
        </w:rPr>
        <w:t>If the Borrower qualifies as a legal entity customer under the Beneficial Ownership Regulations, an executed Certificate of Beneficial Ownership for the Borrower and, in any case, such other documentation and other information requested by the Administrative Agent and the Lenders in connection with applicable “know your customer” and anti-money laundering rules and regulations, including the USA Patriot Act; and</w:t>
      </w:r>
    </w:p>
    <w:p>
      <w:pPr>
        <w:spacing w:after="0" w:line="151" w:lineRule="exact"/>
        <w:rPr>
          <w:rFonts w:ascii="Arial" w:cs="Arial" w:eastAsia="Arial" w:hAnsi="Arial"/>
          <w:sz w:val="19"/>
          <w:szCs w:val="19"/>
          <w:color w:val="auto"/>
        </w:rPr>
      </w:pPr>
    </w:p>
    <w:p>
      <w:pPr>
        <w:jc w:val="both"/>
        <w:ind w:left="3420" w:right="199" w:hanging="644"/>
        <w:spacing w:after="0" w:line="297" w:lineRule="auto"/>
        <w:tabs>
          <w:tab w:leader="none" w:pos="3469" w:val="left"/>
        </w:tabs>
        <w:numPr>
          <w:ilvl w:val="1"/>
          <w:numId w:val="25"/>
        </w:numPr>
        <w:rPr>
          <w:rFonts w:ascii="Arial" w:cs="Arial" w:eastAsia="Arial" w:hAnsi="Arial"/>
          <w:sz w:val="19"/>
          <w:szCs w:val="19"/>
          <w:color w:val="auto"/>
        </w:rPr>
      </w:pPr>
      <w:r>
        <w:rPr>
          <w:rFonts w:ascii="Arial" w:cs="Arial" w:eastAsia="Arial" w:hAnsi="Arial"/>
          <w:sz w:val="19"/>
          <w:szCs w:val="19"/>
          <w:color w:val="auto"/>
        </w:rPr>
        <w:t>Such additional documents, certificates and information as the Administrative Agent or the Lenders may require pursuant to the terms hereof or otherwise reasonably request.</w:t>
      </w:r>
    </w:p>
    <w:p>
      <w:pPr>
        <w:spacing w:after="0" w:line="133" w:lineRule="exact"/>
        <w:rPr>
          <w:rFonts w:ascii="Arial" w:cs="Arial" w:eastAsia="Arial" w:hAnsi="Arial"/>
          <w:sz w:val="19"/>
          <w:szCs w:val="19"/>
          <w:color w:val="auto"/>
        </w:rPr>
      </w:pPr>
    </w:p>
    <w:p>
      <w:pPr>
        <w:ind w:left="2780" w:hanging="652"/>
        <w:spacing w:after="0"/>
        <w:tabs>
          <w:tab w:leader="none" w:pos="27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Administrative Agent shall have received such fees as shall have</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been agreed.</w:t>
      </w:r>
    </w:p>
    <w:p>
      <w:pPr>
        <w:spacing w:after="0" w:line="188" w:lineRule="exact"/>
        <w:rPr>
          <w:sz w:val="20"/>
          <w:szCs w:val="20"/>
          <w:color w:val="auto"/>
        </w:rPr>
      </w:pPr>
    </w:p>
    <w:p>
      <w:pPr>
        <w:jc w:val="both"/>
        <w:ind w:left="180" w:right="199" w:firstLine="1948"/>
        <w:spacing w:after="0"/>
        <w:tabs>
          <w:tab w:leader="none" w:pos="2769"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Administrative Agent shall have received, to the extent invoiced, reimbursement of all fees and expenses of counsel to the Administrative Agent required to be paid or reimbursed by the Borrower hereunder.</w:t>
      </w:r>
    </w:p>
    <w:p>
      <w:pPr>
        <w:spacing w:after="0" w:line="186" w:lineRule="exact"/>
        <w:rPr>
          <w:sz w:val="20"/>
          <w:szCs w:val="20"/>
          <w:color w:val="auto"/>
        </w:rPr>
      </w:pPr>
    </w:p>
    <w:p>
      <w:pPr>
        <w:ind w:left="180" w:right="819"/>
        <w:spacing w:after="0" w:line="274" w:lineRule="auto"/>
        <w:rPr>
          <w:sz w:val="20"/>
          <w:szCs w:val="20"/>
          <w:color w:val="auto"/>
        </w:rPr>
      </w:pPr>
      <w:r>
        <w:rPr>
          <w:rFonts w:ascii="Arial" w:cs="Arial" w:eastAsia="Arial" w:hAnsi="Arial"/>
          <w:sz w:val="21"/>
          <w:szCs w:val="21"/>
          <w:color w:val="auto"/>
        </w:rPr>
        <w:t>All of the foregoing fees shall be in all respects, fully earned, due and payable on the Second Amendment Effective Date and non-refundable and non-creditable thereafter.</w:t>
      </w:r>
    </w:p>
    <w:p>
      <w:pPr>
        <w:spacing w:after="0" w:line="151" w:lineRule="exact"/>
        <w:rPr>
          <w:sz w:val="20"/>
          <w:szCs w:val="20"/>
          <w:color w:val="auto"/>
        </w:rPr>
      </w:pPr>
    </w:p>
    <w:p>
      <w:pPr>
        <w:jc w:val="both"/>
        <w:ind w:left="180" w:right="199" w:firstLine="1300"/>
        <w:spacing w:after="0" w:line="275" w:lineRule="auto"/>
        <w:tabs>
          <w:tab w:leader="none" w:pos="2137"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sole agreement of the parties hereto with respect to the transactions contemplated hereby and shall supersede all oral negotiations and the terms of prior writings with respect thereto. From and after the Second Amendment Effective Date, all references in the Amended Credit Agreement and each of the other Loan Documents to the Credit Agreement or the other Loan Documents modified hereby shall be deemed to be references to the Amended Credit Agreement and such other Loan Documents as modified hereby. This Agreement and the New Notes shall each constitute a Loan Document for all purposes under the Amended Credit Agreement and each of the other Loan Documents.</w:t>
      </w:r>
    </w:p>
    <w:p>
      <w:pPr>
        <w:spacing w:after="0" w:line="157" w:lineRule="exact"/>
        <w:rPr>
          <w:rFonts w:ascii="Arial" w:cs="Arial" w:eastAsia="Arial" w:hAnsi="Arial"/>
          <w:sz w:val="19"/>
          <w:szCs w:val="19"/>
          <w:color w:val="auto"/>
        </w:rPr>
      </w:pPr>
    </w:p>
    <w:p>
      <w:pPr>
        <w:jc w:val="both"/>
        <w:ind w:left="180" w:right="199" w:firstLine="1300"/>
        <w:spacing w:after="0" w:line="297" w:lineRule="auto"/>
        <w:tabs>
          <w:tab w:leader="none" w:pos="2129"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Any provision of this Agreement which is prohibited or unenforceable in any jurisdiction shall, as to such jurisdiction, be ineffective to the extent of such prohibition or unenforceability without invalidating the remaining provisions hereof, and any such</w:t>
      </w:r>
    </w:p>
    <w:p>
      <w:pPr>
        <w:spacing w:after="0" w:line="134"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920" w:type="dxa"/>
            <w:vAlign w:val="bottom"/>
          </w:tcPr>
          <w:p>
            <w:pPr>
              <w:spacing w:after="0"/>
              <w:rPr>
                <w:sz w:val="20"/>
                <w:szCs w:val="20"/>
                <w:color w:val="auto"/>
              </w:rPr>
            </w:pPr>
            <w:r>
              <w:rPr>
                <w:rFonts w:ascii="Arial" w:cs="Arial" w:eastAsia="Arial" w:hAnsi="Arial"/>
                <w:sz w:val="14"/>
                <w:szCs w:val="14"/>
                <w:color w:val="auto"/>
              </w:rPr>
              <w:t>DMFIRM #403601135 v6</w:t>
            </w:r>
          </w:p>
        </w:tc>
        <w:tc>
          <w:tcPr>
            <w:tcW w:w="5760" w:type="dxa"/>
            <w:vAlign w:val="bottom"/>
          </w:tcPr>
          <w:p>
            <w:pPr>
              <w:jc w:val="right"/>
              <w:ind w:right="4132"/>
              <w:spacing w:after="0"/>
              <w:rPr>
                <w:sz w:val="20"/>
                <w:szCs w:val="20"/>
                <w:color w:val="auto"/>
              </w:rPr>
            </w:pPr>
            <w:r>
              <w:rPr>
                <w:rFonts w:ascii="Arial" w:cs="Arial" w:eastAsia="Arial" w:hAnsi="Arial"/>
                <w:sz w:val="22"/>
                <w:szCs w:val="22"/>
                <w:color w:val="auto"/>
              </w:rPr>
              <w:t>10</w:t>
            </w:r>
          </w:p>
        </w:tc>
      </w:tr>
      <w:tr>
        <w:trPr>
          <w:trHeight w:val="341"/>
        </w:trPr>
        <w:tc>
          <w:tcPr>
            <w:tcW w:w="292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r>
      <w:tr>
        <w:trPr>
          <w:trHeight w:val="20"/>
        </w:trPr>
        <w:tc>
          <w:tcPr>
            <w:tcW w:w="2920" w:type="dxa"/>
            <w:vAlign w:val="bottom"/>
            <w:tcBorders>
              <w:bottom w:val="single" w:sz="8" w:color="EEEEEE"/>
            </w:tcBorders>
          </w:tcPr>
          <w:p>
            <w:pPr>
              <w:spacing w:after="0" w:line="20" w:lineRule="exact"/>
              <w:rPr>
                <w:sz w:val="1"/>
                <w:szCs w:val="1"/>
                <w:color w:val="auto"/>
              </w:rPr>
            </w:pPr>
          </w:p>
        </w:tc>
        <w:tc>
          <w:tcPr>
            <w:tcW w:w="57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8" w:name="page59"/>
    <w:bookmarkEnd w:id="58"/>
    <w:p>
      <w:pPr>
        <w:ind w:left="180" w:right="199"/>
        <w:spacing w:after="0" w:line="251" w:lineRule="auto"/>
        <w:rPr>
          <w:sz w:val="20"/>
          <w:szCs w:val="20"/>
          <w:color w:val="auto"/>
        </w:rPr>
      </w:pPr>
      <w:r>
        <w:rPr>
          <w:rFonts w:ascii="Arial" w:cs="Arial" w:eastAsia="Arial" w:hAnsi="Arial"/>
          <w:sz w:val="22"/>
          <w:szCs w:val="22"/>
          <w:color w:val="auto"/>
        </w:rPr>
        <w:t>prohibition or unenforceability in any jurisdiction shall not invalidate or render unenforceable such provision in any other jurisdiction.</w:t>
      </w:r>
    </w:p>
    <w:p>
      <w:pPr>
        <w:spacing w:after="0" w:line="173" w:lineRule="exact"/>
        <w:rPr>
          <w:sz w:val="20"/>
          <w:szCs w:val="20"/>
          <w:color w:val="auto"/>
        </w:rPr>
      </w:pPr>
    </w:p>
    <w:p>
      <w:pPr>
        <w:ind w:left="2140" w:hanging="660"/>
        <w:spacing w:after="0"/>
        <w:tabs>
          <w:tab w:leader="none" w:pos="214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80" w:right="199" w:firstLine="1948"/>
        <w:spacing w:after="0" w:line="238" w:lineRule="auto"/>
        <w:tabs>
          <w:tab w:leader="none" w:pos="2769"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Borrower agrees to pay all of the Administrative Agent’s reasonable out-of-pocket fees and expenses incurred in connection with this Agreement and the transactions contemplated hereby, including, without limitation, the reasonable fees and expenses of counsel to the Administrative Agent.</w:t>
      </w:r>
    </w:p>
    <w:p>
      <w:pPr>
        <w:spacing w:after="0" w:line="184" w:lineRule="exact"/>
        <w:rPr>
          <w:rFonts w:ascii="Arial" w:cs="Arial" w:eastAsia="Arial" w:hAnsi="Arial"/>
          <w:sz w:val="22"/>
          <w:szCs w:val="22"/>
          <w:color w:val="auto"/>
        </w:rPr>
      </w:pPr>
    </w:p>
    <w:p>
      <w:pPr>
        <w:jc w:val="both"/>
        <w:ind w:left="180" w:right="199" w:firstLine="1948"/>
        <w:spacing w:after="0" w:line="279" w:lineRule="auto"/>
        <w:tabs>
          <w:tab w:leader="none" w:pos="2781" w:val="left"/>
        </w:tabs>
        <w:numPr>
          <w:ilvl w:val="1"/>
          <w:numId w:val="29"/>
        </w:numPr>
        <w:rPr>
          <w:rFonts w:ascii="Arial" w:cs="Arial" w:eastAsia="Arial" w:hAnsi="Arial"/>
          <w:sz w:val="19"/>
          <w:szCs w:val="19"/>
          <w:color w:val="auto"/>
        </w:rPr>
      </w:pPr>
      <w:r>
        <w:rPr>
          <w:rFonts w:ascii="Arial" w:cs="Arial" w:eastAsia="Arial" w:hAnsi="Arial"/>
          <w:sz w:val="19"/>
          <w:szCs w:val="19"/>
          <w:color w:val="auto"/>
        </w:rPr>
        <w:t>All terms, conditions, provisions and covenants in the Loan Documents and all other documents delivered to the Administrative Agent and the Lenders in connection therewith shall remain unaltered and in full force and effect except as expressly modified or amended hereby. To the extent that any term or provision of this Agreement is or may be deemed expressly inconsistent with any term or provision in any Loan Document or any other document executed in connection therewith, the terms and provisions hereof shall control.</w:t>
      </w:r>
    </w:p>
    <w:p>
      <w:pPr>
        <w:spacing w:after="0" w:line="150" w:lineRule="exact"/>
        <w:rPr>
          <w:rFonts w:ascii="Arial" w:cs="Arial" w:eastAsia="Arial" w:hAnsi="Arial"/>
          <w:sz w:val="19"/>
          <w:szCs w:val="19"/>
          <w:color w:val="auto"/>
        </w:rPr>
      </w:pPr>
    </w:p>
    <w:p>
      <w:pPr>
        <w:jc w:val="both"/>
        <w:ind w:left="180" w:right="199" w:firstLine="1948"/>
        <w:spacing w:after="0" w:line="238" w:lineRule="auto"/>
        <w:tabs>
          <w:tab w:leader="none" w:pos="2769"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execution, delivery and effectiveness of this Agreement and the New Notes shall neither operate as a waiver of any right, power or remedy of the Administrative Agent or the Lenders under any of the Loan Documents nor constitute a waiver of any Default or Event of Default thereunder.</w:t>
      </w:r>
    </w:p>
    <w:p>
      <w:pPr>
        <w:spacing w:after="0" w:line="184" w:lineRule="exact"/>
        <w:rPr>
          <w:rFonts w:ascii="Arial" w:cs="Arial" w:eastAsia="Arial" w:hAnsi="Arial"/>
          <w:sz w:val="22"/>
          <w:szCs w:val="22"/>
          <w:color w:val="auto"/>
        </w:rPr>
      </w:pPr>
    </w:p>
    <w:p>
      <w:pPr>
        <w:jc w:val="both"/>
        <w:ind w:left="180" w:right="199" w:firstLine="1948"/>
        <w:spacing w:after="0" w:line="235" w:lineRule="auto"/>
        <w:tabs>
          <w:tab w:leader="none" w:pos="2781" w:val="left"/>
        </w:tabs>
        <w:numPr>
          <w:ilvl w:val="1"/>
          <w:numId w:val="29"/>
        </w:numPr>
        <w:rPr>
          <w:rFonts w:ascii="Arial" w:cs="Arial" w:eastAsia="Arial" w:hAnsi="Arial"/>
          <w:sz w:val="22"/>
          <w:szCs w:val="22"/>
          <w:color w:val="auto"/>
        </w:rPr>
      </w:pPr>
      <w:r>
        <w:rPr>
          <w:rFonts w:ascii="Arial" w:cs="Arial" w:eastAsia="Arial" w:hAnsi="Arial"/>
          <w:sz w:val="22"/>
          <w:szCs w:val="22"/>
          <w:color w:val="auto"/>
        </w:rPr>
        <w:t>In consideration of the Administrative Agent’s and the Lenders’ agreement to amend the existing revolving credit facility on the terms hereof, the Borrower hereby waives and releases the Administrative Agent and the Lenders and their respective officers, attorneys, agents and employees from any liability, suit, damage, claim, loss or expense of any kind or failure whatsoever and howsoever arising that it ever had up until, or has as of, the date of this Agreement.</w:t>
      </w:r>
    </w:p>
    <w:p>
      <w:pPr>
        <w:spacing w:after="0" w:line="187" w:lineRule="exact"/>
        <w:rPr>
          <w:rFonts w:ascii="Arial" w:cs="Arial" w:eastAsia="Arial" w:hAnsi="Arial"/>
          <w:sz w:val="22"/>
          <w:szCs w:val="22"/>
          <w:color w:val="auto"/>
        </w:rPr>
      </w:pPr>
    </w:p>
    <w:p>
      <w:pPr>
        <w:jc w:val="both"/>
        <w:ind w:left="180" w:right="199" w:firstLine="1948"/>
        <w:spacing w:after="0"/>
        <w:tabs>
          <w:tab w:leader="none" w:pos="2769"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This Agreement constitutes the entire agreement of the parties with respect to the subject matter hereof and supersedes all prior and contemporaneous understandings and agreements.</w:t>
      </w:r>
    </w:p>
    <w:p>
      <w:pPr>
        <w:spacing w:after="0" w:line="186" w:lineRule="exact"/>
        <w:rPr>
          <w:rFonts w:ascii="Arial" w:cs="Arial" w:eastAsia="Arial" w:hAnsi="Arial"/>
          <w:sz w:val="22"/>
          <w:szCs w:val="22"/>
          <w:color w:val="auto"/>
        </w:rPr>
      </w:pPr>
    </w:p>
    <w:p>
      <w:pPr>
        <w:ind w:left="180" w:right="199" w:firstLine="1948"/>
        <w:spacing w:after="0" w:line="250" w:lineRule="auto"/>
        <w:tabs>
          <w:tab w:leader="none" w:pos="2785"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according to the laws of the State of New York.</w:t>
      </w:r>
    </w:p>
    <w:p>
      <w:pPr>
        <w:spacing w:after="0" w:line="174" w:lineRule="exact"/>
        <w:rPr>
          <w:rFonts w:ascii="Arial" w:cs="Arial" w:eastAsia="Arial" w:hAnsi="Arial"/>
          <w:sz w:val="22"/>
          <w:szCs w:val="22"/>
          <w:color w:val="auto"/>
        </w:rPr>
      </w:pPr>
    </w:p>
    <w:p>
      <w:pPr>
        <w:ind w:left="180" w:right="199" w:firstLine="1948"/>
        <w:spacing w:after="0" w:line="250" w:lineRule="auto"/>
        <w:tabs>
          <w:tab w:leader="none" w:pos="2781"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binding upon, the parties hereto and their respective successors and assigns.</w:t>
      </w:r>
    </w:p>
    <w:p>
      <w:pPr>
        <w:spacing w:after="0" w:line="174" w:lineRule="exact"/>
        <w:rPr>
          <w:rFonts w:ascii="Arial" w:cs="Arial" w:eastAsia="Arial" w:hAnsi="Arial"/>
          <w:sz w:val="22"/>
          <w:szCs w:val="22"/>
          <w:color w:val="auto"/>
        </w:rPr>
      </w:pPr>
    </w:p>
    <w:p>
      <w:pPr>
        <w:jc w:val="both"/>
        <w:ind w:left="180" w:right="199" w:firstLine="1948"/>
        <w:spacing w:after="0"/>
        <w:tabs>
          <w:tab w:leader="none" w:pos="2781"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headings used in this Agreement are for convenience of reference only, do not form a part of this Agreement and shall not affect in any way the meaning or interpretation of this Agreement.</w:t>
      </w:r>
    </w:p>
    <w:p>
      <w:pPr>
        <w:spacing w:after="0" w:line="186" w:lineRule="exact"/>
        <w:rPr>
          <w:rFonts w:ascii="Arial" w:cs="Arial" w:eastAsia="Arial" w:hAnsi="Arial"/>
          <w:sz w:val="22"/>
          <w:szCs w:val="22"/>
          <w:color w:val="auto"/>
        </w:rPr>
      </w:pPr>
    </w:p>
    <w:p>
      <w:pPr>
        <w:jc w:val="both"/>
        <w:ind w:left="180" w:right="199" w:firstLine="1948"/>
        <w:spacing w:after="0" w:line="297" w:lineRule="auto"/>
        <w:tabs>
          <w:tab w:leader="none" w:pos="2787"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This Agreement may be executed in one or more counterparts, each of which counterparts when executed and delivered shall be deemed to be an original, and all of which shall constitute one and the same instrument. Delivery of an executed counterpart of a</w:t>
      </w:r>
    </w:p>
    <w:p>
      <w:pPr>
        <w:spacing w:after="0" w:line="134"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920" w:type="dxa"/>
            <w:vAlign w:val="bottom"/>
          </w:tcPr>
          <w:p>
            <w:pPr>
              <w:spacing w:after="0"/>
              <w:rPr>
                <w:sz w:val="20"/>
                <w:szCs w:val="20"/>
                <w:color w:val="auto"/>
              </w:rPr>
            </w:pPr>
            <w:r>
              <w:rPr>
                <w:rFonts w:ascii="Arial" w:cs="Arial" w:eastAsia="Arial" w:hAnsi="Arial"/>
                <w:sz w:val="14"/>
                <w:szCs w:val="14"/>
                <w:color w:val="auto"/>
              </w:rPr>
              <w:t>DMFIRM #403601135 v6</w:t>
            </w:r>
          </w:p>
        </w:tc>
        <w:tc>
          <w:tcPr>
            <w:tcW w:w="5760" w:type="dxa"/>
            <w:vAlign w:val="bottom"/>
          </w:tcPr>
          <w:p>
            <w:pPr>
              <w:jc w:val="right"/>
              <w:ind w:right="4132"/>
              <w:spacing w:after="0"/>
              <w:rPr>
                <w:sz w:val="20"/>
                <w:szCs w:val="20"/>
                <w:color w:val="auto"/>
              </w:rPr>
            </w:pPr>
            <w:r>
              <w:rPr>
                <w:rFonts w:ascii="Arial" w:cs="Arial" w:eastAsia="Arial" w:hAnsi="Arial"/>
                <w:sz w:val="22"/>
                <w:szCs w:val="22"/>
                <w:color w:val="auto"/>
              </w:rPr>
              <w:t>11</w:t>
            </w:r>
          </w:p>
        </w:tc>
      </w:tr>
      <w:tr>
        <w:trPr>
          <w:trHeight w:val="341"/>
        </w:trPr>
        <w:tc>
          <w:tcPr>
            <w:tcW w:w="292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r>
      <w:tr>
        <w:trPr>
          <w:trHeight w:val="20"/>
        </w:trPr>
        <w:tc>
          <w:tcPr>
            <w:tcW w:w="2920" w:type="dxa"/>
            <w:vAlign w:val="bottom"/>
            <w:tcBorders>
              <w:bottom w:val="single" w:sz="8" w:color="EEEEEE"/>
            </w:tcBorders>
          </w:tcPr>
          <w:p>
            <w:pPr>
              <w:spacing w:after="0" w:line="20" w:lineRule="exact"/>
              <w:rPr>
                <w:sz w:val="1"/>
                <w:szCs w:val="1"/>
                <w:color w:val="auto"/>
              </w:rPr>
            </w:pPr>
          </w:p>
        </w:tc>
        <w:tc>
          <w:tcPr>
            <w:tcW w:w="57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9" w:name="page60"/>
    <w:bookmarkEnd w:id="59"/>
    <w:p>
      <w:pPr>
        <w:ind w:left="180" w:right="199"/>
        <w:spacing w:after="0" w:line="251" w:lineRule="auto"/>
        <w:rPr>
          <w:sz w:val="20"/>
          <w:szCs w:val="20"/>
          <w:color w:val="auto"/>
        </w:rPr>
      </w:pPr>
      <w:r>
        <w:rPr>
          <w:rFonts w:ascii="Arial" w:cs="Arial" w:eastAsia="Arial" w:hAnsi="Arial"/>
          <w:sz w:val="22"/>
          <w:szCs w:val="22"/>
          <w:color w:val="auto"/>
        </w:rPr>
        <w:t>signature page to this Agreement by facsimile or other electronic transmission will be effective as delivery of a manually executed counterpart hereof.</w:t>
      </w:r>
    </w:p>
    <w:p>
      <w:pPr>
        <w:spacing w:after="0" w:line="173" w:lineRule="exact"/>
        <w:rPr>
          <w:sz w:val="20"/>
          <w:szCs w:val="20"/>
          <w:color w:val="auto"/>
        </w:rPr>
      </w:pPr>
    </w:p>
    <w:p>
      <w:pPr>
        <w:jc w:val="both"/>
        <w:ind w:left="180" w:right="199" w:firstLine="1948"/>
        <w:spacing w:after="0"/>
        <w:tabs>
          <w:tab w:leader="none" w:pos="2773" w:val="left"/>
        </w:tabs>
        <w:numPr>
          <w:ilvl w:val="0"/>
          <w:numId w:val="30"/>
        </w:numPr>
        <w:rPr>
          <w:rFonts w:ascii="Arial" w:cs="Arial" w:eastAsia="Arial" w:hAnsi="Arial"/>
          <w:sz w:val="22"/>
          <w:szCs w:val="22"/>
          <w:color w:val="auto"/>
        </w:rPr>
      </w:pPr>
      <w:r>
        <w:rPr>
          <w:rFonts w:ascii="Arial" w:cs="Arial" w:eastAsia="Arial" w:hAnsi="Arial"/>
          <w:sz w:val="22"/>
          <w:szCs w:val="22"/>
          <w:color w:val="auto"/>
        </w:rPr>
        <w:t>No modification hereof or any agreement referred to herein shall be binding or enforceable unless in writing and signed on behalf of the party against whom enforcement is sought.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920" w:type="dxa"/>
            <w:vAlign w:val="bottom"/>
          </w:tcPr>
          <w:p>
            <w:pPr>
              <w:spacing w:after="0"/>
              <w:rPr>
                <w:sz w:val="20"/>
                <w:szCs w:val="20"/>
                <w:color w:val="auto"/>
              </w:rPr>
            </w:pPr>
            <w:r>
              <w:rPr>
                <w:rFonts w:ascii="Arial" w:cs="Arial" w:eastAsia="Arial" w:hAnsi="Arial"/>
                <w:sz w:val="14"/>
                <w:szCs w:val="14"/>
                <w:color w:val="auto"/>
              </w:rPr>
              <w:t>DMFIRM #403601135 v6</w:t>
            </w:r>
          </w:p>
        </w:tc>
        <w:tc>
          <w:tcPr>
            <w:tcW w:w="5760" w:type="dxa"/>
            <w:vAlign w:val="bottom"/>
          </w:tcPr>
          <w:p>
            <w:pPr>
              <w:jc w:val="right"/>
              <w:ind w:right="4132"/>
              <w:spacing w:after="0"/>
              <w:rPr>
                <w:sz w:val="20"/>
                <w:szCs w:val="20"/>
                <w:color w:val="auto"/>
              </w:rPr>
            </w:pPr>
            <w:r>
              <w:rPr>
                <w:rFonts w:ascii="Arial" w:cs="Arial" w:eastAsia="Arial" w:hAnsi="Arial"/>
                <w:sz w:val="22"/>
                <w:szCs w:val="22"/>
                <w:color w:val="auto"/>
              </w:rPr>
              <w:t>12</w:t>
            </w:r>
          </w:p>
        </w:tc>
      </w:tr>
      <w:tr>
        <w:trPr>
          <w:trHeight w:val="341"/>
        </w:trPr>
        <w:tc>
          <w:tcPr>
            <w:tcW w:w="292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r>
      <w:tr>
        <w:trPr>
          <w:trHeight w:val="20"/>
        </w:trPr>
        <w:tc>
          <w:tcPr>
            <w:tcW w:w="2920" w:type="dxa"/>
            <w:vAlign w:val="bottom"/>
            <w:tcBorders>
              <w:bottom w:val="single" w:sz="8" w:color="EEEEEE"/>
            </w:tcBorders>
          </w:tcPr>
          <w:p>
            <w:pPr>
              <w:spacing w:after="0" w:line="20" w:lineRule="exact"/>
              <w:rPr>
                <w:sz w:val="1"/>
                <w:szCs w:val="1"/>
                <w:color w:val="auto"/>
              </w:rPr>
            </w:pPr>
          </w:p>
        </w:tc>
        <w:tc>
          <w:tcPr>
            <w:tcW w:w="57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0" w:name="page61"/>
    <w:bookmarkEnd w:id="60"/>
    <w:p>
      <w:pPr>
        <w:jc w:val="both"/>
        <w:ind w:left="180" w:right="199" w:firstLine="1296"/>
        <w:spacing w:after="0"/>
        <w:rPr>
          <w:sz w:val="20"/>
          <w:szCs w:val="20"/>
          <w:color w:val="auto"/>
        </w:rPr>
      </w:pPr>
      <w:r>
        <w:rPr>
          <w:rFonts w:ascii="Arial" w:cs="Arial" w:eastAsia="Arial" w:hAnsi="Arial"/>
          <w:sz w:val="22"/>
          <w:szCs w:val="22"/>
          <w:color w:val="auto"/>
        </w:rPr>
        <w:t>IN WITNESS WHEREOF, the Borrower, the Administrative Agent and the Lenders have caused this Agreement to be executed by their duly authorized officers as of the date first above written.</w:t>
      </w:r>
    </w:p>
    <w:p>
      <w:pPr>
        <w:spacing w:after="0" w:line="186"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PNG COMPANIES LLC</w:t>
      </w:r>
    </w:p>
    <w:p>
      <w:pPr>
        <w:spacing w:after="0" w:line="8"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Stan Szczygiel</w:t>
      </w:r>
    </w:p>
    <w:p>
      <w:pPr>
        <w:sectPr>
          <w:pgSz w:w="11900" w:h="16838" w:orient="portrait"/>
          <w:cols w:equalWidth="0" w:num="1">
            <w:col w:w="9019"/>
          </w:cols>
          <w:pgMar w:left="1440" w:top="361" w:right="1440" w:bottom="1440" w:gutter="0" w:footer="0" w:header="0"/>
        </w:sectPr>
      </w:pPr>
    </w:p>
    <w:p>
      <w:pPr>
        <w:ind w:left="5360"/>
        <w:spacing w:after="0" w:line="221" w:lineRule="auto"/>
        <w:tabs>
          <w:tab w:leader="none" w:pos="66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Stan Szczygiel</w:t>
      </w:r>
    </w:p>
    <w:p>
      <w:pPr>
        <w:ind w:left="5360"/>
        <w:spacing w:after="0"/>
        <w:tabs>
          <w:tab w:leader="none" w:pos="6920" w:val="left"/>
          <w:tab w:leader="none" w:pos="7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SVP</w:t>
      </w:r>
      <w:r>
        <w:rPr>
          <w:sz w:val="20"/>
          <w:szCs w:val="20"/>
          <w:color w:val="auto"/>
        </w:rPr>
        <w:tab/>
      </w:r>
      <w:r>
        <w:rPr>
          <w:rFonts w:ascii="Arial" w:cs="Arial" w:eastAsia="Arial" w:hAnsi="Arial"/>
          <w:sz w:val="19"/>
          <w:szCs w:val="19"/>
          <w:color w:val="auto"/>
        </w:rPr>
        <w:t>Finance</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Treasurer</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and</w:t>
      </w:r>
    </w:p>
    <w:p>
      <w:pPr>
        <w:spacing w:after="0" w:line="495" w:lineRule="exact"/>
        <w:rPr>
          <w:sz w:val="20"/>
          <w:szCs w:val="20"/>
          <w:color w:val="auto"/>
        </w:rPr>
      </w:pPr>
    </w:p>
    <w:p>
      <w:pPr>
        <w:sectPr>
          <w:pgSz w:w="11900" w:h="16838" w:orient="portrait"/>
          <w:cols w:equalWidth="0" w:num="2">
            <w:col w:w="8260" w:space="240"/>
            <w:col w:w="519"/>
          </w:cols>
          <w:pgMar w:left="1440" w:top="361" w:right="1440" w:bottom="1440" w:gutter="0" w:footer="0" w:header="0"/>
          <w:type w:val="continuous"/>
        </w:sectPr>
      </w:pPr>
    </w:p>
    <w:p>
      <w:pPr>
        <w:spacing w:after="0" w:line="258"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PNC BANK, NATIONAL</w:t>
      </w:r>
    </w:p>
    <w:p>
      <w:pPr>
        <w:ind w:left="5360"/>
        <w:spacing w:after="0" w:line="238" w:lineRule="auto"/>
        <w:rPr>
          <w:sz w:val="20"/>
          <w:szCs w:val="20"/>
          <w:color w:val="auto"/>
        </w:rPr>
      </w:pPr>
      <w:r>
        <w:rPr>
          <w:rFonts w:ascii="Arial" w:cs="Arial" w:eastAsia="Arial" w:hAnsi="Arial"/>
          <w:sz w:val="22"/>
          <w:szCs w:val="22"/>
          <w:color w:val="auto"/>
        </w:rPr>
        <w:t>ASSOCIATION,</w:t>
      </w:r>
    </w:p>
    <w:p>
      <w:pPr>
        <w:ind w:left="5360"/>
        <w:spacing w:after="0"/>
        <w:rPr>
          <w:sz w:val="20"/>
          <w:szCs w:val="20"/>
          <w:color w:val="auto"/>
        </w:rPr>
      </w:pPr>
      <w:r>
        <w:rPr>
          <w:rFonts w:ascii="Arial" w:cs="Arial" w:eastAsia="Arial" w:hAnsi="Arial"/>
          <w:sz w:val="22"/>
          <w:szCs w:val="22"/>
          <w:color w:val="auto"/>
        </w:rPr>
        <w:t>as Administrative Agent</w:t>
      </w:r>
    </w:p>
    <w:p>
      <w:pPr>
        <w:spacing w:after="0" w:line="215"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Domenic D’Ginto</w:t>
      </w:r>
    </w:p>
    <w:p>
      <w:pPr>
        <w:spacing w:after="0" w:line="8" w:lineRule="exact"/>
        <w:rPr>
          <w:sz w:val="20"/>
          <w:szCs w:val="20"/>
          <w:color w:val="auto"/>
        </w:rPr>
      </w:pPr>
    </w:p>
    <w:p>
      <w:pPr>
        <w:ind w:left="5360"/>
        <w:spacing w:after="0"/>
        <w:tabs>
          <w:tab w:leader="none" w:pos="668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Domenic D’Ginto</w:t>
      </w:r>
    </w:p>
    <w:p>
      <w:pPr>
        <w:spacing w:after="0" w:line="25" w:lineRule="exact"/>
        <w:rPr>
          <w:sz w:val="20"/>
          <w:szCs w:val="20"/>
          <w:color w:val="auto"/>
        </w:rPr>
      </w:pPr>
    </w:p>
    <w:p>
      <w:pPr>
        <w:ind w:left="5360"/>
        <w:spacing w:after="0"/>
        <w:tabs>
          <w:tab w:leader="none" w:pos="65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Second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#403601135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type w:val="continuous"/>
        </w:sectPr>
      </w:pPr>
    </w:p>
    <w:bookmarkStart w:id="61" w:name="page62"/>
    <w:bookmarkEnd w:id="61"/>
    <w:tbl>
      <w:tblPr>
        <w:tblLayout w:type="fixed"/>
        <w:tblInd w:w="180" w:type="dxa"/>
        <w:tblCellMar>
          <w:top w:w="0" w:type="dxa"/>
          <w:left w:w="0" w:type="dxa"/>
          <w:bottom w:w="0" w:type="dxa"/>
          <w:right w:w="0" w:type="dxa"/>
        </w:tblCellMar>
      </w:tblPr>
      <w:tr>
        <w:trPr>
          <w:trHeight w:val="253"/>
        </w:trPr>
        <w:tc>
          <w:tcPr>
            <w:tcW w:w="5520" w:type="dxa"/>
            <w:vAlign w:val="bottom"/>
          </w:tcPr>
          <w:p>
            <w:pPr>
              <w:spacing w:after="0"/>
              <w:rPr>
                <w:sz w:val="20"/>
                <w:szCs w:val="20"/>
                <w:color w:val="auto"/>
              </w:rPr>
            </w:pPr>
            <w:r>
              <w:rPr>
                <w:rFonts w:ascii="Arial" w:cs="Arial" w:eastAsia="Arial" w:hAnsi="Arial"/>
                <w:sz w:val="22"/>
                <w:szCs w:val="22"/>
                <w:color w:val="auto"/>
              </w:rPr>
              <w:t>EXISTING LENDER</w:t>
            </w:r>
          </w:p>
        </w:tc>
        <w:tc>
          <w:tcPr>
            <w:tcW w:w="2980" w:type="dxa"/>
            <w:vAlign w:val="bottom"/>
            <w:gridSpan w:val="4"/>
          </w:tcPr>
          <w:p>
            <w:pPr>
              <w:ind w:left="40"/>
              <w:spacing w:after="0"/>
              <w:rPr>
                <w:sz w:val="20"/>
                <w:szCs w:val="20"/>
                <w:color w:val="auto"/>
              </w:rPr>
            </w:pPr>
            <w:r>
              <w:rPr>
                <w:rFonts w:ascii="Arial" w:cs="Arial" w:eastAsia="Arial" w:hAnsi="Arial"/>
                <w:sz w:val="22"/>
                <w:szCs w:val="22"/>
                <w:color w:val="auto"/>
              </w:rPr>
              <w:t>PNC BANK, NATIONAL</w:t>
            </w:r>
          </w:p>
        </w:tc>
      </w:tr>
      <w:tr>
        <w:trPr>
          <w:trHeight w:val="243"/>
        </w:trPr>
        <w:tc>
          <w:tcPr>
            <w:tcW w:w="5520" w:type="dxa"/>
            <w:vAlign w:val="bottom"/>
          </w:tcPr>
          <w:p>
            <w:pPr>
              <w:spacing w:after="0" w:line="243" w:lineRule="exact"/>
              <w:rPr>
                <w:sz w:val="20"/>
                <w:szCs w:val="20"/>
                <w:color w:val="auto"/>
              </w:rPr>
            </w:pPr>
            <w:r>
              <w:rPr>
                <w:rFonts w:ascii="Arial" w:cs="Arial" w:eastAsia="Arial" w:hAnsi="Arial"/>
                <w:sz w:val="22"/>
                <w:szCs w:val="22"/>
                <w:color w:val="auto"/>
              </w:rPr>
              <w:t>ASSOCIATION,</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4"/>
        </w:trPr>
        <w:tc>
          <w:tcPr>
            <w:tcW w:w="8500" w:type="dxa"/>
            <w:vAlign w:val="bottom"/>
            <w:gridSpan w:val="5"/>
          </w:tcPr>
          <w:p>
            <w:pPr>
              <w:ind w:left="5180"/>
              <w:spacing w:after="0"/>
              <w:rPr>
                <w:sz w:val="20"/>
                <w:szCs w:val="20"/>
                <w:color w:val="auto"/>
              </w:rPr>
            </w:pPr>
            <w:r>
              <w:rPr>
                <w:rFonts w:ascii="Arial" w:cs="Arial" w:eastAsia="Arial" w:hAnsi="Arial"/>
                <w:sz w:val="22"/>
                <w:szCs w:val="22"/>
                <w:color w:val="auto"/>
                <w:w w:val="87"/>
              </w:rPr>
              <w:t>as Swing Line Lender and as a Lender</w:t>
            </w:r>
          </w:p>
        </w:tc>
      </w:tr>
      <w:tr>
        <w:trPr>
          <w:trHeight w:val="435"/>
        </w:trPr>
        <w:tc>
          <w:tcPr>
            <w:tcW w:w="5520" w:type="dxa"/>
            <w:vAlign w:val="bottom"/>
          </w:tcPr>
          <w:p>
            <w:pPr>
              <w:ind w:left="5180"/>
              <w:spacing w:after="0"/>
              <w:rPr>
                <w:sz w:val="20"/>
                <w:szCs w:val="20"/>
                <w:color w:val="auto"/>
              </w:rPr>
            </w:pPr>
            <w:r>
              <w:rPr>
                <w:rFonts w:ascii="Arial" w:cs="Arial" w:eastAsia="Arial" w:hAnsi="Arial"/>
                <w:sz w:val="22"/>
                <w:szCs w:val="22"/>
                <w:color w:val="auto"/>
              </w:rPr>
              <w:t>By:</w:t>
            </w:r>
          </w:p>
        </w:tc>
        <w:tc>
          <w:tcPr>
            <w:tcW w:w="140" w:type="dxa"/>
            <w:vAlign w:val="bottom"/>
          </w:tcPr>
          <w:p>
            <w:pPr>
              <w:spacing w:after="0"/>
              <w:rPr>
                <w:sz w:val="24"/>
                <w:szCs w:val="24"/>
                <w:color w:val="auto"/>
              </w:rPr>
            </w:pPr>
          </w:p>
        </w:tc>
        <w:tc>
          <w:tcPr>
            <w:tcW w:w="2840" w:type="dxa"/>
            <w:vAlign w:val="bottom"/>
            <w:gridSpan w:val="3"/>
          </w:tcPr>
          <w:p>
            <w:pPr>
              <w:spacing w:after="0"/>
              <w:rPr>
                <w:sz w:val="20"/>
                <w:szCs w:val="20"/>
                <w:color w:val="auto"/>
              </w:rPr>
            </w:pPr>
            <w:r>
              <w:rPr>
                <w:rFonts w:ascii="Arial" w:cs="Arial" w:eastAsia="Arial" w:hAnsi="Arial"/>
                <w:sz w:val="22"/>
                <w:szCs w:val="22"/>
                <w:color w:val="auto"/>
              </w:rPr>
              <w:t>/s/ Domenic D’Ginto</w:t>
            </w:r>
          </w:p>
        </w:tc>
      </w:tr>
      <w:tr>
        <w:trPr>
          <w:trHeight w:val="20"/>
        </w:trPr>
        <w:tc>
          <w:tcPr>
            <w:tcW w:w="566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42"/>
        </w:trPr>
        <w:tc>
          <w:tcPr>
            <w:tcW w:w="6080" w:type="dxa"/>
            <w:vAlign w:val="bottom"/>
            <w:gridSpan w:val="3"/>
          </w:tcPr>
          <w:p>
            <w:pPr>
              <w:ind w:left="5180"/>
              <w:spacing w:after="0" w:line="242" w:lineRule="exact"/>
              <w:rPr>
                <w:sz w:val="20"/>
                <w:szCs w:val="20"/>
                <w:color w:val="auto"/>
              </w:rPr>
            </w:pPr>
            <w:r>
              <w:rPr>
                <w:rFonts w:ascii="Arial" w:cs="Arial" w:eastAsia="Arial" w:hAnsi="Arial"/>
                <w:sz w:val="22"/>
                <w:szCs w:val="22"/>
                <w:color w:val="auto"/>
              </w:rPr>
              <w:t>Name:</w:t>
            </w:r>
          </w:p>
        </w:tc>
        <w:tc>
          <w:tcPr>
            <w:tcW w:w="2420" w:type="dxa"/>
            <w:vAlign w:val="bottom"/>
            <w:gridSpan w:val="2"/>
          </w:tcPr>
          <w:p>
            <w:pPr>
              <w:ind w:left="440"/>
              <w:spacing w:after="0" w:line="242" w:lineRule="exact"/>
              <w:rPr>
                <w:sz w:val="20"/>
                <w:szCs w:val="20"/>
                <w:color w:val="auto"/>
              </w:rPr>
            </w:pPr>
            <w:r>
              <w:rPr>
                <w:rFonts w:ascii="Arial" w:cs="Arial" w:eastAsia="Arial" w:hAnsi="Arial"/>
                <w:sz w:val="22"/>
                <w:szCs w:val="22"/>
                <w:color w:val="auto"/>
              </w:rPr>
              <w:t>Domenic D’Ginto</w:t>
            </w:r>
          </w:p>
        </w:tc>
      </w:tr>
      <w:tr>
        <w:trPr>
          <w:trHeight w:val="274"/>
        </w:trPr>
        <w:tc>
          <w:tcPr>
            <w:tcW w:w="6080" w:type="dxa"/>
            <w:vAlign w:val="bottom"/>
            <w:gridSpan w:val="3"/>
          </w:tcPr>
          <w:p>
            <w:pPr>
              <w:ind w:left="5180"/>
              <w:spacing w:after="0"/>
              <w:rPr>
                <w:sz w:val="20"/>
                <w:szCs w:val="20"/>
                <w:color w:val="auto"/>
              </w:rPr>
            </w:pPr>
            <w:r>
              <w:rPr>
                <w:rFonts w:ascii="Arial" w:cs="Arial" w:eastAsia="Arial" w:hAnsi="Arial"/>
                <w:sz w:val="22"/>
                <w:szCs w:val="22"/>
                <w:color w:val="auto"/>
              </w:rPr>
              <w:t>Title:</w:t>
            </w:r>
          </w:p>
        </w:tc>
        <w:tc>
          <w:tcPr>
            <w:tcW w:w="2420" w:type="dxa"/>
            <w:vAlign w:val="bottom"/>
            <w:gridSpan w:val="2"/>
          </w:tcPr>
          <w:p>
            <w:pPr>
              <w:ind w:left="32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Second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#403601135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594" w:right="1440" w:bottom="1440" w:gutter="0" w:footer="0" w:header="0"/>
        </w:sectPr>
      </w:pPr>
    </w:p>
    <w:bookmarkStart w:id="62" w:name="page63"/>
    <w:bookmarkEnd w:id="62"/>
    <w:tbl>
      <w:tblPr>
        <w:tblLayout w:type="fixed"/>
        <w:tblInd w:w="180" w:type="dxa"/>
        <w:tblCellMar>
          <w:top w:w="0" w:type="dxa"/>
          <w:left w:w="0" w:type="dxa"/>
          <w:bottom w:w="0" w:type="dxa"/>
          <w:right w:w="0" w:type="dxa"/>
        </w:tblCellMar>
      </w:tblPr>
      <w:tr>
        <w:trPr>
          <w:trHeight w:val="274"/>
        </w:trPr>
        <w:tc>
          <w:tcPr>
            <w:tcW w:w="3540" w:type="dxa"/>
            <w:vAlign w:val="bottom"/>
          </w:tcPr>
          <w:p>
            <w:pPr>
              <w:spacing w:after="0"/>
              <w:rPr>
                <w:sz w:val="20"/>
                <w:szCs w:val="20"/>
                <w:color w:val="auto"/>
              </w:rPr>
            </w:pPr>
            <w:r>
              <w:rPr>
                <w:rFonts w:ascii="Arial" w:cs="Arial" w:eastAsia="Arial" w:hAnsi="Arial"/>
                <w:sz w:val="22"/>
                <w:szCs w:val="22"/>
                <w:color w:val="auto"/>
              </w:rPr>
              <w:t>EXISTING LENDER</w:t>
            </w:r>
          </w:p>
        </w:tc>
        <w:tc>
          <w:tcPr>
            <w:tcW w:w="4840" w:type="dxa"/>
            <w:vAlign w:val="bottom"/>
            <w:gridSpan w:val="3"/>
          </w:tcPr>
          <w:p>
            <w:pPr>
              <w:ind w:left="1940"/>
              <w:spacing w:after="0"/>
              <w:rPr>
                <w:sz w:val="20"/>
                <w:szCs w:val="20"/>
                <w:color w:val="auto"/>
              </w:rPr>
            </w:pPr>
            <w:r>
              <w:rPr>
                <w:rFonts w:ascii="Arial" w:cs="Arial" w:eastAsia="Arial" w:hAnsi="Arial"/>
                <w:sz w:val="22"/>
                <w:szCs w:val="22"/>
                <w:color w:val="auto"/>
              </w:rPr>
              <w:t>TD BANK, N.A.</w:t>
            </w:r>
          </w:p>
        </w:tc>
        <w:tc>
          <w:tcPr>
            <w:tcW w:w="0" w:type="dxa"/>
            <w:vAlign w:val="bottom"/>
          </w:tcPr>
          <w:p>
            <w:pPr>
              <w:spacing w:after="0"/>
              <w:rPr>
                <w:sz w:val="1"/>
                <w:szCs w:val="1"/>
                <w:color w:val="auto"/>
              </w:rPr>
            </w:pPr>
          </w:p>
        </w:tc>
      </w:tr>
      <w:tr>
        <w:trPr>
          <w:trHeight w:val="435"/>
        </w:trPr>
        <w:tc>
          <w:tcPr>
            <w:tcW w:w="3540" w:type="dxa"/>
            <w:vAlign w:val="bottom"/>
          </w:tcPr>
          <w:p>
            <w:pPr>
              <w:spacing w:after="0"/>
              <w:rPr>
                <w:sz w:val="24"/>
                <w:szCs w:val="24"/>
                <w:color w:val="auto"/>
              </w:rPr>
            </w:pPr>
          </w:p>
        </w:tc>
        <w:tc>
          <w:tcPr>
            <w:tcW w:w="4840" w:type="dxa"/>
            <w:vAlign w:val="bottom"/>
            <w:gridSpan w:val="3"/>
          </w:tcPr>
          <w:p>
            <w:pPr>
              <w:jc w:val="center"/>
              <w:ind w:left="1972"/>
              <w:spacing w:after="0"/>
              <w:rPr>
                <w:sz w:val="20"/>
                <w:szCs w:val="20"/>
                <w:color w:val="auto"/>
              </w:rPr>
            </w:pPr>
            <w:r>
              <w:rPr>
                <w:rFonts w:ascii="Arial" w:cs="Arial" w:eastAsia="Arial" w:hAnsi="Arial"/>
                <w:sz w:val="22"/>
                <w:szCs w:val="22"/>
                <w:color w:val="auto"/>
                <w:w w:val="91"/>
              </w:rPr>
              <w:t>By:  /s/ Jennifer L. Suspenski</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40" w:type="dxa"/>
            <w:vAlign w:val="bottom"/>
            <w:vMerge w:val="restart"/>
          </w:tcPr>
          <w:p>
            <w:pPr>
              <w:ind w:left="1640"/>
              <w:spacing w:after="0"/>
              <w:rPr>
                <w:sz w:val="20"/>
                <w:szCs w:val="20"/>
                <w:color w:val="auto"/>
              </w:rPr>
            </w:pPr>
            <w:r>
              <w:rPr>
                <w:rFonts w:ascii="Arial" w:cs="Arial" w:eastAsia="Arial" w:hAnsi="Arial"/>
                <w:sz w:val="22"/>
                <w:szCs w:val="22"/>
                <w:color w:val="auto"/>
              </w:rPr>
              <w:t>Name:</w:t>
            </w:r>
          </w:p>
        </w:tc>
        <w:tc>
          <w:tcPr>
            <w:tcW w:w="2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540" w:type="dxa"/>
            <w:vAlign w:val="bottom"/>
          </w:tcPr>
          <w:p>
            <w:pPr>
              <w:spacing w:after="0"/>
              <w:rPr>
                <w:sz w:val="21"/>
                <w:szCs w:val="21"/>
                <w:color w:val="auto"/>
              </w:rPr>
            </w:pPr>
          </w:p>
        </w:tc>
        <w:tc>
          <w:tcPr>
            <w:tcW w:w="2640" w:type="dxa"/>
            <w:vAlign w:val="bottom"/>
            <w:vMerge w:val="continue"/>
          </w:tcPr>
          <w:p>
            <w:pPr>
              <w:spacing w:after="0"/>
              <w:rPr>
                <w:sz w:val="21"/>
                <w:szCs w:val="21"/>
                <w:color w:val="auto"/>
              </w:rPr>
            </w:pPr>
          </w:p>
        </w:tc>
        <w:tc>
          <w:tcPr>
            <w:tcW w:w="2200" w:type="dxa"/>
            <w:vAlign w:val="bottom"/>
            <w:gridSpan w:val="2"/>
          </w:tcPr>
          <w:p>
            <w:pPr>
              <w:ind w:left="340"/>
              <w:spacing w:after="0" w:line="242" w:lineRule="exact"/>
              <w:rPr>
                <w:sz w:val="20"/>
                <w:szCs w:val="20"/>
                <w:color w:val="auto"/>
              </w:rPr>
            </w:pPr>
            <w:r>
              <w:rPr>
                <w:rFonts w:ascii="Arial" w:cs="Arial" w:eastAsia="Arial" w:hAnsi="Arial"/>
                <w:sz w:val="22"/>
                <w:szCs w:val="22"/>
                <w:color w:val="auto"/>
                <w:w w:val="87"/>
              </w:rPr>
              <w:t>Jennifer L. Suspenski</w:t>
            </w:r>
          </w:p>
        </w:tc>
        <w:tc>
          <w:tcPr>
            <w:tcW w:w="0" w:type="dxa"/>
            <w:vAlign w:val="bottom"/>
          </w:tcPr>
          <w:p>
            <w:pPr>
              <w:spacing w:after="0"/>
              <w:rPr>
                <w:sz w:val="1"/>
                <w:szCs w:val="1"/>
                <w:color w:val="auto"/>
              </w:rPr>
            </w:pPr>
          </w:p>
        </w:tc>
      </w:tr>
      <w:tr>
        <w:trPr>
          <w:trHeight w:val="274"/>
        </w:trPr>
        <w:tc>
          <w:tcPr>
            <w:tcW w:w="3540" w:type="dxa"/>
            <w:vAlign w:val="bottom"/>
          </w:tcPr>
          <w:p>
            <w:pPr>
              <w:spacing w:after="0"/>
              <w:rPr>
                <w:sz w:val="23"/>
                <w:szCs w:val="23"/>
                <w:color w:val="auto"/>
              </w:rPr>
            </w:pPr>
          </w:p>
        </w:tc>
        <w:tc>
          <w:tcPr>
            <w:tcW w:w="2640" w:type="dxa"/>
            <w:vAlign w:val="bottom"/>
          </w:tcPr>
          <w:p>
            <w:pPr>
              <w:ind w:left="1640"/>
              <w:spacing w:after="0"/>
              <w:rPr>
                <w:sz w:val="20"/>
                <w:szCs w:val="20"/>
                <w:color w:val="auto"/>
              </w:rPr>
            </w:pPr>
            <w:r>
              <w:rPr>
                <w:rFonts w:ascii="Arial" w:cs="Arial" w:eastAsia="Arial" w:hAnsi="Arial"/>
                <w:sz w:val="22"/>
                <w:szCs w:val="22"/>
                <w:color w:val="auto"/>
              </w:rPr>
              <w:t>Title:</w:t>
            </w:r>
          </w:p>
        </w:tc>
        <w:tc>
          <w:tcPr>
            <w:tcW w:w="2200" w:type="dxa"/>
            <w:vAlign w:val="bottom"/>
            <w:gridSpan w:val="2"/>
          </w:tcPr>
          <w:p>
            <w:pPr>
              <w:jc w:val="center"/>
              <w:ind w:right="500"/>
              <w:spacing w:after="0"/>
              <w:rPr>
                <w:sz w:val="20"/>
                <w:szCs w:val="20"/>
                <w:color w:val="auto"/>
              </w:rPr>
            </w:pPr>
            <w:r>
              <w:rPr>
                <w:rFonts w:ascii="Arial" w:cs="Arial" w:eastAsia="Arial" w:hAnsi="Arial"/>
                <w:sz w:val="22"/>
                <w:szCs w:val="22"/>
                <w:color w:val="auto"/>
                <w:w w:val="88"/>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Second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#403601135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08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sectPr>
      </w:pPr>
    </w:p>
    <w:bookmarkStart w:id="63" w:name="page64"/>
    <w:bookmarkEnd w:id="63"/>
    <w:tbl>
      <w:tblPr>
        <w:tblLayout w:type="fixed"/>
        <w:tblInd w:w="180" w:type="dxa"/>
        <w:tblCellMar>
          <w:top w:w="0" w:type="dxa"/>
          <w:left w:w="0" w:type="dxa"/>
          <w:bottom w:w="0" w:type="dxa"/>
          <w:right w:w="0" w:type="dxa"/>
        </w:tblCellMar>
      </w:tblPr>
      <w:tr>
        <w:trPr>
          <w:trHeight w:val="274"/>
        </w:trPr>
        <w:tc>
          <w:tcPr>
            <w:tcW w:w="3300" w:type="dxa"/>
            <w:vAlign w:val="bottom"/>
          </w:tcPr>
          <w:p>
            <w:pPr>
              <w:spacing w:after="0"/>
              <w:rPr>
                <w:sz w:val="20"/>
                <w:szCs w:val="20"/>
                <w:color w:val="auto"/>
              </w:rPr>
            </w:pPr>
            <w:r>
              <w:rPr>
                <w:rFonts w:ascii="Arial" w:cs="Arial" w:eastAsia="Arial" w:hAnsi="Arial"/>
                <w:sz w:val="22"/>
                <w:szCs w:val="22"/>
                <w:color w:val="auto"/>
              </w:rPr>
              <w:t>NEW LENDER</w:t>
            </w:r>
          </w:p>
        </w:tc>
        <w:tc>
          <w:tcPr>
            <w:tcW w:w="4980" w:type="dxa"/>
            <w:vAlign w:val="bottom"/>
            <w:gridSpan w:val="4"/>
          </w:tcPr>
          <w:p>
            <w:pPr>
              <w:ind w:left="2060"/>
              <w:spacing w:after="0"/>
              <w:rPr>
                <w:sz w:val="20"/>
                <w:szCs w:val="20"/>
                <w:color w:val="auto"/>
              </w:rPr>
            </w:pPr>
            <w:r>
              <w:rPr>
                <w:rFonts w:ascii="Arial" w:cs="Arial" w:eastAsia="Arial" w:hAnsi="Arial"/>
                <w:sz w:val="22"/>
                <w:szCs w:val="22"/>
                <w:color w:val="auto"/>
              </w:rPr>
              <w:t>CITIZENS BANK, N.A.</w:t>
            </w:r>
          </w:p>
        </w:tc>
      </w:tr>
      <w:tr>
        <w:trPr>
          <w:trHeight w:val="435"/>
        </w:trPr>
        <w:tc>
          <w:tcPr>
            <w:tcW w:w="3300" w:type="dxa"/>
            <w:vAlign w:val="bottom"/>
          </w:tcPr>
          <w:p>
            <w:pPr>
              <w:spacing w:after="0"/>
              <w:rPr>
                <w:sz w:val="24"/>
                <w:szCs w:val="24"/>
                <w:color w:val="auto"/>
              </w:rPr>
            </w:pPr>
          </w:p>
        </w:tc>
        <w:tc>
          <w:tcPr>
            <w:tcW w:w="4980" w:type="dxa"/>
            <w:vAlign w:val="bottom"/>
            <w:gridSpan w:val="4"/>
          </w:tcPr>
          <w:p>
            <w:pPr>
              <w:ind w:left="1880"/>
              <w:spacing w:after="0"/>
              <w:rPr>
                <w:sz w:val="20"/>
                <w:szCs w:val="20"/>
                <w:color w:val="auto"/>
              </w:rPr>
            </w:pPr>
            <w:r>
              <w:rPr>
                <w:rFonts w:ascii="Arial" w:cs="Arial" w:eastAsia="Arial" w:hAnsi="Arial"/>
                <w:sz w:val="22"/>
                <w:szCs w:val="22"/>
                <w:color w:val="auto"/>
              </w:rPr>
              <w:t>By:  /s/ Leslie D. Broderick</w:t>
            </w:r>
          </w:p>
        </w:tc>
      </w:tr>
      <w:tr>
        <w:trPr>
          <w:trHeight w:val="20"/>
        </w:trPr>
        <w:tc>
          <w:tcPr>
            <w:tcW w:w="3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42"/>
        </w:trPr>
        <w:tc>
          <w:tcPr>
            <w:tcW w:w="3300" w:type="dxa"/>
            <w:vAlign w:val="bottom"/>
          </w:tcPr>
          <w:p>
            <w:pPr>
              <w:spacing w:after="0"/>
              <w:rPr>
                <w:sz w:val="21"/>
                <w:szCs w:val="21"/>
                <w:color w:val="auto"/>
              </w:rPr>
            </w:pPr>
          </w:p>
        </w:tc>
        <w:tc>
          <w:tcPr>
            <w:tcW w:w="2780" w:type="dxa"/>
            <w:vAlign w:val="bottom"/>
            <w:gridSpan w:val="2"/>
          </w:tcPr>
          <w:p>
            <w:pPr>
              <w:ind w:left="1880"/>
              <w:spacing w:after="0" w:line="242" w:lineRule="exact"/>
              <w:rPr>
                <w:sz w:val="20"/>
                <w:szCs w:val="20"/>
                <w:color w:val="auto"/>
              </w:rPr>
            </w:pPr>
            <w:r>
              <w:rPr>
                <w:rFonts w:ascii="Arial" w:cs="Arial" w:eastAsia="Arial" w:hAnsi="Arial"/>
                <w:sz w:val="22"/>
                <w:szCs w:val="22"/>
                <w:color w:val="auto"/>
              </w:rPr>
              <w:t>Name:</w:t>
            </w:r>
          </w:p>
        </w:tc>
        <w:tc>
          <w:tcPr>
            <w:tcW w:w="2200" w:type="dxa"/>
            <w:vAlign w:val="bottom"/>
            <w:gridSpan w:val="2"/>
          </w:tcPr>
          <w:p>
            <w:pPr>
              <w:ind w:left="440"/>
              <w:spacing w:after="0" w:line="242" w:lineRule="exact"/>
              <w:rPr>
                <w:sz w:val="20"/>
                <w:szCs w:val="20"/>
                <w:color w:val="auto"/>
              </w:rPr>
            </w:pPr>
            <w:r>
              <w:rPr>
                <w:rFonts w:ascii="Arial" w:cs="Arial" w:eastAsia="Arial" w:hAnsi="Arial"/>
                <w:sz w:val="22"/>
                <w:szCs w:val="22"/>
                <w:color w:val="auto"/>
                <w:w w:val="94"/>
              </w:rPr>
              <w:t>Leslie D. Broderick</w:t>
            </w:r>
          </w:p>
        </w:tc>
      </w:tr>
      <w:tr>
        <w:trPr>
          <w:trHeight w:val="274"/>
        </w:trPr>
        <w:tc>
          <w:tcPr>
            <w:tcW w:w="3300" w:type="dxa"/>
            <w:vAlign w:val="bottom"/>
          </w:tcPr>
          <w:p>
            <w:pPr>
              <w:spacing w:after="0"/>
              <w:rPr>
                <w:sz w:val="23"/>
                <w:szCs w:val="23"/>
                <w:color w:val="auto"/>
              </w:rPr>
            </w:pPr>
          </w:p>
        </w:tc>
        <w:tc>
          <w:tcPr>
            <w:tcW w:w="2780" w:type="dxa"/>
            <w:vAlign w:val="bottom"/>
            <w:gridSpan w:val="2"/>
          </w:tcPr>
          <w:p>
            <w:pPr>
              <w:ind w:left="1880"/>
              <w:spacing w:after="0"/>
              <w:rPr>
                <w:sz w:val="20"/>
                <w:szCs w:val="20"/>
                <w:color w:val="auto"/>
              </w:rPr>
            </w:pPr>
            <w:r>
              <w:rPr>
                <w:rFonts w:ascii="Arial" w:cs="Arial" w:eastAsia="Arial" w:hAnsi="Arial"/>
                <w:sz w:val="22"/>
                <w:szCs w:val="22"/>
                <w:color w:val="auto"/>
              </w:rPr>
              <w:t>Title:</w:t>
            </w:r>
          </w:p>
        </w:tc>
        <w:tc>
          <w:tcPr>
            <w:tcW w:w="2200" w:type="dxa"/>
            <w:vAlign w:val="bottom"/>
            <w:gridSpan w:val="2"/>
          </w:tcPr>
          <w:p>
            <w:pPr>
              <w:ind w:left="320"/>
              <w:spacing w:after="0"/>
              <w:rPr>
                <w:sz w:val="20"/>
                <w:szCs w:val="20"/>
                <w:color w:val="auto"/>
              </w:rPr>
            </w:pPr>
            <w:r>
              <w:rPr>
                <w:rFonts w:ascii="Arial" w:cs="Arial" w:eastAsia="Arial" w:hAnsi="Arial"/>
                <w:sz w:val="22"/>
                <w:szCs w:val="22"/>
                <w:color w:val="auto"/>
                <w:w w:val="87"/>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Second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#403601135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22"/>
          <w:szCs w:val="22"/>
          <w:b w:val="1"/>
          <w:bCs w:val="1"/>
          <w:u w:val="single" w:color="auto"/>
          <w:color w:val="auto"/>
        </w:rPr>
        <w:t>EXHIBIT A TO SECOND AMENDMENT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SCHEDULE 1.1A TO CREDIT AGREEMENT</w:t>
      </w:r>
    </w:p>
    <w:p>
      <w:pPr>
        <w:spacing w:after="0" w:line="25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#403601135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65" w:name="page66"/>
    <w:bookmarkEnd w:id="65"/>
    <w:tbl>
      <w:tblPr>
        <w:tblLayout w:type="fixed"/>
        <w:tblInd w:w="190" w:type="dxa"/>
        <w:tblCellMar>
          <w:top w:w="0" w:type="dxa"/>
          <w:left w:w="0" w:type="dxa"/>
          <w:bottom w:w="0" w:type="dxa"/>
          <w:right w:w="0" w:type="dxa"/>
        </w:tblCellMar>
      </w:tblPr>
      <w:tr>
        <w:trPr>
          <w:trHeight w:val="253"/>
        </w:trPr>
        <w:tc>
          <w:tcPr>
            <w:tcW w:w="2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500" w:type="dxa"/>
            <w:vAlign w:val="bottom"/>
            <w:gridSpan w:val="3"/>
          </w:tcPr>
          <w:p>
            <w:pPr>
              <w:jc w:val="right"/>
              <w:ind w:right="40"/>
              <w:spacing w:after="0"/>
              <w:rPr>
                <w:sz w:val="20"/>
                <w:szCs w:val="20"/>
                <w:color w:val="auto"/>
              </w:rPr>
            </w:pPr>
            <w:r>
              <w:rPr>
                <w:rFonts w:ascii="Arial" w:cs="Arial" w:eastAsia="Arial" w:hAnsi="Arial"/>
                <w:sz w:val="22"/>
                <w:szCs w:val="22"/>
                <w:color w:val="auto"/>
              </w:rPr>
              <w:t>Schedule 1.1A</w:t>
            </w:r>
          </w:p>
        </w:tc>
        <w:tc>
          <w:tcPr>
            <w:tcW w:w="0" w:type="dxa"/>
            <w:vAlign w:val="bottom"/>
          </w:tcPr>
          <w:p>
            <w:pPr>
              <w:spacing w:after="0"/>
              <w:rPr>
                <w:sz w:val="1"/>
                <w:szCs w:val="1"/>
                <w:color w:val="auto"/>
              </w:rPr>
            </w:pPr>
          </w:p>
        </w:tc>
      </w:tr>
      <w:tr>
        <w:trPr>
          <w:trHeight w:val="274"/>
        </w:trPr>
        <w:tc>
          <w:tcPr>
            <w:tcW w:w="2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500" w:type="dxa"/>
            <w:vAlign w:val="bottom"/>
            <w:gridSpan w:val="3"/>
          </w:tcPr>
          <w:p>
            <w:pPr>
              <w:jc w:val="right"/>
              <w:ind w:right="40"/>
              <w:spacing w:after="0"/>
              <w:rPr>
                <w:sz w:val="20"/>
                <w:szCs w:val="20"/>
                <w:color w:val="auto"/>
              </w:rPr>
            </w:pPr>
            <w:r>
              <w:rPr>
                <w:rFonts w:ascii="Arial" w:cs="Arial" w:eastAsia="Arial" w:hAnsi="Arial"/>
                <w:sz w:val="22"/>
                <w:szCs w:val="22"/>
                <w:color w:val="auto"/>
              </w:rPr>
              <w:t>to Credit Agreement</w:t>
            </w:r>
          </w:p>
        </w:tc>
        <w:tc>
          <w:tcPr>
            <w:tcW w:w="0" w:type="dxa"/>
            <w:vAlign w:val="bottom"/>
          </w:tcPr>
          <w:p>
            <w:pPr>
              <w:spacing w:after="0"/>
              <w:rPr>
                <w:sz w:val="1"/>
                <w:szCs w:val="1"/>
                <w:color w:val="auto"/>
              </w:rPr>
            </w:pPr>
          </w:p>
        </w:tc>
      </w:tr>
      <w:tr>
        <w:trPr>
          <w:trHeight w:val="408"/>
        </w:trPr>
        <w:tc>
          <w:tcPr>
            <w:tcW w:w="2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22"/>
                <w:szCs w:val="22"/>
                <w:color w:val="auto"/>
              </w:rPr>
              <w:t>Revolving Commitments</w:t>
            </w:r>
          </w:p>
        </w:tc>
        <w:tc>
          <w:tcPr>
            <w:tcW w:w="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800" w:type="dxa"/>
            <w:vAlign w:val="bottom"/>
            <w:tcBorders>
              <w:top w:val="single" w:sz="8" w:color="auto"/>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220" w:type="dxa"/>
            <w:vAlign w:val="bottom"/>
            <w:tcBorders>
              <w:left w:val="single" w:sz="8" w:color="auto"/>
            </w:tcBorders>
          </w:tcPr>
          <w:p>
            <w:pPr>
              <w:spacing w:after="0"/>
              <w:rPr>
                <w:sz w:val="17"/>
                <w:szCs w:val="17"/>
                <w:color w:val="auto"/>
              </w:rPr>
            </w:pPr>
          </w:p>
        </w:tc>
        <w:tc>
          <w:tcPr>
            <w:tcW w:w="3620" w:type="dxa"/>
            <w:vAlign w:val="bottom"/>
            <w:tcBorders>
              <w:right w:val="single" w:sz="8" w:color="auto"/>
            </w:tcBorders>
            <w:gridSpan w:val="4"/>
          </w:tcPr>
          <w:p>
            <w:pPr>
              <w:spacing w:after="0" w:line="195" w:lineRule="exact"/>
              <w:rPr>
                <w:sz w:val="20"/>
                <w:szCs w:val="20"/>
                <w:color w:val="auto"/>
              </w:rPr>
            </w:pPr>
            <w:r>
              <w:rPr>
                <w:rFonts w:ascii="Arial" w:cs="Arial" w:eastAsia="Arial" w:hAnsi="Arial"/>
                <w:sz w:val="22"/>
                <w:szCs w:val="22"/>
                <w:color w:val="auto"/>
              </w:rPr>
              <w:t>Name of Lender</w:t>
            </w:r>
          </w:p>
        </w:tc>
        <w:tc>
          <w:tcPr>
            <w:tcW w:w="340" w:type="dxa"/>
            <w:vAlign w:val="bottom"/>
          </w:tcPr>
          <w:p>
            <w:pPr>
              <w:spacing w:after="0"/>
              <w:rPr>
                <w:sz w:val="17"/>
                <w:szCs w:val="17"/>
                <w:color w:val="auto"/>
              </w:rPr>
            </w:pPr>
          </w:p>
        </w:tc>
        <w:tc>
          <w:tcPr>
            <w:tcW w:w="2480" w:type="dxa"/>
            <w:vAlign w:val="bottom"/>
            <w:tcBorders>
              <w:right w:val="single" w:sz="8" w:color="auto"/>
            </w:tcBorders>
            <w:gridSpan w:val="2"/>
          </w:tcPr>
          <w:p>
            <w:pPr>
              <w:jc w:val="right"/>
              <w:ind w:right="380"/>
              <w:spacing w:after="0" w:line="195" w:lineRule="exact"/>
              <w:rPr>
                <w:sz w:val="20"/>
                <w:szCs w:val="20"/>
                <w:color w:val="auto"/>
              </w:rPr>
            </w:pPr>
            <w:r>
              <w:rPr>
                <w:rFonts w:ascii="Arial" w:cs="Arial" w:eastAsia="Arial" w:hAnsi="Arial"/>
                <w:sz w:val="22"/>
                <w:szCs w:val="22"/>
                <w:color w:val="auto"/>
                <w:w w:val="91"/>
              </w:rPr>
              <w:t>Revolving Commitment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20" w:type="dxa"/>
            <w:vAlign w:val="bottom"/>
            <w:tcBorders>
              <w:left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840" w:type="dxa"/>
            <w:vAlign w:val="bottom"/>
            <w:tcBorders>
              <w:left w:val="single" w:sz="8" w:color="auto"/>
              <w:bottom w:val="single" w:sz="8" w:color="auto"/>
              <w:right w:val="single" w:sz="8" w:color="auto"/>
            </w:tcBorders>
            <w:gridSpan w:val="5"/>
          </w:tcPr>
          <w:p>
            <w:pPr>
              <w:ind w:left="140"/>
              <w:spacing w:after="0" w:line="237" w:lineRule="exact"/>
              <w:rPr>
                <w:sz w:val="20"/>
                <w:szCs w:val="20"/>
                <w:color w:val="auto"/>
              </w:rPr>
            </w:pPr>
            <w:r>
              <w:rPr>
                <w:rFonts w:ascii="Arial" w:cs="Arial" w:eastAsia="Arial" w:hAnsi="Arial"/>
                <w:sz w:val="22"/>
                <w:szCs w:val="22"/>
                <w:color w:val="auto"/>
              </w:rPr>
              <w:t>PNC Bank, National Association</w:t>
            </w:r>
          </w:p>
        </w:tc>
        <w:tc>
          <w:tcPr>
            <w:tcW w:w="2820" w:type="dxa"/>
            <w:vAlign w:val="bottom"/>
            <w:tcBorders>
              <w:bottom w:val="single" w:sz="8" w:color="auto"/>
              <w:right w:val="single" w:sz="8" w:color="auto"/>
            </w:tcBorders>
            <w:gridSpan w:val="3"/>
          </w:tcPr>
          <w:p>
            <w:pPr>
              <w:jc w:val="right"/>
              <w:ind w:right="80"/>
              <w:spacing w:after="0" w:line="237" w:lineRule="exact"/>
              <w:rPr>
                <w:sz w:val="20"/>
                <w:szCs w:val="20"/>
                <w:color w:val="auto"/>
              </w:rPr>
            </w:pPr>
            <w:r>
              <w:rPr>
                <w:rFonts w:ascii="Arial" w:cs="Arial" w:eastAsia="Arial" w:hAnsi="Arial"/>
                <w:sz w:val="22"/>
                <w:szCs w:val="22"/>
                <w:color w:val="auto"/>
              </w:rPr>
              <w:t>$116,666,667.00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40" w:type="dxa"/>
            <w:vAlign w:val="bottom"/>
            <w:tcBorders>
              <w:left w:val="single" w:sz="8" w:color="auto"/>
              <w:bottom w:val="single" w:sz="8" w:color="auto"/>
              <w:right w:val="single" w:sz="8" w:color="auto"/>
            </w:tcBorders>
            <w:gridSpan w:val="5"/>
          </w:tcPr>
          <w:p>
            <w:pPr>
              <w:ind w:left="140"/>
              <w:spacing w:after="0" w:line="237" w:lineRule="exact"/>
              <w:rPr>
                <w:sz w:val="20"/>
                <w:szCs w:val="20"/>
                <w:color w:val="auto"/>
              </w:rPr>
            </w:pPr>
            <w:r>
              <w:rPr>
                <w:rFonts w:ascii="Arial" w:cs="Arial" w:eastAsia="Arial" w:hAnsi="Arial"/>
                <w:sz w:val="22"/>
                <w:szCs w:val="22"/>
                <w:color w:val="auto"/>
              </w:rPr>
              <w:t>TD Bank, N.A.</w:t>
            </w:r>
          </w:p>
        </w:tc>
        <w:tc>
          <w:tcPr>
            <w:tcW w:w="2820" w:type="dxa"/>
            <w:vAlign w:val="bottom"/>
            <w:tcBorders>
              <w:bottom w:val="single" w:sz="8" w:color="auto"/>
              <w:right w:val="single" w:sz="8" w:color="auto"/>
            </w:tcBorders>
            <w:gridSpan w:val="3"/>
          </w:tcPr>
          <w:p>
            <w:pPr>
              <w:jc w:val="right"/>
              <w:ind w:right="80"/>
              <w:spacing w:after="0" w:line="237" w:lineRule="exact"/>
              <w:rPr>
                <w:sz w:val="20"/>
                <w:szCs w:val="20"/>
                <w:color w:val="auto"/>
              </w:rPr>
            </w:pPr>
            <w:r>
              <w:rPr>
                <w:rFonts w:ascii="Arial" w:cs="Arial" w:eastAsia="Arial" w:hAnsi="Arial"/>
                <w:sz w:val="22"/>
                <w:szCs w:val="22"/>
                <w:color w:val="auto"/>
              </w:rPr>
              <w:t>$116,666,667.00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40" w:type="dxa"/>
            <w:vAlign w:val="bottom"/>
            <w:tcBorders>
              <w:left w:val="single" w:sz="8" w:color="auto"/>
              <w:bottom w:val="single" w:sz="8" w:color="auto"/>
              <w:right w:val="single" w:sz="8" w:color="auto"/>
            </w:tcBorders>
            <w:gridSpan w:val="5"/>
          </w:tcPr>
          <w:p>
            <w:pPr>
              <w:ind w:left="140"/>
              <w:spacing w:after="0" w:line="237" w:lineRule="exact"/>
              <w:rPr>
                <w:sz w:val="20"/>
                <w:szCs w:val="20"/>
                <w:color w:val="auto"/>
              </w:rPr>
            </w:pPr>
            <w:r>
              <w:rPr>
                <w:rFonts w:ascii="Arial" w:cs="Arial" w:eastAsia="Arial" w:hAnsi="Arial"/>
                <w:sz w:val="22"/>
                <w:szCs w:val="22"/>
                <w:color w:val="auto"/>
              </w:rPr>
              <w:t>Citizens Bank, N.A.</w:t>
            </w:r>
          </w:p>
        </w:tc>
        <w:tc>
          <w:tcPr>
            <w:tcW w:w="2820" w:type="dxa"/>
            <w:vAlign w:val="bottom"/>
            <w:tcBorders>
              <w:bottom w:val="single" w:sz="8" w:color="auto"/>
              <w:right w:val="single" w:sz="8" w:color="auto"/>
            </w:tcBorders>
            <w:gridSpan w:val="3"/>
          </w:tcPr>
          <w:p>
            <w:pPr>
              <w:jc w:val="right"/>
              <w:ind w:right="80"/>
              <w:spacing w:after="0" w:line="237" w:lineRule="exact"/>
              <w:rPr>
                <w:sz w:val="20"/>
                <w:szCs w:val="20"/>
                <w:color w:val="auto"/>
              </w:rPr>
            </w:pPr>
            <w:r>
              <w:rPr>
                <w:rFonts w:ascii="Arial" w:cs="Arial" w:eastAsia="Arial" w:hAnsi="Arial"/>
                <w:sz w:val="22"/>
                <w:szCs w:val="22"/>
                <w:color w:val="auto"/>
              </w:rPr>
              <w:t>$66,666,666.00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20" w:type="dxa"/>
            <w:vAlign w:val="bottom"/>
            <w:tcBorders>
              <w:left w:val="single" w:sz="8" w:color="auto"/>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20" w:type="dxa"/>
            <w:vAlign w:val="bottom"/>
            <w:tcBorders>
              <w:bottom w:val="single" w:sz="8" w:color="auto"/>
              <w:right w:val="single" w:sz="8" w:color="auto"/>
            </w:tcBorders>
            <w:gridSpan w:val="2"/>
          </w:tcPr>
          <w:p>
            <w:pPr>
              <w:ind w:left="300"/>
              <w:spacing w:after="0" w:line="237" w:lineRule="exact"/>
              <w:rPr>
                <w:sz w:val="20"/>
                <w:szCs w:val="20"/>
                <w:color w:val="auto"/>
              </w:rPr>
            </w:pPr>
            <w:r>
              <w:rPr>
                <w:rFonts w:ascii="Arial" w:cs="Arial" w:eastAsia="Arial" w:hAnsi="Arial"/>
                <w:sz w:val="22"/>
                <w:szCs w:val="22"/>
                <w:b w:val="1"/>
                <w:bCs w:val="1"/>
                <w:color w:val="auto"/>
              </w:rPr>
              <w:t>Total:</w:t>
            </w:r>
          </w:p>
        </w:tc>
        <w:tc>
          <w:tcPr>
            <w:tcW w:w="2820" w:type="dxa"/>
            <w:vAlign w:val="bottom"/>
            <w:tcBorders>
              <w:bottom w:val="single" w:sz="8" w:color="auto"/>
              <w:right w:val="single" w:sz="8" w:color="auto"/>
            </w:tcBorders>
            <w:gridSpan w:val="3"/>
          </w:tcPr>
          <w:p>
            <w:pPr>
              <w:jc w:val="right"/>
              <w:ind w:right="80"/>
              <w:spacing w:after="0" w:line="237" w:lineRule="exact"/>
              <w:rPr>
                <w:sz w:val="20"/>
                <w:szCs w:val="20"/>
                <w:color w:val="auto"/>
              </w:rPr>
            </w:pPr>
            <w:r>
              <w:rPr>
                <w:rFonts w:ascii="Arial" w:cs="Arial" w:eastAsia="Arial" w:hAnsi="Arial"/>
                <w:sz w:val="22"/>
                <w:szCs w:val="22"/>
                <w:b w:val="1"/>
                <w:bCs w:val="1"/>
                <w:color w:val="auto"/>
              </w:rPr>
              <w:t>$300,000,000.00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#403601135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14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22"/>
          <w:szCs w:val="22"/>
          <w:b w:val="1"/>
          <w:bCs w:val="1"/>
          <w:u w:val="single" w:color="auto"/>
          <w:color w:val="auto"/>
        </w:rPr>
        <w:t>EXHIBIT B TO SECOND AMENDMENT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FORM OF BORROWING REQUEST</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#403601135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1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67" w:name="page68"/>
    <w:bookmarkEnd w:id="67"/>
    <w:p>
      <w:pPr>
        <w:jc w:val="right"/>
        <w:ind w:right="199"/>
        <w:spacing w:after="0"/>
        <w:rPr>
          <w:sz w:val="20"/>
          <w:szCs w:val="20"/>
          <w:color w:val="auto"/>
        </w:rPr>
      </w:pPr>
      <w:r>
        <w:rPr>
          <w:rFonts w:ascii="Arial" w:cs="Arial" w:eastAsia="Arial" w:hAnsi="Arial"/>
          <w:sz w:val="22"/>
          <w:szCs w:val="22"/>
          <w:color w:val="auto"/>
        </w:rPr>
        <w:t>EXHIBIT F</w:t>
      </w:r>
    </w:p>
    <w:p>
      <w:pPr>
        <w:spacing w:after="0" w:line="206"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FORM OF BORROWING REQUEST</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PNC Bank, National Association,</w:t>
      </w:r>
    </w:p>
    <w:p>
      <w:pPr>
        <w:ind w:left="180"/>
        <w:spacing w:after="0" w:line="238" w:lineRule="auto"/>
        <w:rPr>
          <w:sz w:val="20"/>
          <w:szCs w:val="20"/>
          <w:color w:val="auto"/>
        </w:rPr>
      </w:pPr>
      <w:r>
        <w:rPr>
          <w:rFonts w:ascii="Arial" w:cs="Arial" w:eastAsia="Arial" w:hAnsi="Arial"/>
          <w:sz w:val="22"/>
          <w:szCs w:val="22"/>
          <w:color w:val="auto"/>
        </w:rPr>
        <w:t>as Administrative Agent</w:t>
      </w:r>
    </w:p>
    <w:p>
      <w:pPr>
        <w:ind w:left="180"/>
        <w:spacing w:after="0"/>
        <w:rPr>
          <w:sz w:val="20"/>
          <w:szCs w:val="20"/>
          <w:color w:val="auto"/>
        </w:rPr>
      </w:pPr>
      <w:r>
        <w:rPr>
          <w:rFonts w:ascii="Arial" w:cs="Arial" w:eastAsia="Arial" w:hAnsi="Arial"/>
          <w:sz w:val="22"/>
          <w:szCs w:val="22"/>
          <w:color w:val="auto"/>
        </w:rPr>
        <w:t>for the Lenders referred to below</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Agency Services</w:t>
      </w:r>
    </w:p>
    <w:p>
      <w:pPr>
        <w:ind w:left="180"/>
        <w:spacing w:after="0" w:line="238" w:lineRule="auto"/>
        <w:rPr>
          <w:sz w:val="20"/>
          <w:szCs w:val="20"/>
          <w:color w:val="auto"/>
        </w:rPr>
      </w:pPr>
      <w:r>
        <w:rPr>
          <w:rFonts w:ascii="Arial" w:cs="Arial" w:eastAsia="Arial" w:hAnsi="Arial"/>
          <w:sz w:val="22"/>
          <w:szCs w:val="22"/>
          <w:color w:val="auto"/>
        </w:rPr>
        <w:t>PNC Bank, National Association</w:t>
      </w:r>
    </w:p>
    <w:p>
      <w:pPr>
        <w:ind w:left="180"/>
        <w:spacing w:after="0" w:line="230" w:lineRule="auto"/>
        <w:rPr>
          <w:sz w:val="20"/>
          <w:szCs w:val="20"/>
          <w:color w:val="auto"/>
        </w:rPr>
      </w:pPr>
      <w:r>
        <w:rPr>
          <w:rFonts w:ascii="Arial" w:cs="Arial" w:eastAsia="Arial" w:hAnsi="Arial"/>
          <w:sz w:val="22"/>
          <w:szCs w:val="22"/>
          <w:color w:val="auto"/>
        </w:rPr>
        <w:t>Mail Stop: P7-PFSC-05-W</w:t>
      </w:r>
    </w:p>
    <w:p>
      <w:pPr>
        <w:ind w:left="180"/>
        <w:spacing w:after="0" w:line="231" w:lineRule="auto"/>
        <w:rPr>
          <w:sz w:val="20"/>
          <w:szCs w:val="20"/>
          <w:color w:val="auto"/>
        </w:rPr>
      </w:pPr>
      <w:r>
        <w:rPr>
          <w:rFonts w:ascii="Arial" w:cs="Arial" w:eastAsia="Arial" w:hAnsi="Arial"/>
          <w:sz w:val="22"/>
          <w:szCs w:val="22"/>
          <w:color w:val="auto"/>
        </w:rPr>
        <w:t>500 First Avenue</w:t>
      </w:r>
    </w:p>
    <w:p>
      <w:pPr>
        <w:ind w:left="180"/>
        <w:spacing w:after="0" w:line="230" w:lineRule="auto"/>
        <w:rPr>
          <w:sz w:val="20"/>
          <w:szCs w:val="20"/>
          <w:color w:val="auto"/>
        </w:rPr>
      </w:pPr>
      <w:r>
        <w:rPr>
          <w:rFonts w:ascii="Arial" w:cs="Arial" w:eastAsia="Arial" w:hAnsi="Arial"/>
          <w:sz w:val="22"/>
          <w:szCs w:val="22"/>
          <w:color w:val="auto"/>
        </w:rPr>
        <w:t>Pittsburgh, PA 15219</w:t>
      </w:r>
    </w:p>
    <w:p>
      <w:pPr>
        <w:ind w:left="180"/>
        <w:spacing w:after="0" w:line="231" w:lineRule="auto"/>
        <w:rPr>
          <w:sz w:val="20"/>
          <w:szCs w:val="20"/>
          <w:color w:val="auto"/>
        </w:rPr>
      </w:pPr>
      <w:r>
        <w:rPr>
          <w:rFonts w:ascii="Arial" w:cs="Arial" w:eastAsia="Arial" w:hAnsi="Arial"/>
          <w:sz w:val="22"/>
          <w:szCs w:val="22"/>
          <w:color w:val="auto"/>
        </w:rPr>
        <w:t>Attention: Agency Services</w:t>
      </w:r>
    </w:p>
    <w:p>
      <w:pPr>
        <w:ind w:left="180"/>
        <w:spacing w:after="0" w:line="230" w:lineRule="auto"/>
        <w:rPr>
          <w:sz w:val="20"/>
          <w:szCs w:val="20"/>
          <w:color w:val="auto"/>
        </w:rPr>
      </w:pPr>
      <w:r>
        <w:rPr>
          <w:rFonts w:ascii="Arial" w:cs="Arial" w:eastAsia="Arial" w:hAnsi="Arial"/>
          <w:sz w:val="22"/>
          <w:szCs w:val="22"/>
          <w:color w:val="auto"/>
        </w:rPr>
        <w:t>Telecopy: (412) 768-0423</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Telephone: (412) 715-2006</w:t>
      </w:r>
    </w:p>
    <w:p>
      <w:pPr>
        <w:spacing w:after="0" w:line="188" w:lineRule="exact"/>
        <w:rPr>
          <w:sz w:val="20"/>
          <w:szCs w:val="20"/>
          <w:color w:val="auto"/>
        </w:rPr>
      </w:pPr>
    </w:p>
    <w:p>
      <w:pPr>
        <w:jc w:val="right"/>
        <w:ind w:right="199"/>
        <w:spacing w:after="0"/>
        <w:rPr>
          <w:sz w:val="20"/>
          <w:szCs w:val="20"/>
          <w:color w:val="auto"/>
        </w:rPr>
      </w:pPr>
      <w:r>
        <w:rPr>
          <w:rFonts w:ascii="Arial" w:cs="Arial" w:eastAsia="Arial" w:hAnsi="Arial"/>
          <w:sz w:val="22"/>
          <w:szCs w:val="22"/>
          <w:color w:val="auto"/>
        </w:rPr>
        <w:t>[Date]</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Dear Ladies and Gentlemen:</w:t>
      </w:r>
    </w:p>
    <w:p>
      <w:pPr>
        <w:spacing w:after="0" w:line="206" w:lineRule="exact"/>
        <w:rPr>
          <w:sz w:val="20"/>
          <w:szCs w:val="20"/>
          <w:color w:val="auto"/>
        </w:rPr>
      </w:pPr>
    </w:p>
    <w:p>
      <w:pPr>
        <w:ind w:left="180" w:right="279" w:firstLine="648"/>
        <w:spacing w:after="0" w:line="246" w:lineRule="auto"/>
        <w:rPr>
          <w:sz w:val="20"/>
          <w:szCs w:val="20"/>
          <w:color w:val="auto"/>
        </w:rPr>
      </w:pPr>
      <w:r>
        <w:rPr>
          <w:rFonts w:ascii="Arial" w:cs="Arial" w:eastAsia="Arial" w:hAnsi="Arial"/>
          <w:sz w:val="21"/>
          <w:szCs w:val="21"/>
          <w:color w:val="auto"/>
        </w:rPr>
        <w:t>Reference is made to the Credit Agreement dated as of November 25, 2020 (as amended, restated, amended and restated, supplemented or otherwise modified from time to time, the “</w:t>
      </w:r>
      <w:r>
        <w:rPr>
          <w:rFonts w:ascii="Arial" w:cs="Arial" w:eastAsia="Arial" w:hAnsi="Arial"/>
          <w:sz w:val="21"/>
          <w:szCs w:val="21"/>
          <w:u w:val="single" w:color="auto"/>
          <w:color w:val="auto"/>
        </w:rPr>
        <w:t>Credit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among PNG Companies LLC, the Lenders party thereto, and PNC Bank, National Association, as administrative agent for the Lenders (in such capacity, the “</w:t>
      </w:r>
      <w:r>
        <w:rPr>
          <w:rFonts w:ascii="Arial" w:cs="Arial" w:eastAsia="Arial" w:hAnsi="Arial"/>
          <w:sz w:val="21"/>
          <w:szCs w:val="21"/>
          <w:u w:val="single" w:color="auto"/>
          <w:color w:val="auto"/>
        </w:rPr>
        <w:t>Administrative</w:t>
      </w:r>
      <w:r>
        <w:rPr>
          <w:rFonts w:ascii="Arial" w:cs="Arial" w:eastAsia="Arial" w:hAnsi="Arial"/>
          <w:sz w:val="21"/>
          <w:szCs w:val="21"/>
          <w:color w:val="auto"/>
        </w:rPr>
        <w:t xml:space="preserve"> </w:t>
      </w:r>
      <w:r>
        <w:rPr>
          <w:rFonts w:ascii="Arial" w:cs="Arial" w:eastAsia="Arial" w:hAnsi="Arial"/>
          <w:sz w:val="21"/>
          <w:szCs w:val="21"/>
          <w:u w:val="single" w:color="auto"/>
          <w:color w:val="auto"/>
        </w:rPr>
        <w:t>Agent</w:t>
      </w:r>
      <w:r>
        <w:rPr>
          <w:rFonts w:ascii="Arial" w:cs="Arial" w:eastAsia="Arial" w:hAnsi="Arial"/>
          <w:sz w:val="21"/>
          <w:szCs w:val="21"/>
          <w:color w:val="auto"/>
        </w:rPr>
        <w:t>”). Terms defined in the Credit Agreement are used herein with the same meanings. The Borrower hereby requests to borrow Revolving Loans under the Credit Agreement, and in that connection the Borrower specifies the following information with respect to such borrowing of Revolving Loans requested hereby:</w:t>
      </w:r>
    </w:p>
    <w:p>
      <w:pPr>
        <w:spacing w:after="0" w:line="187" w:lineRule="exact"/>
        <w:rPr>
          <w:sz w:val="20"/>
          <w:szCs w:val="20"/>
          <w:color w:val="auto"/>
        </w:rPr>
      </w:pPr>
    </w:p>
    <w:p>
      <w:pPr>
        <w:ind w:left="1620" w:hanging="788"/>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Principal amount of Revolving Loan :____________________</w:t>
      </w:r>
    </w:p>
    <w:p>
      <w:pPr>
        <w:spacing w:after="0" w:line="225" w:lineRule="exact"/>
        <w:rPr>
          <w:rFonts w:ascii="Arial" w:cs="Arial" w:eastAsia="Arial" w:hAnsi="Arial"/>
          <w:sz w:val="18"/>
          <w:szCs w:val="18"/>
          <w:color w:val="auto"/>
        </w:rPr>
      </w:pPr>
    </w:p>
    <w:p>
      <w:pPr>
        <w:ind w:left="1620" w:hanging="788"/>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Date of Revolving Loan (which is a Business Day) :__________________</w:t>
      </w:r>
    </w:p>
    <w:p>
      <w:pPr>
        <w:spacing w:after="0" w:line="225" w:lineRule="exact"/>
        <w:rPr>
          <w:rFonts w:ascii="Arial" w:cs="Arial" w:eastAsia="Arial" w:hAnsi="Arial"/>
          <w:sz w:val="18"/>
          <w:szCs w:val="18"/>
          <w:color w:val="auto"/>
        </w:rPr>
      </w:pPr>
    </w:p>
    <w:p>
      <w:pPr>
        <w:ind w:left="1620" w:hanging="788"/>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Type of Revolving Loan :____________________</w:t>
      </w:r>
    </w:p>
    <w:p>
      <w:pPr>
        <w:spacing w:after="0" w:line="238" w:lineRule="exact"/>
        <w:rPr>
          <w:sz w:val="20"/>
          <w:szCs w:val="20"/>
          <w:color w:val="auto"/>
        </w:rPr>
      </w:pPr>
    </w:p>
    <w:tbl>
      <w:tblPr>
        <w:tblLayout w:type="fixed"/>
        <w:tblInd w:w="180" w:type="dxa"/>
        <w:tblCellMar>
          <w:top w:w="0" w:type="dxa"/>
          <w:left w:w="0" w:type="dxa"/>
          <w:bottom w:w="0" w:type="dxa"/>
          <w:right w:w="0" w:type="dxa"/>
        </w:tblCellMar>
      </w:tblPr>
      <w:tr>
        <w:trPr>
          <w:trHeight w:val="217"/>
        </w:trPr>
        <w:tc>
          <w:tcPr>
            <w:tcW w:w="2900" w:type="dxa"/>
            <w:vAlign w:val="bottom"/>
          </w:tcPr>
          <w:p>
            <w:pPr>
              <w:spacing w:after="0"/>
              <w:rPr>
                <w:sz w:val="20"/>
                <w:szCs w:val="20"/>
                <w:color w:val="auto"/>
              </w:rPr>
            </w:pPr>
            <w:r>
              <w:rPr>
                <w:rFonts w:ascii="Arial" w:cs="Arial" w:eastAsia="Arial" w:hAnsi="Arial"/>
                <w:sz w:val="14"/>
                <w:szCs w:val="14"/>
                <w:color w:val="auto"/>
              </w:rPr>
              <w:t>DMFIRM #403601135 v6</w:t>
            </w:r>
          </w:p>
        </w:tc>
        <w:tc>
          <w:tcPr>
            <w:tcW w:w="5780" w:type="dxa"/>
            <w:vAlign w:val="bottom"/>
          </w:tcPr>
          <w:p>
            <w:pPr>
              <w:ind w:left="1300"/>
              <w:spacing w:after="0"/>
              <w:rPr>
                <w:sz w:val="20"/>
                <w:szCs w:val="20"/>
                <w:color w:val="auto"/>
              </w:rPr>
            </w:pPr>
            <w:r>
              <w:rPr>
                <w:rFonts w:ascii="Arial" w:cs="Arial" w:eastAsia="Arial" w:hAnsi="Arial"/>
                <w:sz w:val="18"/>
                <w:szCs w:val="18"/>
                <w:color w:val="auto"/>
              </w:rPr>
              <w:t>F-1</w:t>
            </w:r>
          </w:p>
        </w:tc>
      </w:tr>
      <w:tr>
        <w:trPr>
          <w:trHeight w:val="378"/>
        </w:trPr>
        <w:tc>
          <w:tcPr>
            <w:tcW w:w="290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r>
      <w:tr>
        <w:trPr>
          <w:trHeight w:val="20"/>
        </w:trPr>
        <w:tc>
          <w:tcPr>
            <w:tcW w:w="2900" w:type="dxa"/>
            <w:vAlign w:val="bottom"/>
            <w:tcBorders>
              <w:bottom w:val="single" w:sz="8" w:color="EEEEEE"/>
            </w:tcBorders>
          </w:tcPr>
          <w:p>
            <w:pPr>
              <w:spacing w:after="0" w:line="20" w:lineRule="exact"/>
              <w:rPr>
                <w:sz w:val="1"/>
                <w:szCs w:val="1"/>
                <w:color w:val="auto"/>
              </w:rPr>
            </w:pPr>
          </w:p>
        </w:tc>
        <w:tc>
          <w:tcPr>
            <w:tcW w:w="5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68" w:name="page69"/>
    <w:bookmarkEnd w:id="68"/>
    <w:p>
      <w:pPr>
        <w:ind w:left="1620" w:hanging="788"/>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 Period :____________________</w:t>
      </w:r>
    </w:p>
    <w:p>
      <w:pPr>
        <w:spacing w:after="0" w:line="217" w:lineRule="exact"/>
        <w:rPr>
          <w:rFonts w:ascii="Arial" w:cs="Arial" w:eastAsia="Arial" w:hAnsi="Arial"/>
          <w:sz w:val="18"/>
          <w:szCs w:val="18"/>
          <w:color w:val="auto"/>
        </w:rPr>
      </w:pPr>
    </w:p>
    <w:p>
      <w:pPr>
        <w:ind w:left="1640" w:hanging="808"/>
        <w:spacing w:after="0"/>
        <w:tabs>
          <w:tab w:leader="none" w:pos="1640" w:val="left"/>
        </w:tabs>
        <w:numPr>
          <w:ilvl w:val="0"/>
          <w:numId w:val="32"/>
        </w:numPr>
        <w:rPr>
          <w:rFonts w:ascii="Arial" w:cs="Arial" w:eastAsia="Arial" w:hAnsi="Arial"/>
          <w:sz w:val="21"/>
          <w:szCs w:val="21"/>
          <w:color w:val="auto"/>
        </w:rPr>
      </w:pPr>
      <w:r>
        <w:rPr>
          <w:rFonts w:ascii="Arial" w:cs="Arial" w:eastAsia="Arial" w:hAnsi="Arial"/>
          <w:sz w:val="21"/>
          <w:szCs w:val="21"/>
          <w:color w:val="auto"/>
        </w:rPr>
        <w:t>Location and number of Borrower’s account at Administrative Agent to which</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proceeds of borrowing are to be disbursed:____________________</w:t>
      </w:r>
    </w:p>
    <w:p>
      <w:pPr>
        <w:spacing w:after="0" w:line="188" w:lineRule="exact"/>
        <w:rPr>
          <w:sz w:val="20"/>
          <w:szCs w:val="20"/>
          <w:color w:val="auto"/>
        </w:rPr>
      </w:pPr>
    </w:p>
    <w:p>
      <w:pPr>
        <w:ind w:left="1640" w:hanging="808"/>
        <w:spacing w:after="0"/>
        <w:tabs>
          <w:tab w:leader="none" w:pos="16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proceeds of the Revolving Loan will be used:</w:t>
      </w:r>
    </w:p>
    <w:p>
      <w:pPr>
        <w:spacing w:after="0" w:line="219" w:lineRule="exact"/>
        <w:rPr>
          <w:rFonts w:ascii="Arial" w:cs="Arial" w:eastAsia="Arial" w:hAnsi="Arial"/>
          <w:sz w:val="22"/>
          <w:szCs w:val="22"/>
          <w:color w:val="auto"/>
        </w:rPr>
      </w:pPr>
    </w:p>
    <w:p>
      <w:pPr>
        <w:ind w:left="2320" w:hanging="840"/>
        <w:spacing w:after="0"/>
        <w:tabs>
          <w:tab w:leader="none" w:pos="2320" w:val="left"/>
        </w:tabs>
        <w:numPr>
          <w:ilvl w:val="1"/>
          <w:numId w:val="33"/>
        </w:numPr>
        <w:rPr>
          <w:rFonts w:ascii="MS PGothic" w:cs="MS PGothic" w:eastAsia="MS PGothic" w:hAnsi="MS PGothic"/>
          <w:sz w:val="22"/>
          <w:szCs w:val="22"/>
          <w:color w:val="auto"/>
        </w:rPr>
      </w:pPr>
      <w:r>
        <w:rPr>
          <w:rFonts w:ascii="Arial" w:cs="Arial" w:eastAsia="Arial" w:hAnsi="Arial"/>
          <w:sz w:val="22"/>
          <w:szCs w:val="22"/>
          <w:color w:val="auto"/>
        </w:rPr>
        <w:t>For purchases of natural gas inventory</w:t>
      </w:r>
    </w:p>
    <w:p>
      <w:pPr>
        <w:spacing w:after="0" w:line="213" w:lineRule="exact"/>
        <w:rPr>
          <w:rFonts w:ascii="MS PGothic" w:cs="MS PGothic" w:eastAsia="MS PGothic" w:hAnsi="MS PGothic"/>
          <w:sz w:val="22"/>
          <w:szCs w:val="22"/>
          <w:color w:val="auto"/>
        </w:rPr>
      </w:pPr>
    </w:p>
    <w:p>
      <w:pPr>
        <w:ind w:left="2300" w:hanging="820"/>
        <w:spacing w:after="0"/>
        <w:tabs>
          <w:tab w:leader="none" w:pos="2300" w:val="left"/>
        </w:tabs>
        <w:numPr>
          <w:ilvl w:val="1"/>
          <w:numId w:val="33"/>
        </w:numPr>
        <w:rPr>
          <w:rFonts w:ascii="MS PGothic" w:cs="MS PGothic" w:eastAsia="MS PGothic" w:hAnsi="MS PGothic"/>
          <w:sz w:val="18"/>
          <w:szCs w:val="18"/>
          <w:color w:val="auto"/>
        </w:rPr>
      </w:pPr>
      <w:r>
        <w:rPr>
          <w:rFonts w:ascii="Arial" w:cs="Arial" w:eastAsia="Arial" w:hAnsi="Arial"/>
          <w:sz w:val="18"/>
          <w:szCs w:val="18"/>
          <w:color w:val="auto"/>
        </w:rPr>
        <w:t>For other working capital needs and general corporate purposes</w:t>
      </w:r>
    </w:p>
    <w:p>
      <w:pPr>
        <w:spacing w:after="0" w:line="218" w:lineRule="exact"/>
        <w:rPr>
          <w:sz w:val="20"/>
          <w:szCs w:val="20"/>
          <w:color w:val="auto"/>
        </w:rPr>
      </w:pPr>
    </w:p>
    <w:p>
      <w:pPr>
        <w:ind w:left="180" w:right="639" w:firstLine="648"/>
        <w:spacing w:after="0"/>
        <w:rPr>
          <w:sz w:val="20"/>
          <w:szCs w:val="20"/>
          <w:color w:val="auto"/>
        </w:rPr>
      </w:pPr>
      <w:r>
        <w:rPr>
          <w:rFonts w:ascii="Arial" w:cs="Arial" w:eastAsia="Arial" w:hAnsi="Arial"/>
          <w:sz w:val="22"/>
          <w:szCs w:val="22"/>
          <w:color w:val="auto"/>
        </w:rPr>
        <w:t>The Borrower hereby represents and warrants as of the date of the making of such Revolving Loan, that the conditions set forth in Section 5.2 of the Credit Agreement have been satisfied or waived.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80" w:type="dxa"/>
        <w:tblCellMar>
          <w:top w:w="0" w:type="dxa"/>
          <w:left w:w="0" w:type="dxa"/>
          <w:bottom w:w="0" w:type="dxa"/>
          <w:right w:w="0" w:type="dxa"/>
        </w:tblCellMar>
      </w:tblPr>
      <w:tr>
        <w:trPr>
          <w:trHeight w:val="250"/>
        </w:trPr>
        <w:tc>
          <w:tcPr>
            <w:tcW w:w="2900" w:type="dxa"/>
            <w:vAlign w:val="bottom"/>
          </w:tcPr>
          <w:p>
            <w:pPr>
              <w:spacing w:after="0"/>
              <w:rPr>
                <w:sz w:val="20"/>
                <w:szCs w:val="20"/>
                <w:color w:val="auto"/>
              </w:rPr>
            </w:pPr>
            <w:r>
              <w:rPr>
                <w:rFonts w:ascii="Arial" w:cs="Arial" w:eastAsia="Arial" w:hAnsi="Arial"/>
                <w:sz w:val="14"/>
                <w:szCs w:val="14"/>
                <w:color w:val="auto"/>
              </w:rPr>
              <w:t>DMFIRM #403601135 v6</w:t>
            </w:r>
          </w:p>
        </w:tc>
        <w:tc>
          <w:tcPr>
            <w:tcW w:w="5780" w:type="dxa"/>
            <w:vAlign w:val="bottom"/>
          </w:tcPr>
          <w:p>
            <w:pPr>
              <w:ind w:left="1300"/>
              <w:spacing w:after="0"/>
              <w:rPr>
                <w:sz w:val="20"/>
                <w:szCs w:val="20"/>
                <w:color w:val="auto"/>
              </w:rPr>
            </w:pPr>
            <w:r>
              <w:rPr>
                <w:rFonts w:ascii="Arial" w:cs="Arial" w:eastAsia="Arial" w:hAnsi="Arial"/>
                <w:sz w:val="18"/>
                <w:szCs w:val="18"/>
                <w:color w:val="auto"/>
              </w:rPr>
              <w:t>F</w:t>
            </w:r>
            <w:r>
              <w:rPr>
                <w:rFonts w:ascii="Arial" w:cs="Arial" w:eastAsia="Arial" w:hAnsi="Arial"/>
                <w:sz w:val="19"/>
                <w:szCs w:val="19"/>
                <w:color w:val="auto"/>
              </w:rPr>
              <w:t>-2</w:t>
            </w:r>
          </w:p>
        </w:tc>
      </w:tr>
      <w:tr>
        <w:trPr>
          <w:trHeight w:val="360"/>
        </w:trPr>
        <w:tc>
          <w:tcPr>
            <w:tcW w:w="290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r>
      <w:tr>
        <w:trPr>
          <w:trHeight w:val="20"/>
        </w:trPr>
        <w:tc>
          <w:tcPr>
            <w:tcW w:w="2900" w:type="dxa"/>
            <w:vAlign w:val="bottom"/>
            <w:tcBorders>
              <w:bottom w:val="single" w:sz="8" w:color="EEEEEE"/>
            </w:tcBorders>
          </w:tcPr>
          <w:p>
            <w:pPr>
              <w:spacing w:after="0" w:line="20" w:lineRule="exact"/>
              <w:rPr>
                <w:sz w:val="1"/>
                <w:szCs w:val="1"/>
                <w:color w:val="auto"/>
              </w:rPr>
            </w:pPr>
          </w:p>
        </w:tc>
        <w:tc>
          <w:tcPr>
            <w:tcW w:w="5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69" w:name="page70"/>
    <w:bookmarkEnd w:id="69"/>
    <w:p>
      <w:pPr>
        <w:ind w:left="180" w:right="899" w:firstLine="648"/>
        <w:spacing w:after="0" w:line="250" w:lineRule="auto"/>
        <w:rPr>
          <w:sz w:val="20"/>
          <w:szCs w:val="20"/>
          <w:color w:val="auto"/>
        </w:rPr>
      </w:pPr>
      <w:r>
        <w:rPr>
          <w:rFonts w:ascii="Arial" w:cs="Arial" w:eastAsia="Arial" w:hAnsi="Arial"/>
          <w:sz w:val="22"/>
          <w:szCs w:val="22"/>
          <w:color w:val="auto"/>
        </w:rPr>
        <w:t>IN WITNESS WHEREOF, the Borrower has executed and delivered this Borrowing Request as of the date first written above.</w:t>
      </w:r>
    </w:p>
    <w:p>
      <w:pPr>
        <w:spacing w:after="0" w:line="175"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Very truly yours,</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PNG COMPANIES LLC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By:____________________________</w:t>
      </w:r>
    </w:p>
    <w:p>
      <w:pPr>
        <w:ind w:left="4720"/>
        <w:spacing w:after="0" w:line="238" w:lineRule="auto"/>
        <w:rPr>
          <w:sz w:val="20"/>
          <w:szCs w:val="20"/>
          <w:color w:val="auto"/>
        </w:rPr>
      </w:pPr>
      <w:r>
        <w:rPr>
          <w:rFonts w:ascii="Arial" w:cs="Arial" w:eastAsia="Arial" w:hAnsi="Arial"/>
          <w:sz w:val="22"/>
          <w:szCs w:val="22"/>
          <w:color w:val="auto"/>
        </w:rPr>
        <w:t>Name:</w:t>
      </w:r>
    </w:p>
    <w:p>
      <w:pPr>
        <w:ind w:left="47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80" w:type="dxa"/>
        <w:tblCellMar>
          <w:top w:w="0" w:type="dxa"/>
          <w:left w:w="0" w:type="dxa"/>
          <w:bottom w:w="0" w:type="dxa"/>
          <w:right w:w="0" w:type="dxa"/>
        </w:tblCellMar>
      </w:tblPr>
      <w:tr>
        <w:trPr>
          <w:trHeight w:val="217"/>
        </w:trPr>
        <w:tc>
          <w:tcPr>
            <w:tcW w:w="2900" w:type="dxa"/>
            <w:vAlign w:val="bottom"/>
          </w:tcPr>
          <w:p>
            <w:pPr>
              <w:spacing w:after="0"/>
              <w:rPr>
                <w:sz w:val="20"/>
                <w:szCs w:val="20"/>
                <w:color w:val="auto"/>
              </w:rPr>
            </w:pPr>
            <w:r>
              <w:rPr>
                <w:rFonts w:ascii="Arial" w:cs="Arial" w:eastAsia="Arial" w:hAnsi="Arial"/>
                <w:sz w:val="14"/>
                <w:szCs w:val="14"/>
                <w:color w:val="auto"/>
              </w:rPr>
              <w:t>DMFIRM #403601135 v6</w:t>
            </w:r>
          </w:p>
        </w:tc>
        <w:tc>
          <w:tcPr>
            <w:tcW w:w="5780" w:type="dxa"/>
            <w:vAlign w:val="bottom"/>
          </w:tcPr>
          <w:p>
            <w:pPr>
              <w:ind w:left="1300"/>
              <w:spacing w:after="0"/>
              <w:rPr>
                <w:sz w:val="20"/>
                <w:szCs w:val="20"/>
                <w:color w:val="auto"/>
              </w:rPr>
            </w:pPr>
            <w:r>
              <w:rPr>
                <w:rFonts w:ascii="Arial" w:cs="Arial" w:eastAsia="Arial" w:hAnsi="Arial"/>
                <w:sz w:val="18"/>
                <w:szCs w:val="18"/>
                <w:color w:val="auto"/>
              </w:rPr>
              <w:t>F-3</w:t>
            </w:r>
          </w:p>
        </w:tc>
      </w:tr>
      <w:tr>
        <w:trPr>
          <w:trHeight w:val="378"/>
        </w:trPr>
        <w:tc>
          <w:tcPr>
            <w:tcW w:w="290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r>
      <w:tr>
        <w:trPr>
          <w:trHeight w:val="20"/>
        </w:trPr>
        <w:tc>
          <w:tcPr>
            <w:tcW w:w="2900" w:type="dxa"/>
            <w:vAlign w:val="bottom"/>
            <w:tcBorders>
              <w:bottom w:val="single" w:sz="8" w:color="EEEEEE"/>
            </w:tcBorders>
          </w:tcPr>
          <w:p>
            <w:pPr>
              <w:spacing w:after="0" w:line="20" w:lineRule="exact"/>
              <w:rPr>
                <w:sz w:val="1"/>
                <w:szCs w:val="1"/>
                <w:color w:val="auto"/>
              </w:rPr>
            </w:pPr>
          </w:p>
        </w:tc>
        <w:tc>
          <w:tcPr>
            <w:tcW w:w="5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22"/>
          <w:szCs w:val="22"/>
          <w:b w:val="1"/>
          <w:bCs w:val="1"/>
          <w:u w:val="single" w:color="auto"/>
          <w:color w:val="auto"/>
        </w:rPr>
        <w:t>EXHIBIT C TO SECOND AMENDMENT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FORM OF CONVERSION/CONTINUATION NOTICE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#403601135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14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71" w:name="page72"/>
    <w:bookmarkEnd w:id="71"/>
    <w:p>
      <w:pPr>
        <w:jc w:val="right"/>
        <w:ind w:right="199"/>
        <w:spacing w:after="0"/>
        <w:rPr>
          <w:sz w:val="20"/>
          <w:szCs w:val="20"/>
          <w:color w:val="auto"/>
        </w:rPr>
      </w:pPr>
      <w:r>
        <w:rPr>
          <w:rFonts w:ascii="Arial" w:cs="Arial" w:eastAsia="Arial" w:hAnsi="Arial"/>
          <w:sz w:val="22"/>
          <w:szCs w:val="22"/>
          <w:color w:val="auto"/>
        </w:rPr>
        <w:t>EXHIBIT H</w:t>
      </w:r>
    </w:p>
    <w:p>
      <w:pPr>
        <w:spacing w:after="0" w:line="206"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FORM OF CONVERSION/CONTINUATION NOTICE</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PNC Bank, National Association,</w:t>
      </w:r>
    </w:p>
    <w:p>
      <w:pPr>
        <w:ind w:left="180"/>
        <w:spacing w:after="0" w:line="238" w:lineRule="auto"/>
        <w:rPr>
          <w:sz w:val="20"/>
          <w:szCs w:val="20"/>
          <w:color w:val="auto"/>
        </w:rPr>
      </w:pPr>
      <w:r>
        <w:rPr>
          <w:rFonts w:ascii="Arial" w:cs="Arial" w:eastAsia="Arial" w:hAnsi="Arial"/>
          <w:sz w:val="22"/>
          <w:szCs w:val="22"/>
          <w:color w:val="auto"/>
        </w:rPr>
        <w:t>as Administrative Agent</w:t>
      </w:r>
    </w:p>
    <w:p>
      <w:pPr>
        <w:ind w:left="180"/>
        <w:spacing w:after="0" w:line="230" w:lineRule="auto"/>
        <w:rPr>
          <w:sz w:val="20"/>
          <w:szCs w:val="20"/>
          <w:color w:val="auto"/>
        </w:rPr>
      </w:pPr>
      <w:r>
        <w:rPr>
          <w:rFonts w:ascii="Arial" w:cs="Arial" w:eastAsia="Arial" w:hAnsi="Arial"/>
          <w:sz w:val="22"/>
          <w:szCs w:val="22"/>
          <w:color w:val="auto"/>
        </w:rPr>
        <w:t>under the Credit Agreement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referred to below</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Agency Services</w:t>
      </w:r>
    </w:p>
    <w:p>
      <w:pPr>
        <w:ind w:left="180"/>
        <w:spacing w:after="0" w:line="238" w:lineRule="auto"/>
        <w:rPr>
          <w:sz w:val="20"/>
          <w:szCs w:val="20"/>
          <w:color w:val="auto"/>
        </w:rPr>
      </w:pPr>
      <w:r>
        <w:rPr>
          <w:rFonts w:ascii="Arial" w:cs="Arial" w:eastAsia="Arial" w:hAnsi="Arial"/>
          <w:sz w:val="22"/>
          <w:szCs w:val="22"/>
          <w:color w:val="auto"/>
        </w:rPr>
        <w:t>PNC Bank, National Association</w:t>
      </w:r>
    </w:p>
    <w:p>
      <w:pPr>
        <w:ind w:left="180"/>
        <w:spacing w:after="0" w:line="230" w:lineRule="auto"/>
        <w:rPr>
          <w:sz w:val="20"/>
          <w:szCs w:val="20"/>
          <w:color w:val="auto"/>
        </w:rPr>
      </w:pPr>
      <w:r>
        <w:rPr>
          <w:rFonts w:ascii="Arial" w:cs="Arial" w:eastAsia="Arial" w:hAnsi="Arial"/>
          <w:sz w:val="22"/>
          <w:szCs w:val="22"/>
          <w:color w:val="auto"/>
        </w:rPr>
        <w:t>Mail Stop: P7-PFSC-05-W</w:t>
      </w:r>
    </w:p>
    <w:p>
      <w:pPr>
        <w:ind w:left="180"/>
        <w:spacing w:after="0" w:line="231" w:lineRule="auto"/>
        <w:rPr>
          <w:sz w:val="20"/>
          <w:szCs w:val="20"/>
          <w:color w:val="auto"/>
        </w:rPr>
      </w:pPr>
      <w:r>
        <w:rPr>
          <w:rFonts w:ascii="Arial" w:cs="Arial" w:eastAsia="Arial" w:hAnsi="Arial"/>
          <w:sz w:val="22"/>
          <w:szCs w:val="22"/>
          <w:color w:val="auto"/>
        </w:rPr>
        <w:t>500 First Avenue</w:t>
      </w:r>
    </w:p>
    <w:p>
      <w:pPr>
        <w:ind w:left="180"/>
        <w:spacing w:after="0" w:line="230" w:lineRule="auto"/>
        <w:rPr>
          <w:sz w:val="20"/>
          <w:szCs w:val="20"/>
          <w:color w:val="auto"/>
        </w:rPr>
      </w:pPr>
      <w:r>
        <w:rPr>
          <w:rFonts w:ascii="Arial" w:cs="Arial" w:eastAsia="Arial" w:hAnsi="Arial"/>
          <w:sz w:val="22"/>
          <w:szCs w:val="22"/>
          <w:color w:val="auto"/>
        </w:rPr>
        <w:t>Pittsburgh, PA 15219</w:t>
      </w:r>
    </w:p>
    <w:p>
      <w:pPr>
        <w:ind w:left="180"/>
        <w:spacing w:after="0" w:line="231" w:lineRule="auto"/>
        <w:rPr>
          <w:sz w:val="20"/>
          <w:szCs w:val="20"/>
          <w:color w:val="auto"/>
        </w:rPr>
      </w:pPr>
      <w:r>
        <w:rPr>
          <w:rFonts w:ascii="Arial" w:cs="Arial" w:eastAsia="Arial" w:hAnsi="Arial"/>
          <w:sz w:val="22"/>
          <w:szCs w:val="22"/>
          <w:color w:val="auto"/>
        </w:rPr>
        <w:t>Attention: Agency Services</w:t>
      </w:r>
    </w:p>
    <w:p>
      <w:pPr>
        <w:ind w:left="180"/>
        <w:spacing w:after="0" w:line="230" w:lineRule="auto"/>
        <w:rPr>
          <w:sz w:val="20"/>
          <w:szCs w:val="20"/>
          <w:color w:val="auto"/>
        </w:rPr>
      </w:pPr>
      <w:r>
        <w:rPr>
          <w:rFonts w:ascii="Arial" w:cs="Arial" w:eastAsia="Arial" w:hAnsi="Arial"/>
          <w:sz w:val="22"/>
          <w:szCs w:val="22"/>
          <w:color w:val="auto"/>
        </w:rPr>
        <w:t>Telecopy: (412) 768-0423</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Telephone: (412) 715-2006</w:t>
      </w:r>
    </w:p>
    <w:p>
      <w:pPr>
        <w:spacing w:after="0" w:line="188" w:lineRule="exact"/>
        <w:rPr>
          <w:sz w:val="20"/>
          <w:szCs w:val="20"/>
          <w:color w:val="auto"/>
        </w:rPr>
      </w:pPr>
    </w:p>
    <w:p>
      <w:pPr>
        <w:ind w:left="8080"/>
        <w:spacing w:after="0"/>
        <w:rPr>
          <w:sz w:val="20"/>
          <w:szCs w:val="20"/>
          <w:color w:val="auto"/>
        </w:rPr>
      </w:pPr>
      <w:r>
        <w:rPr>
          <w:rFonts w:ascii="Arial" w:cs="Arial" w:eastAsia="Arial" w:hAnsi="Arial"/>
          <w:sz w:val="21"/>
          <w:szCs w:val="21"/>
          <w:color w:val="auto"/>
        </w:rPr>
        <w:t>Date: [•]</w:t>
      </w:r>
    </w:p>
    <w:p>
      <w:pPr>
        <w:spacing w:after="0" w:line="218" w:lineRule="exact"/>
        <w:rPr>
          <w:sz w:val="20"/>
          <w:szCs w:val="20"/>
          <w:color w:val="auto"/>
        </w:rPr>
      </w:pPr>
    </w:p>
    <w:p>
      <w:pPr>
        <w:jc w:val="both"/>
        <w:ind w:left="180" w:right="199" w:firstLine="1296"/>
        <w:spacing w:after="0" w:line="246" w:lineRule="auto"/>
        <w:rPr>
          <w:sz w:val="20"/>
          <w:szCs w:val="20"/>
          <w:color w:val="auto"/>
        </w:rPr>
      </w:pPr>
      <w:r>
        <w:rPr>
          <w:rFonts w:ascii="Arial" w:cs="Arial" w:eastAsia="Arial" w:hAnsi="Arial"/>
          <w:sz w:val="21"/>
          <w:szCs w:val="21"/>
          <w:color w:val="auto"/>
        </w:rPr>
        <w:t>The undersigned, PNG Companies LLC (the “</w:t>
      </w:r>
      <w:r>
        <w:rPr>
          <w:rFonts w:ascii="Arial" w:cs="Arial" w:eastAsia="Arial" w:hAnsi="Arial"/>
          <w:sz w:val="21"/>
          <w:szCs w:val="21"/>
          <w:u w:val="single" w:color="auto"/>
          <w:color w:val="auto"/>
        </w:rPr>
        <w:t>Borrower</w:t>
      </w:r>
      <w:r>
        <w:rPr>
          <w:rFonts w:ascii="Arial" w:cs="Arial" w:eastAsia="Arial" w:hAnsi="Arial"/>
          <w:sz w:val="21"/>
          <w:szCs w:val="21"/>
          <w:color w:val="auto"/>
        </w:rPr>
        <w:t>”) refers to the Credit Agreement, dated as of November 25, 2020 (as amended, restated, amended and restated, supplemented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among the Borrower, the Lenders party thereto, and PNC Bank, National Association, as administrative agent for the Lenders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Unless otherwise defined herein, terms defined in the Credit Agreement and used herein shall have the meanings given to them in the Credit Agreement.</w:t>
      </w:r>
    </w:p>
    <w:p>
      <w:pPr>
        <w:spacing w:after="0" w:line="18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The undersigned hereby requests (select one):</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a conversion of a BSBY Rate Loan to an ABR Loan,</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a conversion of an ABR Loan to a BSBY Rate Loan, or</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a continuation of a BSBY Rate Loan</w:t>
      </w:r>
    </w:p>
    <w:p>
      <w:pPr>
        <w:spacing w:after="0" w:line="213" w:lineRule="exact"/>
        <w:rPr>
          <w:sz w:val="20"/>
          <w:szCs w:val="20"/>
          <w:color w:val="auto"/>
        </w:rPr>
      </w:pPr>
    </w:p>
    <w:p>
      <w:pPr>
        <w:ind w:left="2260" w:hanging="780"/>
        <w:spacing w:after="0"/>
        <w:tabs>
          <w:tab w:leader="none" w:pos="2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____________________ (a Business Day),</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95"/>
        </w:trPr>
        <w:tc>
          <w:tcPr>
            <w:tcW w:w="2900" w:type="dxa"/>
            <w:vAlign w:val="bottom"/>
          </w:tcPr>
          <w:p>
            <w:pPr>
              <w:spacing w:after="0"/>
              <w:rPr>
                <w:sz w:val="20"/>
                <w:szCs w:val="20"/>
                <w:color w:val="auto"/>
              </w:rPr>
            </w:pPr>
            <w:r>
              <w:rPr>
                <w:rFonts w:ascii="Arial" w:cs="Arial" w:eastAsia="Arial" w:hAnsi="Arial"/>
                <w:sz w:val="14"/>
                <w:szCs w:val="14"/>
                <w:color w:val="auto"/>
              </w:rPr>
              <w:t>DMFIRM #403601135 v6</w:t>
            </w:r>
          </w:p>
        </w:tc>
        <w:tc>
          <w:tcPr>
            <w:tcW w:w="5780" w:type="dxa"/>
            <w:vAlign w:val="bottom"/>
          </w:tcPr>
          <w:p>
            <w:pPr>
              <w:ind w:left="1300"/>
              <w:spacing w:after="0"/>
              <w:rPr>
                <w:sz w:val="20"/>
                <w:szCs w:val="20"/>
                <w:color w:val="auto"/>
              </w:rPr>
            </w:pPr>
            <w:r>
              <w:rPr>
                <w:rFonts w:ascii="Arial" w:cs="Arial" w:eastAsia="Arial" w:hAnsi="Arial"/>
                <w:sz w:val="16"/>
                <w:szCs w:val="16"/>
                <w:color w:val="auto"/>
              </w:rPr>
              <w:t>H-1</w:t>
            </w:r>
          </w:p>
        </w:tc>
      </w:tr>
      <w:tr>
        <w:trPr>
          <w:trHeight w:val="398"/>
        </w:trPr>
        <w:tc>
          <w:tcPr>
            <w:tcW w:w="290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r>
      <w:tr>
        <w:trPr>
          <w:trHeight w:val="20"/>
        </w:trPr>
        <w:tc>
          <w:tcPr>
            <w:tcW w:w="2900" w:type="dxa"/>
            <w:vAlign w:val="bottom"/>
            <w:tcBorders>
              <w:bottom w:val="single" w:sz="8" w:color="EEEEEE"/>
            </w:tcBorders>
          </w:tcPr>
          <w:p>
            <w:pPr>
              <w:spacing w:after="0" w:line="20" w:lineRule="exact"/>
              <w:rPr>
                <w:sz w:val="1"/>
                <w:szCs w:val="1"/>
                <w:color w:val="auto"/>
              </w:rPr>
            </w:pPr>
          </w:p>
        </w:tc>
        <w:tc>
          <w:tcPr>
            <w:tcW w:w="5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sectPr>
      </w:pPr>
    </w:p>
    <w:bookmarkStart w:id="72" w:name="page73"/>
    <w:bookmarkEnd w:id="72"/>
    <w:p>
      <w:pPr>
        <w:ind w:left="180" w:right="199" w:firstLine="1300"/>
        <w:spacing w:after="0" w:line="277" w:lineRule="auto"/>
        <w:tabs>
          <w:tab w:leader="none" w:pos="2259"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[and in the amount of $____________ to be converted into an ABR Loan.] [in the amount of $____________ to be converted into or continued as a BSBY Rate Loan, and]</w:t>
      </w:r>
    </w:p>
    <w:p>
      <w:pPr>
        <w:spacing w:after="0" w:line="170" w:lineRule="exact"/>
        <w:rPr>
          <w:rFonts w:ascii="Arial" w:cs="Arial" w:eastAsia="Arial" w:hAnsi="Arial"/>
          <w:sz w:val="18"/>
          <w:szCs w:val="18"/>
          <w:color w:val="auto"/>
        </w:rPr>
      </w:pPr>
    </w:p>
    <w:p>
      <w:pPr>
        <w:ind w:left="2260" w:hanging="780"/>
        <w:spacing w:after="0"/>
        <w:tabs>
          <w:tab w:leader="none" w:pos="2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an Interest Period of _____________ months.]</w:t>
      </w:r>
    </w:p>
    <w:p>
      <w:pPr>
        <w:spacing w:after="0" w:line="217" w:lineRule="exact"/>
        <w:rPr>
          <w:rFonts w:ascii="Arial" w:cs="Arial" w:eastAsia="Arial" w:hAnsi="Arial"/>
          <w:sz w:val="18"/>
          <w:szCs w:val="18"/>
          <w:color w:val="auto"/>
        </w:rPr>
      </w:pPr>
    </w:p>
    <w:p>
      <w:pPr>
        <w:ind w:left="2300" w:hanging="820"/>
        <w:spacing w:after="0"/>
        <w:tabs>
          <w:tab w:leader="none" w:pos="23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original proceeds of the Revolving Loan that are being continued or</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converted hereby were used for:</w:t>
      </w:r>
    </w:p>
    <w:p>
      <w:pPr>
        <w:spacing w:after="0" w:line="188"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The purchase natural gas inventory</w:t>
      </w:r>
    </w:p>
    <w:p>
      <w:pPr>
        <w:spacing w:after="0" w:line="21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Other working capital needs and general corporate purposes.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180" w:type="dxa"/>
        <w:tblCellMar>
          <w:top w:w="0" w:type="dxa"/>
          <w:left w:w="0" w:type="dxa"/>
          <w:bottom w:w="0" w:type="dxa"/>
          <w:right w:w="0" w:type="dxa"/>
        </w:tblCellMar>
      </w:tblPr>
      <w:tr>
        <w:trPr>
          <w:trHeight w:val="206"/>
        </w:trPr>
        <w:tc>
          <w:tcPr>
            <w:tcW w:w="2900" w:type="dxa"/>
            <w:vAlign w:val="bottom"/>
          </w:tcPr>
          <w:p>
            <w:pPr>
              <w:spacing w:after="0"/>
              <w:rPr>
                <w:sz w:val="20"/>
                <w:szCs w:val="20"/>
                <w:color w:val="auto"/>
              </w:rPr>
            </w:pPr>
            <w:r>
              <w:rPr>
                <w:rFonts w:ascii="Arial" w:cs="Arial" w:eastAsia="Arial" w:hAnsi="Arial"/>
                <w:sz w:val="14"/>
                <w:szCs w:val="14"/>
                <w:color w:val="auto"/>
              </w:rPr>
              <w:t>DMFIRM #403601135 v6</w:t>
            </w:r>
          </w:p>
        </w:tc>
        <w:tc>
          <w:tcPr>
            <w:tcW w:w="5780" w:type="dxa"/>
            <w:vAlign w:val="bottom"/>
          </w:tcPr>
          <w:p>
            <w:pPr>
              <w:ind w:left="1300"/>
              <w:spacing w:after="0"/>
              <w:rPr>
                <w:sz w:val="20"/>
                <w:szCs w:val="20"/>
                <w:color w:val="auto"/>
              </w:rPr>
            </w:pPr>
            <w:r>
              <w:rPr>
                <w:rFonts w:ascii="Arial" w:cs="Arial" w:eastAsia="Arial" w:hAnsi="Arial"/>
                <w:sz w:val="16"/>
                <w:szCs w:val="16"/>
                <w:color w:val="auto"/>
              </w:rPr>
              <w:t>H-2</w:t>
            </w:r>
          </w:p>
        </w:tc>
      </w:tr>
      <w:tr>
        <w:trPr>
          <w:trHeight w:val="398"/>
        </w:trPr>
        <w:tc>
          <w:tcPr>
            <w:tcW w:w="290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r>
      <w:tr>
        <w:trPr>
          <w:trHeight w:val="20"/>
        </w:trPr>
        <w:tc>
          <w:tcPr>
            <w:tcW w:w="2900" w:type="dxa"/>
            <w:vAlign w:val="bottom"/>
            <w:tcBorders>
              <w:bottom w:val="single" w:sz="8" w:color="EEEEEE"/>
            </w:tcBorders>
          </w:tcPr>
          <w:p>
            <w:pPr>
              <w:spacing w:after="0" w:line="20" w:lineRule="exact"/>
              <w:rPr>
                <w:sz w:val="1"/>
                <w:szCs w:val="1"/>
                <w:color w:val="auto"/>
              </w:rPr>
            </w:pPr>
          </w:p>
        </w:tc>
        <w:tc>
          <w:tcPr>
            <w:tcW w:w="5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73" w:name="page74"/>
    <w:bookmarkEnd w:id="73"/>
    <w:p>
      <w:pPr>
        <w:ind w:left="180" w:right="199" w:firstLine="1296"/>
        <w:spacing w:after="0" w:line="250" w:lineRule="auto"/>
        <w:rPr>
          <w:sz w:val="20"/>
          <w:szCs w:val="20"/>
          <w:color w:val="auto"/>
        </w:rPr>
      </w:pPr>
      <w:r>
        <w:rPr>
          <w:rFonts w:ascii="Arial" w:cs="Arial" w:eastAsia="Arial" w:hAnsi="Arial"/>
          <w:sz w:val="22"/>
          <w:szCs w:val="22"/>
          <w:color w:val="auto"/>
        </w:rPr>
        <w:t>IN WITNESS WHEREOF, the Borrower has executed and delivered this Conversion/Continuation Notice as of the date first written above.</w:t>
      </w:r>
    </w:p>
    <w:p>
      <w:pPr>
        <w:spacing w:after="0" w:line="283"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PNG COMPANIES LLC</w:t>
      </w:r>
    </w:p>
    <w:p>
      <w:pPr>
        <w:spacing w:after="0" w:line="200" w:lineRule="exact"/>
        <w:rPr>
          <w:sz w:val="20"/>
          <w:szCs w:val="20"/>
          <w:color w:val="auto"/>
        </w:rPr>
      </w:pPr>
    </w:p>
    <w:p>
      <w:pPr>
        <w:spacing w:after="0" w:line="276"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By:</w:t>
      </w:r>
    </w:p>
    <w:p>
      <w:pPr>
        <w:ind w:left="4420"/>
        <w:spacing w:after="0" w:line="238" w:lineRule="auto"/>
        <w:rPr>
          <w:sz w:val="20"/>
          <w:szCs w:val="20"/>
          <w:color w:val="auto"/>
        </w:rPr>
      </w:pPr>
      <w:r>
        <w:rPr>
          <w:rFonts w:ascii="Arial" w:cs="Arial" w:eastAsia="Arial" w:hAnsi="Arial"/>
          <w:sz w:val="22"/>
          <w:szCs w:val="22"/>
          <w:color w:val="auto"/>
        </w:rPr>
        <w:t>Name:</w:t>
      </w:r>
    </w:p>
    <w:p>
      <w:pPr>
        <w:jc w:val="center"/>
        <w:ind w:right="-2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180" w:type="dxa"/>
        <w:tblCellMar>
          <w:top w:w="0" w:type="dxa"/>
          <w:left w:w="0" w:type="dxa"/>
          <w:bottom w:w="0" w:type="dxa"/>
          <w:right w:w="0" w:type="dxa"/>
        </w:tblCellMar>
      </w:tblPr>
      <w:tr>
        <w:trPr>
          <w:trHeight w:val="206"/>
        </w:trPr>
        <w:tc>
          <w:tcPr>
            <w:tcW w:w="2900" w:type="dxa"/>
            <w:vAlign w:val="bottom"/>
          </w:tcPr>
          <w:p>
            <w:pPr>
              <w:spacing w:after="0"/>
              <w:rPr>
                <w:sz w:val="20"/>
                <w:szCs w:val="20"/>
                <w:color w:val="auto"/>
              </w:rPr>
            </w:pPr>
            <w:r>
              <w:rPr>
                <w:rFonts w:ascii="Arial" w:cs="Arial" w:eastAsia="Arial" w:hAnsi="Arial"/>
                <w:sz w:val="14"/>
                <w:szCs w:val="14"/>
                <w:color w:val="auto"/>
              </w:rPr>
              <w:t>DMFIRM #403601135 v6</w:t>
            </w:r>
          </w:p>
        </w:tc>
        <w:tc>
          <w:tcPr>
            <w:tcW w:w="5780" w:type="dxa"/>
            <w:vAlign w:val="bottom"/>
          </w:tcPr>
          <w:p>
            <w:pPr>
              <w:ind w:left="1300"/>
              <w:spacing w:after="0"/>
              <w:rPr>
                <w:sz w:val="20"/>
                <w:szCs w:val="20"/>
                <w:color w:val="auto"/>
              </w:rPr>
            </w:pPr>
            <w:r>
              <w:rPr>
                <w:rFonts w:ascii="Arial" w:cs="Arial" w:eastAsia="Arial" w:hAnsi="Arial"/>
                <w:sz w:val="16"/>
                <w:szCs w:val="16"/>
                <w:color w:val="auto"/>
              </w:rPr>
              <w:t>H-3</w:t>
            </w:r>
          </w:p>
        </w:tc>
      </w:tr>
      <w:tr>
        <w:trPr>
          <w:trHeight w:val="397"/>
        </w:trPr>
        <w:tc>
          <w:tcPr>
            <w:tcW w:w="290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r>
      <w:tr>
        <w:trPr>
          <w:trHeight w:val="20"/>
        </w:trPr>
        <w:tc>
          <w:tcPr>
            <w:tcW w:w="2900" w:type="dxa"/>
            <w:vAlign w:val="bottom"/>
            <w:tcBorders>
              <w:bottom w:val="single" w:sz="8" w:color="EEEEEE"/>
            </w:tcBorders>
          </w:tcPr>
          <w:p>
            <w:pPr>
              <w:spacing w:after="0" w:line="20" w:lineRule="exact"/>
              <w:rPr>
                <w:sz w:val="1"/>
                <w:szCs w:val="1"/>
                <w:color w:val="auto"/>
              </w:rPr>
            </w:pPr>
          </w:p>
        </w:tc>
        <w:tc>
          <w:tcPr>
            <w:tcW w:w="5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74" w:name="page75"/>
    <w:bookmarkEnd w:id="74"/>
    <w:p>
      <w:pPr>
        <w:jc w:val="right"/>
        <w:ind w:right="199"/>
        <w:spacing w:after="0"/>
        <w:rPr>
          <w:sz w:val="20"/>
          <w:szCs w:val="20"/>
          <w:color w:val="auto"/>
        </w:rPr>
      </w:pPr>
      <w:r>
        <w:rPr>
          <w:rFonts w:ascii="Arial" w:cs="Arial" w:eastAsia="Arial" w:hAnsi="Arial"/>
          <w:sz w:val="22"/>
          <w:szCs w:val="22"/>
          <w:color w:val="auto"/>
        </w:rPr>
        <w:t>Exhibit 10.2</w:t>
      </w:r>
    </w:p>
    <w:p>
      <w:pPr>
        <w:jc w:val="right"/>
        <w:ind w:right="199"/>
        <w:spacing w:after="0" w:line="238" w:lineRule="auto"/>
        <w:rPr>
          <w:sz w:val="20"/>
          <w:szCs w:val="20"/>
          <w:color w:val="auto"/>
        </w:rPr>
      </w:pPr>
      <w:r>
        <w:rPr>
          <w:rFonts w:ascii="Arial" w:cs="Arial" w:eastAsia="Arial" w:hAnsi="Arial"/>
          <w:sz w:val="22"/>
          <w:szCs w:val="22"/>
          <w:color w:val="auto"/>
        </w:rPr>
        <w:t>EXECUTION VERSION</w:t>
      </w:r>
    </w:p>
    <w:p>
      <w:pPr>
        <w:spacing w:after="0" w:line="1"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SIXTH AMENDMENT TO CREDIT AGREEMENT</w:t>
      </w:r>
    </w:p>
    <w:p>
      <w:pPr>
        <w:spacing w:after="0" w:line="188" w:lineRule="exact"/>
        <w:rPr>
          <w:sz w:val="20"/>
          <w:szCs w:val="20"/>
          <w:color w:val="auto"/>
        </w:rPr>
      </w:pPr>
    </w:p>
    <w:p>
      <w:pPr>
        <w:jc w:val="both"/>
        <w:ind w:left="180" w:right="199" w:firstLine="1296"/>
        <w:spacing w:after="0" w:line="282" w:lineRule="auto"/>
        <w:rPr>
          <w:sz w:val="20"/>
          <w:szCs w:val="20"/>
          <w:color w:val="auto"/>
        </w:rPr>
      </w:pPr>
      <w:r>
        <w:rPr>
          <w:rFonts w:ascii="Arial" w:cs="Arial" w:eastAsia="Arial" w:hAnsi="Arial"/>
          <w:sz w:val="19"/>
          <w:szCs w:val="19"/>
          <w:color w:val="auto"/>
        </w:rPr>
        <w:t>THIS SIXTH AMENDMENT TO CREDIT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this 30th day of June, 2022, by and among AQUA PENNSYLVANIA, INC., a Pennsylvania corporation (“</w:t>
      </w:r>
      <w:r>
        <w:rPr>
          <w:rFonts w:ascii="Arial" w:cs="Arial" w:eastAsia="Arial" w:hAnsi="Arial"/>
          <w:sz w:val="19"/>
          <w:szCs w:val="19"/>
          <w:u w:val="single" w:color="auto"/>
          <w:color w:val="auto"/>
        </w:rPr>
        <w:t>Borrower</w:t>
      </w:r>
      <w:r>
        <w:rPr>
          <w:rFonts w:ascii="Arial" w:cs="Arial" w:eastAsia="Arial" w:hAnsi="Arial"/>
          <w:sz w:val="19"/>
          <w:szCs w:val="19"/>
          <w:color w:val="auto"/>
        </w:rPr>
        <w:t>”), the several banks and financial institutions which are parties to this Agreement (each a “</w:t>
      </w:r>
      <w:r>
        <w:rPr>
          <w:rFonts w:ascii="Arial" w:cs="Arial" w:eastAsia="Arial" w:hAnsi="Arial"/>
          <w:sz w:val="19"/>
          <w:szCs w:val="19"/>
          <w:u w:val="single" w:color="auto"/>
          <w:color w:val="auto"/>
        </w:rPr>
        <w:t>Bank</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Banks</w:t>
      </w:r>
      <w:r>
        <w:rPr>
          <w:rFonts w:ascii="Arial" w:cs="Arial" w:eastAsia="Arial" w:hAnsi="Arial"/>
          <w:sz w:val="19"/>
          <w:szCs w:val="19"/>
          <w:color w:val="auto"/>
        </w:rPr>
        <w:t>”) and PNC BANK, NATIONAL ASSOCIATION in its capacity as agent for the Banks (in such capacity, the “</w:t>
      </w:r>
      <w:r>
        <w:rPr>
          <w:rFonts w:ascii="Arial" w:cs="Arial" w:eastAsia="Arial" w:hAnsi="Arial"/>
          <w:sz w:val="19"/>
          <w:szCs w:val="19"/>
          <w:u w:val="single" w:color="auto"/>
          <w:color w:val="auto"/>
        </w:rPr>
        <w:t>Agent</w:t>
      </w:r>
      <w:r>
        <w:rPr>
          <w:rFonts w:ascii="Arial" w:cs="Arial" w:eastAsia="Arial" w:hAnsi="Arial"/>
          <w:sz w:val="19"/>
          <w:szCs w:val="19"/>
          <w:color w:val="auto"/>
        </w:rPr>
        <w: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BACKGROUND</w:t>
      </w:r>
    </w:p>
    <w:p>
      <w:pPr>
        <w:spacing w:after="0" w:line="206" w:lineRule="exact"/>
        <w:rPr>
          <w:sz w:val="20"/>
          <w:szCs w:val="20"/>
          <w:color w:val="auto"/>
        </w:rPr>
      </w:pPr>
    </w:p>
    <w:p>
      <w:pPr>
        <w:jc w:val="both"/>
        <w:ind w:left="180" w:right="199" w:firstLine="652"/>
        <w:spacing w:after="0" w:line="235" w:lineRule="auto"/>
        <w:tabs>
          <w:tab w:leader="none" w:pos="1483"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Borrower, the Agent and the Banks are parties to an Amended and Restated Credit Agreement, dated as of November 17, 2016 (as heretofore amended, supplemented, modified, or restated,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pursuant to which the Banks have made available to the Borrower a revolving credit facility in an aggregate amount of $100,000,000 (the “</w:t>
      </w:r>
      <w:r>
        <w:rPr>
          <w:rFonts w:ascii="Arial" w:cs="Arial" w:eastAsia="Arial" w:hAnsi="Arial"/>
          <w:sz w:val="22"/>
          <w:szCs w:val="22"/>
          <w:u w:val="single" w:color="auto"/>
          <w:color w:val="auto"/>
        </w:rPr>
        <w:t>Facility</w:t>
      </w:r>
      <w:r>
        <w:rPr>
          <w:rFonts w:ascii="Arial" w:cs="Arial" w:eastAsia="Arial" w:hAnsi="Arial"/>
          <w:sz w:val="22"/>
          <w:szCs w:val="22"/>
          <w:color w:val="auto"/>
        </w:rPr>
        <w:t>”). The loans under the Facility are evidenced by the Borrower’s Notes to the Banks in the aggregate principal amount of $100,000,000.</w:t>
      </w:r>
    </w:p>
    <w:p>
      <w:pPr>
        <w:spacing w:after="0" w:line="187" w:lineRule="exact"/>
        <w:rPr>
          <w:rFonts w:ascii="Arial" w:cs="Arial" w:eastAsia="Arial" w:hAnsi="Arial"/>
          <w:sz w:val="22"/>
          <w:szCs w:val="22"/>
          <w:color w:val="auto"/>
        </w:rPr>
      </w:pPr>
    </w:p>
    <w:p>
      <w:pPr>
        <w:jc w:val="both"/>
        <w:ind w:left="180" w:right="199" w:firstLine="652"/>
        <w:spacing w:after="0"/>
        <w:tabs>
          <w:tab w:leader="none" w:pos="1472"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Borrower, the Agent and the Banks desire to extend the Termination Date of the Facility and modify certain other provisions of the Credit Agreement, all on the terms and subject to the conditions herein set forth.</w:t>
      </w:r>
    </w:p>
    <w:p>
      <w:pPr>
        <w:spacing w:after="0" w:line="186"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NOW THEREFORE, the parties hereto, intending to be legally bound hereby, agree</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as follows: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AGREEMENT</w:t>
      </w:r>
    </w:p>
    <w:p>
      <w:pPr>
        <w:spacing w:after="0" w:line="206" w:lineRule="exact"/>
        <w:rPr>
          <w:sz w:val="20"/>
          <w:szCs w:val="20"/>
          <w:color w:val="auto"/>
        </w:rPr>
      </w:pPr>
    </w:p>
    <w:p>
      <w:pPr>
        <w:ind w:left="180" w:right="199" w:firstLine="1300"/>
        <w:spacing w:after="0" w:line="250" w:lineRule="auto"/>
        <w:tabs>
          <w:tab w:leader="none" w:pos="2097" w:val="left"/>
        </w:tabs>
        <w:numPr>
          <w:ilvl w:val="0"/>
          <w:numId w:val="37"/>
        </w:numPr>
        <w:rPr>
          <w:rFonts w:ascii="Arial" w:cs="Arial" w:eastAsia="Arial" w:hAnsi="Arial"/>
          <w:sz w:val="22"/>
          <w:szCs w:val="22"/>
          <w:color w:val="010000"/>
        </w:rPr>
      </w:pPr>
      <w:r>
        <w:rPr>
          <w:rFonts w:ascii="Arial" w:cs="Arial" w:eastAsia="Arial" w:hAnsi="Arial"/>
          <w:sz w:val="22"/>
          <w:szCs w:val="22"/>
          <w:u w:val="single" w:color="auto"/>
          <w:color w:val="auto"/>
        </w:rPr>
        <w:t>Terms</w:t>
      </w:r>
      <w:r>
        <w:rPr>
          <w:rFonts w:ascii="Arial" w:cs="Arial" w:eastAsia="Arial" w:hAnsi="Arial"/>
          <w:sz w:val="22"/>
          <w:szCs w:val="22"/>
          <w:color w:val="auto"/>
        </w:rPr>
        <w:t>. Capitalized terms used herein and not otherwise defined herein shall have the meanings given to such terms in the Credit Agreement.</w:t>
      </w:r>
    </w:p>
    <w:p>
      <w:pPr>
        <w:spacing w:after="0" w:line="174" w:lineRule="exact"/>
        <w:rPr>
          <w:rFonts w:ascii="Arial" w:cs="Arial" w:eastAsia="Arial" w:hAnsi="Arial"/>
          <w:sz w:val="22"/>
          <w:szCs w:val="22"/>
          <w:color w:val="010000"/>
        </w:rPr>
      </w:pPr>
    </w:p>
    <w:p>
      <w:pPr>
        <w:ind w:left="180" w:right="199" w:firstLine="1300"/>
        <w:spacing w:after="0" w:line="250" w:lineRule="auto"/>
        <w:tabs>
          <w:tab w:leader="none" w:pos="2097" w:val="left"/>
        </w:tabs>
        <w:numPr>
          <w:ilvl w:val="0"/>
          <w:numId w:val="37"/>
        </w:numPr>
        <w:rPr>
          <w:rFonts w:ascii="Arial" w:cs="Arial" w:eastAsia="Arial" w:hAnsi="Arial"/>
          <w:sz w:val="22"/>
          <w:szCs w:val="22"/>
          <w:color w:val="010000"/>
        </w:rPr>
      </w:pPr>
      <w:r>
        <w:rPr>
          <w:rFonts w:ascii="Arial" w:cs="Arial" w:eastAsia="Arial" w:hAnsi="Arial"/>
          <w:sz w:val="22"/>
          <w:szCs w:val="22"/>
          <w:u w:val="single" w:color="auto"/>
          <w:color w:val="auto"/>
        </w:rPr>
        <w:t>Amendments to Credit Agreement</w:t>
      </w:r>
      <w:r>
        <w:rPr>
          <w:rFonts w:ascii="Arial" w:cs="Arial" w:eastAsia="Arial" w:hAnsi="Arial"/>
          <w:sz w:val="22"/>
          <w:szCs w:val="22"/>
          <w:color w:val="auto"/>
        </w:rPr>
        <w:t>. Effective on June 30, 2022 (the “</w:t>
      </w:r>
      <w:r>
        <w:rPr>
          <w:rFonts w:ascii="Arial" w:cs="Arial" w:eastAsia="Arial" w:hAnsi="Arial"/>
          <w:sz w:val="22"/>
          <w:szCs w:val="22"/>
          <w:u w:val="single" w:color="auto"/>
          <w:color w:val="auto"/>
        </w:rPr>
        <w:t>Effective Date</w:t>
      </w:r>
      <w:r>
        <w:rPr>
          <w:rFonts w:ascii="Arial" w:cs="Arial" w:eastAsia="Arial" w:hAnsi="Arial"/>
          <w:sz w:val="22"/>
          <w:szCs w:val="22"/>
          <w:color w:val="auto"/>
        </w:rPr>
        <w:t>”), the Credit Agreement is hereby amended as follows:</w:t>
      </w:r>
    </w:p>
    <w:p>
      <w:pPr>
        <w:spacing w:after="0" w:line="174" w:lineRule="exact"/>
        <w:rPr>
          <w:rFonts w:ascii="Arial" w:cs="Arial" w:eastAsia="Arial" w:hAnsi="Arial"/>
          <w:sz w:val="22"/>
          <w:szCs w:val="22"/>
          <w:color w:val="010000"/>
        </w:rPr>
      </w:pPr>
    </w:p>
    <w:p>
      <w:pPr>
        <w:ind w:left="180" w:right="199" w:firstLine="1948"/>
        <w:spacing w:after="0" w:line="250" w:lineRule="auto"/>
        <w:tabs>
          <w:tab w:leader="none" w:pos="2769"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The following definitions in Section 1.1 shall be amended and restated to read in full as follows:</w:t>
      </w:r>
    </w:p>
    <w:p>
      <w:pPr>
        <w:spacing w:after="0" w:line="175" w:lineRule="exact"/>
        <w:rPr>
          <w:sz w:val="20"/>
          <w:szCs w:val="20"/>
          <w:color w:val="auto"/>
        </w:rPr>
      </w:pPr>
    </w:p>
    <w:p>
      <w:pPr>
        <w:jc w:val="both"/>
        <w:ind w:left="2780" w:right="839"/>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Country</w:t>
      </w:r>
      <w:r>
        <w:rPr>
          <w:rFonts w:ascii="Arial" w:cs="Arial" w:eastAsia="Arial" w:hAnsi="Arial"/>
          <w:sz w:val="19"/>
          <w:szCs w:val="19"/>
          <w:color w:val="auto"/>
        </w:rPr>
        <w:t>”: any country, territory, or region that is the subject of sanctions administered by the Office of Foreign Assets Control of the U.S. Department of the Treasury, which countries, territories, and regions include, as of the Sixth Amendment Effective Date, the Crimea region of Ukraine, Cuba, Iran, North Korea, Syria, and the separatist-controlled portions of the Donetsk and Luhansk regions of Ukraine.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#403709674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0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5" w:name="page76"/>
    <w:bookmarkEnd w:id="75"/>
    <w:p>
      <w:pPr>
        <w:jc w:val="both"/>
        <w:ind w:left="2780" w:right="83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at any time, (a) any Person listed in any Sanctions-related list of designated Persons maintained by the Office of Foreign Assets Control of the U.S. Department of the Treasury or the U.S. Department of State or by the United Nations Security Council, the European Union, the United Kingdom or any European Union member state, (b) any Person operating, organized or resident in a Sanctioned Country or (c) any Person controlled by any such Person described in the foregoing clauses (a) and (b).</w:t>
      </w:r>
    </w:p>
    <w:p>
      <w:pPr>
        <w:spacing w:after="0" w:line="159" w:lineRule="exact"/>
        <w:rPr>
          <w:sz w:val="20"/>
          <w:szCs w:val="20"/>
          <w:color w:val="auto"/>
        </w:rPr>
      </w:pPr>
    </w:p>
    <w:p>
      <w:pPr>
        <w:jc w:val="both"/>
        <w:ind w:left="2780" w:right="83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 or other relevant sanctions authority with jurisdiction over any Bank, the Borrower or any of its or their Subsidiaries.</w:t>
      </w:r>
    </w:p>
    <w:p>
      <w:pPr>
        <w:spacing w:after="0" w:line="158" w:lineRule="exact"/>
        <w:rPr>
          <w:sz w:val="20"/>
          <w:szCs w:val="20"/>
          <w:color w:val="auto"/>
        </w:rPr>
      </w:pPr>
    </w:p>
    <w:p>
      <w:pPr>
        <w:jc w:val="both"/>
        <w:ind w:left="2780" w:right="839" w:firstLine="6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Date</w:t>
      </w:r>
      <w:r>
        <w:rPr>
          <w:rFonts w:ascii="Arial" w:cs="Arial" w:eastAsia="Arial" w:hAnsi="Arial"/>
          <w:sz w:val="19"/>
          <w:szCs w:val="19"/>
          <w:color w:val="auto"/>
        </w:rPr>
        <w:t>”: the earlier of (a) June 29, 2023 or any later date to which the Termination Date shall have been extended pursuant to subsection 2.8(d) hereof and (b) the date the Commitments are terminated as provided herein.</w:t>
      </w:r>
    </w:p>
    <w:p>
      <w:pPr>
        <w:spacing w:after="0" w:line="143" w:lineRule="exact"/>
        <w:rPr>
          <w:sz w:val="20"/>
          <w:szCs w:val="20"/>
          <w:color w:val="auto"/>
        </w:rPr>
      </w:pPr>
    </w:p>
    <w:p>
      <w:pPr>
        <w:ind w:left="180" w:right="199" w:firstLine="1948"/>
        <w:spacing w:after="0" w:line="250" w:lineRule="auto"/>
        <w:tabs>
          <w:tab w:leader="none" w:pos="2781"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following definitions are hereby added to Section 1.1 in the appropriate alphabetical order:</w:t>
      </w:r>
    </w:p>
    <w:p>
      <w:pPr>
        <w:spacing w:after="0" w:line="175" w:lineRule="exact"/>
        <w:rPr>
          <w:sz w:val="20"/>
          <w:szCs w:val="20"/>
          <w:color w:val="auto"/>
        </w:rPr>
      </w:pPr>
    </w:p>
    <w:p>
      <w:pPr>
        <w:jc w:val="both"/>
        <w:ind w:left="2780" w:right="83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Sixth Amendment</w:t>
      </w:r>
      <w:r>
        <w:rPr>
          <w:rFonts w:ascii="Arial" w:cs="Arial" w:eastAsia="Arial" w:hAnsi="Arial"/>
          <w:sz w:val="22"/>
          <w:szCs w:val="22"/>
          <w:color w:val="auto"/>
        </w:rPr>
        <w:t>”: the Sixth Amendment to Credit Agreement by and among the Borrower, the Banks party thereto and the Agent, dated as of the Sixth Amendment Effective Date.</w:t>
      </w:r>
    </w:p>
    <w:p>
      <w:pPr>
        <w:spacing w:after="0" w:line="185"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Sixth Amendment Effective Date</w:t>
      </w:r>
      <w:r>
        <w:rPr>
          <w:rFonts w:ascii="Arial" w:cs="Arial" w:eastAsia="Arial" w:hAnsi="Arial"/>
          <w:sz w:val="22"/>
          <w:szCs w:val="22"/>
          <w:color w:val="auto"/>
        </w:rPr>
        <w:t>” means June 30, 2022.</w:t>
      </w:r>
    </w:p>
    <w:p>
      <w:pPr>
        <w:spacing w:after="0" w:line="206" w:lineRule="exact"/>
        <w:rPr>
          <w:sz w:val="20"/>
          <w:szCs w:val="20"/>
          <w:color w:val="auto"/>
        </w:rPr>
      </w:pPr>
    </w:p>
    <w:p>
      <w:pPr>
        <w:ind w:left="180" w:right="199" w:firstLine="1948"/>
        <w:spacing w:after="0" w:line="250" w:lineRule="auto"/>
        <w:tabs>
          <w:tab w:leader="none" w:pos="2769" w:val="left"/>
        </w:tabs>
        <w:numPr>
          <w:ilvl w:val="0"/>
          <w:numId w:val="39"/>
        </w:numPr>
        <w:rPr>
          <w:rFonts w:ascii="Arial" w:cs="Arial" w:eastAsia="Arial" w:hAnsi="Arial"/>
          <w:sz w:val="22"/>
          <w:szCs w:val="22"/>
          <w:color w:val="auto"/>
        </w:rPr>
      </w:pPr>
      <w:r>
        <w:rPr>
          <w:rFonts w:ascii="Arial" w:cs="Arial" w:eastAsia="Arial" w:hAnsi="Arial"/>
          <w:sz w:val="22"/>
          <w:szCs w:val="22"/>
          <w:color w:val="auto"/>
        </w:rPr>
        <w:t>Section 8 shall be amended by inserting at the end thereto a new Section 8.14 which shall read in full as follows:</w:t>
      </w:r>
    </w:p>
    <w:p>
      <w:pPr>
        <w:spacing w:after="0" w:line="175" w:lineRule="exact"/>
        <w:rPr>
          <w:sz w:val="20"/>
          <w:szCs w:val="20"/>
          <w:color w:val="auto"/>
        </w:rPr>
      </w:pPr>
    </w:p>
    <w:p>
      <w:pPr>
        <w:jc w:val="both"/>
        <w:ind w:left="2780" w:right="839"/>
        <w:spacing w:after="0" w:line="248" w:lineRule="auto"/>
        <w:rPr>
          <w:sz w:val="20"/>
          <w:szCs w:val="20"/>
          <w:color w:val="auto"/>
        </w:rPr>
      </w:pPr>
      <w:r>
        <w:rPr>
          <w:rFonts w:ascii="Arial" w:cs="Arial" w:eastAsia="Arial" w:hAnsi="Arial"/>
          <w:sz w:val="21"/>
          <w:szCs w:val="21"/>
          <w:color w:val="auto"/>
        </w:rPr>
        <w:t xml:space="preserve">8.14 </w:t>
      </w:r>
      <w:r>
        <w:rPr>
          <w:rFonts w:ascii="Arial" w:cs="Arial" w:eastAsia="Arial" w:hAnsi="Arial"/>
          <w:sz w:val="21"/>
          <w:szCs w:val="21"/>
          <w:u w:val="single" w:color="auto"/>
          <w:color w:val="auto"/>
        </w:rPr>
        <w:t>No Advisory or Fiduciary Relationship</w:t>
      </w:r>
      <w:r>
        <w:rPr>
          <w:rFonts w:ascii="Arial" w:cs="Arial" w:eastAsia="Arial" w:hAnsi="Arial"/>
          <w:sz w:val="21"/>
          <w:szCs w:val="21"/>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(a) (i) no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#403709674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14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6" w:name="page77"/>
    <w:bookmarkEnd w:id="76"/>
    <w:p>
      <w:pPr>
        <w:jc w:val="both"/>
        <w:ind w:left="2780" w:right="839"/>
        <w:spacing w:after="0" w:line="268" w:lineRule="auto"/>
        <w:rPr>
          <w:sz w:val="20"/>
          <w:szCs w:val="20"/>
          <w:color w:val="auto"/>
        </w:rPr>
      </w:pPr>
      <w:r>
        <w:rPr>
          <w:rFonts w:ascii="Arial" w:cs="Arial" w:eastAsia="Arial" w:hAnsi="Arial"/>
          <w:sz w:val="19"/>
          <w:szCs w:val="19"/>
          <w:color w:val="auto"/>
        </w:rPr>
        <w:t>fiduciary, advisory or agency relationship between the Borrower and its Subsidiaries and any arranger, any bookrunner, the Agent or any Bank is intended to be or has been created in respect of the transactions contemplated hereby or by the other Loan Documents, irrespective of whether any arranger, any bookrunner, the Agent, or any Bank has advised or is advising the Borrower or any Subsidiary on other matters, (ii) the arranging and other services regarding this Agreement provided by any arranger, any bookrunner, the Agent, and the Banks are arm’s-length commercial transactions between the Borrower and its Affiliates, on the one hand, and any arranger, any bookrunner, the Agent, and the Banks, on the other hand, (iii) the Borrower has consulted its own legal, accounting, regulatory and tax advisors to the extent that it has deemed appropriate and (iv) the Borrower is capable of evaluating, and understands and accepts, the terms, risks and conditions of the transactions contemplated hereby and by the other Loan Documents; and (b) (i) each of any arranger, any bookrunner, the Agent, and the Banks is and has been acting solely as a principal and, except as expressly agreed in writing by the relevant parties, has not been, is not, and will not be acting as an advisor, agent or fiduciary for the Borrower or any of its Affiliates, or any other Person; (ii) none of any arranger, any bookrunner, the Agent, and the Banks has any obligation to the Borrower or any of the Borrower’s Affiliates with respect to the transactions contemplated hereby except those obligations expressly set forth herein and in the other Loan Documents; and (iii) any arranger, any bookrunner, the Agent, and the Banks and their respective Affiliates may be engaged, for their own accounts or the accounts of customers, in a broad range of transactions that involve interests that differ from those of the Borrower and its Affiliates, and none of any arranger, any bookrunner, the Agent, and the Banks has any obligation to disclose any of such interests to the Borrower or its Affiliates. To the fullest extent permitted by law, the Borrower hereby waives and releases any claims that it may have against any of any arrangers, any bookrunner, the Agent, and the Banks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20" w:lineRule="exact"/>
        <w:rPr>
          <w:sz w:val="20"/>
          <w:szCs w:val="20"/>
          <w:color w:val="auto"/>
        </w:rPr>
      </w:pPr>
    </w:p>
    <w:p>
      <w:pPr>
        <w:ind w:left="180" w:right="199" w:firstLine="1948"/>
        <w:spacing w:after="0" w:line="250" w:lineRule="auto"/>
        <w:tabs>
          <w:tab w:leader="none" w:pos="2781"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address for the Borrower in Section 9.2 shall be amended and restated to read in full as follows: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#403709674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08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7" w:name="page78"/>
    <w:bookmarkEnd w:id="77"/>
    <w:p>
      <w:pPr>
        <w:ind w:left="960"/>
        <w:spacing w:after="0"/>
        <w:rPr>
          <w:sz w:val="20"/>
          <w:szCs w:val="20"/>
          <w:color w:val="auto"/>
        </w:rPr>
      </w:pPr>
      <w:r>
        <w:rPr>
          <w:rFonts w:ascii="Arial" w:cs="Arial" w:eastAsia="Arial" w:hAnsi="Arial"/>
          <w:sz w:val="19"/>
          <w:szCs w:val="19"/>
          <w:color w:val="auto"/>
        </w:rPr>
        <w:t>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Aqua Pennsylvania, Inc.</w:t>
      </w:r>
    </w:p>
    <w:p>
      <w:pPr>
        <w:spacing w:after="0" w:line="238" w:lineRule="auto"/>
        <w:rPr>
          <w:sz w:val="20"/>
          <w:szCs w:val="20"/>
          <w:color w:val="auto"/>
        </w:rPr>
      </w:pPr>
      <w:r>
        <w:rPr>
          <w:rFonts w:ascii="Arial" w:cs="Arial" w:eastAsia="Arial" w:hAnsi="Arial"/>
          <w:sz w:val="22"/>
          <w:szCs w:val="22"/>
          <w:color w:val="auto"/>
        </w:rPr>
        <w:t>762 W. Lancaster Avenue</w:t>
      </w:r>
    </w:p>
    <w:p>
      <w:pPr>
        <w:spacing w:after="0" w:line="231" w:lineRule="auto"/>
        <w:rPr>
          <w:sz w:val="20"/>
          <w:szCs w:val="20"/>
          <w:color w:val="auto"/>
        </w:rPr>
      </w:pPr>
      <w:r>
        <w:rPr>
          <w:rFonts w:ascii="Arial" w:cs="Arial" w:eastAsia="Arial" w:hAnsi="Arial"/>
          <w:sz w:val="22"/>
          <w:szCs w:val="22"/>
          <w:color w:val="auto"/>
        </w:rPr>
        <w:t>Bryn Mawr, PA 19010-3489</w:t>
      </w:r>
    </w:p>
    <w:p>
      <w:pPr>
        <w:spacing w:after="0"/>
        <w:rPr>
          <w:sz w:val="20"/>
          <w:szCs w:val="20"/>
          <w:color w:val="auto"/>
        </w:rPr>
      </w:pPr>
      <w:r>
        <w:rPr>
          <w:rFonts w:ascii="Arial" w:cs="Arial" w:eastAsia="Arial" w:hAnsi="Arial"/>
          <w:sz w:val="19"/>
          <w:szCs w:val="19"/>
          <w:color w:val="auto"/>
        </w:rPr>
        <w:t>Attention: Daniel J. Schuller, Executive Vice</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President and Chief Financial Officer</w:t>
      </w:r>
    </w:p>
    <w:p>
      <w:pPr>
        <w:spacing w:after="0"/>
        <w:rPr>
          <w:sz w:val="20"/>
          <w:szCs w:val="20"/>
          <w:color w:val="auto"/>
        </w:rPr>
      </w:pPr>
      <w:r>
        <w:rPr>
          <w:rFonts w:ascii="Arial" w:cs="Arial" w:eastAsia="Arial" w:hAnsi="Arial"/>
          <w:sz w:val="22"/>
          <w:szCs w:val="22"/>
          <w:color w:val="auto"/>
        </w:rPr>
        <w:t>Email: djschuller@essential.com</w:t>
      </w:r>
    </w:p>
    <w:p>
      <w:pPr>
        <w:spacing w:after="0" w:line="200" w:lineRule="exact"/>
        <w:rPr>
          <w:sz w:val="20"/>
          <w:szCs w:val="20"/>
          <w:color w:val="auto"/>
        </w:rPr>
      </w:pPr>
    </w:p>
    <w:p>
      <w:pPr>
        <w:sectPr>
          <w:pgSz w:w="11900" w:h="16838" w:orient="portrait"/>
          <w:cols w:equalWidth="0" w:num="2">
            <w:col w:w="3100" w:space="720"/>
            <w:col w:w="5199"/>
          </w:cols>
          <w:pgMar w:left="1440" w:top="118" w:right="1440" w:bottom="1440" w:gutter="0" w:footer="0" w:header="0"/>
        </w:sectPr>
      </w:pPr>
    </w:p>
    <w:p>
      <w:pPr>
        <w:spacing w:after="0" w:line="15" w:lineRule="exact"/>
        <w:rPr>
          <w:sz w:val="20"/>
          <w:szCs w:val="20"/>
          <w:color w:val="auto"/>
        </w:rPr>
      </w:pPr>
    </w:p>
    <w:p>
      <w:pPr>
        <w:ind w:left="96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Aqua Pennsylvania, Inc.</w:t>
      </w:r>
    </w:p>
    <w:p>
      <w:pPr>
        <w:spacing w:after="0" w:line="238" w:lineRule="auto"/>
        <w:rPr>
          <w:sz w:val="20"/>
          <w:szCs w:val="20"/>
          <w:color w:val="auto"/>
        </w:rPr>
      </w:pPr>
      <w:r>
        <w:rPr>
          <w:rFonts w:ascii="Arial" w:cs="Arial" w:eastAsia="Arial" w:hAnsi="Arial"/>
          <w:sz w:val="22"/>
          <w:szCs w:val="22"/>
          <w:color w:val="auto"/>
        </w:rPr>
        <w:t>762 West Lancaster Avenue</w:t>
      </w:r>
    </w:p>
    <w:p>
      <w:pPr>
        <w:spacing w:after="0" w:line="230" w:lineRule="auto"/>
        <w:rPr>
          <w:sz w:val="20"/>
          <w:szCs w:val="20"/>
          <w:color w:val="auto"/>
        </w:rPr>
      </w:pPr>
      <w:r>
        <w:rPr>
          <w:rFonts w:ascii="Arial" w:cs="Arial" w:eastAsia="Arial" w:hAnsi="Arial"/>
          <w:sz w:val="22"/>
          <w:szCs w:val="22"/>
          <w:color w:val="auto"/>
        </w:rPr>
        <w:t>Bryn Mawr, PA 19010</w:t>
      </w:r>
    </w:p>
    <w:p>
      <w:pPr>
        <w:spacing w:after="0" w:line="1" w:lineRule="exact"/>
        <w:rPr>
          <w:sz w:val="20"/>
          <w:szCs w:val="20"/>
          <w:color w:val="auto"/>
        </w:rPr>
      </w:pPr>
    </w:p>
    <w:p>
      <w:pPr>
        <w:spacing w:after="0"/>
        <w:tabs>
          <w:tab w:leader="none" w:pos="1140" w:val="left"/>
        </w:tabs>
        <w:rPr>
          <w:sz w:val="20"/>
          <w:szCs w:val="20"/>
          <w:color w:val="auto"/>
        </w:rPr>
      </w:pPr>
      <w:r>
        <w:rPr>
          <w:rFonts w:ascii="Arial" w:cs="Arial" w:eastAsia="Arial" w:hAnsi="Arial"/>
          <w:sz w:val="19"/>
          <w:szCs w:val="19"/>
          <w:color w:val="auto"/>
        </w:rPr>
        <w:t>Attention:</w:t>
        <w:tab/>
        <w:t>Christopher P. Luning</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22"/>
          <w:szCs w:val="22"/>
          <w:color w:val="auto"/>
        </w:rPr>
        <w:t>Senior Vice President and</w:t>
      </w:r>
    </w:p>
    <w:p>
      <w:pPr>
        <w:ind w:left="1040"/>
        <w:spacing w:after="0"/>
        <w:rPr>
          <w:sz w:val="20"/>
          <w:szCs w:val="20"/>
          <w:color w:val="auto"/>
        </w:rPr>
      </w:pPr>
      <w:r>
        <w:rPr>
          <w:rFonts w:ascii="Arial" w:cs="Arial" w:eastAsia="Arial" w:hAnsi="Arial"/>
          <w:sz w:val="22"/>
          <w:szCs w:val="22"/>
          <w:color w:val="auto"/>
        </w:rPr>
        <w:t>General Counsel</w:t>
      </w:r>
    </w:p>
    <w:p>
      <w:pPr>
        <w:spacing w:after="0" w:line="200" w:lineRule="exact"/>
        <w:rPr>
          <w:sz w:val="20"/>
          <w:szCs w:val="20"/>
          <w:color w:val="auto"/>
        </w:rPr>
      </w:pPr>
    </w:p>
    <w:p>
      <w:pPr>
        <w:sectPr>
          <w:pgSz w:w="11900" w:h="16838" w:orient="portrait"/>
          <w:cols w:equalWidth="0" w:num="2">
            <w:col w:w="3100" w:space="720"/>
            <w:col w:w="5199"/>
          </w:cols>
          <w:pgMar w:left="1440" w:top="118" w:right="1440" w:bottom="1440" w:gutter="0" w:footer="0" w:header="0"/>
          <w:type w:val="continuous"/>
        </w:sectPr>
      </w:pPr>
    </w:p>
    <w:p>
      <w:pPr>
        <w:spacing w:after="0" w:line="15" w:lineRule="exact"/>
        <w:rPr>
          <w:sz w:val="20"/>
          <w:szCs w:val="20"/>
          <w:color w:val="auto"/>
        </w:rPr>
      </w:pPr>
    </w:p>
    <w:p>
      <w:pPr>
        <w:jc w:val="both"/>
        <w:ind w:left="180" w:right="199" w:firstLine="1300"/>
        <w:spacing w:after="0" w:line="238" w:lineRule="auto"/>
        <w:tabs>
          <w:tab w:leader="none" w:pos="2097" w:val="left"/>
        </w:tabs>
        <w:numPr>
          <w:ilvl w:val="0"/>
          <w:numId w:val="41"/>
        </w:numPr>
        <w:rPr>
          <w:rFonts w:ascii="Arial" w:cs="Arial" w:eastAsia="Arial" w:hAnsi="Arial"/>
          <w:sz w:val="22"/>
          <w:szCs w:val="22"/>
          <w:color w:val="010000"/>
        </w:rPr>
      </w:pPr>
      <w:r>
        <w:rPr>
          <w:rFonts w:ascii="Arial" w:cs="Arial" w:eastAsia="Arial" w:hAnsi="Arial"/>
          <w:sz w:val="22"/>
          <w:szCs w:val="22"/>
          <w:u w:val="single" w:color="auto"/>
          <w:color w:val="auto"/>
        </w:rPr>
        <w:t>Loan Documents</w:t>
      </w:r>
      <w:r>
        <w:rPr>
          <w:rFonts w:ascii="Arial" w:cs="Arial" w:eastAsia="Arial" w:hAnsi="Arial"/>
          <w:sz w:val="22"/>
          <w:szCs w:val="22"/>
          <w:color w:val="auto"/>
        </w:rPr>
        <w:t>. Except where the context clearly requires otherwise, all references to the Credit Agreement in any of the Loan Documents or any other document delivered to the Banks or the Agent in connection therewith shall be to the Credit Agreement as amended by this Agreement.</w:t>
      </w:r>
    </w:p>
    <w:p>
      <w:pPr>
        <w:spacing w:after="0" w:line="184" w:lineRule="exact"/>
        <w:rPr>
          <w:rFonts w:ascii="Arial" w:cs="Arial" w:eastAsia="Arial" w:hAnsi="Arial"/>
          <w:sz w:val="22"/>
          <w:szCs w:val="22"/>
          <w:color w:val="010000"/>
        </w:rPr>
      </w:pPr>
    </w:p>
    <w:p>
      <w:pPr>
        <w:jc w:val="both"/>
        <w:ind w:left="180" w:right="199" w:firstLine="1300"/>
        <w:spacing w:after="0" w:line="275" w:lineRule="auto"/>
        <w:tabs>
          <w:tab w:leader="none" w:pos="2097" w:val="left"/>
        </w:tabs>
        <w:numPr>
          <w:ilvl w:val="0"/>
          <w:numId w:val="41"/>
        </w:numPr>
        <w:rPr>
          <w:rFonts w:ascii="Arial" w:cs="Arial" w:eastAsia="Arial" w:hAnsi="Arial"/>
          <w:sz w:val="19"/>
          <w:szCs w:val="19"/>
          <w:color w:val="010000"/>
        </w:rPr>
      </w:pPr>
      <w:r>
        <w:rPr>
          <w:rFonts w:ascii="Arial" w:cs="Arial" w:eastAsia="Arial" w:hAnsi="Arial"/>
          <w:sz w:val="19"/>
          <w:szCs w:val="19"/>
          <w:u w:val="single" w:color="auto"/>
          <w:color w:val="auto"/>
        </w:rPr>
        <w:t>Borrower’s Ratification</w:t>
      </w:r>
      <w:r>
        <w:rPr>
          <w:rFonts w:ascii="Arial" w:cs="Arial" w:eastAsia="Arial" w:hAnsi="Arial"/>
          <w:sz w:val="19"/>
          <w:szCs w:val="19"/>
          <w:color w:val="auto"/>
        </w:rPr>
        <w:t>. The Borrower agrees that it has no defenses, set-offs, counterclaims or challenges against the Banks or the Agent or their respective officers, directors, employees, agents or attorneys, with respect to the Loan Documents, all of which are in full force and effect, and that all of the terms and conditions of the Loan Documents not inconsistent herewith shall remain in full force and effect unless and until modified or amended in writing in accordance with their terms. The Borrower hereby ratifies and confirms its obligations under the Loan Documents as amended hereby and agrees that the execution and delivery of this Agreement does not in any way diminish or invalidate any of its obligations thereunder.</w:t>
      </w:r>
    </w:p>
    <w:p>
      <w:pPr>
        <w:spacing w:after="0" w:line="157" w:lineRule="exact"/>
        <w:rPr>
          <w:rFonts w:ascii="Arial" w:cs="Arial" w:eastAsia="Arial" w:hAnsi="Arial"/>
          <w:sz w:val="19"/>
          <w:szCs w:val="19"/>
          <w:color w:val="010000"/>
        </w:rPr>
      </w:pPr>
    </w:p>
    <w:p>
      <w:pPr>
        <w:ind w:left="180" w:right="199" w:firstLine="1300"/>
        <w:spacing w:after="0" w:line="250" w:lineRule="auto"/>
        <w:tabs>
          <w:tab w:leader="none" w:pos="2097" w:val="left"/>
        </w:tabs>
        <w:numPr>
          <w:ilvl w:val="0"/>
          <w:numId w:val="41"/>
        </w:numPr>
        <w:rPr>
          <w:rFonts w:ascii="Arial" w:cs="Arial" w:eastAsia="Arial" w:hAnsi="Arial"/>
          <w:sz w:val="22"/>
          <w:szCs w:val="22"/>
          <w:color w:val="010000"/>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Borrower hereby represents and warrants to the Agent and the Banks that:</w:t>
      </w:r>
    </w:p>
    <w:p>
      <w:pPr>
        <w:spacing w:after="0" w:line="174" w:lineRule="exact"/>
        <w:rPr>
          <w:rFonts w:ascii="Arial" w:cs="Arial" w:eastAsia="Arial" w:hAnsi="Arial"/>
          <w:sz w:val="22"/>
          <w:szCs w:val="22"/>
          <w:color w:val="010000"/>
        </w:rPr>
      </w:pPr>
    </w:p>
    <w:p>
      <w:pPr>
        <w:jc w:val="both"/>
        <w:ind w:left="180" w:right="199" w:firstLine="1948"/>
        <w:spacing w:after="0" w:line="287" w:lineRule="auto"/>
        <w:tabs>
          <w:tab w:leader="none" w:pos="2769" w:val="left"/>
        </w:tabs>
        <w:numPr>
          <w:ilvl w:val="1"/>
          <w:numId w:val="41"/>
        </w:numPr>
        <w:rPr>
          <w:rFonts w:ascii="Arial" w:cs="Arial" w:eastAsia="Arial" w:hAnsi="Arial"/>
          <w:sz w:val="19"/>
          <w:szCs w:val="19"/>
          <w:color w:val="auto"/>
        </w:rPr>
      </w:pPr>
      <w:r>
        <w:rPr>
          <w:rFonts w:ascii="Arial" w:cs="Arial" w:eastAsia="Arial" w:hAnsi="Arial"/>
          <w:sz w:val="19"/>
          <w:szCs w:val="19"/>
          <w:color w:val="auto"/>
        </w:rPr>
        <w:t>The representations and warranties made in the Credit Agreement are true and correct in all material respects as of the date hereof; provided, however, that for purposes of the representations in Section 3.1 thereof, the annual and quarterly financial information referred to in such Section shall be deemed to be the most recent such information furnished to each Bank;</w:t>
      </w:r>
    </w:p>
    <w:p>
      <w:pPr>
        <w:spacing w:after="0" w:line="142" w:lineRule="exact"/>
        <w:rPr>
          <w:rFonts w:ascii="Arial" w:cs="Arial" w:eastAsia="Arial" w:hAnsi="Arial"/>
          <w:sz w:val="19"/>
          <w:szCs w:val="19"/>
          <w:color w:val="auto"/>
        </w:rPr>
      </w:pPr>
    </w:p>
    <w:p>
      <w:pPr>
        <w:ind w:left="2780" w:hanging="652"/>
        <w:spacing w:after="0"/>
        <w:tabs>
          <w:tab w:leader="none" w:pos="2780" w:val="left"/>
        </w:tabs>
        <w:numPr>
          <w:ilvl w:val="1"/>
          <w:numId w:val="41"/>
        </w:numPr>
        <w:rPr>
          <w:rFonts w:ascii="Arial" w:cs="Arial" w:eastAsia="Arial" w:hAnsi="Arial"/>
          <w:sz w:val="19"/>
          <w:szCs w:val="19"/>
          <w:color w:val="auto"/>
        </w:rPr>
      </w:pPr>
      <w:r>
        <w:rPr>
          <w:rFonts w:ascii="Arial" w:cs="Arial" w:eastAsia="Arial" w:hAnsi="Arial"/>
          <w:sz w:val="19"/>
          <w:szCs w:val="19"/>
          <w:color w:val="auto"/>
        </w:rPr>
        <w:t>No Default or Event of Default under the Credit Agreement exists on</w:t>
      </w:r>
    </w:p>
    <w:p>
      <w:pPr>
        <w:spacing w:after="0" w:line="42"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color w:val="auto"/>
        </w:rPr>
        <w:t>the date hereof; and</w:t>
      </w:r>
    </w:p>
    <w:p>
      <w:pPr>
        <w:spacing w:after="0" w:line="188" w:lineRule="exact"/>
        <w:rPr>
          <w:rFonts w:ascii="Arial" w:cs="Arial" w:eastAsia="Arial" w:hAnsi="Arial"/>
          <w:sz w:val="19"/>
          <w:szCs w:val="19"/>
          <w:color w:val="auto"/>
        </w:rPr>
      </w:pPr>
    </w:p>
    <w:p>
      <w:pPr>
        <w:jc w:val="both"/>
        <w:ind w:left="180" w:right="199" w:firstLine="1948"/>
        <w:spacing w:after="0"/>
        <w:tabs>
          <w:tab w:leader="none" w:pos="2769"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This Agreement has been duly authorized, executed and delivered so as to constitute the legal, valid and binding obligation of the Borrower, enforceable in accordance with its terms;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#403709674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08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78" w:name="page79"/>
    <w:bookmarkEnd w:id="78"/>
    <w:p>
      <w:pPr>
        <w:jc w:val="both"/>
        <w:ind w:left="180" w:right="199" w:firstLine="1948"/>
        <w:spacing w:after="0" w:line="287" w:lineRule="auto"/>
        <w:tabs>
          <w:tab w:leader="none" w:pos="2781" w:val="left"/>
        </w:tabs>
        <w:numPr>
          <w:ilvl w:val="0"/>
          <w:numId w:val="42"/>
        </w:numPr>
        <w:rPr>
          <w:rFonts w:ascii="Arial" w:cs="Arial" w:eastAsia="Arial" w:hAnsi="Arial"/>
          <w:sz w:val="19"/>
          <w:szCs w:val="19"/>
          <w:color w:val="auto"/>
        </w:rPr>
      </w:pPr>
      <w:r>
        <w:rPr>
          <w:rFonts w:ascii="Arial" w:cs="Arial" w:eastAsia="Arial" w:hAnsi="Arial"/>
          <w:sz w:val="19"/>
          <w:szCs w:val="19"/>
          <w:color w:val="auto"/>
        </w:rPr>
        <w:t>No consent, approval or authorization of, filing, registration or recording with, notice to or other act by or in respect of, any Governmental Authority or any other Person is required in connection with the execution, delivery or performance by the Borrower of this Agreement (except for those which have been obtained on or prior to the date hereof).</w:t>
      </w:r>
    </w:p>
    <w:p>
      <w:pPr>
        <w:spacing w:after="0" w:line="143"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All of the above representations and warranties shall survive the making of this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jc w:val="both"/>
        <w:ind w:left="180" w:right="199" w:firstLine="1300"/>
        <w:spacing w:after="0"/>
        <w:tabs>
          <w:tab w:leader="none" w:pos="2097" w:val="left"/>
        </w:tabs>
        <w:numPr>
          <w:ilvl w:val="0"/>
          <w:numId w:val="43"/>
        </w:numPr>
        <w:rPr>
          <w:rFonts w:ascii="Arial" w:cs="Arial" w:eastAsia="Arial" w:hAnsi="Arial"/>
          <w:sz w:val="22"/>
          <w:szCs w:val="22"/>
          <w:color w:val="010000"/>
        </w:rPr>
      </w:pPr>
      <w:r>
        <w:rPr>
          <w:rFonts w:ascii="Arial" w:cs="Arial" w:eastAsia="Arial" w:hAnsi="Arial"/>
          <w:sz w:val="22"/>
          <w:szCs w:val="22"/>
          <w:u w:val="single" w:color="auto"/>
          <w:color w:val="auto"/>
        </w:rPr>
        <w:t>Conditions Precedent</w:t>
      </w:r>
      <w:r>
        <w:rPr>
          <w:rFonts w:ascii="Arial" w:cs="Arial" w:eastAsia="Arial" w:hAnsi="Arial"/>
          <w:sz w:val="22"/>
          <w:szCs w:val="22"/>
          <w:color w:val="auto"/>
        </w:rPr>
        <w:t>. The effectiveness of the amendments set forth herein is subject to the fulfillment, to the satisfaction of the Agent and its counsel, of the following conditions precedent on or before the Effective Date:</w:t>
      </w:r>
    </w:p>
    <w:p>
      <w:pPr>
        <w:spacing w:after="0" w:line="186" w:lineRule="exact"/>
        <w:rPr>
          <w:rFonts w:ascii="Arial" w:cs="Arial" w:eastAsia="Arial" w:hAnsi="Arial"/>
          <w:sz w:val="22"/>
          <w:szCs w:val="22"/>
          <w:color w:val="010000"/>
        </w:rPr>
      </w:pPr>
    </w:p>
    <w:p>
      <w:pPr>
        <w:jc w:val="both"/>
        <w:ind w:left="180" w:right="199" w:firstLine="1948"/>
        <w:spacing w:after="0"/>
        <w:tabs>
          <w:tab w:leader="none" w:pos="2769"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Agent shall have received the following, all of which shall be in form and substance satisfactory to the Agent and shall be duly completed and executed by the Borrower, the Agent and the Banks, as applicable:</w:t>
      </w:r>
    </w:p>
    <w:p>
      <w:pPr>
        <w:spacing w:after="0" w:line="186" w:lineRule="exact"/>
        <w:rPr>
          <w:rFonts w:ascii="Arial" w:cs="Arial" w:eastAsia="Arial" w:hAnsi="Arial"/>
          <w:sz w:val="22"/>
          <w:szCs w:val="22"/>
          <w:color w:val="auto"/>
        </w:rPr>
      </w:pPr>
    </w:p>
    <w:p>
      <w:pPr>
        <w:ind w:left="3420" w:hanging="644"/>
        <w:spacing w:after="0"/>
        <w:tabs>
          <w:tab w:leader="none" w:pos="3420" w:val="left"/>
        </w:tabs>
        <w:numPr>
          <w:ilvl w:val="2"/>
          <w:numId w:val="43"/>
        </w:numPr>
        <w:rPr>
          <w:rFonts w:ascii="Arial" w:cs="Arial" w:eastAsia="Arial" w:hAnsi="Arial"/>
          <w:sz w:val="22"/>
          <w:szCs w:val="22"/>
          <w:color w:val="auto"/>
        </w:rPr>
      </w:pPr>
      <w:r>
        <w:rPr>
          <w:rFonts w:ascii="Arial" w:cs="Arial" w:eastAsia="Arial" w:hAnsi="Arial"/>
          <w:sz w:val="22"/>
          <w:szCs w:val="22"/>
          <w:color w:val="auto"/>
        </w:rPr>
        <w:t>This Agreement;</w:t>
      </w:r>
    </w:p>
    <w:p>
      <w:pPr>
        <w:spacing w:after="0" w:line="206" w:lineRule="exact"/>
        <w:rPr>
          <w:rFonts w:ascii="Arial" w:cs="Arial" w:eastAsia="Arial" w:hAnsi="Arial"/>
          <w:sz w:val="22"/>
          <w:szCs w:val="22"/>
          <w:color w:val="auto"/>
        </w:rPr>
      </w:pPr>
    </w:p>
    <w:p>
      <w:pPr>
        <w:ind w:left="3420" w:right="219" w:hanging="644"/>
        <w:spacing w:after="0" w:line="248" w:lineRule="auto"/>
        <w:tabs>
          <w:tab w:leader="none" w:pos="3414" w:val="left"/>
        </w:tabs>
        <w:numPr>
          <w:ilvl w:val="2"/>
          <w:numId w:val="43"/>
        </w:numPr>
        <w:rPr>
          <w:rFonts w:ascii="Arial" w:cs="Arial" w:eastAsia="Arial" w:hAnsi="Arial"/>
          <w:sz w:val="21"/>
          <w:szCs w:val="21"/>
          <w:color w:val="auto"/>
        </w:rPr>
      </w:pPr>
      <w:r>
        <w:rPr>
          <w:rFonts w:ascii="Arial" w:cs="Arial" w:eastAsia="Arial" w:hAnsi="Arial"/>
          <w:sz w:val="21"/>
          <w:szCs w:val="21"/>
          <w:color w:val="auto"/>
        </w:rPr>
        <w:t>Copies, certified by the Secretary or an Assistant Secretary of the Borrower as of a recent date, of resolutions of the board of directors of the Borrower in effect on the date hereof authorizing the execution, delivery and performance of this Agreement and the other documents and transactions contemplated hereby;</w:t>
      </w:r>
    </w:p>
    <w:p>
      <w:pPr>
        <w:spacing w:after="0" w:line="176" w:lineRule="exact"/>
        <w:rPr>
          <w:rFonts w:ascii="Arial" w:cs="Arial" w:eastAsia="Arial" w:hAnsi="Arial"/>
          <w:sz w:val="21"/>
          <w:szCs w:val="21"/>
          <w:color w:val="auto"/>
        </w:rPr>
      </w:pPr>
    </w:p>
    <w:p>
      <w:pPr>
        <w:ind w:left="3420" w:right="259" w:hanging="644"/>
        <w:spacing w:after="0" w:line="248" w:lineRule="auto"/>
        <w:tabs>
          <w:tab w:leader="none" w:pos="3420" w:val="left"/>
        </w:tabs>
        <w:numPr>
          <w:ilvl w:val="2"/>
          <w:numId w:val="43"/>
        </w:numPr>
        <w:rPr>
          <w:rFonts w:ascii="Arial" w:cs="Arial" w:eastAsia="Arial" w:hAnsi="Arial"/>
          <w:sz w:val="21"/>
          <w:szCs w:val="21"/>
          <w:color w:val="auto"/>
        </w:rPr>
      </w:pPr>
      <w:r>
        <w:rPr>
          <w:rFonts w:ascii="Arial" w:cs="Arial" w:eastAsia="Arial" w:hAnsi="Arial"/>
          <w:sz w:val="21"/>
          <w:szCs w:val="21"/>
          <w:color w:val="auto"/>
        </w:rPr>
        <w:t>Copies, certified by its corporate secretary as of a recent date, of the articles of incorporation, certificate of formation, and by-laws of the Borrower as in effect, or a certificate stating that there have been no changes to any such documents since the most recent date, true and correct copies thereof were delivered to the Agent;</w:t>
      </w:r>
    </w:p>
    <w:p>
      <w:pPr>
        <w:spacing w:after="0" w:line="176" w:lineRule="exact"/>
        <w:rPr>
          <w:rFonts w:ascii="Arial" w:cs="Arial" w:eastAsia="Arial" w:hAnsi="Arial"/>
          <w:sz w:val="21"/>
          <w:szCs w:val="21"/>
          <w:color w:val="auto"/>
        </w:rPr>
      </w:pPr>
    </w:p>
    <w:p>
      <w:pPr>
        <w:ind w:left="3420" w:right="279" w:hanging="644"/>
        <w:spacing w:after="0" w:line="277" w:lineRule="auto"/>
        <w:tabs>
          <w:tab w:leader="none" w:pos="3462" w:val="left"/>
        </w:tabs>
        <w:numPr>
          <w:ilvl w:val="2"/>
          <w:numId w:val="43"/>
        </w:numPr>
        <w:rPr>
          <w:rFonts w:ascii="Arial" w:cs="Arial" w:eastAsia="Arial" w:hAnsi="Arial"/>
          <w:sz w:val="19"/>
          <w:szCs w:val="19"/>
          <w:color w:val="auto"/>
        </w:rPr>
      </w:pPr>
      <w:r>
        <w:rPr>
          <w:rFonts w:ascii="Arial" w:cs="Arial" w:eastAsia="Arial" w:hAnsi="Arial"/>
          <w:sz w:val="19"/>
          <w:szCs w:val="19"/>
          <w:color w:val="auto"/>
        </w:rPr>
        <w:t>If the Borrower qualifies as a legal entity customer under the Beneficial Ownership Regulations, an executed Certificate of Beneficial Ownership for the Borrower and such other documentation and other information requested by the Agent and the Banks in connection with applicable “know your customer” and anti-money laundering rules and regulations, including the USA Patriot Act;</w:t>
      </w:r>
    </w:p>
    <w:p>
      <w:pPr>
        <w:spacing w:after="0" w:line="151" w:lineRule="exact"/>
        <w:rPr>
          <w:rFonts w:ascii="Arial" w:cs="Arial" w:eastAsia="Arial" w:hAnsi="Arial"/>
          <w:sz w:val="19"/>
          <w:szCs w:val="19"/>
          <w:color w:val="auto"/>
        </w:rPr>
      </w:pPr>
    </w:p>
    <w:p>
      <w:pPr>
        <w:ind w:left="3420" w:right="199" w:hanging="644"/>
        <w:spacing w:after="0" w:line="250" w:lineRule="auto"/>
        <w:tabs>
          <w:tab w:leader="none" w:pos="3469" w:val="left"/>
        </w:tabs>
        <w:numPr>
          <w:ilvl w:val="2"/>
          <w:numId w:val="43"/>
        </w:numPr>
        <w:rPr>
          <w:rFonts w:ascii="Arial" w:cs="Arial" w:eastAsia="Arial" w:hAnsi="Arial"/>
          <w:sz w:val="22"/>
          <w:szCs w:val="22"/>
          <w:color w:val="auto"/>
        </w:rPr>
      </w:pPr>
      <w:r>
        <w:rPr>
          <w:rFonts w:ascii="Arial" w:cs="Arial" w:eastAsia="Arial" w:hAnsi="Arial"/>
          <w:sz w:val="22"/>
          <w:szCs w:val="22"/>
          <w:color w:val="auto"/>
        </w:rPr>
        <w:t>A good standing certificate for the Borrower in the State of its formation dated as of a recent date; and</w:t>
      </w:r>
    </w:p>
    <w:p>
      <w:pPr>
        <w:spacing w:after="0" w:line="174" w:lineRule="exact"/>
        <w:rPr>
          <w:rFonts w:ascii="Arial" w:cs="Arial" w:eastAsia="Arial" w:hAnsi="Arial"/>
          <w:sz w:val="22"/>
          <w:szCs w:val="22"/>
          <w:color w:val="auto"/>
        </w:rPr>
      </w:pPr>
    </w:p>
    <w:p>
      <w:pPr>
        <w:ind w:left="3420" w:right="479" w:hanging="644"/>
        <w:spacing w:after="0" w:line="297" w:lineRule="auto"/>
        <w:tabs>
          <w:tab w:leader="none" w:pos="3462" w:val="left"/>
        </w:tabs>
        <w:numPr>
          <w:ilvl w:val="2"/>
          <w:numId w:val="43"/>
        </w:numPr>
        <w:rPr>
          <w:rFonts w:ascii="Arial" w:cs="Arial" w:eastAsia="Arial" w:hAnsi="Arial"/>
          <w:sz w:val="19"/>
          <w:szCs w:val="19"/>
          <w:color w:val="auto"/>
        </w:rPr>
      </w:pPr>
      <w:r>
        <w:rPr>
          <w:rFonts w:ascii="Arial" w:cs="Arial" w:eastAsia="Arial" w:hAnsi="Arial"/>
          <w:sz w:val="19"/>
          <w:szCs w:val="19"/>
          <w:color w:val="auto"/>
        </w:rPr>
        <w:t>Such additional documents, certificates and information as the Agent or the Banks may require pursuant to the terms hereof or otherwise reasonably request.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#403709674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08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9" w:name="page80"/>
    <w:bookmarkEnd w:id="79"/>
    <w:p>
      <w:pPr>
        <w:jc w:val="both"/>
        <w:ind w:left="180" w:right="199" w:firstLine="1948"/>
        <w:spacing w:after="0" w:line="249" w:lineRule="auto"/>
        <w:tabs>
          <w:tab w:leader="none" w:pos="2781" w:val="left"/>
        </w:tabs>
        <w:numPr>
          <w:ilvl w:val="0"/>
          <w:numId w:val="44"/>
        </w:numPr>
        <w:rPr>
          <w:rFonts w:ascii="Arial" w:cs="Arial" w:eastAsia="Arial" w:hAnsi="Arial"/>
          <w:sz w:val="21"/>
          <w:szCs w:val="21"/>
          <w:color w:val="auto"/>
        </w:rPr>
      </w:pPr>
      <w:r>
        <w:rPr>
          <w:rFonts w:ascii="Arial" w:cs="Arial" w:eastAsia="Arial" w:hAnsi="Arial"/>
          <w:sz w:val="21"/>
          <w:szCs w:val="21"/>
          <w:color w:val="auto"/>
        </w:rPr>
        <w:t>After giving effect to this Agreement, the representations and warranties set forth in the Credit Agreement shall be true and correct in all material respects on and as of the date hereof; provided, however, that for purposes of the representations in Section 3.1 thereof, the annual and quarterly financial information referred to in such Section shall be deemed to be the most recent such information furnished to each Bank.</w:t>
      </w:r>
    </w:p>
    <w:p>
      <w:pPr>
        <w:spacing w:after="0" w:line="178" w:lineRule="exact"/>
        <w:rPr>
          <w:rFonts w:ascii="Arial" w:cs="Arial" w:eastAsia="Arial" w:hAnsi="Arial"/>
          <w:sz w:val="21"/>
          <w:szCs w:val="21"/>
          <w:color w:val="auto"/>
        </w:rPr>
      </w:pPr>
    </w:p>
    <w:p>
      <w:pPr>
        <w:ind w:left="2780" w:hanging="652"/>
        <w:spacing w:after="0"/>
        <w:tabs>
          <w:tab w:leader="none" w:pos="27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No Default or Event of Default shall have occurred and be continuing</w:t>
      </w:r>
    </w:p>
    <w:p>
      <w:pPr>
        <w:spacing w:after="0" w:line="42"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color w:val="auto"/>
        </w:rPr>
        <w:t>as of the date hereof.</w:t>
      </w:r>
    </w:p>
    <w:p>
      <w:pPr>
        <w:spacing w:after="0" w:line="188" w:lineRule="exact"/>
        <w:rPr>
          <w:rFonts w:ascii="Arial" w:cs="Arial" w:eastAsia="Arial" w:hAnsi="Arial"/>
          <w:sz w:val="19"/>
          <w:szCs w:val="19"/>
          <w:color w:val="auto"/>
        </w:rPr>
      </w:pPr>
    </w:p>
    <w:p>
      <w:pPr>
        <w:ind w:left="2780" w:hanging="652"/>
        <w:spacing w:after="0"/>
        <w:tabs>
          <w:tab w:leader="none" w:pos="27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Agent shall have received such fees as shall have been agreed.</w:t>
      </w:r>
    </w:p>
    <w:p>
      <w:pPr>
        <w:spacing w:after="0" w:line="240" w:lineRule="exact"/>
        <w:rPr>
          <w:rFonts w:ascii="Arial" w:cs="Arial" w:eastAsia="Arial" w:hAnsi="Arial"/>
          <w:sz w:val="19"/>
          <w:szCs w:val="19"/>
          <w:color w:val="auto"/>
        </w:rPr>
      </w:pPr>
    </w:p>
    <w:p>
      <w:pPr>
        <w:jc w:val="both"/>
        <w:ind w:left="180" w:right="199" w:firstLine="1948"/>
        <w:spacing w:after="0"/>
        <w:tabs>
          <w:tab w:leader="none" w:pos="2769"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Agent shall have received, to the extent invoiced, reimbursement of all fees and expenses of counsel to the Agent required to be paid or reimbursed by the Borrower hereunder.</w:t>
      </w:r>
    </w:p>
    <w:p>
      <w:pPr>
        <w:spacing w:after="0" w:line="186" w:lineRule="exact"/>
        <w:rPr>
          <w:sz w:val="20"/>
          <w:szCs w:val="20"/>
          <w:color w:val="auto"/>
        </w:rPr>
      </w:pPr>
    </w:p>
    <w:p>
      <w:pPr>
        <w:ind w:left="180" w:right="199"/>
        <w:spacing w:after="0" w:line="250" w:lineRule="auto"/>
        <w:rPr>
          <w:sz w:val="20"/>
          <w:szCs w:val="20"/>
          <w:color w:val="auto"/>
        </w:rPr>
      </w:pPr>
      <w:r>
        <w:rPr>
          <w:rFonts w:ascii="Arial" w:cs="Arial" w:eastAsia="Arial" w:hAnsi="Arial"/>
          <w:sz w:val="22"/>
          <w:szCs w:val="22"/>
          <w:color w:val="auto"/>
        </w:rPr>
        <w:t>All of the foregoing fees shall be in all respects, fully earned, due and payable on the Effective Date and non-refundable and non- creditable thereafter.</w:t>
      </w:r>
    </w:p>
    <w:p>
      <w:pPr>
        <w:spacing w:after="0" w:line="175" w:lineRule="exact"/>
        <w:rPr>
          <w:sz w:val="20"/>
          <w:szCs w:val="20"/>
          <w:color w:val="auto"/>
        </w:rPr>
      </w:pPr>
    </w:p>
    <w:p>
      <w:pPr>
        <w:jc w:val="both"/>
        <w:ind w:left="180" w:right="199" w:firstLine="1300"/>
        <w:spacing w:after="0" w:line="234" w:lineRule="auto"/>
        <w:tabs>
          <w:tab w:leader="none" w:pos="2097" w:val="left"/>
        </w:tabs>
        <w:numPr>
          <w:ilvl w:val="0"/>
          <w:numId w:val="45"/>
        </w:numPr>
        <w:rPr>
          <w:rFonts w:ascii="Arial" w:cs="Arial" w:eastAsia="Arial" w:hAnsi="Arial"/>
          <w:sz w:val="22"/>
          <w:szCs w:val="22"/>
          <w:color w:val="010000"/>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constitutes the sole agreement of the parties hereto with respect to the transactions contemplated hereby and shall supersede all oral negotiations and the terms of prior writings with respect thereto. From and after the Effective Date, all references in the Credit Agreement and each of the other Loan Documents to the Credit Agreement shall be deemed to be references to the Credit Agreement as modified hereby. This Agreement shall constitute a Loan Document for all purposes under the Credit Agreement and each of the other Loan Documents.</w:t>
      </w:r>
    </w:p>
    <w:p>
      <w:pPr>
        <w:spacing w:after="0" w:line="190" w:lineRule="exact"/>
        <w:rPr>
          <w:rFonts w:ascii="Arial" w:cs="Arial" w:eastAsia="Arial" w:hAnsi="Arial"/>
          <w:sz w:val="22"/>
          <w:szCs w:val="22"/>
          <w:color w:val="010000"/>
        </w:rPr>
      </w:pPr>
    </w:p>
    <w:p>
      <w:pPr>
        <w:jc w:val="both"/>
        <w:ind w:left="180" w:right="199" w:firstLine="1300"/>
        <w:spacing w:after="0" w:line="236" w:lineRule="auto"/>
        <w:tabs>
          <w:tab w:leader="none" w:pos="2097" w:val="left"/>
        </w:tabs>
        <w:numPr>
          <w:ilvl w:val="0"/>
          <w:numId w:val="45"/>
        </w:numPr>
        <w:rPr>
          <w:rFonts w:ascii="Arial" w:cs="Arial" w:eastAsia="Arial" w:hAnsi="Arial"/>
          <w:sz w:val="22"/>
          <w:szCs w:val="22"/>
          <w:color w:val="010000"/>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7" w:lineRule="exact"/>
        <w:rPr>
          <w:rFonts w:ascii="Arial" w:cs="Arial" w:eastAsia="Arial" w:hAnsi="Arial"/>
          <w:sz w:val="22"/>
          <w:szCs w:val="22"/>
          <w:color w:val="010000"/>
        </w:rPr>
      </w:pPr>
    </w:p>
    <w:p>
      <w:pPr>
        <w:ind w:left="2100" w:hanging="620"/>
        <w:spacing w:after="0"/>
        <w:tabs>
          <w:tab w:leader="none" w:pos="2100" w:val="left"/>
        </w:tabs>
        <w:numPr>
          <w:ilvl w:val="0"/>
          <w:numId w:val="45"/>
        </w:numPr>
        <w:rPr>
          <w:rFonts w:ascii="Arial" w:cs="Arial" w:eastAsia="Arial" w:hAnsi="Arial"/>
          <w:sz w:val="22"/>
          <w:szCs w:val="22"/>
          <w:color w:val="010000"/>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jc w:val="both"/>
        <w:ind w:left="180" w:right="199" w:firstLine="1948"/>
        <w:spacing w:after="0" w:line="238" w:lineRule="auto"/>
        <w:tabs>
          <w:tab w:leader="none" w:pos="2769" w:val="left"/>
        </w:tabs>
        <w:numPr>
          <w:ilvl w:val="1"/>
          <w:numId w:val="45"/>
        </w:numPr>
        <w:rPr>
          <w:rFonts w:ascii="Arial" w:cs="Arial" w:eastAsia="Arial" w:hAnsi="Arial"/>
          <w:sz w:val="22"/>
          <w:szCs w:val="22"/>
          <w:color w:val="auto"/>
        </w:rPr>
      </w:pPr>
      <w:r>
        <w:rPr>
          <w:rFonts w:ascii="Arial" w:cs="Arial" w:eastAsia="Arial" w:hAnsi="Arial"/>
          <w:sz w:val="22"/>
          <w:szCs w:val="22"/>
          <w:color w:val="auto"/>
        </w:rPr>
        <w:t>The Borrower agrees to pay all of the Agent’s reasonable out-of-pocket fees and expenses incurred in connection with this Agreement and the transactions contemplated hereby, including, without limitation, the reasonable fees and expenses of counsel to the Agent.</w:t>
      </w:r>
    </w:p>
    <w:p>
      <w:pPr>
        <w:spacing w:after="0" w:line="184" w:lineRule="exact"/>
        <w:rPr>
          <w:rFonts w:ascii="Arial" w:cs="Arial" w:eastAsia="Arial" w:hAnsi="Arial"/>
          <w:sz w:val="22"/>
          <w:szCs w:val="22"/>
          <w:color w:val="auto"/>
        </w:rPr>
      </w:pPr>
    </w:p>
    <w:p>
      <w:pPr>
        <w:jc w:val="both"/>
        <w:ind w:left="180" w:right="199" w:firstLine="1948"/>
        <w:spacing w:after="0" w:line="279" w:lineRule="auto"/>
        <w:tabs>
          <w:tab w:leader="none" w:pos="2781" w:val="left"/>
        </w:tabs>
        <w:numPr>
          <w:ilvl w:val="1"/>
          <w:numId w:val="45"/>
        </w:numPr>
        <w:rPr>
          <w:rFonts w:ascii="Arial" w:cs="Arial" w:eastAsia="Arial" w:hAnsi="Arial"/>
          <w:sz w:val="19"/>
          <w:szCs w:val="19"/>
          <w:color w:val="auto"/>
        </w:rPr>
      </w:pPr>
      <w:r>
        <w:rPr>
          <w:rFonts w:ascii="Arial" w:cs="Arial" w:eastAsia="Arial" w:hAnsi="Arial"/>
          <w:sz w:val="19"/>
          <w:szCs w:val="19"/>
          <w:color w:val="auto"/>
        </w:rPr>
        <w:t>All terms, conditions, provisions and covenants in the Loan Documents and all other documents delivered to the Agent and the Banks in connection therewith shall remain unaltered and in full force and effect except as expressly modified or amended hereby. To the extent that any term or provision of this Agreement is or may be deemed expressly inconsistent with any term or provision in any Loan Document or any other document executed in connection therewith, the terms and provisions hereof shall control.</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#403709674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0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0" w:name="page81"/>
    <w:bookmarkEnd w:id="80"/>
    <w:p>
      <w:pPr>
        <w:jc w:val="both"/>
        <w:ind w:left="180" w:right="199" w:firstLine="1948"/>
        <w:spacing w:after="0" w:line="297" w:lineRule="auto"/>
        <w:tabs>
          <w:tab w:leader="none" w:pos="2769"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execution, delivery and effectiveness of this Agreement shall neither operate as a waiver of any right, power or remedy of the Agent or the Banks under any of the Loan Documents nor constitute a waiver of any Default or Event of Default thereunder.</w:t>
      </w:r>
    </w:p>
    <w:p>
      <w:pPr>
        <w:spacing w:after="0" w:line="134" w:lineRule="exact"/>
        <w:rPr>
          <w:rFonts w:ascii="Arial" w:cs="Arial" w:eastAsia="Arial" w:hAnsi="Arial"/>
          <w:sz w:val="19"/>
          <w:szCs w:val="19"/>
          <w:color w:val="auto"/>
        </w:rPr>
      </w:pPr>
    </w:p>
    <w:p>
      <w:pPr>
        <w:jc w:val="both"/>
        <w:ind w:left="180" w:right="199" w:firstLine="1948"/>
        <w:spacing w:after="0" w:line="236" w:lineRule="auto"/>
        <w:tabs>
          <w:tab w:leader="none" w:pos="2781" w:val="left"/>
        </w:tabs>
        <w:numPr>
          <w:ilvl w:val="0"/>
          <w:numId w:val="46"/>
        </w:numPr>
        <w:rPr>
          <w:rFonts w:ascii="Arial" w:cs="Arial" w:eastAsia="Arial" w:hAnsi="Arial"/>
          <w:sz w:val="22"/>
          <w:szCs w:val="22"/>
          <w:color w:val="auto"/>
        </w:rPr>
      </w:pPr>
      <w:r>
        <w:rPr>
          <w:rFonts w:ascii="Arial" w:cs="Arial" w:eastAsia="Arial" w:hAnsi="Arial"/>
          <w:sz w:val="22"/>
          <w:szCs w:val="22"/>
          <w:color w:val="auto"/>
        </w:rPr>
        <w:t>In consideration of the Agent’s and the Banks’ agreement to amend the existing revolving credit facility, the Borrower hereby waives and releases the Agent and the Banks and their respective officers, attorneys, agents and employees from any liability, suit, damage, claim, loss or expense of any kind or failure whatsoever and howsoever arising that it ever had up until, or has as of, the date of this Agreement.</w:t>
      </w:r>
    </w:p>
    <w:p>
      <w:pPr>
        <w:spacing w:after="0" w:line="187" w:lineRule="exact"/>
        <w:rPr>
          <w:rFonts w:ascii="Arial" w:cs="Arial" w:eastAsia="Arial" w:hAnsi="Arial"/>
          <w:sz w:val="22"/>
          <w:szCs w:val="22"/>
          <w:color w:val="auto"/>
        </w:rPr>
      </w:pPr>
    </w:p>
    <w:p>
      <w:pPr>
        <w:ind w:left="180" w:right="199" w:firstLine="1948"/>
        <w:spacing w:after="0" w:line="250" w:lineRule="auto"/>
        <w:tabs>
          <w:tab w:leader="none" w:pos="2769"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according to the laws of the Commonwealth of Pennsylvania.</w:t>
      </w:r>
    </w:p>
    <w:p>
      <w:pPr>
        <w:spacing w:after="0" w:line="174" w:lineRule="exact"/>
        <w:rPr>
          <w:rFonts w:ascii="Arial" w:cs="Arial" w:eastAsia="Arial" w:hAnsi="Arial"/>
          <w:sz w:val="22"/>
          <w:szCs w:val="22"/>
          <w:color w:val="auto"/>
        </w:rPr>
      </w:pPr>
    </w:p>
    <w:p>
      <w:pPr>
        <w:ind w:left="180" w:right="199" w:firstLine="1948"/>
        <w:spacing w:after="0" w:line="250" w:lineRule="auto"/>
        <w:tabs>
          <w:tab w:leader="none" w:pos="2785"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binding upon, the parties hereto and their respective successors and assigns.</w:t>
      </w:r>
    </w:p>
    <w:p>
      <w:pPr>
        <w:spacing w:after="0" w:line="174" w:lineRule="exact"/>
        <w:rPr>
          <w:rFonts w:ascii="Arial" w:cs="Arial" w:eastAsia="Arial" w:hAnsi="Arial"/>
          <w:sz w:val="22"/>
          <w:szCs w:val="22"/>
          <w:color w:val="auto"/>
        </w:rPr>
      </w:pPr>
    </w:p>
    <w:p>
      <w:pPr>
        <w:jc w:val="both"/>
        <w:ind w:left="180" w:right="199" w:firstLine="1948"/>
        <w:spacing w:after="0"/>
        <w:tabs>
          <w:tab w:leader="none" w:pos="2781"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headings used in this Agreement are for convenience of reference only, do not form a part of this Agreement and shall not affect in any way the meaning or interpretation of this Agreement.</w:t>
      </w:r>
    </w:p>
    <w:p>
      <w:pPr>
        <w:spacing w:after="0" w:line="186" w:lineRule="exact"/>
        <w:rPr>
          <w:rFonts w:ascii="Arial" w:cs="Arial" w:eastAsia="Arial" w:hAnsi="Arial"/>
          <w:sz w:val="22"/>
          <w:szCs w:val="22"/>
          <w:color w:val="auto"/>
        </w:rPr>
      </w:pPr>
    </w:p>
    <w:p>
      <w:pPr>
        <w:jc w:val="both"/>
        <w:ind w:left="180" w:right="199" w:firstLine="1948"/>
        <w:spacing w:after="0" w:line="249" w:lineRule="auto"/>
        <w:tabs>
          <w:tab w:leader="none" w:pos="2781" w:val="left"/>
        </w:tabs>
        <w:numPr>
          <w:ilvl w:val="0"/>
          <w:numId w:val="46"/>
        </w:numPr>
        <w:rPr>
          <w:rFonts w:ascii="Arial" w:cs="Arial" w:eastAsia="Arial" w:hAnsi="Arial"/>
          <w:sz w:val="21"/>
          <w:szCs w:val="21"/>
          <w:color w:val="auto"/>
        </w:rPr>
      </w:pPr>
      <w:r>
        <w:rPr>
          <w:rFonts w:ascii="Arial" w:cs="Arial" w:eastAsia="Arial" w:hAnsi="Arial"/>
          <w:sz w:val="21"/>
          <w:szCs w:val="21"/>
          <w:color w:val="auto"/>
        </w:rPr>
        <w:t>This Agreement may be executed in one or more counterparts, each of which counterparts when executed and delivered shall be deemed to be an original, and all of which shall constitute one and the same instrument. Delivery of an executed counterpart of a signature page to this Agreement by facsimile or other electronic transmission will be effective as delivery of a manually executed counterpart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#403709674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0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1" w:name="page82"/>
    <w:bookmarkEnd w:id="81"/>
    <w:p>
      <w:pPr>
        <w:ind w:left="180" w:right="199" w:firstLine="1296"/>
        <w:spacing w:after="0" w:line="328" w:lineRule="auto"/>
        <w:rPr>
          <w:sz w:val="20"/>
          <w:szCs w:val="20"/>
          <w:color w:val="auto"/>
        </w:rPr>
      </w:pPr>
      <w:r>
        <w:rPr>
          <w:rFonts w:ascii="Arial" w:cs="Arial" w:eastAsia="Arial" w:hAnsi="Arial"/>
          <w:sz w:val="19"/>
          <w:szCs w:val="19"/>
          <w:color w:val="auto"/>
        </w:rPr>
        <w:t>IN WITNESS WHEREOF, the Borrower, the Agent and the Banks have caused this Agreement to be executed by their duly authorized officers as of the date first above written.</w:t>
      </w:r>
    </w:p>
    <w:p>
      <w:pPr>
        <w:spacing w:after="0" w:line="105"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AQUA PENNSYLVANIA, INC.</w:t>
      </w:r>
    </w:p>
    <w:p>
      <w:pPr>
        <w:ind w:left="4800"/>
        <w:spacing w:after="0" w:line="238" w:lineRule="auto"/>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Stan Szczygiel</w:t>
      </w:r>
    </w:p>
    <w:p>
      <w:pPr>
        <w:ind w:left="4800"/>
        <w:spacing w:after="0" w:line="230" w:lineRule="auto"/>
        <w:rPr>
          <w:sz w:val="20"/>
          <w:szCs w:val="20"/>
          <w:color w:val="auto"/>
        </w:rPr>
      </w:pPr>
      <w:r>
        <w:rPr>
          <w:rFonts w:ascii="Arial" w:cs="Arial" w:eastAsia="Arial" w:hAnsi="Arial"/>
          <w:sz w:val="22"/>
          <w:szCs w:val="22"/>
          <w:color w:val="auto"/>
        </w:rPr>
        <w:t>Name: Stan Szczygiel</w:t>
      </w:r>
    </w:p>
    <w:p>
      <w:pPr>
        <w:spacing w:after="0" w:line="1" w:lineRule="exact"/>
        <w:rPr>
          <w:sz w:val="20"/>
          <w:szCs w:val="20"/>
          <w:color w:val="auto"/>
        </w:rPr>
      </w:pPr>
    </w:p>
    <w:p>
      <w:pPr>
        <w:ind w:left="4800"/>
        <w:spacing w:after="0"/>
        <w:tabs>
          <w:tab w:leader="none" w:pos="54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SVP Finance and Treasurer</w:t>
      </w:r>
    </w:p>
    <w:p>
      <w:pPr>
        <w:spacing w:after="0" w:line="200" w:lineRule="exact"/>
        <w:rPr>
          <w:sz w:val="20"/>
          <w:szCs w:val="20"/>
          <w:color w:val="auto"/>
        </w:rPr>
      </w:pPr>
    </w:p>
    <w:p>
      <w:pPr>
        <w:spacing w:after="0" w:line="25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PNC BANK, NATIONAL ASSOCIATION,</w:t>
      </w:r>
    </w:p>
    <w:p>
      <w:pPr>
        <w:spacing w:after="0" w:line="8"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as Agent and as a Bank</w:t>
      </w:r>
    </w:p>
    <w:p>
      <w:pPr>
        <w:spacing w:after="0" w:line="186" w:lineRule="exact"/>
        <w:rPr>
          <w:sz w:val="20"/>
          <w:szCs w:val="20"/>
          <w:color w:val="auto"/>
        </w:rPr>
      </w:pPr>
    </w:p>
    <w:tbl>
      <w:tblPr>
        <w:tblLayout w:type="fixed"/>
        <w:tblInd w:w="4800" w:type="dxa"/>
        <w:tblCellMar>
          <w:top w:w="0" w:type="dxa"/>
          <w:left w:w="0" w:type="dxa"/>
          <w:bottom w:w="0" w:type="dxa"/>
          <w:right w:w="0" w:type="dxa"/>
        </w:tblCellMar>
      </w:tblPr>
      <w:tr>
        <w:trPr>
          <w:trHeight w:val="253"/>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w:t>
            </w:r>
          </w:p>
        </w:tc>
        <w:tc>
          <w:tcPr>
            <w:tcW w:w="106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w w:val="87"/>
              </w:rPr>
              <w:t>Domenic</w:t>
            </w:r>
          </w:p>
        </w:tc>
      </w:tr>
      <w:tr>
        <w:trPr>
          <w:trHeight w:val="223"/>
        </w:trPr>
        <w:tc>
          <w:tcPr>
            <w:tcW w:w="2960" w:type="dxa"/>
            <w:vAlign w:val="bottom"/>
            <w:gridSpan w:val="4"/>
          </w:tcPr>
          <w:p>
            <w:pPr>
              <w:spacing w:after="0" w:line="223" w:lineRule="exact"/>
              <w:rPr>
                <w:sz w:val="20"/>
                <w:szCs w:val="20"/>
                <w:color w:val="auto"/>
              </w:rPr>
            </w:pPr>
            <w:r>
              <w:rPr>
                <w:rFonts w:ascii="Arial" w:cs="Arial" w:eastAsia="Arial" w:hAnsi="Arial"/>
                <w:sz w:val="22"/>
                <w:szCs w:val="22"/>
                <w:color w:val="auto"/>
              </w:rPr>
              <w:t>D’Ginto</w:t>
            </w:r>
          </w:p>
        </w:tc>
        <w:tc>
          <w:tcPr>
            <w:tcW w:w="1060" w:type="dxa"/>
            <w:vAlign w:val="bottom"/>
          </w:tcPr>
          <w:p>
            <w:pPr>
              <w:spacing w:after="0"/>
              <w:rPr>
                <w:sz w:val="19"/>
                <w:szCs w:val="19"/>
                <w:color w:val="auto"/>
              </w:rPr>
            </w:pPr>
          </w:p>
        </w:tc>
      </w:tr>
      <w:tr>
        <w:trPr>
          <w:trHeight w:val="242"/>
        </w:trPr>
        <w:tc>
          <w:tcPr>
            <w:tcW w:w="62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w w:val="92"/>
              </w:rPr>
              <w:t>Name:</w:t>
            </w:r>
          </w:p>
        </w:tc>
        <w:tc>
          <w:tcPr>
            <w:tcW w:w="100" w:type="dxa"/>
            <w:vAlign w:val="bottom"/>
            <w:tcBorders>
              <w:top w:val="single" w:sz="8" w:color="auto"/>
            </w:tcBorders>
          </w:tcPr>
          <w:p>
            <w:pPr>
              <w:spacing w:after="0"/>
              <w:rPr>
                <w:sz w:val="21"/>
                <w:szCs w:val="21"/>
                <w:color w:val="auto"/>
              </w:rPr>
            </w:pPr>
          </w:p>
        </w:tc>
        <w:tc>
          <w:tcPr>
            <w:tcW w:w="2240" w:type="dxa"/>
            <w:vAlign w:val="bottom"/>
            <w:gridSpan w:val="2"/>
          </w:tcPr>
          <w:p>
            <w:pPr>
              <w:ind w:left="80"/>
              <w:spacing w:after="0" w:line="242" w:lineRule="exact"/>
              <w:rPr>
                <w:sz w:val="20"/>
                <w:szCs w:val="20"/>
                <w:color w:val="auto"/>
              </w:rPr>
            </w:pPr>
            <w:r>
              <w:rPr>
                <w:rFonts w:ascii="Arial" w:cs="Arial" w:eastAsia="Arial" w:hAnsi="Arial"/>
                <w:sz w:val="22"/>
                <w:szCs w:val="22"/>
                <w:color w:val="auto"/>
              </w:rPr>
              <w:t>Domenic D’Ginto</w:t>
            </w:r>
          </w:p>
        </w:tc>
        <w:tc>
          <w:tcPr>
            <w:tcW w:w="1060" w:type="dxa"/>
            <w:vAlign w:val="bottom"/>
          </w:tcPr>
          <w:p>
            <w:pPr>
              <w:spacing w:after="0"/>
              <w:rPr>
                <w:sz w:val="21"/>
                <w:szCs w:val="21"/>
                <w:color w:val="auto"/>
              </w:rPr>
            </w:pPr>
          </w:p>
        </w:tc>
      </w:tr>
      <w:tr>
        <w:trPr>
          <w:trHeight w:val="274"/>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2340" w:type="dxa"/>
            <w:vAlign w:val="bottom"/>
            <w:gridSpan w:val="3"/>
          </w:tcPr>
          <w:p>
            <w:pPr>
              <w:ind w:left="60"/>
              <w:spacing w:after="0"/>
              <w:rPr>
                <w:sz w:val="20"/>
                <w:szCs w:val="20"/>
                <w:color w:val="auto"/>
              </w:rPr>
            </w:pPr>
            <w:r>
              <w:rPr>
                <w:rFonts w:ascii="Arial" w:cs="Arial" w:eastAsia="Arial" w:hAnsi="Arial"/>
                <w:sz w:val="22"/>
                <w:szCs w:val="22"/>
                <w:color w:val="auto"/>
              </w:rPr>
              <w:t>Managing Director</w:t>
            </w:r>
          </w:p>
        </w:tc>
        <w:tc>
          <w:tcPr>
            <w:tcW w:w="1060" w:type="dxa"/>
            <w:vAlign w:val="bottom"/>
          </w:tcPr>
          <w:p>
            <w:pPr>
              <w:spacing w:after="0"/>
              <w:rPr>
                <w:sz w:val="23"/>
                <w:szCs w:val="23"/>
                <w:color w:val="auto"/>
              </w:rPr>
            </w:pPr>
          </w:p>
        </w:tc>
      </w:tr>
    </w:tbl>
    <w:p>
      <w:pPr>
        <w:spacing w:after="0" w:line="200" w:lineRule="exact"/>
        <w:rPr>
          <w:sz w:val="20"/>
          <w:szCs w:val="20"/>
          <w:color w:val="auto"/>
        </w:rPr>
      </w:pPr>
    </w:p>
    <w:p>
      <w:pPr>
        <w:spacing w:after="0" w:line="255"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CITIZENS BANK, N.A., as a Bank</w:t>
      </w:r>
    </w:p>
    <w:p>
      <w:pPr>
        <w:jc w:val="both"/>
        <w:ind w:left="4800"/>
        <w:spacing w:after="0"/>
        <w:tabs>
          <w:tab w:leader="none" w:pos="6920" w:val="left"/>
          <w:tab w:leader="none" w:pos="7600" w:val="left"/>
          <w:tab w:leader="none" w:pos="86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w:t>
      </w:r>
      <w:r>
        <w:rPr>
          <w:sz w:val="20"/>
          <w:szCs w:val="20"/>
          <w:color w:val="auto"/>
        </w:rPr>
        <w:tab/>
      </w:r>
      <w:r>
        <w:rPr>
          <w:rFonts w:ascii="Arial" w:cs="Arial" w:eastAsia="Arial" w:hAnsi="Arial"/>
          <w:sz w:val="22"/>
          <w:szCs w:val="22"/>
          <w:color w:val="auto"/>
        </w:rPr>
        <w:t>Leslie</w:t>
      </w:r>
      <w:r>
        <w:rPr>
          <w:sz w:val="20"/>
          <w:szCs w:val="20"/>
          <w:color w:val="auto"/>
        </w:rPr>
        <w:tab/>
      </w: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-22860</wp:posOffset>
            </wp:positionV>
            <wp:extent cx="11893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1189355" cy="8255"/>
                    </a:xfrm>
                    <a:prstGeom prst="rect">
                      <a:avLst/>
                    </a:prstGeom>
                    <a:noFill/>
                  </pic:spPr>
                </pic:pic>
              </a:graphicData>
            </a:graphic>
          </wp:anchor>
        </w:drawing>
      </w:r>
    </w:p>
    <w:p>
      <w:pPr>
        <w:ind w:left="4800"/>
        <w:spacing w:after="0" w:line="230" w:lineRule="auto"/>
        <w:rPr>
          <w:sz w:val="20"/>
          <w:szCs w:val="20"/>
          <w:color w:val="auto"/>
        </w:rPr>
      </w:pPr>
      <w:r>
        <w:rPr>
          <w:rFonts w:ascii="Arial" w:cs="Arial" w:eastAsia="Arial" w:hAnsi="Arial"/>
          <w:sz w:val="22"/>
          <w:szCs w:val="22"/>
          <w:u w:val="single" w:color="auto"/>
          <w:color w:val="auto"/>
        </w:rPr>
        <w:t>Broderick</w:t>
      </w:r>
    </w:p>
    <w:p>
      <w:pPr>
        <w:ind w:left="4800"/>
        <w:spacing w:after="0"/>
        <w:tabs>
          <w:tab w:leader="none" w:pos="55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Leslie D. Broderick</w:t>
      </w:r>
    </w:p>
    <w:p>
      <w:pPr>
        <w:ind w:left="4800"/>
        <w:spacing w:after="0"/>
        <w:tabs>
          <w:tab w:leader="none" w:pos="54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200" w:lineRule="exact"/>
        <w:rPr>
          <w:sz w:val="20"/>
          <w:szCs w:val="20"/>
          <w:color w:val="auto"/>
        </w:rPr>
      </w:pPr>
    </w:p>
    <w:p>
      <w:pPr>
        <w:spacing w:after="0" w:line="258"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TD BANK, N.A., as a Bank</w:t>
      </w:r>
    </w:p>
    <w:p>
      <w:pPr>
        <w:spacing w:after="0" w:line="233"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Jennifer L. Suspenski</w:t>
      </w:r>
    </w:p>
    <w:p>
      <w:pPr>
        <w:ind w:left="4800"/>
        <w:spacing w:after="0"/>
        <w:tabs>
          <w:tab w:leader="none" w:pos="55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Jennifer L. Suspenski</w:t>
      </w:r>
    </w:p>
    <w:p>
      <w:pPr>
        <w:ind w:left="4800"/>
        <w:spacing w:after="0"/>
        <w:tabs>
          <w:tab w:leader="none" w:pos="54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58"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THE HUNTINGTON NATIONAL BANK,</w:t>
      </w:r>
    </w:p>
    <w:p>
      <w:pPr>
        <w:spacing w:after="0" w:line="8"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as a Bank</w:t>
      </w:r>
    </w:p>
    <w:p>
      <w:pPr>
        <w:spacing w:after="0" w:line="215" w:lineRule="exact"/>
        <w:rPr>
          <w:sz w:val="20"/>
          <w:szCs w:val="20"/>
          <w:color w:val="auto"/>
        </w:rPr>
      </w:pPr>
    </w:p>
    <w:p>
      <w:pPr>
        <w:ind w:left="4800"/>
        <w:spacing w:after="0"/>
        <w:tabs>
          <w:tab w:leader="none" w:pos="53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Marcel Fournier</w:t>
      </w:r>
    </w:p>
    <w:p>
      <w:pPr>
        <w:ind w:left="4800"/>
        <w:spacing w:after="0"/>
        <w:tabs>
          <w:tab w:leader="none" w:pos="55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Marcel Fournier</w:t>
      </w:r>
    </w:p>
    <w:p>
      <w:pPr>
        <w:ind w:left="4800"/>
        <w:spacing w:after="0"/>
        <w:tabs>
          <w:tab w:leader="none" w:pos="54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the Sixth Amendment to Credit Agreement</w:t>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#403709674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14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82" w:name="page83"/>
    <w:bookmarkEnd w:id="82"/>
    <w:p>
      <w:pPr>
        <w:ind w:left="8904"/>
        <w:spacing w:after="0"/>
        <w:rPr>
          <w:sz w:val="20"/>
          <w:szCs w:val="20"/>
          <w:color w:val="auto"/>
        </w:rPr>
      </w:pPr>
      <w:r>
        <w:rPr>
          <w:rFonts w:ascii="Arial" w:cs="Arial" w:eastAsia="Arial" w:hAnsi="Arial"/>
          <w:sz w:val="19"/>
          <w:szCs w:val="19"/>
          <w:color w:val="auto"/>
        </w:rPr>
        <w:t>Exhibit 31.1</w:t>
      </w:r>
    </w:p>
    <w:p>
      <w:pPr>
        <w:spacing w:after="0" w:line="133" w:lineRule="exact"/>
        <w:rPr>
          <w:sz w:val="20"/>
          <w:szCs w:val="20"/>
          <w:color w:val="auto"/>
        </w:rPr>
      </w:pPr>
    </w:p>
    <w:p>
      <w:pPr>
        <w:ind w:left="124"/>
        <w:spacing w:after="0"/>
        <w:rPr>
          <w:sz w:val="20"/>
          <w:szCs w:val="20"/>
          <w:color w:val="auto"/>
        </w:rPr>
      </w:pPr>
      <w:r>
        <w:rPr>
          <w:rFonts w:ascii="Arial" w:cs="Arial" w:eastAsia="Arial" w:hAnsi="Arial"/>
          <w:sz w:val="19"/>
          <w:szCs w:val="19"/>
          <w:color w:val="auto"/>
        </w:rPr>
        <w:t>CERTIFICATION OF CHIEF EXECUTIVE OFFICER, PURSUANT TO RULE 13A-14(A) UNDER THE SECURITIES</w:t>
      </w:r>
    </w:p>
    <w:p>
      <w:pPr>
        <w:jc w:val="center"/>
        <w:ind w:right="36"/>
        <w:spacing w:after="0"/>
        <w:rPr>
          <w:sz w:val="20"/>
          <w:szCs w:val="20"/>
          <w:color w:val="auto"/>
        </w:rPr>
      </w:pPr>
      <w:r>
        <w:rPr>
          <w:rFonts w:ascii="Arial" w:cs="Arial" w:eastAsia="Arial" w:hAnsi="Arial"/>
          <w:sz w:val="20"/>
          <w:szCs w:val="20"/>
          <w:color w:val="auto"/>
        </w:rPr>
        <w:t>AND EXCHANGE ACT OF 1934</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0"/>
          <w:szCs w:val="20"/>
          <w:color w:val="auto"/>
        </w:rPr>
        <w:t>I, Christopher H. Franklin, certify that:</w:t>
      </w:r>
    </w:p>
    <w:p>
      <w:pPr>
        <w:spacing w:after="0" w:line="123" w:lineRule="exact"/>
        <w:rPr>
          <w:sz w:val="20"/>
          <w:szCs w:val="20"/>
          <w:color w:val="auto"/>
        </w:rPr>
      </w:pPr>
    </w:p>
    <w:p>
      <w:pPr>
        <w:ind w:left="324" w:hanging="324"/>
        <w:spacing w:after="0"/>
        <w:tabs>
          <w:tab w:leader="none" w:pos="324" w:val="left"/>
        </w:tabs>
        <w:numPr>
          <w:ilvl w:val="0"/>
          <w:numId w:val="4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Essential Utilities, Inc.;</w:t>
      </w:r>
    </w:p>
    <w:p>
      <w:pPr>
        <w:jc w:val="both"/>
        <w:ind w:left="324" w:right="220" w:hanging="324"/>
        <w:spacing w:after="0" w:line="197" w:lineRule="auto"/>
        <w:tabs>
          <w:tab w:leader="none" w:pos="324" w:val="left"/>
        </w:tabs>
        <w:numPr>
          <w:ilvl w:val="0"/>
          <w:numId w:val="4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180" w:hanging="324"/>
        <w:spacing w:after="0" w:line="197" w:lineRule="auto"/>
        <w:tabs>
          <w:tab w:leader="none" w:pos="324" w:val="left"/>
        </w:tabs>
        <w:numPr>
          <w:ilvl w:val="0"/>
          <w:numId w:val="4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100" w:hanging="324"/>
        <w:spacing w:after="0" w:line="207" w:lineRule="auto"/>
        <w:tabs>
          <w:tab w:leader="none" w:pos="324"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hanging="320"/>
        <w:spacing w:after="0" w:line="197" w:lineRule="auto"/>
        <w:tabs>
          <w:tab w:leader="none" w:pos="644" w:val="left"/>
        </w:tabs>
        <w:numPr>
          <w:ilvl w:val="1"/>
          <w:numId w:val="4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4" w:right="60" w:hanging="320"/>
        <w:spacing w:after="0" w:line="197" w:lineRule="auto"/>
        <w:tabs>
          <w:tab w:leader="none" w:pos="644" w:val="left"/>
        </w:tabs>
        <w:numPr>
          <w:ilvl w:val="1"/>
          <w:numId w:val="47"/>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4" w:right="100" w:hanging="320"/>
        <w:spacing w:after="0" w:line="197" w:lineRule="auto"/>
        <w:tabs>
          <w:tab w:leader="none" w:pos="644" w:val="left"/>
        </w:tabs>
        <w:numPr>
          <w:ilvl w:val="1"/>
          <w:numId w:val="4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240" w:hanging="320"/>
        <w:spacing w:after="0" w:line="197" w:lineRule="auto"/>
        <w:tabs>
          <w:tab w:leader="none" w:pos="644" w:val="left"/>
        </w:tabs>
        <w:numPr>
          <w:ilvl w:val="1"/>
          <w:numId w:val="4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24" w:right="40" w:hanging="324"/>
        <w:spacing w:after="0" w:line="197" w:lineRule="auto"/>
        <w:tabs>
          <w:tab w:leader="none" w:pos="324"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300" w:hanging="320"/>
        <w:spacing w:after="0" w:line="197" w:lineRule="auto"/>
        <w:tabs>
          <w:tab w:leader="none" w:pos="644" w:val="left"/>
        </w:tabs>
        <w:numPr>
          <w:ilvl w:val="1"/>
          <w:numId w:val="4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80" w:hanging="320"/>
        <w:spacing w:after="0" w:line="220" w:lineRule="auto"/>
        <w:tabs>
          <w:tab w:leader="none" w:pos="644" w:val="left"/>
        </w:tabs>
        <w:numPr>
          <w:ilvl w:val="1"/>
          <w:numId w:val="4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87" w:lineRule="auto"/>
        <w:rPr>
          <w:sz w:val="20"/>
          <w:szCs w:val="20"/>
          <w:color w:val="auto"/>
        </w:rPr>
      </w:pPr>
      <w:r>
        <w:rPr>
          <w:rFonts w:ascii="Arial" w:cs="Arial" w:eastAsia="Arial" w:hAnsi="Arial"/>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30861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ind w:left="124"/>
        <w:spacing w:after="0" w:line="188"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334645</wp:posOffset>
            </wp:positionV>
            <wp:extent cx="6351905" cy="50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4"/>
          </w:cols>
          <w:pgMar w:left="976" w:top="81" w:right="999" w:bottom="1440" w:gutter="0" w:footer="0" w:header="0"/>
        </w:sectPr>
      </w:pPr>
    </w:p>
    <w:bookmarkStart w:id="83" w:name="page84"/>
    <w:bookmarkEnd w:id="83"/>
    <w:p>
      <w:pPr>
        <w:jc w:val="right"/>
        <w:spacing w:after="0"/>
        <w:rPr>
          <w:sz w:val="20"/>
          <w:szCs w:val="20"/>
          <w:color w:val="auto"/>
        </w:rPr>
      </w:pPr>
      <w:r>
        <w:rPr>
          <w:rFonts w:ascii="Arial" w:cs="Arial" w:eastAsia="Arial" w:hAnsi="Arial"/>
          <w:sz w:val="20"/>
          <w:szCs w:val="20"/>
          <w:color w:val="auto"/>
        </w:rPr>
        <w:t>Exhibit 31.2</w:t>
      </w:r>
    </w:p>
    <w:p>
      <w:pPr>
        <w:spacing w:after="0" w:line="136" w:lineRule="exact"/>
        <w:rPr>
          <w:sz w:val="20"/>
          <w:szCs w:val="20"/>
          <w:color w:val="auto"/>
        </w:rPr>
      </w:pPr>
    </w:p>
    <w:p>
      <w:pPr>
        <w:ind w:left="144"/>
        <w:spacing w:after="0"/>
        <w:rPr>
          <w:sz w:val="20"/>
          <w:szCs w:val="20"/>
          <w:color w:val="auto"/>
        </w:rPr>
      </w:pPr>
      <w:r>
        <w:rPr>
          <w:rFonts w:ascii="Arial" w:cs="Arial" w:eastAsia="Arial" w:hAnsi="Arial"/>
          <w:sz w:val="19"/>
          <w:szCs w:val="19"/>
          <w:color w:val="auto"/>
        </w:rPr>
        <w:t>CERTIFICATION OF CHIEF FINANCIAL OFFICER, PURSUANT TO RULE 13A-14(A) UNDER THE SECURITIES</w:t>
      </w:r>
    </w:p>
    <w:p>
      <w:pPr>
        <w:jc w:val="center"/>
        <w:ind w:right="96"/>
        <w:spacing w:after="0"/>
        <w:rPr>
          <w:sz w:val="20"/>
          <w:szCs w:val="20"/>
          <w:color w:val="auto"/>
        </w:rPr>
      </w:pPr>
      <w:r>
        <w:rPr>
          <w:rFonts w:ascii="Arial" w:cs="Arial" w:eastAsia="Arial" w:hAnsi="Arial"/>
          <w:sz w:val="20"/>
          <w:szCs w:val="20"/>
          <w:color w:val="auto"/>
        </w:rPr>
        <w:t>AND EXCHANGE ACT OF 1934</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0"/>
          <w:szCs w:val="20"/>
          <w:color w:val="auto"/>
        </w:rPr>
        <w:t>I, Daniel J. Schuller, certify that:</w:t>
      </w:r>
    </w:p>
    <w:p>
      <w:pPr>
        <w:spacing w:after="0" w:line="123" w:lineRule="exact"/>
        <w:rPr>
          <w:sz w:val="20"/>
          <w:szCs w:val="20"/>
          <w:color w:val="auto"/>
        </w:rPr>
      </w:pPr>
    </w:p>
    <w:p>
      <w:pPr>
        <w:ind w:left="324" w:hanging="324"/>
        <w:spacing w:after="0"/>
        <w:tabs>
          <w:tab w:leader="none" w:pos="324" w:val="left"/>
        </w:tabs>
        <w:numPr>
          <w:ilvl w:val="0"/>
          <w:numId w:val="4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Essential Utilities, Inc.;</w:t>
      </w:r>
    </w:p>
    <w:p>
      <w:pPr>
        <w:jc w:val="both"/>
        <w:ind w:left="324" w:right="240" w:hanging="324"/>
        <w:spacing w:after="0" w:line="197" w:lineRule="auto"/>
        <w:tabs>
          <w:tab w:leader="none" w:pos="324" w:val="left"/>
        </w:tabs>
        <w:numPr>
          <w:ilvl w:val="0"/>
          <w:numId w:val="4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200" w:hanging="324"/>
        <w:spacing w:after="0" w:line="197" w:lineRule="auto"/>
        <w:tabs>
          <w:tab w:leader="none" w:pos="324" w:val="left"/>
        </w:tabs>
        <w:numPr>
          <w:ilvl w:val="0"/>
          <w:numId w:val="4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120" w:hanging="324"/>
        <w:spacing w:after="0" w:line="207" w:lineRule="auto"/>
        <w:tabs>
          <w:tab w:leader="none" w:pos="324"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right="20" w:hanging="320"/>
        <w:spacing w:after="0" w:line="197" w:lineRule="auto"/>
        <w:tabs>
          <w:tab w:leader="none" w:pos="644" w:val="left"/>
        </w:tabs>
        <w:numPr>
          <w:ilvl w:val="1"/>
          <w:numId w:val="48"/>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4" w:right="80" w:hanging="320"/>
        <w:spacing w:after="0" w:line="197" w:lineRule="auto"/>
        <w:tabs>
          <w:tab w:leader="none" w:pos="644" w:val="left"/>
        </w:tabs>
        <w:numPr>
          <w:ilvl w:val="1"/>
          <w:numId w:val="48"/>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4" w:right="120" w:hanging="320"/>
        <w:spacing w:after="0" w:line="197" w:lineRule="auto"/>
        <w:tabs>
          <w:tab w:leader="none" w:pos="644" w:val="left"/>
        </w:tabs>
        <w:numPr>
          <w:ilvl w:val="1"/>
          <w:numId w:val="4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260" w:hanging="320"/>
        <w:spacing w:after="0" w:line="197" w:lineRule="auto"/>
        <w:tabs>
          <w:tab w:leader="none" w:pos="644" w:val="left"/>
        </w:tabs>
        <w:numPr>
          <w:ilvl w:val="1"/>
          <w:numId w:val="48"/>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24" w:right="60" w:hanging="324"/>
        <w:spacing w:after="0" w:line="197" w:lineRule="auto"/>
        <w:tabs>
          <w:tab w:leader="none" w:pos="324"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320" w:hanging="320"/>
        <w:spacing w:after="0" w:line="197" w:lineRule="auto"/>
        <w:tabs>
          <w:tab w:leader="none" w:pos="644" w:val="left"/>
        </w:tabs>
        <w:numPr>
          <w:ilvl w:val="1"/>
          <w:numId w:val="4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100" w:hanging="320"/>
        <w:spacing w:after="0" w:line="220" w:lineRule="auto"/>
        <w:tabs>
          <w:tab w:leader="none" w:pos="644" w:val="left"/>
        </w:tabs>
        <w:numPr>
          <w:ilvl w:val="1"/>
          <w:numId w:val="4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Daniel J. Schuller</w:t>
      </w:r>
    </w:p>
    <w:p>
      <w:pPr>
        <w:ind w:left="124"/>
        <w:spacing w:after="0" w:line="187" w:lineRule="auto"/>
        <w:rPr>
          <w:sz w:val="20"/>
          <w:szCs w:val="20"/>
          <w:color w:val="auto"/>
        </w:rPr>
      </w:pPr>
      <w:r>
        <w:rPr>
          <w:rFonts w:ascii="Arial" w:cs="Arial" w:eastAsia="Arial" w:hAnsi="Arial"/>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3089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08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4"/>
          </w:cols>
          <w:pgMar w:left="976" w:top="108" w:right="979"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color w:val="auto"/>
        </w:rPr>
        <w:t>Exhibit 32.1</w:t>
      </w:r>
    </w:p>
    <w:p>
      <w:pPr>
        <w:spacing w:after="0" w:line="32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CERTIFICATION OF CHIEF EXECUTIVE OFFICER PURSUANT TO</w:t>
      </w:r>
    </w:p>
    <w:p>
      <w:pPr>
        <w:jc w:val="center"/>
        <w:ind w:right="-3"/>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39" w:lineRule="exact"/>
        <w:rPr>
          <w:sz w:val="20"/>
          <w:szCs w:val="20"/>
          <w:color w:val="auto"/>
        </w:rPr>
      </w:pPr>
    </w:p>
    <w:p>
      <w:pPr>
        <w:jc w:val="both"/>
        <w:ind w:left="4" w:right="100"/>
        <w:spacing w:after="0" w:line="184" w:lineRule="auto"/>
        <w:rPr>
          <w:sz w:val="20"/>
          <w:szCs w:val="20"/>
          <w:color w:val="auto"/>
        </w:rPr>
      </w:pPr>
      <w:r>
        <w:rPr>
          <w:rFonts w:ascii="Arial" w:cs="Arial" w:eastAsia="Arial" w:hAnsi="Arial"/>
          <w:sz w:val="19"/>
          <w:szCs w:val="19"/>
          <w:color w:val="auto"/>
        </w:rPr>
        <w:t>In connection with the Quarterly Report on Form 10-Q for the period ended June 30, 2022 of Essential Utilities, Inc. (the “Company”) as filed with the Securities and Exchange Commission on the date hereof (the “Report”), I, Christopher H. Franklin, President and Chief Executive Officer of the Company, certify, pursuant to 18 U.S.C.</w:t>
      </w:r>
    </w:p>
    <w:p>
      <w:pPr>
        <w:spacing w:after="0" w:line="1" w:lineRule="exact"/>
        <w:rPr>
          <w:sz w:val="20"/>
          <w:szCs w:val="20"/>
          <w:color w:val="auto"/>
        </w:rPr>
      </w:pPr>
    </w:p>
    <w:p>
      <w:pPr>
        <w:ind w:left="4"/>
        <w:spacing w:after="0"/>
        <w:rPr>
          <w:sz w:val="20"/>
          <w:szCs w:val="20"/>
          <w:color w:val="auto"/>
        </w:rPr>
      </w:pPr>
      <w:r>
        <w:rPr>
          <w:rFonts w:ascii="Arial" w:cs="Arial" w:eastAsia="Arial" w:hAnsi="Arial"/>
          <w:sz w:val="19"/>
          <w:szCs w:val="19"/>
          <w:color w:val="auto"/>
        </w:rPr>
        <w:t>Section 1350, as adopted pursuant to Section 906 of the Sarbanes-Oxley Act of 2002, that, to my knowledge:</w:t>
      </w:r>
    </w:p>
    <w:p>
      <w:pPr>
        <w:spacing w:after="0" w:line="250" w:lineRule="exact"/>
        <w:rPr>
          <w:sz w:val="20"/>
          <w:szCs w:val="20"/>
          <w:color w:val="auto"/>
        </w:rPr>
      </w:pPr>
    </w:p>
    <w:p>
      <w:pPr>
        <w:ind w:left="324" w:right="220" w:hanging="324"/>
        <w:spacing w:after="0" w:line="207" w:lineRule="auto"/>
        <w:tabs>
          <w:tab w:leader="none" w:pos="324"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78o(d)); and</w:t>
      </w:r>
    </w:p>
    <w:p>
      <w:pPr>
        <w:spacing w:after="0" w:line="49" w:lineRule="exact"/>
        <w:rPr>
          <w:rFonts w:ascii="Arial" w:cs="Arial" w:eastAsia="Arial" w:hAnsi="Arial"/>
          <w:sz w:val="22"/>
          <w:szCs w:val="22"/>
          <w:color w:val="auto"/>
        </w:rPr>
      </w:pPr>
    </w:p>
    <w:p>
      <w:pPr>
        <w:ind w:left="324" w:right="320" w:hanging="324"/>
        <w:spacing w:after="0" w:line="207" w:lineRule="auto"/>
        <w:tabs>
          <w:tab w:leader="none" w:pos="324"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87" w:lineRule="auto"/>
        <w:rPr>
          <w:sz w:val="20"/>
          <w:szCs w:val="20"/>
          <w:color w:val="auto"/>
        </w:rPr>
      </w:pPr>
      <w:r>
        <w:rPr>
          <w:rFonts w:ascii="Arial" w:cs="Arial" w:eastAsia="Arial" w:hAnsi="Arial"/>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29571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124"/>
        <w:spacing w:after="0" w:line="188"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351905" cy="508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884"/>
          </w:cols>
          <w:pgMar w:left="976" w:top="78" w:right="103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color w:val="auto"/>
        </w:rPr>
        <w:t>Exhibit 32.2</w:t>
      </w:r>
    </w:p>
    <w:p>
      <w:pPr>
        <w:spacing w:after="0" w:line="32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CERTIFICATION OF CHIEF FINANCIAL OFFICER PURSUANT TO</w:t>
      </w:r>
    </w:p>
    <w:p>
      <w:pPr>
        <w:jc w:val="center"/>
        <w:ind w:right="-3"/>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39" w:lineRule="exact"/>
        <w:rPr>
          <w:sz w:val="20"/>
          <w:szCs w:val="20"/>
          <w:color w:val="auto"/>
        </w:rPr>
      </w:pPr>
    </w:p>
    <w:p>
      <w:pPr>
        <w:ind w:left="4" w:right="100"/>
        <w:spacing w:after="0" w:line="208" w:lineRule="auto"/>
        <w:rPr>
          <w:sz w:val="20"/>
          <w:szCs w:val="20"/>
          <w:color w:val="auto"/>
        </w:rPr>
      </w:pPr>
      <w:r>
        <w:rPr>
          <w:rFonts w:ascii="Arial" w:cs="Arial" w:eastAsia="Arial" w:hAnsi="Arial"/>
          <w:sz w:val="19"/>
          <w:szCs w:val="19"/>
          <w:color w:val="auto"/>
        </w:rPr>
        <w:t>In connection with the Quarterly Report on Form 10-Q for the period ended June 30, 2022 of Essential Utilities,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w:t>
      </w:r>
    </w:p>
    <w:p>
      <w:pPr>
        <w:spacing w:after="0" w:line="215" w:lineRule="exact"/>
        <w:rPr>
          <w:sz w:val="20"/>
          <w:szCs w:val="20"/>
          <w:color w:val="auto"/>
        </w:rPr>
      </w:pPr>
    </w:p>
    <w:p>
      <w:pPr>
        <w:ind w:left="324" w:right="220" w:hanging="324"/>
        <w:spacing w:after="0" w:line="207" w:lineRule="auto"/>
        <w:tabs>
          <w:tab w:leader="none" w:pos="324"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78o(d)); and</w:t>
      </w:r>
    </w:p>
    <w:p>
      <w:pPr>
        <w:spacing w:after="0" w:line="49" w:lineRule="exact"/>
        <w:rPr>
          <w:rFonts w:ascii="Arial" w:cs="Arial" w:eastAsia="Arial" w:hAnsi="Arial"/>
          <w:sz w:val="22"/>
          <w:szCs w:val="22"/>
          <w:color w:val="auto"/>
        </w:rPr>
      </w:pPr>
    </w:p>
    <w:p>
      <w:pPr>
        <w:ind w:left="324" w:right="320" w:hanging="324"/>
        <w:spacing w:after="0" w:line="207" w:lineRule="auto"/>
        <w:tabs>
          <w:tab w:leader="none" w:pos="324"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Daniel J. Schuller</w:t>
      </w:r>
    </w:p>
    <w:p>
      <w:pPr>
        <w:ind w:left="124"/>
        <w:spacing w:after="0" w:line="187" w:lineRule="auto"/>
        <w:rPr>
          <w:sz w:val="20"/>
          <w:szCs w:val="20"/>
          <w:color w:val="auto"/>
        </w:rPr>
      </w:pPr>
      <w:r>
        <w:rPr>
          <w:rFonts w:ascii="Arial" w:cs="Arial" w:eastAsia="Arial" w:hAnsi="Arial"/>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4029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14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sectPr>
      <w:pgSz w:w="11900" w:h="16838" w:orient="portrait"/>
      <w:cols w:equalWidth="0" w:num="1">
        <w:col w:w="9884"/>
      </w:cols>
      <w:pgMar w:left="976" w:top="78"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lowerLetter"/>
      <w:start w:val="1"/>
    </w:lvl>
  </w:abstractNum>
  <w:abstractNum w:abstractNumId="2">
    <w:nsid w:val="189A769B"/>
    <w:multiLevelType w:val="hybridMultilevel"/>
    <w:lvl w:ilvl="0">
      <w:lvlJc w:val="left"/>
      <w:lvlText w:val="(%1)"/>
      <w:numFmt w:val="lowerLetter"/>
      <w:start w:val="1"/>
    </w:lvl>
  </w:abstractNum>
  <w:abstractNum w:abstractNumId="3">
    <w:nsid w:val="54E49EB4"/>
    <w:multiLevelType w:val="hybridMultilevel"/>
    <w:lvl w:ilvl="0">
      <w:lvlJc w:val="left"/>
      <w:lvlText w:val="(%1)"/>
      <w:numFmt w:val="lowerLetter"/>
      <w:start w:val="2"/>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upperLetter"/>
      <w:start w:val="1"/>
    </w:lvl>
  </w:abstractNum>
  <w:abstractNum w:abstractNumId="6">
    <w:nsid w:val="836C40E"/>
    <w:multiLevelType w:val="hybridMultilevel"/>
    <w:lvl w:ilvl="0">
      <w:lvlJc w:val="left"/>
      <w:lvlText w:val="%1"/>
      <w:numFmt w:val="lowerRoman"/>
      <w:start w:val="1"/>
    </w:lvl>
    <w:lvl w:ilvl="1">
      <w:lvlJc w:val="left"/>
      <w:lvlText w:val="%2."/>
      <w:numFmt w:val="upperLetter"/>
      <w:start w:val="2"/>
    </w:lvl>
  </w:abstractNum>
  <w:abstractNum w:abstractNumId="7">
    <w:nsid w:val="2901D82"/>
    <w:multiLevelType w:val="hybridMultilevel"/>
    <w:lvl w:ilvl="0">
      <w:lvlJc w:val="left"/>
      <w:lvlText w:val="(%1)"/>
      <w:numFmt w:val="lowerRoman"/>
      <w:start w:val="1"/>
    </w:lvl>
    <w:lvl w:ilvl="1">
      <w:lvlJc w:val="left"/>
      <w:lvlText w:val="%2"/>
      <w:numFmt w:val="upperLetter"/>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lowerLetter"/>
      <w:start w:val="2"/>
    </w:lvl>
  </w:abstractNum>
  <w:abstractNum w:abstractNumId="11">
    <w:nsid w:val="7C3DBD3D"/>
    <w:multiLevelType w:val="hybridMultilevel"/>
    <w:lvl w:ilvl="0">
      <w:lvlJc w:val="left"/>
      <w:lvlText w:val="(%1)"/>
      <w:numFmt w:val="lowerLetter"/>
      <w:start w:val="3"/>
    </w:lvl>
  </w:abstractNum>
  <w:abstractNum w:abstractNumId="12">
    <w:nsid w:val="737B8DDC"/>
    <w:multiLevelType w:val="hybridMultilevel"/>
    <w:lvl w:ilvl="0">
      <w:lvlJc w:val="left"/>
      <w:lvlText w:val="(%1)"/>
      <w:numFmt w:val="lowerLetter"/>
      <w:start w:val="4"/>
    </w:lvl>
  </w:abstractNum>
  <w:abstractNum w:abstractNumId="13">
    <w:nsid w:val="6CEAF087"/>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4">
    <w:nsid w:val="22221A70"/>
    <w:multiLevelType w:val="hybridMultilevel"/>
    <w:lvl w:ilvl="0">
      <w:lvlJc w:val="left"/>
      <w:lvlText w:val="(%1)"/>
      <w:numFmt w:val="decimal"/>
      <w:start w:val="8"/>
    </w:lvl>
    <w:lvl w:ilvl="1">
      <w:lvlJc w:val="left"/>
      <w:lvlText w:val="(%2)"/>
      <w:numFmt w:val="lowerLetter"/>
      <w:start w:val="6"/>
    </w:lvl>
    <w:lvl w:ilvl="2">
      <w:lvlJc w:val="left"/>
      <w:lvlText w:val="(%3)"/>
      <w:numFmt w:val="lowerLetter"/>
      <w:start w:val="4"/>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lowerLetter"/>
      <w:start w:val="8"/>
    </w:lvl>
  </w:abstractNum>
  <w:abstractNum w:abstractNumId="17">
    <w:nsid w:val="614FD4A1"/>
    <w:multiLevelType w:val="hybridMultilevel"/>
    <w:lvl w:ilvl="0">
      <w:lvlJc w:val="left"/>
      <w:lvlText w:val="(%1)"/>
      <w:numFmt w:val="lowerLetter"/>
      <w:start w:val="2"/>
    </w:lvl>
  </w:abstractNum>
  <w:abstractNum w:abstractNumId="18">
    <w:nsid w:val="419AC241"/>
    <w:multiLevelType w:val="hybridMultilevel"/>
    <w:lvl w:ilvl="0">
      <w:lvlJc w:val="left"/>
      <w:lvlText w:val="(%1)"/>
      <w:numFmt w:val="lowerLetter"/>
      <w:start w:val="10"/>
    </w:lvl>
  </w:abstractNum>
  <w:abstractNum w:abstractNumId="19">
    <w:nsid w:val="5577F8E1"/>
    <w:multiLevelType w:val="hybridMultilevel"/>
    <w:lvl w:ilvl="0">
      <w:lvlJc w:val="left"/>
      <w:lvlText w:val="%1"/>
      <w:numFmt w:val="decimal"/>
      <w:start w:val="1"/>
    </w:lvl>
    <w:lvl w:ilvl="1">
      <w:lvlJc w:val="left"/>
      <w:lvlText w:val="(%2)"/>
      <w:numFmt w:val="lowerLetter"/>
      <w:start w:val="11"/>
    </w:lvl>
  </w:abstractNum>
  <w:abstractNum w:abstractNumId="20">
    <w:nsid w:val="440BADFC"/>
    <w:multiLevelType w:val="hybridMultilevel"/>
    <w:lvl w:ilvl="0">
      <w:lvlJc w:val="left"/>
      <w:lvlText w:val="%1."/>
      <w:numFmt w:val="decimal"/>
      <w:start w:val="3"/>
    </w:lvl>
    <w:lvl w:ilvl="1">
      <w:lvlJc w:val="left"/>
      <w:lvlText w:val="%2"/>
      <w:numFmt w:val="lowerLetter"/>
      <w:start w:val="1"/>
    </w:lvl>
  </w:abstractNum>
  <w:abstractNum w:abstractNumId="21">
    <w:nsid w:val="5072367"/>
    <w:multiLevelType w:val="hybridMultilevel"/>
    <w:lvl w:ilvl="0">
      <w:lvlJc w:val="left"/>
      <w:lvlText w:val="%1."/>
      <w:numFmt w:val="decimal"/>
      <w:start w:val="4"/>
    </w:lvl>
    <w:lvl w:ilvl="1">
      <w:lvlJc w:val="left"/>
      <w:lvlText w:val="(%2)"/>
      <w:numFmt w:val="lowerLetter"/>
      <w:start w:val="1"/>
    </w:lvl>
  </w:abstractNum>
  <w:abstractNum w:abstractNumId="22">
    <w:nsid w:val="3804823E"/>
    <w:multiLevelType w:val="hybridMultilevel"/>
    <w:lvl w:ilvl="0">
      <w:lvlJc w:val="left"/>
      <w:lvlText w:val="%1."/>
      <w:numFmt w:val="decimal"/>
      <w:start w:val="6"/>
    </w:lvl>
    <w:lvl w:ilvl="1">
      <w:lvlJc w:val="left"/>
      <w:lvlText w:val="(%2)"/>
      <w:numFmt w:val="lowerLetter"/>
      <w:start w:val="1"/>
    </w:lvl>
  </w:abstractNum>
  <w:abstractNum w:abstractNumId="23">
    <w:nsid w:val="77465F0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4">
    <w:nsid w:val="7724C67E"/>
    <w:multiLevelType w:val="hybridMultilevel"/>
    <w:lvl w:ilvl="0">
      <w:lvlJc w:val="left"/>
      <w:lvlText w:val="%1"/>
      <w:numFmt w:val="lowerLetter"/>
      <w:start w:val="1"/>
    </w:lvl>
    <w:lvl w:ilvl="1">
      <w:lvlJc w:val="left"/>
      <w:lvlText w:val="(%2)"/>
      <w:numFmt w:val="lowerRoman"/>
      <w:start w:val="8"/>
    </w:lvl>
  </w:abstractNum>
  <w:abstractNum w:abstractNumId="25">
    <w:nsid w:val="5C482A97"/>
    <w:multiLevelType w:val="hybridMultilevel"/>
    <w:lvl w:ilvl="0">
      <w:lvlJc w:val="left"/>
      <w:lvlText w:val="(%1)"/>
      <w:numFmt w:val="lowerLetter"/>
      <w:start w:val="2"/>
    </w:lvl>
    <w:lvl w:ilvl="1">
      <w:lvlJc w:val="left"/>
      <w:lvlText w:val="%2"/>
      <w:numFmt w:val="lowerRoman"/>
      <w:start w:val="1"/>
    </w:lvl>
  </w:abstractNum>
  <w:abstractNum w:abstractNumId="26">
    <w:nsid w:val="2463B9EA"/>
    <w:multiLevelType w:val="hybridMultilevel"/>
    <w:lvl w:ilvl="0">
      <w:lvlJc w:val="left"/>
      <w:lvlText w:val="(%1)"/>
      <w:numFmt w:val="lowerLetter"/>
      <w:start w:val="3"/>
    </w:lvl>
  </w:abstractNum>
  <w:abstractNum w:abstractNumId="27">
    <w:nsid w:val="5E884ADC"/>
    <w:multiLevelType w:val="hybridMultilevel"/>
    <w:lvl w:ilvl="0">
      <w:lvlJc w:val="left"/>
      <w:lvlText w:val="%1."/>
      <w:numFmt w:val="decimal"/>
      <w:start w:val="10"/>
    </w:lvl>
  </w:abstractNum>
  <w:abstractNum w:abstractNumId="28">
    <w:nsid w:val="51EAD36B"/>
    <w:multiLevelType w:val="hybridMultilevel"/>
    <w:lvl w:ilvl="0">
      <w:lvlJc w:val="left"/>
      <w:lvlText w:val="%1."/>
      <w:numFmt w:val="decimal"/>
      <w:start w:val="12"/>
    </w:lvl>
    <w:lvl w:ilvl="1">
      <w:lvlJc w:val="left"/>
      <w:lvlText w:val="(%2)"/>
      <w:numFmt w:val="lowerLetter"/>
      <w:start w:val="1"/>
    </w:lvl>
  </w:abstractNum>
  <w:abstractNum w:abstractNumId="29">
    <w:nsid w:val="2D517796"/>
    <w:multiLevelType w:val="hybridMultilevel"/>
    <w:lvl w:ilvl="0">
      <w:lvlJc w:val="left"/>
      <w:lvlText w:val="(%1)"/>
      <w:numFmt w:val="lowerLetter"/>
      <w:start w:val="10"/>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4"/>
    </w:lvl>
  </w:abstractNum>
  <w:abstractNum w:abstractNumId="32">
    <w:nsid w:val="3855585C"/>
    <w:multiLevelType w:val="hybridMultilevel"/>
    <w:lvl w:ilvl="0">
      <w:lvlJc w:val="left"/>
      <w:lvlText w:val="%1."/>
      <w:numFmt w:val="decimal"/>
      <w:start w:val="6"/>
    </w:lvl>
    <w:lvl w:ilvl="1">
      <w:lvlJc w:val="left"/>
      <w:lvlText w:val="☐"/>
      <w:numFmt w:val="bullet"/>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2"/>
    </w:lvl>
  </w:abstractNum>
  <w:abstractNum w:abstractNumId="35">
    <w:nsid w:val="2A487CB0"/>
    <w:multiLevelType w:val="hybridMultilevel"/>
    <w:lvl w:ilvl="0">
      <w:lvlJc w:val="left"/>
      <w:lvlText w:val="%1."/>
      <w:numFmt w:val="upperLetter"/>
      <w:start w:val="1"/>
    </w:lvl>
  </w:abstractNum>
  <w:abstractNum w:abstractNumId="36">
    <w:nsid w:val="1D4ED43B"/>
    <w:multiLevelType w:val="hybridMultilevel"/>
    <w:lvl w:ilvl="0">
      <w:lvlJc w:val="left"/>
      <w:lvlText w:val="%1."/>
      <w:numFmt w:val="decimal"/>
      <w:start w:val="1"/>
    </w:lvl>
    <w:lvl w:ilvl="1">
      <w:lvlJc w:val="left"/>
      <w:lvlText w:val="(%2)"/>
      <w:numFmt w:val="lowerLetter"/>
      <w:start w:val="1"/>
    </w:lvl>
  </w:abstractNum>
  <w:abstractNum w:abstractNumId="37">
    <w:nsid w:val="725A06FB"/>
    <w:multiLevelType w:val="hybridMultilevel"/>
    <w:lvl w:ilvl="0">
      <w:lvlJc w:val="left"/>
      <w:lvlText w:val="(%1)"/>
      <w:numFmt w:val="lowerLetter"/>
      <w:start w:val="2"/>
    </w:lvl>
  </w:abstractNum>
  <w:abstractNum w:abstractNumId="38">
    <w:nsid w:val="2CD89A32"/>
    <w:multiLevelType w:val="hybridMultilevel"/>
    <w:lvl w:ilvl="0">
      <w:lvlJc w:val="left"/>
      <w:lvlText w:val="(%1)"/>
      <w:numFmt w:val="lowerLetter"/>
      <w:start w:val="3"/>
    </w:lvl>
  </w:abstractNum>
  <w:abstractNum w:abstractNumId="39">
    <w:nsid w:val="57E4CCAF"/>
    <w:multiLevelType w:val="hybridMultilevel"/>
    <w:lvl w:ilvl="0">
      <w:lvlJc w:val="left"/>
      <w:lvlText w:val="(%1)"/>
      <w:numFmt w:val="lowerLetter"/>
      <w:start w:val="4"/>
    </w:lvl>
  </w:abstractNum>
  <w:abstractNum w:abstractNumId="40">
    <w:nsid w:val="7A6D8D3C"/>
    <w:multiLevelType w:val="hybridMultilevel"/>
    <w:lvl w:ilvl="0">
      <w:lvlJc w:val="left"/>
      <w:lvlText w:val="%1."/>
      <w:numFmt w:val="decimal"/>
      <w:start w:val="3"/>
    </w:lvl>
    <w:lvl w:ilvl="1">
      <w:lvlJc w:val="left"/>
      <w:lvlText w:val="(%2)"/>
      <w:numFmt w:val="lowerLetter"/>
      <w:start w:val="1"/>
    </w:lvl>
  </w:abstractNum>
  <w:abstractNum w:abstractNumId="41">
    <w:nsid w:val="4B588F54"/>
    <w:multiLevelType w:val="hybridMultilevel"/>
    <w:lvl w:ilvl="0">
      <w:lvlJc w:val="left"/>
      <w:lvlText w:val="(%1)"/>
      <w:numFmt w:val="lowerLetter"/>
      <w:start w:val="4"/>
    </w:lvl>
  </w:abstractNum>
  <w:abstractNum w:abstractNumId="42">
    <w:nsid w:val="542289E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3">
    <w:nsid w:val="6DE91B18"/>
    <w:multiLevelType w:val="hybridMultilevel"/>
    <w:lvl w:ilvl="0">
      <w:lvlJc w:val="left"/>
      <w:lvlText w:val="(%1)"/>
      <w:numFmt w:val="lowerLetter"/>
      <w:start w:val="2"/>
    </w:lvl>
  </w:abstractNum>
  <w:abstractNum w:abstractNumId="44">
    <w:nsid w:val="38437FDB"/>
    <w:multiLevelType w:val="hybridMultilevel"/>
    <w:lvl w:ilvl="0">
      <w:lvlJc w:val="left"/>
      <w:lvlText w:val="%1."/>
      <w:numFmt w:val="decimal"/>
      <w:start w:val="7"/>
    </w:lvl>
    <w:lvl w:ilvl="1">
      <w:lvlJc w:val="left"/>
      <w:lvlText w:val="(%2)"/>
      <w:numFmt w:val="lowerLetter"/>
      <w:start w:val="1"/>
    </w:lvl>
  </w:abstractNum>
  <w:abstractNum w:abstractNumId="45">
    <w:nsid w:val="7644A45C"/>
    <w:multiLevelType w:val="hybridMultilevel"/>
    <w:lvl w:ilvl="0">
      <w:lvlJc w:val="left"/>
      <w:lvlText w:val="(%1)"/>
      <w:numFmt w:val="lowerLetter"/>
      <w:start w:val="3"/>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03" Type="http://schemas.openxmlformats.org/officeDocument/2006/relationships/hyperlink" Target="http://www.sec.gov/Archives/edgar/data/78128/000155278121000227/e21241_ex4-3.htm" TargetMode="External"/><Relationship Id="rId104" Type="http://schemas.openxmlformats.org/officeDocument/2006/relationships/hyperlink" Target="http://www.sec.gov/Archives/edgar/data/78128/000155278122000427/e22318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2022-08-09T11:39:07Z</dcterms:created>
  <dcterms:modified xsi:type="dcterms:W3CDTF">2022-08-09T11:39:07Z</dcterms:modified>
</cp:coreProperties>
</file>