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4"/>
          <w:szCs w:val="14"/>
          <w:b w:val="1"/>
          <w:bCs w:val="1"/>
          <w:color w:val="auto"/>
        </w:rPr>
        <w:t>UNITED STATES</w:t>
      </w:r>
    </w:p>
    <w:p>
      <w:pPr>
        <w:jc w:val="center"/>
        <w:ind w:right="-3"/>
        <w:spacing w:after="0" w:line="223" w:lineRule="auto"/>
        <w:rPr>
          <w:sz w:val="20"/>
          <w:szCs w:val="20"/>
          <w:color w:val="auto"/>
        </w:rPr>
      </w:pPr>
      <w:r>
        <w:rPr>
          <w:rFonts w:ascii="Arial" w:cs="Arial" w:eastAsia="Arial" w:hAnsi="Arial"/>
          <w:sz w:val="14"/>
          <w:szCs w:val="14"/>
          <w:b w:val="1"/>
          <w:bCs w:val="1"/>
          <w:color w:val="auto"/>
        </w:rPr>
        <w:t>SECURITIES AND EXCHANGE COMMISSION</w:t>
      </w:r>
    </w:p>
    <w:p>
      <w:pPr>
        <w:jc w:val="center"/>
        <w:ind w:right="-3"/>
        <w:spacing w:after="0"/>
        <w:rPr>
          <w:sz w:val="20"/>
          <w:szCs w:val="20"/>
          <w:color w:val="auto"/>
        </w:rPr>
      </w:pPr>
      <w:r>
        <w:rPr>
          <w:rFonts w:ascii="Arial" w:cs="Arial" w:eastAsia="Arial" w:hAnsi="Arial"/>
          <w:sz w:val="14"/>
          <w:szCs w:val="14"/>
          <w:b w:val="1"/>
          <w:bCs w:val="1"/>
          <w:color w:val="auto"/>
        </w:rPr>
        <w:t>WASHINGTON, D.C. 20549</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 10-K</w:t>
      </w:r>
    </w:p>
    <w:p>
      <w:pPr>
        <w:spacing w:after="0" w:line="78" w:lineRule="exact"/>
        <w:rPr>
          <w:sz w:val="24"/>
          <w:szCs w:val="24"/>
          <w:color w:val="auto"/>
        </w:rPr>
      </w:pPr>
    </w:p>
    <w:p>
      <w:pPr>
        <w:ind w:left="4"/>
        <w:spacing w:after="0"/>
        <w:rPr>
          <w:sz w:val="20"/>
          <w:szCs w:val="20"/>
          <w:color w:val="auto"/>
        </w:rPr>
      </w:pPr>
      <w:r>
        <w:rPr>
          <w:rFonts w:ascii="Arial" w:cs="Arial" w:eastAsia="Arial" w:hAnsi="Arial"/>
          <w:sz w:val="14"/>
          <w:szCs w:val="14"/>
          <w:color w:val="auto"/>
        </w:rPr>
        <w:t>(Mark One)</w:t>
      </w:r>
    </w:p>
    <w:p>
      <w:pPr>
        <w:ind w:left="3844" w:right="3580" w:hanging="3844"/>
        <w:spacing w:after="0" w:line="511" w:lineRule="auto"/>
        <w:tabs>
          <w:tab w:leader="none" w:pos="312" w:val="left"/>
        </w:tabs>
        <w:numPr>
          <w:ilvl w:val="0"/>
          <w:numId w:val="1"/>
        </w:numPr>
        <w:rPr>
          <w:rFonts w:ascii="Arial" w:cs="Arial" w:eastAsia="Arial" w:hAnsi="Arial"/>
          <w:sz w:val="12"/>
          <w:szCs w:val="12"/>
          <w:color w:val="auto"/>
        </w:rPr>
      </w:pPr>
      <w:r>
        <w:rPr>
          <w:rFonts w:ascii="Arial" w:cs="Arial" w:eastAsia="Arial" w:hAnsi="Arial"/>
          <w:sz w:val="12"/>
          <w:szCs w:val="12"/>
          <w:color w:val="auto"/>
        </w:rPr>
        <w:t>ANNUAL REPORT PURSUANT TO SECTION 13 or 15(D) OF THE SECURITIES EXCHANGE ACT OF 1934 For the fiscal year ended December 31, 2018</w:t>
      </w:r>
    </w:p>
    <w:p>
      <w:pPr>
        <w:jc w:val="center"/>
        <w:ind w:right="-3"/>
        <w:spacing w:after="0"/>
        <w:rPr>
          <w:sz w:val="20"/>
          <w:szCs w:val="20"/>
          <w:color w:val="auto"/>
        </w:rPr>
      </w:pPr>
      <w:r>
        <w:rPr>
          <w:rFonts w:ascii="Arial" w:cs="Arial" w:eastAsia="Arial" w:hAnsi="Arial"/>
          <w:sz w:val="14"/>
          <w:szCs w:val="14"/>
          <w:color w:val="auto"/>
        </w:rPr>
        <w:t>Or</w:t>
      </w:r>
    </w:p>
    <w:p>
      <w:pPr>
        <w:spacing w:after="0" w:line="123" w:lineRule="exact"/>
        <w:rPr>
          <w:sz w:val="24"/>
          <w:szCs w:val="24"/>
          <w:color w:val="auto"/>
        </w:rPr>
      </w:pPr>
    </w:p>
    <w:p>
      <w:pPr>
        <w:ind w:left="3484" w:right="3280" w:hanging="3484"/>
        <w:spacing w:after="0" w:line="294" w:lineRule="auto"/>
        <w:tabs>
          <w:tab w:leader="none" w:pos="318" w:val="left"/>
        </w:tabs>
        <w:numPr>
          <w:ilvl w:val="0"/>
          <w:numId w:val="2"/>
        </w:numPr>
        <w:rPr>
          <w:rFonts w:ascii="Arial" w:cs="Arial" w:eastAsia="Arial" w:hAnsi="Arial"/>
          <w:sz w:val="12"/>
          <w:szCs w:val="12"/>
          <w:color w:val="auto"/>
        </w:rPr>
      </w:pPr>
      <w:r>
        <w:rPr>
          <w:rFonts w:ascii="Arial" w:cs="Arial" w:eastAsia="Arial" w:hAnsi="Arial"/>
          <w:sz w:val="12"/>
          <w:szCs w:val="12"/>
          <w:color w:val="auto"/>
        </w:rPr>
        <w:t>TRANSITION REPORT PURSUANT TO SECTION 13 OR 15(d) OF THE SECURITIES EXCHANGE ACT OF 1934 For the transition period from __________ to __________</w:t>
      </w:r>
    </w:p>
    <w:p>
      <w:pPr>
        <w:spacing w:after="0" w:line="67" w:lineRule="exact"/>
        <w:rPr>
          <w:sz w:val="24"/>
          <w:szCs w:val="24"/>
          <w:color w:val="auto"/>
        </w:rPr>
      </w:pPr>
    </w:p>
    <w:tbl>
      <w:tblPr>
        <w:tblLayout w:type="fixed"/>
        <w:tblInd w:w="4" w:type="dxa"/>
        <w:tblCellMar>
          <w:top w:w="0" w:type="dxa"/>
          <w:left w:w="0" w:type="dxa"/>
          <w:bottom w:w="0" w:type="dxa"/>
          <w:right w:w="0" w:type="dxa"/>
        </w:tblCellMar>
      </w:tblPr>
      <w:tr>
        <w:trPr>
          <w:trHeight w:val="172"/>
        </w:trPr>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4"/>
                <w:szCs w:val="14"/>
                <w:color w:val="auto"/>
                <w:w w:val="87"/>
              </w:rPr>
              <w:t>Commission File number 1-6659</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73"/>
        </w:trPr>
        <w:tc>
          <w:tcPr>
            <w:tcW w:w="1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8"/>
              </w:rPr>
              <w:t>AQUA AMERICA, INC.</w:t>
            </w: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162"/>
        </w:trPr>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80" w:type="dxa"/>
            <w:vAlign w:val="bottom"/>
            <w:gridSpan w:val="6"/>
          </w:tcPr>
          <w:p>
            <w:pPr>
              <w:jc w:val="center"/>
              <w:ind w:left="692"/>
              <w:spacing w:after="0"/>
              <w:rPr>
                <w:sz w:val="20"/>
                <w:szCs w:val="20"/>
                <w:color w:val="auto"/>
              </w:rPr>
            </w:pPr>
            <w:r>
              <w:rPr>
                <w:rFonts w:ascii="Arial" w:cs="Arial" w:eastAsia="Arial" w:hAnsi="Arial"/>
                <w:sz w:val="14"/>
                <w:szCs w:val="14"/>
                <w:color w:val="auto"/>
                <w:w w:val="87"/>
              </w:rPr>
              <w:t>(Exact name of registrant as specified in its charter)</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46"/>
        </w:trPr>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300" w:type="dxa"/>
            <w:vAlign w:val="bottom"/>
            <w:gridSpan w:val="7"/>
          </w:tcPr>
          <w:p>
            <w:pPr>
              <w:jc w:val="center"/>
              <w:ind w:right="3580"/>
              <w:spacing w:after="0" w:line="146" w:lineRule="exact"/>
              <w:rPr>
                <w:sz w:val="20"/>
                <w:szCs w:val="20"/>
                <w:color w:val="auto"/>
              </w:rPr>
            </w:pPr>
            <w:r>
              <w:rPr>
                <w:rFonts w:ascii="Arial" w:cs="Arial" w:eastAsia="Arial" w:hAnsi="Arial"/>
                <w:sz w:val="14"/>
                <w:szCs w:val="14"/>
                <w:color w:val="auto"/>
                <w:w w:val="86"/>
              </w:rPr>
              <w:t>Pennsylvania</w:t>
            </w:r>
          </w:p>
        </w:tc>
        <w:tc>
          <w:tcPr>
            <w:tcW w:w="1460" w:type="dxa"/>
            <w:vAlign w:val="bottom"/>
            <w:gridSpan w:val="2"/>
          </w:tcPr>
          <w:p>
            <w:pPr>
              <w:jc w:val="center"/>
              <w:ind w:left="732"/>
              <w:spacing w:after="0" w:line="146" w:lineRule="exact"/>
              <w:rPr>
                <w:sz w:val="20"/>
                <w:szCs w:val="20"/>
                <w:color w:val="auto"/>
              </w:rPr>
            </w:pPr>
            <w:r>
              <w:rPr>
                <w:rFonts w:ascii="Arial" w:cs="Arial" w:eastAsia="Arial" w:hAnsi="Arial"/>
                <w:sz w:val="14"/>
                <w:szCs w:val="14"/>
                <w:color w:val="auto"/>
                <w:w w:val="88"/>
              </w:rPr>
              <w:t>23-1702594</w:t>
            </w:r>
          </w:p>
        </w:tc>
        <w:tc>
          <w:tcPr>
            <w:tcW w:w="220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6"/>
        </w:trPr>
        <w:tc>
          <w:tcPr>
            <w:tcW w:w="6460" w:type="dxa"/>
            <w:vAlign w:val="bottom"/>
            <w:gridSpan w:val="9"/>
          </w:tcPr>
          <w:p>
            <w:pPr>
              <w:jc w:val="center"/>
              <w:ind w:right="140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660" w:type="dxa"/>
            <w:vAlign w:val="bottom"/>
            <w:gridSpan w:val="3"/>
          </w:tcPr>
          <w:p>
            <w:pPr>
              <w:jc w:val="center"/>
              <w:ind w:right="1420"/>
              <w:spacing w:after="0"/>
              <w:rPr>
                <w:sz w:val="20"/>
                <w:szCs w:val="20"/>
                <w:color w:val="auto"/>
              </w:rPr>
            </w:pPr>
            <w:r>
              <w:rPr>
                <w:rFonts w:ascii="Arial" w:cs="Arial" w:eastAsia="Arial" w:hAnsi="Arial"/>
                <w:sz w:val="14"/>
                <w:szCs w:val="14"/>
                <w:color w:val="auto"/>
                <w:w w:val="90"/>
              </w:rPr>
              <w:t>(I.R.S. Employer Identification No.)</w:t>
            </w:r>
          </w:p>
        </w:tc>
      </w:tr>
      <w:tr>
        <w:trPr>
          <w:trHeight w:val="327"/>
        </w:trPr>
        <w:tc>
          <w:tcPr>
            <w:tcW w:w="1100" w:type="dxa"/>
            <w:vAlign w:val="bottom"/>
          </w:tcPr>
          <w:p>
            <w:pPr>
              <w:spacing w:after="0"/>
              <w:rPr>
                <w:sz w:val="24"/>
                <w:szCs w:val="24"/>
                <w:color w:val="auto"/>
              </w:rPr>
            </w:pPr>
          </w:p>
        </w:tc>
        <w:tc>
          <w:tcPr>
            <w:tcW w:w="5360" w:type="dxa"/>
            <w:vAlign w:val="bottom"/>
            <w:gridSpan w:val="8"/>
          </w:tcPr>
          <w:p>
            <w:pPr>
              <w:jc w:val="center"/>
              <w:ind w:right="2520"/>
              <w:spacing w:after="0"/>
              <w:rPr>
                <w:sz w:val="20"/>
                <w:szCs w:val="20"/>
                <w:color w:val="auto"/>
              </w:rPr>
            </w:pPr>
            <w:r>
              <w:rPr>
                <w:rFonts w:ascii="Arial" w:cs="Arial" w:eastAsia="Arial" w:hAnsi="Arial"/>
                <w:sz w:val="14"/>
                <w:szCs w:val="14"/>
                <w:color w:val="auto"/>
                <w:w w:val="87"/>
              </w:rPr>
              <w:t>762 W Lancaster Avenue, Bryn Mawr, Pennsylvania</w:t>
            </w:r>
          </w:p>
        </w:tc>
        <w:tc>
          <w:tcPr>
            <w:tcW w:w="1460" w:type="dxa"/>
            <w:vAlign w:val="bottom"/>
            <w:gridSpan w:val="2"/>
          </w:tcPr>
          <w:p>
            <w:pPr>
              <w:jc w:val="center"/>
              <w:ind w:left="732"/>
              <w:spacing w:after="0"/>
              <w:rPr>
                <w:sz w:val="20"/>
                <w:szCs w:val="20"/>
                <w:color w:val="auto"/>
              </w:rPr>
            </w:pPr>
            <w:r>
              <w:rPr>
                <w:rFonts w:ascii="Arial" w:cs="Arial" w:eastAsia="Arial" w:hAnsi="Arial"/>
                <w:sz w:val="14"/>
                <w:szCs w:val="14"/>
                <w:color w:val="auto"/>
                <w:w w:val="88"/>
              </w:rPr>
              <w:t>19010-3489</w:t>
            </w:r>
          </w:p>
        </w:tc>
        <w:tc>
          <w:tcPr>
            <w:tcW w:w="2200" w:type="dxa"/>
            <w:vAlign w:val="bottom"/>
          </w:tcPr>
          <w:p>
            <w:pPr>
              <w:spacing w:after="0"/>
              <w:rPr>
                <w:sz w:val="24"/>
                <w:szCs w:val="24"/>
                <w:color w:val="auto"/>
              </w:rPr>
            </w:pPr>
          </w:p>
        </w:tc>
      </w:tr>
      <w:tr>
        <w:trPr>
          <w:trHeight w:val="166"/>
        </w:trPr>
        <w:tc>
          <w:tcPr>
            <w:tcW w:w="1100" w:type="dxa"/>
            <w:vAlign w:val="bottom"/>
          </w:tcPr>
          <w:p>
            <w:pPr>
              <w:spacing w:after="0"/>
              <w:rPr>
                <w:sz w:val="14"/>
                <w:szCs w:val="14"/>
                <w:color w:val="auto"/>
              </w:rPr>
            </w:pPr>
          </w:p>
        </w:tc>
        <w:tc>
          <w:tcPr>
            <w:tcW w:w="28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89"/>
              </w:rPr>
              <w:t>(Address of principal executive offices)</w:t>
            </w:r>
          </w:p>
        </w:tc>
        <w:tc>
          <w:tcPr>
            <w:tcW w:w="700" w:type="dxa"/>
            <w:vAlign w:val="bottom"/>
          </w:tcPr>
          <w:p>
            <w:pPr>
              <w:spacing w:after="0"/>
              <w:rPr>
                <w:sz w:val="14"/>
                <w:szCs w:val="14"/>
                <w:color w:val="auto"/>
              </w:rPr>
            </w:pPr>
          </w:p>
        </w:tc>
        <w:tc>
          <w:tcPr>
            <w:tcW w:w="840" w:type="dxa"/>
            <w:vAlign w:val="bottom"/>
            <w:gridSpan w:val="3"/>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(Zip Code)</w:t>
            </w:r>
          </w:p>
        </w:tc>
        <w:tc>
          <w:tcPr>
            <w:tcW w:w="2200" w:type="dxa"/>
            <w:vAlign w:val="bottom"/>
          </w:tcPr>
          <w:p>
            <w:pPr>
              <w:spacing w:after="0"/>
              <w:rPr>
                <w:sz w:val="14"/>
                <w:szCs w:val="14"/>
                <w:color w:val="auto"/>
              </w:rPr>
            </w:pPr>
          </w:p>
        </w:tc>
      </w:tr>
      <w:tr>
        <w:trPr>
          <w:trHeight w:val="354"/>
        </w:trPr>
        <w:tc>
          <w:tcPr>
            <w:tcW w:w="5480" w:type="dxa"/>
            <w:vAlign w:val="bottom"/>
            <w:gridSpan w:val="8"/>
          </w:tcPr>
          <w:p>
            <w:pPr>
              <w:jc w:val="center"/>
              <w:ind w:left="4572"/>
              <w:spacing w:after="0"/>
              <w:rPr>
                <w:sz w:val="20"/>
                <w:szCs w:val="20"/>
                <w:color w:val="auto"/>
              </w:rPr>
            </w:pPr>
            <w:r>
              <w:rPr>
                <w:rFonts w:ascii="Arial" w:cs="Arial" w:eastAsia="Arial" w:hAnsi="Arial"/>
                <w:sz w:val="14"/>
                <w:szCs w:val="14"/>
                <w:color w:val="auto"/>
                <w:w w:val="87"/>
              </w:rPr>
              <w:t>(610) 527-8000</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40" w:type="dxa"/>
            <w:vAlign w:val="bottom"/>
            <w:gridSpan w:val="9"/>
          </w:tcPr>
          <w:p>
            <w:pPr>
              <w:jc w:val="center"/>
              <w:ind w:right="2900"/>
              <w:spacing w:after="0"/>
              <w:rPr>
                <w:sz w:val="20"/>
                <w:szCs w:val="20"/>
                <w:color w:val="auto"/>
              </w:rPr>
            </w:pPr>
            <w:r>
              <w:rPr>
                <w:rFonts w:ascii="Arial" w:cs="Arial" w:eastAsia="Arial" w:hAnsi="Arial"/>
                <w:sz w:val="14"/>
                <w:szCs w:val="14"/>
                <w:color w:val="auto"/>
                <w:w w:val="86"/>
              </w:rPr>
              <w:t>(Registrant’s telephone number, including area code)</w:t>
            </w:r>
          </w:p>
        </w:tc>
      </w:tr>
      <w:tr>
        <w:trPr>
          <w:trHeight w:val="392"/>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40" w:type="dxa"/>
            <w:vAlign w:val="bottom"/>
            <w:gridSpan w:val="9"/>
          </w:tcPr>
          <w:p>
            <w:pPr>
              <w:jc w:val="center"/>
              <w:ind w:right="2880"/>
              <w:spacing w:after="0"/>
              <w:rPr>
                <w:sz w:val="20"/>
                <w:szCs w:val="20"/>
                <w:color w:val="auto"/>
              </w:rPr>
            </w:pPr>
            <w:r>
              <w:rPr>
                <w:rFonts w:ascii="Arial" w:cs="Arial" w:eastAsia="Arial" w:hAnsi="Arial"/>
                <w:sz w:val="14"/>
                <w:szCs w:val="14"/>
                <w:color w:val="auto"/>
                <w:w w:val="87"/>
              </w:rPr>
              <w:t>Securities registered pursuant to Section 12(b) of the Act:</w:t>
            </w:r>
          </w:p>
        </w:tc>
      </w:tr>
      <w:tr>
        <w:trPr>
          <w:trHeight w:val="311"/>
        </w:trPr>
        <w:tc>
          <w:tcPr>
            <w:tcW w:w="1100" w:type="dxa"/>
            <w:vAlign w:val="bottom"/>
          </w:tcPr>
          <w:p>
            <w:pPr>
              <w:spacing w:after="0"/>
              <w:rPr>
                <w:sz w:val="24"/>
                <w:szCs w:val="24"/>
                <w:color w:val="auto"/>
              </w:rPr>
            </w:pPr>
          </w:p>
        </w:tc>
        <w:tc>
          <w:tcPr>
            <w:tcW w:w="5360" w:type="dxa"/>
            <w:vAlign w:val="bottom"/>
            <w:gridSpan w:val="8"/>
          </w:tcPr>
          <w:p>
            <w:pPr>
              <w:jc w:val="center"/>
              <w:ind w:right="2700"/>
              <w:spacing w:after="0"/>
              <w:rPr>
                <w:sz w:val="20"/>
                <w:szCs w:val="20"/>
                <w:color w:val="auto"/>
              </w:rPr>
            </w:pPr>
            <w:r>
              <w:rPr>
                <w:rFonts w:ascii="Arial" w:cs="Arial" w:eastAsia="Arial" w:hAnsi="Arial"/>
                <w:sz w:val="14"/>
                <w:szCs w:val="14"/>
                <w:color w:val="auto"/>
                <w:w w:val="87"/>
              </w:rPr>
              <w:t>Title of each class</w:t>
            </w:r>
          </w:p>
        </w:tc>
        <w:tc>
          <w:tcPr>
            <w:tcW w:w="3660" w:type="dxa"/>
            <w:vAlign w:val="bottom"/>
            <w:gridSpan w:val="3"/>
          </w:tcPr>
          <w:p>
            <w:pPr>
              <w:jc w:val="center"/>
              <w:ind w:right="1240"/>
              <w:spacing w:after="0"/>
              <w:rPr>
                <w:sz w:val="20"/>
                <w:szCs w:val="20"/>
                <w:color w:val="auto"/>
              </w:rPr>
            </w:pPr>
            <w:r>
              <w:rPr>
                <w:rFonts w:ascii="Arial" w:cs="Arial" w:eastAsia="Arial" w:hAnsi="Arial"/>
                <w:sz w:val="14"/>
                <w:szCs w:val="14"/>
                <w:color w:val="auto"/>
                <w:w w:val="85"/>
              </w:rPr>
              <w:t>Name of each exchange on which registered</w:t>
            </w:r>
          </w:p>
        </w:tc>
      </w:tr>
      <w:tr>
        <w:trPr>
          <w:trHeight w:val="55"/>
        </w:trPr>
        <w:tc>
          <w:tcPr>
            <w:tcW w:w="1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166"/>
        </w:trPr>
        <w:tc>
          <w:tcPr>
            <w:tcW w:w="1100" w:type="dxa"/>
            <w:vAlign w:val="bottom"/>
            <w:tcBorders>
              <w:top w:val="single" w:sz="8" w:color="auto"/>
            </w:tcBorders>
          </w:tcPr>
          <w:p>
            <w:pPr>
              <w:spacing w:after="0"/>
              <w:rPr>
                <w:sz w:val="14"/>
                <w:szCs w:val="14"/>
                <w:color w:val="auto"/>
              </w:rPr>
            </w:pPr>
          </w:p>
        </w:tc>
        <w:tc>
          <w:tcPr>
            <w:tcW w:w="3760" w:type="dxa"/>
            <w:vAlign w:val="bottom"/>
            <w:tcBorders>
              <w:top w:val="single" w:sz="8" w:color="auto"/>
            </w:tcBorders>
            <w:gridSpan w:val="5"/>
          </w:tcPr>
          <w:p>
            <w:pPr>
              <w:jc w:val="center"/>
              <w:ind w:right="1100"/>
              <w:spacing w:after="0"/>
              <w:rPr>
                <w:sz w:val="20"/>
                <w:szCs w:val="20"/>
                <w:color w:val="auto"/>
              </w:rPr>
            </w:pPr>
            <w:r>
              <w:rPr>
                <w:rFonts w:ascii="Arial" w:cs="Arial" w:eastAsia="Arial" w:hAnsi="Arial"/>
                <w:sz w:val="14"/>
                <w:szCs w:val="14"/>
                <w:color w:val="auto"/>
                <w:w w:val="86"/>
              </w:rPr>
              <w:t>Common stock, par value $.50 per share</w:t>
            </w:r>
          </w:p>
        </w:tc>
        <w:tc>
          <w:tcPr>
            <w:tcW w:w="3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gridSpan w:val="3"/>
          </w:tcPr>
          <w:p>
            <w:pPr>
              <w:jc w:val="center"/>
              <w:ind w:right="1240"/>
              <w:spacing w:after="0"/>
              <w:rPr>
                <w:sz w:val="20"/>
                <w:szCs w:val="20"/>
                <w:color w:val="auto"/>
              </w:rPr>
            </w:pPr>
            <w:r>
              <w:rPr>
                <w:rFonts w:ascii="Arial" w:cs="Arial" w:eastAsia="Arial" w:hAnsi="Arial"/>
                <w:sz w:val="14"/>
                <w:szCs w:val="14"/>
                <w:color w:val="auto"/>
                <w:w w:val="88"/>
              </w:rPr>
              <w:t>New York Stock Exchange, Inc.</w:t>
            </w:r>
          </w:p>
        </w:tc>
      </w:tr>
    </w:tbl>
    <w:p>
      <w:pPr>
        <w:spacing w:after="0" w:line="168" w:lineRule="exact"/>
        <w:rPr>
          <w:sz w:val="24"/>
          <w:szCs w:val="24"/>
          <w:color w:val="auto"/>
        </w:rPr>
      </w:pPr>
    </w:p>
    <w:p>
      <w:pPr>
        <w:ind w:left="3304"/>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31" w:lineRule="exact"/>
        <w:rPr>
          <w:sz w:val="24"/>
          <w:szCs w:val="24"/>
          <w:color w:val="auto"/>
        </w:rPr>
      </w:pPr>
    </w:p>
    <w:p>
      <w:pPr>
        <w:ind w:left="4"/>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ind w:left="144" w:hanging="144"/>
        <w:spacing w:after="0" w:line="161" w:lineRule="exact"/>
        <w:tabs>
          <w:tab w:leader="none" w:pos="144"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4" w:lineRule="exact"/>
        <w:rPr>
          <w:sz w:val="24"/>
          <w:szCs w:val="24"/>
          <w:color w:val="auto"/>
        </w:rPr>
      </w:pPr>
    </w:p>
    <w:p>
      <w:pPr>
        <w:ind w:left="4"/>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ind w:left="144" w:hanging="144"/>
        <w:spacing w:after="0" w:line="161" w:lineRule="exact"/>
        <w:tabs>
          <w:tab w:leader="none" w:pos="144"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9" w:lineRule="exact"/>
        <w:rPr>
          <w:sz w:val="24"/>
          <w:szCs w:val="24"/>
          <w:color w:val="auto"/>
        </w:rPr>
      </w:pPr>
    </w:p>
    <w:p>
      <w:pPr>
        <w:ind w:left="4" w:right="20"/>
        <w:spacing w:after="0" w:line="16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11" w:lineRule="exact"/>
        <w:rPr>
          <w:sz w:val="24"/>
          <w:szCs w:val="24"/>
          <w:color w:val="auto"/>
        </w:rPr>
      </w:pPr>
    </w:p>
    <w:p>
      <w:pPr>
        <w:ind w:left="4" w:right="520"/>
        <w:spacing w:after="0" w:line="22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ind w:left="144" w:hanging="144"/>
        <w:spacing w:after="0" w:line="161" w:lineRule="exact"/>
        <w:tabs>
          <w:tab w:leader="none" w:pos="14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9" w:lineRule="exact"/>
        <w:rPr>
          <w:sz w:val="24"/>
          <w:szCs w:val="24"/>
          <w:color w:val="auto"/>
        </w:rPr>
      </w:pPr>
    </w:p>
    <w:p>
      <w:pPr>
        <w:ind w:left="4" w:right="20"/>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12" w:lineRule="exact"/>
        <w:rPr>
          <w:sz w:val="24"/>
          <w:szCs w:val="24"/>
          <w:color w:val="auto"/>
        </w:rPr>
      </w:pPr>
    </w:p>
    <w:p>
      <w:pPr>
        <w:ind w:left="4" w:right="20"/>
        <w:spacing w:after="0" w:line="27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emerging growth company. See the definitions of “large accelerated filer,” “accelerated filer,” “small reporting company,” and “emerging growth company” in Rule 12(b)-2 of the Exchange Act.:</w:t>
      </w:r>
    </w:p>
    <w:p>
      <w:pPr>
        <w:sectPr>
          <w:pgSz w:w="11900" w:h="16838" w:orient="portrait"/>
          <w:cols w:equalWidth="0" w:num="1">
            <w:col w:w="10124"/>
          </w:cols>
          <w:pgMar w:left="896" w:top="545" w:right="879" w:bottom="1440" w:gutter="0" w:footer="0" w:header="0"/>
        </w:sectPr>
      </w:pPr>
    </w:p>
    <w:p>
      <w:pPr>
        <w:ind w:left="124"/>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12" w:lineRule="exact"/>
        <w:rPr>
          <w:sz w:val="24"/>
          <w:szCs w:val="24"/>
          <w:color w:val="auto"/>
        </w:rPr>
      </w:pPr>
    </w:p>
    <w:p>
      <w:pPr>
        <w:ind w:left="124"/>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rPr>
          <w:sz w:val="20"/>
          <w:szCs w:val="20"/>
          <w:color w:val="auto"/>
        </w:rPr>
      </w:pPr>
      <w:r>
        <w:rPr>
          <w:rFonts w:ascii="Arial" w:cs="Arial" w:eastAsia="Arial" w:hAnsi="Arial"/>
          <w:sz w:val="12"/>
          <w:szCs w:val="12"/>
          <w:color w:val="auto"/>
        </w:rPr>
        <w:t>Small reporting company</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0" w:lineRule="exact"/>
        <w:rPr>
          <w:sz w:val="24"/>
          <w:szCs w:val="24"/>
          <w:color w:val="auto"/>
        </w:rPr>
      </w:pPr>
    </w:p>
    <w:p>
      <w:pPr>
        <w:sectPr>
          <w:pgSz w:w="11900" w:h="16838" w:orient="portrait"/>
          <w:cols w:equalWidth="0" w:num="3">
            <w:col w:w="4804" w:space="720"/>
            <w:col w:w="1360" w:space="80"/>
            <w:col w:w="3160"/>
          </w:cols>
          <w:pgMar w:left="896" w:top="545" w:right="879" w:bottom="1440" w:gutter="0" w:footer="0" w:header="0"/>
          <w:type w:val="continuous"/>
        </w:sectPr>
      </w:pPr>
    </w:p>
    <w:p>
      <w:pPr>
        <w:ind w:left="124"/>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0124"/>
          </w:cols>
          <w:pgMar w:left="896" w:top="545" w:right="879" w:bottom="1440" w:gutter="0" w:footer="0" w:header="0"/>
          <w:type w:val="continuous"/>
        </w:sectPr>
      </w:pPr>
    </w:p>
    <w:p>
      <w:pPr>
        <w:spacing w:after="0" w:line="189" w:lineRule="exact"/>
        <w:rPr>
          <w:sz w:val="24"/>
          <w:szCs w:val="24"/>
          <w:color w:val="auto"/>
        </w:rPr>
      </w:pPr>
    </w:p>
    <w:p>
      <w:pPr>
        <w:ind w:left="4" w:right="2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7" w:lineRule="exact"/>
        <w:rPr>
          <w:sz w:val="24"/>
          <w:szCs w:val="24"/>
          <w:color w:val="auto"/>
        </w:rPr>
      </w:pPr>
    </w:p>
    <w:p>
      <w:pPr>
        <w:ind w:left="4"/>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161" w:lineRule="exact"/>
        <w:rPr>
          <w:sz w:val="24"/>
          <w:szCs w:val="24"/>
          <w:color w:val="auto"/>
        </w:rPr>
      </w:pPr>
    </w:p>
    <w:p>
      <w:pPr>
        <w:ind w:left="4"/>
        <w:spacing w:after="0"/>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2018: $6,243,784,324</w:t>
      </w:r>
    </w:p>
    <w:p>
      <w:pPr>
        <w:spacing w:after="0" w:line="136" w:lineRule="exact"/>
        <w:rPr>
          <w:sz w:val="24"/>
          <w:szCs w:val="24"/>
          <w:color w:val="auto"/>
        </w:rPr>
      </w:pPr>
    </w:p>
    <w:p>
      <w:pPr>
        <w:ind w:left="4"/>
        <w:spacing w:after="0"/>
        <w:rPr>
          <w:sz w:val="20"/>
          <w:szCs w:val="20"/>
          <w:color w:val="auto"/>
        </w:rPr>
      </w:pPr>
      <w:r>
        <w:rPr>
          <w:rFonts w:ascii="Arial" w:cs="Arial" w:eastAsia="Arial" w:hAnsi="Arial"/>
          <w:sz w:val="14"/>
          <w:szCs w:val="14"/>
          <w:color w:val="auto"/>
        </w:rPr>
        <w:t>The number of shares outstanding of the registrant's common stock as of February 12, 2019: 178,145,692</w:t>
      </w:r>
    </w:p>
    <w:p>
      <w:pPr>
        <w:spacing w:after="0" w:line="134" w:lineRule="exact"/>
        <w:rPr>
          <w:sz w:val="24"/>
          <w:szCs w:val="24"/>
          <w:color w:val="auto"/>
        </w:rPr>
      </w:pPr>
    </w:p>
    <w:p>
      <w:pPr>
        <w:ind w:left="3504"/>
        <w:spacing w:after="0"/>
        <w:rPr>
          <w:sz w:val="20"/>
          <w:szCs w:val="20"/>
          <w:color w:val="auto"/>
        </w:rPr>
      </w:pPr>
      <w:r>
        <w:rPr>
          <w:rFonts w:ascii="Arial" w:cs="Arial" w:eastAsia="Arial" w:hAnsi="Arial"/>
          <w:sz w:val="14"/>
          <w:szCs w:val="14"/>
          <w:b w:val="1"/>
          <w:bCs w:val="1"/>
          <w:color w:val="auto"/>
        </w:rPr>
        <w:t>DOCUMENTS INCORPORATED BY REFERENCE</w:t>
      </w:r>
    </w:p>
    <w:p>
      <w:pPr>
        <w:spacing w:after="0" w:line="138" w:lineRule="exact"/>
        <w:rPr>
          <w:sz w:val="24"/>
          <w:szCs w:val="24"/>
          <w:color w:val="auto"/>
        </w:rPr>
      </w:pPr>
    </w:p>
    <w:p>
      <w:pPr>
        <w:ind w:left="304" w:right="220" w:hanging="304"/>
        <w:spacing w:after="0" w:line="239" w:lineRule="auto"/>
        <w:tabs>
          <w:tab w:leader="none" w:pos="304" w:val="left"/>
        </w:tabs>
        <w:numPr>
          <w:ilvl w:val="0"/>
          <w:numId w:val="6"/>
        </w:numPr>
        <w:rPr>
          <w:rFonts w:ascii="Arial" w:cs="Arial" w:eastAsia="Arial" w:hAnsi="Arial"/>
          <w:sz w:val="13"/>
          <w:szCs w:val="13"/>
          <w:color w:val="auto"/>
        </w:rPr>
      </w:pPr>
      <w:r>
        <w:rPr>
          <w:rFonts w:ascii="Arial" w:cs="Arial" w:eastAsia="Arial" w:hAnsi="Arial"/>
          <w:sz w:val="14"/>
          <w:szCs w:val="14"/>
          <w:color w:val="auto"/>
        </w:rPr>
        <w:t>Portions of the definitive Proxy Statement, relating to the 2019 annual meeting of shareholders of registrant, to be filed within 120 days after the end of the fiscal year covered by this Form 10-K, have been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751205</wp:posOffset>
            </wp:positionV>
            <wp:extent cx="646557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545" w:right="8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740" w:type="dxa"/>
            <w:vAlign w:val="bottom"/>
            <w:gridSpan w:val="12"/>
          </w:tcPr>
          <w:p>
            <w:pPr>
              <w:jc w:val="center"/>
              <w:ind w:right="3380"/>
              <w:spacing w:after="0"/>
              <w:rPr>
                <w:sz w:val="20"/>
                <w:szCs w:val="20"/>
                <w:color w:val="auto"/>
              </w:rPr>
            </w:pPr>
            <w:r>
              <w:rPr>
                <w:rFonts w:ascii="Arial" w:cs="Arial" w:eastAsia="Arial" w:hAnsi="Arial"/>
                <w:sz w:val="20"/>
                <w:szCs w:val="20"/>
                <w:color w:val="auto"/>
                <w:w w:val="94"/>
              </w:rPr>
              <w:t>TABLE OF CONTENTS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702"/>
        </w:trPr>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40" w:type="dxa"/>
            <w:vAlign w:val="bottom"/>
            <w:gridSpan w:val="11"/>
          </w:tcPr>
          <w:p>
            <w:pPr>
              <w:jc w:val="center"/>
              <w:ind w:right="4280"/>
              <w:spacing w:after="0"/>
              <w:rPr>
                <w:sz w:val="20"/>
                <w:szCs w:val="20"/>
                <w:color w:val="auto"/>
              </w:rPr>
            </w:pPr>
            <w:r>
              <w:rPr>
                <w:rFonts w:ascii="Arial" w:cs="Arial" w:eastAsia="Arial" w:hAnsi="Arial"/>
                <w:sz w:val="20"/>
                <w:szCs w:val="20"/>
                <w:color w:val="auto"/>
                <w:w w:val="91"/>
              </w:rPr>
              <w:t>Part I</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5"/>
        </w:trPr>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20"/>
                <w:szCs w:val="20"/>
                <w:color w:val="auto"/>
                <w:w w:val="76"/>
              </w:rPr>
              <w:t>Page</w:t>
            </w:r>
          </w:p>
        </w:tc>
      </w:tr>
      <w:tr>
        <w:trPr>
          <w:trHeight w:val="21"/>
        </w:trPr>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120"/>
              <w:spacing w:after="0" w:line="189" w:lineRule="exact"/>
              <w:rPr>
                <w:sz w:val="20"/>
                <w:szCs w:val="20"/>
                <w:color w:val="auto"/>
              </w:rPr>
            </w:pPr>
            <w:r>
              <w:rPr>
                <w:rFonts w:ascii="Arial" w:cs="Arial" w:eastAsia="Arial" w:hAnsi="Arial"/>
                <w:sz w:val="20"/>
                <w:szCs w:val="20"/>
                <w:color w:val="auto"/>
              </w:rPr>
              <w:t>Item 1.</w:t>
            </w:r>
          </w:p>
        </w:tc>
        <w:tc>
          <w:tcPr>
            <w:tcW w:w="7980" w:type="dxa"/>
            <w:vAlign w:val="bottom"/>
            <w:gridSpan w:val="27"/>
            <w:shd w:val="clear" w:color="auto" w:fill="CCEEFF"/>
          </w:tcPr>
          <w:p>
            <w:pPr>
              <w:spacing w:after="0" w:line="189" w:lineRule="exact"/>
              <w:rPr>
                <w:rFonts w:ascii="Arial" w:cs="Arial" w:eastAsia="Arial" w:hAnsi="Arial"/>
                <w:sz w:val="20"/>
                <w:szCs w:val="20"/>
                <w:color w:val="0000EE"/>
              </w:rPr>
            </w:pPr>
            <w:hyperlink w:anchor="page5">
              <w:r>
                <w:rPr>
                  <w:rFonts w:ascii="Arial" w:cs="Arial" w:eastAsia="Arial" w:hAnsi="Arial"/>
                  <w:sz w:val="20"/>
                  <w:szCs w:val="20"/>
                  <w:color w:val="0000EE"/>
                </w:rPr>
                <w:t>Business</w:t>
              </w:r>
            </w:hyperlink>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4</w:t>
            </w: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640" w:type="dxa"/>
            <w:vAlign w:val="bottom"/>
          </w:tcPr>
          <w:p>
            <w:pPr>
              <w:ind w:left="120"/>
              <w:spacing w:after="0" w:line="189" w:lineRule="exact"/>
              <w:rPr>
                <w:sz w:val="20"/>
                <w:szCs w:val="20"/>
                <w:color w:val="auto"/>
              </w:rPr>
            </w:pPr>
            <w:r>
              <w:rPr>
                <w:rFonts w:ascii="Arial" w:cs="Arial" w:eastAsia="Arial" w:hAnsi="Arial"/>
                <w:sz w:val="20"/>
                <w:szCs w:val="20"/>
                <w:color w:val="auto"/>
              </w:rPr>
              <w:t>Item 1A.</w:t>
            </w:r>
          </w:p>
        </w:tc>
        <w:tc>
          <w:tcPr>
            <w:tcW w:w="7980" w:type="dxa"/>
            <w:vAlign w:val="bottom"/>
            <w:gridSpan w:val="27"/>
          </w:tcPr>
          <w:p>
            <w:pPr>
              <w:spacing w:after="0" w:line="189" w:lineRule="exact"/>
              <w:rPr>
                <w:rFonts w:ascii="Arial" w:cs="Arial" w:eastAsia="Arial" w:hAnsi="Arial"/>
                <w:sz w:val="20"/>
                <w:szCs w:val="20"/>
                <w:color w:val="0000EE"/>
              </w:rPr>
            </w:pPr>
            <w:hyperlink w:anchor="page14">
              <w:r>
                <w:rPr>
                  <w:rFonts w:ascii="Arial" w:cs="Arial" w:eastAsia="Arial" w:hAnsi="Arial"/>
                  <w:sz w:val="20"/>
                  <w:szCs w:val="20"/>
                  <w:color w:val="0000EE"/>
                </w:rPr>
                <w:t>Risk Factors</w:t>
              </w:r>
            </w:hyperlink>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13</w:t>
            </w:r>
          </w:p>
        </w:tc>
      </w:tr>
      <w:tr>
        <w:trPr>
          <w:trHeight w:val="21"/>
        </w:trPr>
        <w:tc>
          <w:tcPr>
            <w:tcW w:w="16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640" w:type="dxa"/>
            <w:vAlign w:val="bottom"/>
            <w:shd w:val="clear" w:color="auto" w:fill="CCEEFF"/>
          </w:tcPr>
          <w:p>
            <w:pPr>
              <w:ind w:left="120"/>
              <w:spacing w:after="0" w:line="189" w:lineRule="exact"/>
              <w:rPr>
                <w:sz w:val="20"/>
                <w:szCs w:val="20"/>
                <w:color w:val="auto"/>
              </w:rPr>
            </w:pPr>
            <w:r>
              <w:rPr>
                <w:rFonts w:ascii="Arial" w:cs="Arial" w:eastAsia="Arial" w:hAnsi="Arial"/>
                <w:sz w:val="20"/>
                <w:szCs w:val="20"/>
                <w:color w:val="auto"/>
              </w:rPr>
              <w:t>Item 1B.</w:t>
            </w:r>
          </w:p>
        </w:tc>
        <w:tc>
          <w:tcPr>
            <w:tcW w:w="7980" w:type="dxa"/>
            <w:vAlign w:val="bottom"/>
            <w:gridSpan w:val="27"/>
            <w:shd w:val="clear" w:color="auto" w:fill="CCEEFF"/>
          </w:tcPr>
          <w:p>
            <w:pPr>
              <w:spacing w:after="0" w:line="189" w:lineRule="exact"/>
              <w:rPr>
                <w:rFonts w:ascii="Arial" w:cs="Arial" w:eastAsia="Arial" w:hAnsi="Arial"/>
                <w:sz w:val="20"/>
                <w:szCs w:val="20"/>
                <w:color w:val="0000EE"/>
              </w:rPr>
            </w:pPr>
            <w:hyperlink w:anchor="page26">
              <w:r>
                <w:rPr>
                  <w:rFonts w:ascii="Arial" w:cs="Arial" w:eastAsia="Arial" w:hAnsi="Arial"/>
                  <w:sz w:val="20"/>
                  <w:szCs w:val="20"/>
                  <w:color w:val="0000EE"/>
                </w:rPr>
                <w:t>Unresolved Staff Comments</w:t>
              </w:r>
            </w:hyperlink>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25</w:t>
            </w:r>
          </w:p>
        </w:tc>
      </w:tr>
      <w:tr>
        <w:trPr>
          <w:trHeight w:val="189"/>
        </w:trPr>
        <w:tc>
          <w:tcPr>
            <w:tcW w:w="1640" w:type="dxa"/>
            <w:vAlign w:val="bottom"/>
            <w:tcBorders>
              <w:top w:val="single" w:sz="8" w:color="CCEEFF"/>
            </w:tcBorders>
          </w:tcPr>
          <w:p>
            <w:pPr>
              <w:ind w:left="120"/>
              <w:spacing w:after="0" w:line="189" w:lineRule="exact"/>
              <w:rPr>
                <w:sz w:val="20"/>
                <w:szCs w:val="20"/>
                <w:color w:val="auto"/>
              </w:rPr>
            </w:pPr>
            <w:r>
              <w:rPr>
                <w:rFonts w:ascii="Arial" w:cs="Arial" w:eastAsia="Arial" w:hAnsi="Arial"/>
                <w:sz w:val="20"/>
                <w:szCs w:val="20"/>
                <w:color w:val="auto"/>
              </w:rPr>
              <w:t>Item 2.</w:t>
            </w:r>
          </w:p>
        </w:tc>
        <w:tc>
          <w:tcPr>
            <w:tcW w:w="2240" w:type="dxa"/>
            <w:vAlign w:val="bottom"/>
            <w:tcBorders>
              <w:top w:val="single" w:sz="8" w:color="0000EE"/>
            </w:tcBorders>
            <w:gridSpan w:val="15"/>
          </w:tcPr>
          <w:p>
            <w:pPr>
              <w:spacing w:after="0" w:line="189" w:lineRule="exact"/>
              <w:rPr>
                <w:rFonts w:ascii="Arial" w:cs="Arial" w:eastAsia="Arial" w:hAnsi="Arial"/>
                <w:sz w:val="20"/>
                <w:szCs w:val="20"/>
                <w:color w:val="0000EE"/>
              </w:rPr>
            </w:pPr>
            <w:hyperlink w:anchor="page26">
              <w:r>
                <w:rPr>
                  <w:rFonts w:ascii="Arial" w:cs="Arial" w:eastAsia="Arial" w:hAnsi="Arial"/>
                  <w:sz w:val="20"/>
                  <w:szCs w:val="20"/>
                  <w:color w:val="0000EE"/>
                </w:rPr>
                <w:t>Properties</w:t>
              </w:r>
            </w:hyperlink>
          </w:p>
        </w:tc>
        <w:tc>
          <w:tcPr>
            <w:tcW w:w="5740" w:type="dxa"/>
            <w:vAlign w:val="bottom"/>
            <w:tcBorders>
              <w:top w:val="single" w:sz="8" w:color="CCEEFF"/>
            </w:tcBorders>
            <w:gridSpan w:val="12"/>
          </w:tcPr>
          <w:p>
            <w:pPr>
              <w:spacing w:after="0"/>
              <w:rPr>
                <w:sz w:val="16"/>
                <w:szCs w:val="16"/>
                <w:color w:val="auto"/>
              </w:rPr>
            </w:pPr>
          </w:p>
        </w:tc>
        <w:tc>
          <w:tcPr>
            <w:tcW w:w="500" w:type="dxa"/>
            <w:vAlign w:val="bottom"/>
            <w:tcBorders>
              <w:top w:val="single" w:sz="8" w:color="CCEEFF"/>
            </w:tcBorders>
            <w:gridSpan w:val="2"/>
          </w:tcPr>
          <w:p>
            <w:pPr>
              <w:jc w:val="right"/>
              <w:ind w:right="60"/>
              <w:spacing w:after="0" w:line="189" w:lineRule="exact"/>
              <w:rPr>
                <w:sz w:val="20"/>
                <w:szCs w:val="20"/>
                <w:color w:val="auto"/>
              </w:rPr>
            </w:pPr>
            <w:r>
              <w:rPr>
                <w:rFonts w:ascii="Arial" w:cs="Arial" w:eastAsia="Arial" w:hAnsi="Arial"/>
                <w:sz w:val="20"/>
                <w:szCs w:val="20"/>
                <w:color w:val="auto"/>
              </w:rPr>
              <w:t>25</w:t>
            </w:r>
          </w:p>
        </w:tc>
      </w:tr>
      <w:tr>
        <w:trPr>
          <w:trHeight w:val="21"/>
        </w:trPr>
        <w:tc>
          <w:tcPr>
            <w:tcW w:w="16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120"/>
              <w:spacing w:after="0" w:line="189" w:lineRule="exact"/>
              <w:rPr>
                <w:sz w:val="20"/>
                <w:szCs w:val="20"/>
                <w:color w:val="auto"/>
              </w:rPr>
            </w:pPr>
            <w:r>
              <w:rPr>
                <w:rFonts w:ascii="Arial" w:cs="Arial" w:eastAsia="Arial" w:hAnsi="Arial"/>
                <w:sz w:val="20"/>
                <w:szCs w:val="20"/>
                <w:color w:val="auto"/>
              </w:rPr>
              <w:t>Item 3.</w:t>
            </w:r>
          </w:p>
        </w:tc>
        <w:tc>
          <w:tcPr>
            <w:tcW w:w="7980" w:type="dxa"/>
            <w:vAlign w:val="bottom"/>
            <w:gridSpan w:val="27"/>
            <w:shd w:val="clear" w:color="auto" w:fill="CCEEFF"/>
          </w:tcPr>
          <w:p>
            <w:pPr>
              <w:spacing w:after="0" w:line="189" w:lineRule="exact"/>
              <w:rPr>
                <w:rFonts w:ascii="Arial" w:cs="Arial" w:eastAsia="Arial" w:hAnsi="Arial"/>
                <w:sz w:val="20"/>
                <w:szCs w:val="20"/>
                <w:color w:val="0000EE"/>
              </w:rPr>
            </w:pPr>
            <w:hyperlink w:anchor="page26">
              <w:r>
                <w:rPr>
                  <w:rFonts w:ascii="Arial" w:cs="Arial" w:eastAsia="Arial" w:hAnsi="Arial"/>
                  <w:sz w:val="20"/>
                  <w:szCs w:val="20"/>
                  <w:color w:val="0000EE"/>
                </w:rPr>
                <w:t>Legal Proceedings</w:t>
              </w:r>
            </w:hyperlink>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25</w:t>
            </w: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640" w:type="dxa"/>
            <w:vAlign w:val="bottom"/>
          </w:tcPr>
          <w:p>
            <w:pPr>
              <w:ind w:left="120"/>
              <w:spacing w:after="0" w:line="189" w:lineRule="exact"/>
              <w:rPr>
                <w:sz w:val="20"/>
                <w:szCs w:val="20"/>
                <w:color w:val="auto"/>
              </w:rPr>
            </w:pPr>
            <w:r>
              <w:rPr>
                <w:rFonts w:ascii="Arial" w:cs="Arial" w:eastAsia="Arial" w:hAnsi="Arial"/>
                <w:sz w:val="20"/>
                <w:szCs w:val="20"/>
                <w:color w:val="auto"/>
              </w:rPr>
              <w:t>Item 4.</w:t>
            </w:r>
          </w:p>
        </w:tc>
        <w:tc>
          <w:tcPr>
            <w:tcW w:w="7980" w:type="dxa"/>
            <w:vAlign w:val="bottom"/>
            <w:gridSpan w:val="27"/>
          </w:tcPr>
          <w:p>
            <w:pPr>
              <w:spacing w:after="0" w:line="189" w:lineRule="exact"/>
              <w:rPr>
                <w:rFonts w:ascii="Arial" w:cs="Arial" w:eastAsia="Arial" w:hAnsi="Arial"/>
                <w:sz w:val="20"/>
                <w:szCs w:val="20"/>
                <w:color w:val="0000EE"/>
              </w:rPr>
            </w:pPr>
            <w:hyperlink w:anchor="page26">
              <w:r>
                <w:rPr>
                  <w:rFonts w:ascii="Arial" w:cs="Arial" w:eastAsia="Arial" w:hAnsi="Arial"/>
                  <w:sz w:val="20"/>
                  <w:szCs w:val="20"/>
                  <w:color w:val="0000EE"/>
                </w:rPr>
                <w:t>Mine Safety Disclosures</w:t>
              </w:r>
            </w:hyperlink>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25</w:t>
            </w:r>
          </w:p>
        </w:tc>
      </w:tr>
      <w:tr>
        <w:trPr>
          <w:trHeight w:val="254"/>
        </w:trPr>
        <w:tc>
          <w:tcPr>
            <w:tcW w:w="1640" w:type="dxa"/>
            <w:vAlign w:val="bottom"/>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40" w:type="dxa"/>
            <w:vAlign w:val="bottom"/>
            <w:gridSpan w:val="11"/>
          </w:tcPr>
          <w:p>
            <w:pPr>
              <w:jc w:val="center"/>
              <w:ind w:right="4300"/>
              <w:spacing w:after="0"/>
              <w:rPr>
                <w:sz w:val="20"/>
                <w:szCs w:val="20"/>
                <w:color w:val="auto"/>
              </w:rPr>
            </w:pPr>
            <w:r>
              <w:rPr>
                <w:rFonts w:ascii="Arial" w:cs="Arial" w:eastAsia="Arial" w:hAnsi="Arial"/>
                <w:sz w:val="20"/>
                <w:szCs w:val="20"/>
                <w:color w:val="auto"/>
                <w:w w:val="93"/>
              </w:rPr>
              <w:t>Part II</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6"/>
        </w:trPr>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89"/>
        </w:trPr>
        <w:tc>
          <w:tcPr>
            <w:tcW w:w="1640" w:type="dxa"/>
            <w:vAlign w:val="bottom"/>
            <w:shd w:val="clear" w:color="auto" w:fill="CCEEFF"/>
          </w:tcPr>
          <w:p>
            <w:pPr>
              <w:ind w:left="120"/>
              <w:spacing w:after="0" w:line="189" w:lineRule="exact"/>
              <w:rPr>
                <w:sz w:val="20"/>
                <w:szCs w:val="20"/>
                <w:color w:val="auto"/>
              </w:rPr>
            </w:pPr>
            <w:r>
              <w:rPr>
                <w:rFonts w:ascii="Arial" w:cs="Arial" w:eastAsia="Arial" w:hAnsi="Arial"/>
                <w:sz w:val="20"/>
                <w:szCs w:val="20"/>
                <w:color w:val="auto"/>
              </w:rPr>
              <w:t>Item 5.</w:t>
            </w:r>
          </w:p>
        </w:tc>
        <w:tc>
          <w:tcPr>
            <w:tcW w:w="7980" w:type="dxa"/>
            <w:vAlign w:val="bottom"/>
            <w:gridSpan w:val="27"/>
            <w:shd w:val="clear" w:color="auto" w:fill="CCEEFF"/>
          </w:tcPr>
          <w:p>
            <w:pPr>
              <w:spacing w:after="0" w:line="189" w:lineRule="exact"/>
              <w:rPr>
                <w:rFonts w:ascii="Arial" w:cs="Arial" w:eastAsia="Arial" w:hAnsi="Arial"/>
                <w:sz w:val="20"/>
                <w:szCs w:val="20"/>
                <w:color w:val="0000EE"/>
                <w:w w:val="94"/>
              </w:rPr>
            </w:pPr>
            <w:hyperlink w:anchor="page27">
              <w:r>
                <w:rPr>
                  <w:rFonts w:ascii="Arial" w:cs="Arial" w:eastAsia="Arial" w:hAnsi="Arial"/>
                  <w:sz w:val="20"/>
                  <w:szCs w:val="20"/>
                  <w:color w:val="0000EE"/>
                  <w:w w:val="94"/>
                </w:rPr>
                <w:t>Market for the Registrant’s Common Stock, Related Stockholder Matters and Issuer Purchases</w:t>
              </w:r>
            </w:hyperlink>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26</w:t>
            </w:r>
          </w:p>
        </w:tc>
      </w:tr>
      <w:tr>
        <w:trPr>
          <w:trHeight w:val="230"/>
        </w:trPr>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0000EE"/>
              <w:bottom w:val="single" w:sz="8" w:color="0000EE"/>
            </w:tcBorders>
            <w:gridSpan w:val="10"/>
            <w:shd w:val="clear" w:color="auto" w:fill="CCEEFF"/>
          </w:tcPr>
          <w:p>
            <w:pPr>
              <w:spacing w:after="0" w:line="209" w:lineRule="exact"/>
              <w:rPr>
                <w:rFonts w:ascii="Arial" w:cs="Arial" w:eastAsia="Arial" w:hAnsi="Arial"/>
                <w:sz w:val="20"/>
                <w:szCs w:val="20"/>
                <w:color w:val="0000EE"/>
                <w:w w:val="91"/>
              </w:rPr>
            </w:pPr>
            <w:hyperlink w:anchor="page27">
              <w:r>
                <w:rPr>
                  <w:rFonts w:ascii="Arial" w:cs="Arial" w:eastAsia="Arial" w:hAnsi="Arial"/>
                  <w:sz w:val="20"/>
                  <w:szCs w:val="20"/>
                  <w:color w:val="0000EE"/>
                  <w:w w:val="91"/>
                </w:rPr>
                <w:t>of Equity Securities</w:t>
              </w:r>
            </w:hyperlink>
          </w:p>
        </w:tc>
        <w:tc>
          <w:tcPr>
            <w:tcW w:w="5900" w:type="dxa"/>
            <w:vAlign w:val="bottom"/>
            <w:tcBorders>
              <w:top w:val="single" w:sz="8" w:color="0000EE"/>
              <w:bottom w:val="single" w:sz="8" w:color="CCEEFF"/>
            </w:tcBorders>
            <w:gridSpan w:val="16"/>
            <w:shd w:val="clear" w:color="auto" w:fill="CCEEFF"/>
          </w:tcPr>
          <w:p>
            <w:pPr>
              <w:spacing w:after="0"/>
              <w:rPr>
                <w:sz w:val="20"/>
                <w:szCs w:val="20"/>
                <w:color w:val="auto"/>
              </w:rPr>
            </w:pP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640" w:type="dxa"/>
            <w:vAlign w:val="bottom"/>
          </w:tcPr>
          <w:p>
            <w:pPr>
              <w:ind w:left="120"/>
              <w:spacing w:after="0" w:line="189" w:lineRule="exact"/>
              <w:rPr>
                <w:sz w:val="20"/>
                <w:szCs w:val="20"/>
                <w:color w:val="auto"/>
              </w:rPr>
            </w:pPr>
            <w:r>
              <w:rPr>
                <w:rFonts w:ascii="Arial" w:cs="Arial" w:eastAsia="Arial" w:hAnsi="Arial"/>
                <w:sz w:val="20"/>
                <w:szCs w:val="20"/>
                <w:color w:val="auto"/>
              </w:rPr>
              <w:t>Item 6.</w:t>
            </w:r>
          </w:p>
        </w:tc>
        <w:tc>
          <w:tcPr>
            <w:tcW w:w="7980" w:type="dxa"/>
            <w:vAlign w:val="bottom"/>
            <w:gridSpan w:val="27"/>
          </w:tcPr>
          <w:p>
            <w:pPr>
              <w:spacing w:after="0" w:line="189" w:lineRule="exact"/>
              <w:rPr>
                <w:rFonts w:ascii="Arial" w:cs="Arial" w:eastAsia="Arial" w:hAnsi="Arial"/>
                <w:sz w:val="20"/>
                <w:szCs w:val="20"/>
                <w:color w:val="0000EE"/>
              </w:rPr>
            </w:pPr>
            <w:hyperlink w:anchor="page28">
              <w:r>
                <w:rPr>
                  <w:rFonts w:ascii="Arial" w:cs="Arial" w:eastAsia="Arial" w:hAnsi="Arial"/>
                  <w:sz w:val="20"/>
                  <w:szCs w:val="20"/>
                  <w:color w:val="0000EE"/>
                </w:rPr>
                <w:t>Selected Financial Data</w:t>
              </w:r>
            </w:hyperlink>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27</w:t>
            </w:r>
          </w:p>
        </w:tc>
      </w:tr>
      <w:tr>
        <w:trPr>
          <w:trHeight w:val="21"/>
        </w:trPr>
        <w:tc>
          <w:tcPr>
            <w:tcW w:w="16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640" w:type="dxa"/>
            <w:vAlign w:val="bottom"/>
            <w:shd w:val="clear" w:color="auto" w:fill="CCEEFF"/>
          </w:tcPr>
          <w:p>
            <w:pPr>
              <w:ind w:left="120"/>
              <w:spacing w:after="0" w:line="189" w:lineRule="exact"/>
              <w:rPr>
                <w:sz w:val="20"/>
                <w:szCs w:val="20"/>
                <w:color w:val="auto"/>
              </w:rPr>
            </w:pPr>
            <w:r>
              <w:rPr>
                <w:rFonts w:ascii="Arial" w:cs="Arial" w:eastAsia="Arial" w:hAnsi="Arial"/>
                <w:sz w:val="20"/>
                <w:szCs w:val="20"/>
                <w:color w:val="auto"/>
              </w:rPr>
              <w:t>Item 7.</w:t>
            </w:r>
          </w:p>
        </w:tc>
        <w:tc>
          <w:tcPr>
            <w:tcW w:w="7980" w:type="dxa"/>
            <w:vAlign w:val="bottom"/>
            <w:gridSpan w:val="27"/>
            <w:shd w:val="clear" w:color="auto" w:fill="CCEEFF"/>
          </w:tcPr>
          <w:p>
            <w:pPr>
              <w:spacing w:after="0" w:line="189" w:lineRule="exact"/>
              <w:rPr>
                <w:rFonts w:ascii="Arial" w:cs="Arial" w:eastAsia="Arial" w:hAnsi="Arial"/>
                <w:sz w:val="20"/>
                <w:szCs w:val="20"/>
                <w:color w:val="0000EE"/>
              </w:rPr>
            </w:pPr>
            <w:hyperlink w:anchor="page29">
              <w:r>
                <w:rPr>
                  <w:rFonts w:ascii="Arial" w:cs="Arial" w:eastAsia="Arial" w:hAnsi="Arial"/>
                  <w:sz w:val="20"/>
                  <w:szCs w:val="20"/>
                  <w:color w:val="0000EE"/>
                </w:rPr>
                <w:t>Management’s Discussion and Analysis of Financial Condition and Results of Operations</w:t>
              </w:r>
            </w:hyperlink>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28</w:t>
            </w:r>
          </w:p>
        </w:tc>
      </w:tr>
      <w:tr>
        <w:trPr>
          <w:trHeight w:val="189"/>
        </w:trPr>
        <w:tc>
          <w:tcPr>
            <w:tcW w:w="1640" w:type="dxa"/>
            <w:vAlign w:val="bottom"/>
            <w:tcBorders>
              <w:top w:val="single" w:sz="8" w:color="CCEEFF"/>
            </w:tcBorders>
          </w:tcPr>
          <w:p>
            <w:pPr>
              <w:ind w:left="120"/>
              <w:spacing w:after="0" w:line="189" w:lineRule="exact"/>
              <w:rPr>
                <w:sz w:val="20"/>
                <w:szCs w:val="20"/>
                <w:color w:val="auto"/>
              </w:rPr>
            </w:pPr>
            <w:r>
              <w:rPr>
                <w:rFonts w:ascii="Arial" w:cs="Arial" w:eastAsia="Arial" w:hAnsi="Arial"/>
                <w:sz w:val="20"/>
                <w:szCs w:val="20"/>
                <w:color w:val="auto"/>
              </w:rPr>
              <w:t>Item 7A</w:t>
            </w:r>
          </w:p>
        </w:tc>
        <w:tc>
          <w:tcPr>
            <w:tcW w:w="7100" w:type="dxa"/>
            <w:vAlign w:val="bottom"/>
            <w:tcBorders>
              <w:top w:val="single" w:sz="8" w:color="0000EE"/>
            </w:tcBorders>
            <w:gridSpan w:val="23"/>
          </w:tcPr>
          <w:p>
            <w:pPr>
              <w:spacing w:after="0" w:line="189" w:lineRule="exact"/>
              <w:rPr>
                <w:rFonts w:ascii="Arial" w:cs="Arial" w:eastAsia="Arial" w:hAnsi="Arial"/>
                <w:sz w:val="20"/>
                <w:szCs w:val="20"/>
                <w:color w:val="0000EE"/>
              </w:rPr>
            </w:pPr>
            <w:hyperlink w:anchor="page54">
              <w:r>
                <w:rPr>
                  <w:rFonts w:ascii="Arial" w:cs="Arial" w:eastAsia="Arial" w:hAnsi="Arial"/>
                  <w:sz w:val="20"/>
                  <w:szCs w:val="20"/>
                  <w:color w:val="0000EE"/>
                </w:rPr>
                <w:t>Quantitative and Qualitative Disclosures About Market Risk</w:t>
              </w:r>
            </w:hyperlink>
          </w:p>
        </w:tc>
        <w:tc>
          <w:tcPr>
            <w:tcW w:w="880" w:type="dxa"/>
            <w:vAlign w:val="bottom"/>
            <w:tcBorders>
              <w:top w:val="single" w:sz="8" w:color="CCEEFF"/>
            </w:tcBorders>
            <w:gridSpan w:val="4"/>
          </w:tcPr>
          <w:p>
            <w:pPr>
              <w:spacing w:after="0"/>
              <w:rPr>
                <w:sz w:val="16"/>
                <w:szCs w:val="16"/>
                <w:color w:val="auto"/>
              </w:rPr>
            </w:pPr>
          </w:p>
        </w:tc>
        <w:tc>
          <w:tcPr>
            <w:tcW w:w="500" w:type="dxa"/>
            <w:vAlign w:val="bottom"/>
            <w:tcBorders>
              <w:top w:val="single" w:sz="8" w:color="CCEEFF"/>
            </w:tcBorders>
            <w:gridSpan w:val="2"/>
          </w:tcPr>
          <w:p>
            <w:pPr>
              <w:jc w:val="right"/>
              <w:ind w:right="60"/>
              <w:spacing w:after="0" w:line="189" w:lineRule="exact"/>
              <w:rPr>
                <w:sz w:val="20"/>
                <w:szCs w:val="20"/>
                <w:color w:val="auto"/>
              </w:rPr>
            </w:pPr>
            <w:r>
              <w:rPr>
                <w:rFonts w:ascii="Arial" w:cs="Arial" w:eastAsia="Arial" w:hAnsi="Arial"/>
                <w:sz w:val="20"/>
                <w:szCs w:val="20"/>
                <w:color w:val="auto"/>
              </w:rPr>
              <w:t>53</w:t>
            </w:r>
          </w:p>
        </w:tc>
      </w:tr>
      <w:tr>
        <w:trPr>
          <w:trHeight w:val="21"/>
        </w:trPr>
        <w:tc>
          <w:tcPr>
            <w:tcW w:w="16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64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20"/>
                <w:szCs w:val="20"/>
                <w:color w:val="auto"/>
              </w:rPr>
              <w:t>Item 8.</w:t>
            </w:r>
          </w:p>
        </w:tc>
        <w:tc>
          <w:tcPr>
            <w:tcW w:w="3660" w:type="dxa"/>
            <w:vAlign w:val="bottom"/>
            <w:tcBorders>
              <w:bottom w:val="single" w:sz="8" w:color="0000EE"/>
            </w:tcBorders>
            <w:gridSpan w:val="18"/>
            <w:shd w:val="clear" w:color="auto" w:fill="CCEEFF"/>
          </w:tcPr>
          <w:p>
            <w:pPr>
              <w:spacing w:after="0" w:line="189" w:lineRule="exact"/>
              <w:rPr>
                <w:rFonts w:ascii="Arial" w:cs="Arial" w:eastAsia="Arial" w:hAnsi="Arial"/>
                <w:sz w:val="20"/>
                <w:szCs w:val="20"/>
                <w:color w:val="0000EE"/>
                <w:w w:val="88"/>
              </w:rPr>
            </w:pPr>
            <w:hyperlink w:anchor="page55">
              <w:r>
                <w:rPr>
                  <w:rFonts w:ascii="Arial" w:cs="Arial" w:eastAsia="Arial" w:hAnsi="Arial"/>
                  <w:sz w:val="20"/>
                  <w:szCs w:val="20"/>
                  <w:color w:val="0000EE"/>
                  <w:w w:val="88"/>
                </w:rPr>
                <w:t>Financial Statements and Supplementary Data</w:t>
              </w:r>
            </w:hyperlink>
          </w:p>
        </w:tc>
        <w:tc>
          <w:tcPr>
            <w:tcW w:w="4320" w:type="dxa"/>
            <w:vAlign w:val="bottom"/>
            <w:tcBorders>
              <w:bottom w:val="single" w:sz="8" w:color="CCEEFF"/>
            </w:tcBorders>
            <w:gridSpan w:val="9"/>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54</w:t>
            </w:r>
          </w:p>
        </w:tc>
      </w:tr>
      <w:tr>
        <w:trPr>
          <w:trHeight w:val="189"/>
        </w:trPr>
        <w:tc>
          <w:tcPr>
            <w:tcW w:w="1640" w:type="dxa"/>
            <w:vAlign w:val="bottom"/>
          </w:tcPr>
          <w:p>
            <w:pPr>
              <w:ind w:left="120"/>
              <w:spacing w:after="0" w:line="189" w:lineRule="exact"/>
              <w:rPr>
                <w:sz w:val="20"/>
                <w:szCs w:val="20"/>
                <w:color w:val="auto"/>
              </w:rPr>
            </w:pPr>
            <w:r>
              <w:rPr>
                <w:rFonts w:ascii="Arial" w:cs="Arial" w:eastAsia="Arial" w:hAnsi="Arial"/>
                <w:sz w:val="20"/>
                <w:szCs w:val="20"/>
                <w:color w:val="auto"/>
              </w:rPr>
              <w:t>Item 9.</w:t>
            </w:r>
          </w:p>
        </w:tc>
        <w:tc>
          <w:tcPr>
            <w:tcW w:w="7980" w:type="dxa"/>
            <w:vAlign w:val="bottom"/>
            <w:gridSpan w:val="27"/>
          </w:tcPr>
          <w:p>
            <w:pPr>
              <w:spacing w:after="0" w:line="189" w:lineRule="exact"/>
              <w:rPr>
                <w:rFonts w:ascii="Arial" w:cs="Arial" w:eastAsia="Arial" w:hAnsi="Arial"/>
                <w:sz w:val="20"/>
                <w:szCs w:val="20"/>
                <w:color w:val="0000EE"/>
              </w:rPr>
            </w:pPr>
            <w:hyperlink w:anchor="page105">
              <w:r>
                <w:rPr>
                  <w:rFonts w:ascii="Arial" w:cs="Arial" w:eastAsia="Arial" w:hAnsi="Arial"/>
                  <w:sz w:val="20"/>
                  <w:szCs w:val="20"/>
                  <w:color w:val="0000EE"/>
                </w:rPr>
                <w:t>Changes in and Disagreements with Accountants on Accounting and Financial Disclosure</w:t>
              </w:r>
            </w:hyperlink>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104</w:t>
            </w:r>
          </w:p>
        </w:tc>
      </w:tr>
      <w:tr>
        <w:trPr>
          <w:trHeight w:val="21"/>
        </w:trPr>
        <w:tc>
          <w:tcPr>
            <w:tcW w:w="16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640" w:type="dxa"/>
            <w:vAlign w:val="bottom"/>
            <w:shd w:val="clear" w:color="auto" w:fill="CCEEFF"/>
          </w:tcPr>
          <w:p>
            <w:pPr>
              <w:ind w:left="120"/>
              <w:spacing w:after="0" w:line="189" w:lineRule="exact"/>
              <w:rPr>
                <w:sz w:val="20"/>
                <w:szCs w:val="20"/>
                <w:color w:val="auto"/>
              </w:rPr>
            </w:pPr>
            <w:r>
              <w:rPr>
                <w:rFonts w:ascii="Arial" w:cs="Arial" w:eastAsia="Arial" w:hAnsi="Arial"/>
                <w:sz w:val="20"/>
                <w:szCs w:val="20"/>
                <w:color w:val="auto"/>
              </w:rPr>
              <w:t>Item 9A.</w:t>
            </w:r>
          </w:p>
        </w:tc>
        <w:tc>
          <w:tcPr>
            <w:tcW w:w="7980" w:type="dxa"/>
            <w:vAlign w:val="bottom"/>
            <w:gridSpan w:val="27"/>
            <w:shd w:val="clear" w:color="auto" w:fill="CCEEFF"/>
          </w:tcPr>
          <w:p>
            <w:pPr>
              <w:spacing w:after="0" w:line="189" w:lineRule="exact"/>
              <w:rPr>
                <w:rFonts w:ascii="Arial" w:cs="Arial" w:eastAsia="Arial" w:hAnsi="Arial"/>
                <w:sz w:val="20"/>
                <w:szCs w:val="20"/>
                <w:color w:val="0000EE"/>
              </w:rPr>
            </w:pPr>
            <w:hyperlink w:anchor="page106">
              <w:r>
                <w:rPr>
                  <w:rFonts w:ascii="Arial" w:cs="Arial" w:eastAsia="Arial" w:hAnsi="Arial"/>
                  <w:sz w:val="20"/>
                  <w:szCs w:val="20"/>
                  <w:color w:val="0000EE"/>
                </w:rPr>
                <w:t>Controls and Procedures</w:t>
              </w:r>
            </w:hyperlink>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105</w:t>
            </w:r>
          </w:p>
        </w:tc>
      </w:tr>
      <w:tr>
        <w:trPr>
          <w:trHeight w:val="189"/>
        </w:trPr>
        <w:tc>
          <w:tcPr>
            <w:tcW w:w="1640" w:type="dxa"/>
            <w:vAlign w:val="bottom"/>
            <w:tcBorders>
              <w:top w:val="single" w:sz="8" w:color="CCEEFF"/>
            </w:tcBorders>
          </w:tcPr>
          <w:p>
            <w:pPr>
              <w:ind w:left="120"/>
              <w:spacing w:after="0" w:line="189" w:lineRule="exact"/>
              <w:rPr>
                <w:sz w:val="20"/>
                <w:szCs w:val="20"/>
                <w:color w:val="auto"/>
              </w:rPr>
            </w:pPr>
            <w:r>
              <w:rPr>
                <w:rFonts w:ascii="Arial" w:cs="Arial" w:eastAsia="Arial" w:hAnsi="Arial"/>
                <w:sz w:val="20"/>
                <w:szCs w:val="20"/>
                <w:color w:val="auto"/>
              </w:rPr>
              <w:t>Item 9B.</w:t>
            </w:r>
          </w:p>
        </w:tc>
        <w:tc>
          <w:tcPr>
            <w:tcW w:w="1940" w:type="dxa"/>
            <w:vAlign w:val="bottom"/>
            <w:tcBorders>
              <w:top w:val="single" w:sz="8" w:color="0000EE"/>
            </w:tcBorders>
            <w:gridSpan w:val="13"/>
          </w:tcPr>
          <w:p>
            <w:pPr>
              <w:spacing w:after="0" w:line="189" w:lineRule="exact"/>
              <w:rPr>
                <w:rFonts w:ascii="Arial" w:cs="Arial" w:eastAsia="Arial" w:hAnsi="Arial"/>
                <w:sz w:val="20"/>
                <w:szCs w:val="20"/>
                <w:color w:val="0000EE"/>
              </w:rPr>
            </w:pPr>
            <w:hyperlink w:anchor="page106">
              <w:r>
                <w:rPr>
                  <w:rFonts w:ascii="Arial" w:cs="Arial" w:eastAsia="Arial" w:hAnsi="Arial"/>
                  <w:sz w:val="20"/>
                  <w:szCs w:val="20"/>
                  <w:color w:val="0000EE"/>
                </w:rPr>
                <w:t>Other Information</w:t>
              </w:r>
            </w:hyperlink>
          </w:p>
        </w:tc>
        <w:tc>
          <w:tcPr>
            <w:tcW w:w="6040" w:type="dxa"/>
            <w:vAlign w:val="bottom"/>
            <w:tcBorders>
              <w:top w:val="single" w:sz="8" w:color="CCEEFF"/>
            </w:tcBorders>
            <w:gridSpan w:val="14"/>
          </w:tcPr>
          <w:p>
            <w:pPr>
              <w:spacing w:after="0"/>
              <w:rPr>
                <w:sz w:val="16"/>
                <w:szCs w:val="16"/>
                <w:color w:val="auto"/>
              </w:rPr>
            </w:pPr>
          </w:p>
        </w:tc>
        <w:tc>
          <w:tcPr>
            <w:tcW w:w="500" w:type="dxa"/>
            <w:vAlign w:val="bottom"/>
            <w:tcBorders>
              <w:top w:val="single" w:sz="8" w:color="CCEEFF"/>
            </w:tcBorders>
            <w:gridSpan w:val="2"/>
          </w:tcPr>
          <w:p>
            <w:pPr>
              <w:jc w:val="right"/>
              <w:ind w:right="60"/>
              <w:spacing w:after="0" w:line="189" w:lineRule="exact"/>
              <w:rPr>
                <w:sz w:val="20"/>
                <w:szCs w:val="20"/>
                <w:color w:val="auto"/>
              </w:rPr>
            </w:pPr>
            <w:r>
              <w:rPr>
                <w:rFonts w:ascii="Arial" w:cs="Arial" w:eastAsia="Arial" w:hAnsi="Arial"/>
                <w:sz w:val="20"/>
                <w:szCs w:val="20"/>
                <w:color w:val="auto"/>
              </w:rPr>
              <w:t>105</w:t>
            </w:r>
          </w:p>
        </w:tc>
      </w:tr>
      <w:tr>
        <w:trPr>
          <w:trHeight w:val="254"/>
        </w:trPr>
        <w:tc>
          <w:tcPr>
            <w:tcW w:w="1640" w:type="dxa"/>
            <w:vAlign w:val="bottom"/>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740" w:type="dxa"/>
            <w:vAlign w:val="bottom"/>
            <w:gridSpan w:val="12"/>
          </w:tcPr>
          <w:p>
            <w:pPr>
              <w:jc w:val="center"/>
              <w:ind w:right="3380"/>
              <w:spacing w:after="0"/>
              <w:rPr>
                <w:sz w:val="20"/>
                <w:szCs w:val="20"/>
                <w:color w:val="auto"/>
              </w:rPr>
            </w:pPr>
            <w:r>
              <w:rPr>
                <w:rFonts w:ascii="Arial" w:cs="Arial" w:eastAsia="Arial" w:hAnsi="Arial"/>
                <w:sz w:val="20"/>
                <w:szCs w:val="20"/>
                <w:color w:val="auto"/>
                <w:w w:val="94"/>
              </w:rPr>
              <w:t>Part III</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6"/>
        </w:trPr>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1640" w:type="dxa"/>
            <w:vAlign w:val="bottom"/>
            <w:shd w:val="clear" w:color="auto" w:fill="CCEEFF"/>
          </w:tcPr>
          <w:p>
            <w:pPr>
              <w:ind w:left="120"/>
              <w:spacing w:after="0" w:line="189" w:lineRule="exact"/>
              <w:rPr>
                <w:sz w:val="20"/>
                <w:szCs w:val="20"/>
                <w:color w:val="auto"/>
              </w:rPr>
            </w:pPr>
            <w:r>
              <w:rPr>
                <w:rFonts w:ascii="Arial" w:cs="Arial" w:eastAsia="Arial" w:hAnsi="Arial"/>
                <w:sz w:val="20"/>
                <w:szCs w:val="20"/>
                <w:color w:val="auto"/>
              </w:rPr>
              <w:t>Item 10.</w:t>
            </w:r>
          </w:p>
        </w:tc>
        <w:tc>
          <w:tcPr>
            <w:tcW w:w="7980" w:type="dxa"/>
            <w:vAlign w:val="bottom"/>
            <w:gridSpan w:val="27"/>
            <w:shd w:val="clear" w:color="auto" w:fill="CCEEFF"/>
          </w:tcPr>
          <w:p>
            <w:pPr>
              <w:spacing w:after="0" w:line="189" w:lineRule="exact"/>
              <w:rPr>
                <w:rFonts w:ascii="Arial" w:cs="Arial" w:eastAsia="Arial" w:hAnsi="Arial"/>
                <w:sz w:val="20"/>
                <w:szCs w:val="20"/>
                <w:color w:val="0000EE"/>
              </w:rPr>
            </w:pPr>
            <w:hyperlink w:anchor="page107">
              <w:r>
                <w:rPr>
                  <w:rFonts w:ascii="Arial" w:cs="Arial" w:eastAsia="Arial" w:hAnsi="Arial"/>
                  <w:sz w:val="20"/>
                  <w:szCs w:val="20"/>
                  <w:color w:val="0000EE"/>
                </w:rPr>
                <w:t>Directors, Executive Officers and Corporate Governance</w:t>
              </w:r>
            </w:hyperlink>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106</w:t>
            </w:r>
          </w:p>
        </w:tc>
      </w:tr>
      <w:tr>
        <w:trPr>
          <w:trHeight w:val="189"/>
        </w:trPr>
        <w:tc>
          <w:tcPr>
            <w:tcW w:w="1640" w:type="dxa"/>
            <w:vAlign w:val="bottom"/>
            <w:tcBorders>
              <w:top w:val="single" w:sz="8" w:color="CCEEFF"/>
            </w:tcBorders>
          </w:tcPr>
          <w:p>
            <w:pPr>
              <w:ind w:left="120"/>
              <w:spacing w:after="0" w:line="189" w:lineRule="exact"/>
              <w:rPr>
                <w:sz w:val="20"/>
                <w:szCs w:val="20"/>
                <w:color w:val="auto"/>
              </w:rPr>
            </w:pPr>
            <w:r>
              <w:rPr>
                <w:rFonts w:ascii="Arial" w:cs="Arial" w:eastAsia="Arial" w:hAnsi="Arial"/>
                <w:sz w:val="20"/>
                <w:szCs w:val="20"/>
                <w:color w:val="auto"/>
              </w:rPr>
              <w:t>Item 11.</w:t>
            </w:r>
          </w:p>
        </w:tc>
        <w:tc>
          <w:tcPr>
            <w:tcW w:w="4500" w:type="dxa"/>
            <w:vAlign w:val="bottom"/>
            <w:tcBorders>
              <w:top w:val="single" w:sz="8" w:color="0000EE"/>
            </w:tcBorders>
            <w:gridSpan w:val="19"/>
          </w:tcPr>
          <w:p>
            <w:pPr>
              <w:spacing w:after="0" w:line="189" w:lineRule="exact"/>
              <w:rPr>
                <w:rFonts w:ascii="Arial" w:cs="Arial" w:eastAsia="Arial" w:hAnsi="Arial"/>
                <w:sz w:val="20"/>
                <w:szCs w:val="20"/>
                <w:color w:val="0000EE"/>
              </w:rPr>
            </w:pPr>
            <w:hyperlink w:anchor="page108">
              <w:r>
                <w:rPr>
                  <w:rFonts w:ascii="Arial" w:cs="Arial" w:eastAsia="Arial" w:hAnsi="Arial"/>
                  <w:sz w:val="20"/>
                  <w:szCs w:val="20"/>
                  <w:color w:val="0000EE"/>
                </w:rPr>
                <w:t>Executive Compensation</w:t>
              </w:r>
            </w:hyperlink>
          </w:p>
        </w:tc>
        <w:tc>
          <w:tcPr>
            <w:tcW w:w="3480" w:type="dxa"/>
            <w:vAlign w:val="bottom"/>
            <w:tcBorders>
              <w:top w:val="single" w:sz="8" w:color="CCEEFF"/>
            </w:tcBorders>
            <w:gridSpan w:val="8"/>
          </w:tcPr>
          <w:p>
            <w:pPr>
              <w:spacing w:after="0"/>
              <w:rPr>
                <w:sz w:val="16"/>
                <w:szCs w:val="16"/>
                <w:color w:val="auto"/>
              </w:rPr>
            </w:pPr>
          </w:p>
        </w:tc>
        <w:tc>
          <w:tcPr>
            <w:tcW w:w="500" w:type="dxa"/>
            <w:vAlign w:val="bottom"/>
            <w:tcBorders>
              <w:top w:val="single" w:sz="8" w:color="CCEEFF"/>
            </w:tcBorders>
            <w:gridSpan w:val="2"/>
          </w:tcPr>
          <w:p>
            <w:pPr>
              <w:jc w:val="right"/>
              <w:ind w:right="60"/>
              <w:spacing w:after="0" w:line="189" w:lineRule="exact"/>
              <w:rPr>
                <w:sz w:val="20"/>
                <w:szCs w:val="20"/>
                <w:color w:val="auto"/>
              </w:rPr>
            </w:pPr>
            <w:r>
              <w:rPr>
                <w:rFonts w:ascii="Arial" w:cs="Arial" w:eastAsia="Arial" w:hAnsi="Arial"/>
                <w:sz w:val="20"/>
                <w:szCs w:val="20"/>
                <w:color w:val="auto"/>
              </w:rPr>
              <w:t>107</w:t>
            </w:r>
          </w:p>
        </w:tc>
      </w:tr>
      <w:tr>
        <w:trPr>
          <w:trHeight w:val="21"/>
        </w:trPr>
        <w:tc>
          <w:tcPr>
            <w:tcW w:w="16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120"/>
              <w:spacing w:after="0" w:line="189" w:lineRule="exact"/>
              <w:rPr>
                <w:sz w:val="20"/>
                <w:szCs w:val="20"/>
                <w:color w:val="auto"/>
              </w:rPr>
            </w:pPr>
            <w:r>
              <w:rPr>
                <w:rFonts w:ascii="Arial" w:cs="Arial" w:eastAsia="Arial" w:hAnsi="Arial"/>
                <w:sz w:val="20"/>
                <w:szCs w:val="20"/>
                <w:color w:val="auto"/>
              </w:rPr>
              <w:t>Item 12.</w:t>
            </w:r>
          </w:p>
        </w:tc>
        <w:tc>
          <w:tcPr>
            <w:tcW w:w="7980" w:type="dxa"/>
            <w:vAlign w:val="bottom"/>
            <w:gridSpan w:val="27"/>
            <w:shd w:val="clear" w:color="auto" w:fill="CCEEFF"/>
          </w:tcPr>
          <w:p>
            <w:pPr>
              <w:spacing w:after="0" w:line="189" w:lineRule="exact"/>
              <w:rPr>
                <w:rFonts w:ascii="Arial" w:cs="Arial" w:eastAsia="Arial" w:hAnsi="Arial"/>
                <w:sz w:val="20"/>
                <w:szCs w:val="20"/>
                <w:color w:val="0000EE"/>
                <w:w w:val="97"/>
              </w:rPr>
            </w:pPr>
            <w:hyperlink w:anchor="page108">
              <w:r>
                <w:rPr>
                  <w:rFonts w:ascii="Arial" w:cs="Arial" w:eastAsia="Arial" w:hAnsi="Arial"/>
                  <w:sz w:val="20"/>
                  <w:szCs w:val="20"/>
                  <w:color w:val="0000EE"/>
                  <w:w w:val="97"/>
                </w:rPr>
                <w:t>Security Ownership of Certain Beneficial Owners and Management and Related Stockholder</w:t>
              </w:r>
            </w:hyperlink>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107</w:t>
            </w:r>
          </w:p>
        </w:tc>
      </w:tr>
      <w:tr>
        <w:trPr>
          <w:trHeight w:val="210"/>
        </w:trPr>
        <w:tc>
          <w:tcPr>
            <w:tcW w:w="1640" w:type="dxa"/>
            <w:vAlign w:val="bottom"/>
            <w:tcBorders>
              <w:top w:val="single" w:sz="8" w:color="CCEEFF"/>
            </w:tcBorders>
            <w:shd w:val="clear" w:color="auto" w:fill="CCEEFF"/>
          </w:tcPr>
          <w:p>
            <w:pPr>
              <w:spacing w:after="0"/>
              <w:rPr>
                <w:sz w:val="18"/>
                <w:szCs w:val="18"/>
                <w:color w:val="auto"/>
              </w:rPr>
            </w:pPr>
          </w:p>
        </w:tc>
        <w:tc>
          <w:tcPr>
            <w:tcW w:w="7360" w:type="dxa"/>
            <w:vAlign w:val="bottom"/>
            <w:tcBorders>
              <w:top w:val="single" w:sz="8" w:color="0000EE"/>
            </w:tcBorders>
            <w:gridSpan w:val="25"/>
            <w:shd w:val="clear" w:color="auto" w:fill="CCEEFF"/>
          </w:tcPr>
          <w:p>
            <w:pPr>
              <w:spacing w:after="0" w:line="209" w:lineRule="exact"/>
              <w:rPr>
                <w:rFonts w:ascii="Arial" w:cs="Arial" w:eastAsia="Arial" w:hAnsi="Arial"/>
                <w:sz w:val="20"/>
                <w:szCs w:val="20"/>
                <w:color w:val="0000EE"/>
              </w:rPr>
            </w:pPr>
            <w:hyperlink w:anchor="page108">
              <w:r>
                <w:rPr>
                  <w:rFonts w:ascii="Arial" w:cs="Arial" w:eastAsia="Arial" w:hAnsi="Arial"/>
                  <w:sz w:val="20"/>
                  <w:szCs w:val="20"/>
                  <w:color w:val="0000EE"/>
                </w:rPr>
                <w:t>Matters</w:t>
              </w:r>
            </w:hyperlink>
          </w:p>
        </w:tc>
        <w:tc>
          <w:tcPr>
            <w:tcW w:w="62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640" w:type="dxa"/>
            <w:vAlign w:val="bottom"/>
          </w:tcPr>
          <w:p>
            <w:pPr>
              <w:ind w:left="120"/>
              <w:spacing w:after="0" w:line="189" w:lineRule="exact"/>
              <w:rPr>
                <w:sz w:val="20"/>
                <w:szCs w:val="20"/>
                <w:color w:val="auto"/>
              </w:rPr>
            </w:pPr>
            <w:r>
              <w:rPr>
                <w:rFonts w:ascii="Arial" w:cs="Arial" w:eastAsia="Arial" w:hAnsi="Arial"/>
                <w:sz w:val="20"/>
                <w:szCs w:val="20"/>
                <w:color w:val="auto"/>
              </w:rPr>
              <w:t>Item 13</w:t>
            </w:r>
          </w:p>
        </w:tc>
        <w:tc>
          <w:tcPr>
            <w:tcW w:w="7980" w:type="dxa"/>
            <w:vAlign w:val="bottom"/>
            <w:gridSpan w:val="27"/>
          </w:tcPr>
          <w:p>
            <w:pPr>
              <w:spacing w:after="0" w:line="189" w:lineRule="exact"/>
              <w:rPr>
                <w:rFonts w:ascii="Arial" w:cs="Arial" w:eastAsia="Arial" w:hAnsi="Arial"/>
                <w:sz w:val="20"/>
                <w:szCs w:val="20"/>
                <w:color w:val="0000EE"/>
              </w:rPr>
            </w:pPr>
            <w:hyperlink w:anchor="page109">
              <w:r>
                <w:rPr>
                  <w:rFonts w:ascii="Arial" w:cs="Arial" w:eastAsia="Arial" w:hAnsi="Arial"/>
                  <w:sz w:val="20"/>
                  <w:szCs w:val="20"/>
                  <w:color w:val="0000EE"/>
                </w:rPr>
                <w:t>Certain Relationships and Related Transactions, and Director Independence</w:t>
              </w:r>
            </w:hyperlink>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108</w:t>
            </w:r>
          </w:p>
        </w:tc>
      </w:tr>
      <w:tr>
        <w:trPr>
          <w:trHeight w:val="21"/>
        </w:trPr>
        <w:tc>
          <w:tcPr>
            <w:tcW w:w="16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120"/>
              <w:spacing w:after="0" w:line="189" w:lineRule="exact"/>
              <w:rPr>
                <w:sz w:val="20"/>
                <w:szCs w:val="20"/>
                <w:color w:val="auto"/>
              </w:rPr>
            </w:pPr>
            <w:r>
              <w:rPr>
                <w:rFonts w:ascii="Arial" w:cs="Arial" w:eastAsia="Arial" w:hAnsi="Arial"/>
                <w:sz w:val="20"/>
                <w:szCs w:val="20"/>
                <w:color w:val="auto"/>
              </w:rPr>
              <w:t>Item 14.</w:t>
            </w:r>
          </w:p>
        </w:tc>
        <w:tc>
          <w:tcPr>
            <w:tcW w:w="7980" w:type="dxa"/>
            <w:vAlign w:val="bottom"/>
            <w:gridSpan w:val="27"/>
            <w:shd w:val="clear" w:color="auto" w:fill="CCEEFF"/>
          </w:tcPr>
          <w:p>
            <w:pPr>
              <w:spacing w:after="0" w:line="189" w:lineRule="exact"/>
              <w:rPr>
                <w:rFonts w:ascii="Arial" w:cs="Arial" w:eastAsia="Arial" w:hAnsi="Arial"/>
                <w:sz w:val="20"/>
                <w:szCs w:val="20"/>
                <w:color w:val="0000EE"/>
              </w:rPr>
            </w:pPr>
            <w:hyperlink w:anchor="page109">
              <w:r>
                <w:rPr>
                  <w:rFonts w:ascii="Arial" w:cs="Arial" w:eastAsia="Arial" w:hAnsi="Arial"/>
                  <w:sz w:val="20"/>
                  <w:szCs w:val="20"/>
                  <w:color w:val="0000EE"/>
                </w:rPr>
                <w:t>Principal Accountant Fees and Services</w:t>
              </w:r>
            </w:hyperlink>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108</w:t>
            </w: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50"/>
        </w:trPr>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740" w:type="dxa"/>
            <w:vAlign w:val="bottom"/>
            <w:gridSpan w:val="12"/>
          </w:tcPr>
          <w:p>
            <w:pPr>
              <w:jc w:val="center"/>
              <w:ind w:right="3400"/>
              <w:spacing w:after="0"/>
              <w:rPr>
                <w:sz w:val="20"/>
                <w:szCs w:val="20"/>
                <w:color w:val="auto"/>
              </w:rPr>
            </w:pPr>
            <w:r>
              <w:rPr>
                <w:rFonts w:ascii="Arial" w:cs="Arial" w:eastAsia="Arial" w:hAnsi="Arial"/>
                <w:sz w:val="20"/>
                <w:szCs w:val="20"/>
                <w:color w:val="auto"/>
                <w:w w:val="94"/>
              </w:rPr>
              <w:t>Part IV</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9"/>
        </w:trPr>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164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20"/>
                <w:szCs w:val="20"/>
                <w:color w:val="auto"/>
              </w:rPr>
              <w:t>Item 15.</w:t>
            </w:r>
          </w:p>
        </w:tc>
        <w:tc>
          <w:tcPr>
            <w:tcW w:w="3480" w:type="dxa"/>
            <w:vAlign w:val="bottom"/>
            <w:tcBorders>
              <w:bottom w:val="single" w:sz="8" w:color="0000EE"/>
            </w:tcBorders>
            <w:gridSpan w:val="17"/>
            <w:shd w:val="clear" w:color="auto" w:fill="CCEEFF"/>
          </w:tcPr>
          <w:p>
            <w:pPr>
              <w:spacing w:after="0" w:line="189" w:lineRule="exact"/>
              <w:rPr>
                <w:rFonts w:ascii="Arial" w:cs="Arial" w:eastAsia="Arial" w:hAnsi="Arial"/>
                <w:sz w:val="20"/>
                <w:szCs w:val="20"/>
                <w:color w:val="0000EE"/>
                <w:w w:val="88"/>
              </w:rPr>
            </w:pPr>
            <w:hyperlink w:anchor="page110">
              <w:r>
                <w:rPr>
                  <w:rFonts w:ascii="Arial" w:cs="Arial" w:eastAsia="Arial" w:hAnsi="Arial"/>
                  <w:sz w:val="20"/>
                  <w:szCs w:val="20"/>
                  <w:color w:val="0000EE"/>
                  <w:w w:val="88"/>
                </w:rPr>
                <w:t>Exhibits and Financial Statement Schedules</w:t>
              </w:r>
            </w:hyperlink>
          </w:p>
        </w:tc>
        <w:tc>
          <w:tcPr>
            <w:tcW w:w="4500" w:type="dxa"/>
            <w:vAlign w:val="bottom"/>
            <w:tcBorders>
              <w:bottom w:val="single" w:sz="8" w:color="CCEEFF"/>
            </w:tcBorders>
            <w:gridSpan w:val="10"/>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109</w:t>
            </w:r>
          </w:p>
        </w:tc>
      </w:tr>
      <w:tr>
        <w:trPr>
          <w:trHeight w:val="203"/>
        </w:trPr>
        <w:tc>
          <w:tcPr>
            <w:tcW w:w="1640" w:type="dxa"/>
            <w:vAlign w:val="bottom"/>
          </w:tcPr>
          <w:p>
            <w:pPr>
              <w:ind w:left="120"/>
              <w:spacing w:after="0" w:line="203" w:lineRule="exact"/>
              <w:rPr>
                <w:sz w:val="20"/>
                <w:szCs w:val="20"/>
                <w:color w:val="auto"/>
              </w:rPr>
            </w:pPr>
            <w:r>
              <w:rPr>
                <w:rFonts w:ascii="Arial" w:cs="Arial" w:eastAsia="Arial" w:hAnsi="Arial"/>
                <w:sz w:val="20"/>
                <w:szCs w:val="20"/>
                <w:color w:val="auto"/>
              </w:rPr>
              <w:t>Item 16.</w:t>
            </w:r>
          </w:p>
        </w:tc>
        <w:tc>
          <w:tcPr>
            <w:tcW w:w="7980" w:type="dxa"/>
            <w:vAlign w:val="bottom"/>
            <w:gridSpan w:val="27"/>
          </w:tcPr>
          <w:p>
            <w:pPr>
              <w:spacing w:after="0" w:line="203" w:lineRule="exact"/>
              <w:rPr>
                <w:rFonts w:ascii="Arial" w:cs="Arial" w:eastAsia="Arial" w:hAnsi="Arial"/>
                <w:sz w:val="22"/>
                <w:szCs w:val="22"/>
                <w:color w:val="0000EE"/>
              </w:rPr>
            </w:pPr>
            <w:hyperlink w:anchor="page110">
              <w:r>
                <w:rPr>
                  <w:rFonts w:ascii="Arial" w:cs="Arial" w:eastAsia="Arial" w:hAnsi="Arial"/>
                  <w:sz w:val="22"/>
                  <w:szCs w:val="22"/>
                  <w:color w:val="0000EE"/>
                </w:rPr>
                <w:t xml:space="preserve">Form 10-K </w:t>
              </w:r>
              <w:r>
                <w:rPr>
                  <w:rFonts w:ascii="Arial" w:cs="Arial" w:eastAsia="Arial" w:hAnsi="Arial"/>
                  <w:sz w:val="19"/>
                  <w:szCs w:val="19"/>
                  <w:color w:val="0000EE"/>
                </w:rPr>
                <w:t>Summary</w:t>
              </w:r>
            </w:hyperlink>
          </w:p>
        </w:tc>
        <w:tc>
          <w:tcPr>
            <w:tcW w:w="500" w:type="dxa"/>
            <w:vAlign w:val="bottom"/>
            <w:gridSpan w:val="2"/>
          </w:tcPr>
          <w:p>
            <w:pPr>
              <w:jc w:val="right"/>
              <w:ind w:right="60"/>
              <w:spacing w:after="0" w:line="203" w:lineRule="exact"/>
              <w:rPr>
                <w:sz w:val="20"/>
                <w:szCs w:val="20"/>
                <w:color w:val="auto"/>
              </w:rPr>
            </w:pPr>
            <w:r>
              <w:rPr>
                <w:rFonts w:ascii="Arial" w:cs="Arial" w:eastAsia="Arial" w:hAnsi="Arial"/>
                <w:sz w:val="20"/>
                <w:szCs w:val="20"/>
                <w:color w:val="auto"/>
              </w:rPr>
              <w:t>109</w:t>
            </w:r>
          </w:p>
        </w:tc>
      </w:tr>
      <w:tr>
        <w:trPr>
          <w:trHeight w:val="21"/>
        </w:trPr>
        <w:tc>
          <w:tcPr>
            <w:tcW w:w="16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89"/>
        </w:trPr>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960" w:type="dxa"/>
            <w:vAlign w:val="bottom"/>
            <w:gridSpan w:val="26"/>
          </w:tcPr>
          <w:p>
            <w:pPr>
              <w:spacing w:after="0" w:line="189" w:lineRule="exact"/>
              <w:rPr>
                <w:rFonts w:ascii="Arial" w:cs="Arial" w:eastAsia="Arial" w:hAnsi="Arial"/>
                <w:sz w:val="20"/>
                <w:szCs w:val="20"/>
                <w:color w:val="0000EE"/>
              </w:rPr>
            </w:pPr>
            <w:hyperlink w:anchor="page111">
              <w:r>
                <w:rPr>
                  <w:rFonts w:ascii="Arial" w:cs="Arial" w:eastAsia="Arial" w:hAnsi="Arial"/>
                  <w:sz w:val="20"/>
                  <w:szCs w:val="20"/>
                  <w:color w:val="0000EE"/>
                </w:rPr>
                <w:t>Exhibit Index</w:t>
              </w:r>
            </w:hyperlink>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110</w:t>
            </w:r>
          </w:p>
        </w:tc>
      </w:tr>
      <w:tr>
        <w:trPr>
          <w:trHeight w:val="21"/>
        </w:trPr>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6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0000EE"/>
            </w:tcBorders>
            <w:gridSpan w:val="4"/>
            <w:shd w:val="clear" w:color="auto" w:fill="CCEEFF"/>
          </w:tcPr>
          <w:p>
            <w:pPr>
              <w:spacing w:after="0" w:line="189" w:lineRule="exact"/>
              <w:rPr>
                <w:rFonts w:ascii="Arial" w:cs="Arial" w:eastAsia="Arial" w:hAnsi="Arial"/>
                <w:sz w:val="20"/>
                <w:szCs w:val="20"/>
                <w:color w:val="0000EE"/>
                <w:w w:val="85"/>
              </w:rPr>
            </w:pPr>
            <w:hyperlink w:anchor="page117">
              <w:r>
                <w:rPr>
                  <w:rFonts w:ascii="Arial" w:cs="Arial" w:eastAsia="Arial" w:hAnsi="Arial"/>
                  <w:sz w:val="20"/>
                  <w:szCs w:val="20"/>
                  <w:color w:val="0000EE"/>
                  <w:w w:val="85"/>
                </w:rPr>
                <w:t>Signatures</w:t>
              </w:r>
            </w:hyperlink>
          </w:p>
        </w:tc>
        <w:tc>
          <w:tcPr>
            <w:tcW w:w="7120" w:type="dxa"/>
            <w:vAlign w:val="bottom"/>
            <w:tcBorders>
              <w:bottom w:val="single" w:sz="8" w:color="CCEEFF"/>
            </w:tcBorders>
            <w:gridSpan w:val="22"/>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116</w:t>
            </w:r>
          </w:p>
        </w:tc>
      </w:tr>
      <w:tr>
        <w:trPr>
          <w:trHeight w:val="189"/>
        </w:trPr>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960" w:type="dxa"/>
            <w:vAlign w:val="bottom"/>
            <w:gridSpan w:val="26"/>
          </w:tcPr>
          <w:p>
            <w:pPr>
              <w:spacing w:after="0" w:line="189" w:lineRule="exact"/>
              <w:rPr>
                <w:rFonts w:ascii="Arial" w:cs="Arial" w:eastAsia="Arial" w:hAnsi="Arial"/>
                <w:sz w:val="20"/>
                <w:szCs w:val="20"/>
                <w:color w:val="0000EE"/>
              </w:rPr>
            </w:pPr>
            <w:hyperlink w:anchor="page119">
              <w:r>
                <w:rPr>
                  <w:rFonts w:ascii="Arial" w:cs="Arial" w:eastAsia="Arial" w:hAnsi="Arial"/>
                  <w:sz w:val="20"/>
                  <w:szCs w:val="20"/>
                  <w:color w:val="0000EE"/>
                </w:rPr>
                <w:t>Schedule 1 – Condensed Parent Company Financial Statements</w:t>
              </w:r>
            </w:hyperlink>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118</w:t>
            </w:r>
          </w:p>
        </w:tc>
      </w:tr>
      <w:tr>
        <w:trPr>
          <w:trHeight w:val="20"/>
        </w:trPr>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474" w:right="8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SPECIAL NOTE REGARDING FORWARD-LOOKING STATEMENTS</w:t>
      </w:r>
    </w:p>
    <w:p>
      <w:pPr>
        <w:spacing w:after="0" w:line="229" w:lineRule="exact"/>
        <w:rPr>
          <w:sz w:val="20"/>
          <w:szCs w:val="20"/>
          <w:color w:val="auto"/>
        </w:rPr>
      </w:pPr>
    </w:p>
    <w:p>
      <w:pPr>
        <w:ind w:right="20" w:firstLine="648"/>
        <w:spacing w:after="0" w:line="256" w:lineRule="auto"/>
        <w:rPr>
          <w:sz w:val="20"/>
          <w:szCs w:val="20"/>
          <w:color w:val="auto"/>
        </w:rPr>
      </w:pPr>
      <w:r>
        <w:rPr>
          <w:rFonts w:ascii="Arial" w:cs="Arial" w:eastAsia="Arial" w:hAnsi="Arial"/>
          <w:sz w:val="19"/>
          <w:szCs w:val="19"/>
          <w:color w:val="auto"/>
        </w:rPr>
        <w:t>Certain statements in this Annual Report on Form 10-K (the “Annual Report”) are forward-looking statements within the meaning of Section 27A of the Securities Act of 1933 and Section 21E of the Securities Exchange Act of 1934 that are made based upon, among other things, our current assumptions, expectations, plans, and beliefs concerning future events and their potential effect on us. These forward-looking statements involve risks, uncertainties and other factors, many of which are outside our control that may cause our actual results, performance or achievements to be materially different from any future results, performance or achievements expressed or implied by these forward-looking statements. In some cases you can identify forward-looking statements where statements are preceded by, followed by or include the words “believes,” “expects,” “anticipates,” “plans,” “future,” “potential,” “probably,” “predictions,” “intends,” “will,” “continue,” “in the event” or the negative of such terms or similar expressions. Forward-looking statements in this Annual Report include, but are not limited to, statements regarding:</w:t>
      </w:r>
    </w:p>
    <w:p>
      <w:pPr>
        <w:spacing w:after="0" w:line="195" w:lineRule="exact"/>
        <w:rPr>
          <w:sz w:val="20"/>
          <w:szCs w:val="20"/>
          <w:color w:val="auto"/>
        </w:rPr>
      </w:pP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recovery of capital expenditures and expenses in rates;</w:t>
      </w:r>
    </w:p>
    <w:p>
      <w:pPr>
        <w:spacing w:after="0" w:line="15" w:lineRule="exact"/>
        <w:rPr>
          <w:rFonts w:ascii="Arial" w:cs="Arial" w:eastAsia="Arial" w:hAnsi="Arial"/>
          <w:sz w:val="20"/>
          <w:szCs w:val="20"/>
          <w:color w:val="auto"/>
        </w:rPr>
      </w:pP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projected capital expenditures and related funding requirements;</w:t>
      </w: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capability to pursue timely rate increase requests;</w:t>
      </w: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availability and cost of capital financing;</w:t>
      </w:r>
    </w:p>
    <w:p>
      <w:pPr>
        <w:ind w:left="960" w:hanging="315"/>
        <w:spacing w:after="0"/>
        <w:tabs>
          <w:tab w:leader="none" w:pos="960" w:val="left"/>
        </w:tabs>
        <w:numPr>
          <w:ilvl w:val="0"/>
          <w:numId w:val="7"/>
        </w:numPr>
        <w:rPr>
          <w:rFonts w:ascii="Arial" w:cs="Arial" w:eastAsia="Arial" w:hAnsi="Arial"/>
          <w:sz w:val="19"/>
          <w:szCs w:val="19"/>
          <w:color w:val="auto"/>
        </w:rPr>
      </w:pPr>
      <w:r>
        <w:rPr>
          <w:rFonts w:ascii="Arial" w:cs="Arial" w:eastAsia="Arial" w:hAnsi="Arial"/>
          <w:sz w:val="19"/>
          <w:szCs w:val="19"/>
          <w:color w:val="auto"/>
        </w:rPr>
        <w:t>developments, trends and consolidation in the water and wastewater utility and infrastructure industries;</w:t>
      </w:r>
    </w:p>
    <w:p>
      <w:pPr>
        <w:spacing w:after="0" w:line="11" w:lineRule="exact"/>
        <w:rPr>
          <w:rFonts w:ascii="Arial" w:cs="Arial" w:eastAsia="Arial" w:hAnsi="Arial"/>
          <w:sz w:val="19"/>
          <w:szCs w:val="19"/>
          <w:color w:val="auto"/>
        </w:rPr>
      </w:pP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dividend payment projections;</w:t>
      </w:r>
    </w:p>
    <w:p>
      <w:pPr>
        <w:ind w:left="960" w:right="360" w:hanging="315"/>
        <w:spacing w:after="0" w:line="239" w:lineRule="auto"/>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opportunities for future acquisitions, both within and outside the water and wastewater industry, the success of pending acquisitions and the impact of future acquisitions;</w:t>
      </w:r>
    </w:p>
    <w:p>
      <w:pPr>
        <w:spacing w:after="0" w:line="1" w:lineRule="exact"/>
        <w:rPr>
          <w:rFonts w:ascii="Arial" w:cs="Arial" w:eastAsia="Arial" w:hAnsi="Arial"/>
          <w:sz w:val="20"/>
          <w:szCs w:val="20"/>
          <w:color w:val="auto"/>
        </w:rPr>
      </w:pPr>
    </w:p>
    <w:p>
      <w:pPr>
        <w:ind w:left="960" w:right="40" w:hanging="315"/>
        <w:spacing w:after="0" w:line="239" w:lineRule="auto"/>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expectations regarding the proposed Peoples Gas Acquisition, including statements regarding regulatory approvals for the transaction, potential financing related to the transaction, closing of the transaction or the impact of the transaction on the Company;</w:t>
      </w:r>
    </w:p>
    <w:p>
      <w:pPr>
        <w:spacing w:after="0" w:line="1" w:lineRule="exact"/>
        <w:rPr>
          <w:rFonts w:ascii="Arial" w:cs="Arial" w:eastAsia="Arial" w:hAnsi="Arial"/>
          <w:sz w:val="20"/>
          <w:szCs w:val="20"/>
          <w:color w:val="auto"/>
        </w:rPr>
      </w:pP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capacity of our water supplies, water facilities and wastewater facilities;</w:t>
      </w:r>
    </w:p>
    <w:p>
      <w:pPr>
        <w:ind w:left="960" w:hanging="315"/>
        <w:spacing w:after="0" w:line="239" w:lineRule="auto"/>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impact of federal and/or state tax policies, including changes in tax laws and policies as a result of the Tax Cuts and Jobs Act of 2017, and the regulatory treatment of the effects of those policies;</w:t>
      </w:r>
    </w:p>
    <w:p>
      <w:pPr>
        <w:spacing w:after="0" w:line="1" w:lineRule="exact"/>
        <w:rPr>
          <w:rFonts w:ascii="Arial" w:cs="Arial" w:eastAsia="Arial" w:hAnsi="Arial"/>
          <w:sz w:val="20"/>
          <w:szCs w:val="20"/>
          <w:color w:val="auto"/>
        </w:rPr>
      </w:pP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impact of geographic diversity on our exposure to unusual weather;</w:t>
      </w:r>
    </w:p>
    <w:p>
      <w:pPr>
        <w:ind w:left="960" w:right="160" w:hanging="315"/>
        <w:spacing w:after="0" w:line="239" w:lineRule="auto"/>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impact of conservation awareness of customers and more efficient plumbing fixtures and appliances on water usage per customer;</w:t>
      </w:r>
    </w:p>
    <w:p>
      <w:pPr>
        <w:spacing w:after="0" w:line="1" w:lineRule="exact"/>
        <w:rPr>
          <w:rFonts w:ascii="Arial" w:cs="Arial" w:eastAsia="Arial" w:hAnsi="Arial"/>
          <w:sz w:val="20"/>
          <w:szCs w:val="20"/>
          <w:color w:val="auto"/>
        </w:rPr>
      </w:pP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authority to carry on our business without unduly burdensome restrictions;</w:t>
      </w: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continuation of investments in strategic ventures;</w:t>
      </w: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obtain fair market value for condemned assets;</w:t>
      </w: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impact of fines and penalties;</w:t>
      </w:r>
    </w:p>
    <w:p>
      <w:pPr>
        <w:ind w:left="960" w:hanging="315"/>
        <w:spacing w:after="0" w:line="239" w:lineRule="auto"/>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impact of changes in and compliance with governmental laws, regulations and policies, including those dealing with taxation, the environment, health and water quality, and public utility regulation;</w:t>
      </w:r>
    </w:p>
    <w:p>
      <w:pPr>
        <w:spacing w:after="0" w:line="1" w:lineRule="exact"/>
        <w:rPr>
          <w:rFonts w:ascii="Arial" w:cs="Arial" w:eastAsia="Arial" w:hAnsi="Arial"/>
          <w:sz w:val="20"/>
          <w:szCs w:val="20"/>
          <w:color w:val="auto"/>
        </w:rPr>
      </w:pPr>
    </w:p>
    <w:p>
      <w:pPr>
        <w:ind w:left="960" w:right="440" w:hanging="315"/>
        <w:spacing w:after="0" w:line="239" w:lineRule="auto"/>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impact of decisions of governmental and regulatory bodies, including decisions to raise or lower rates and decisions regarding potential acquisitions;</w:t>
      </w:r>
    </w:p>
    <w:p>
      <w:pPr>
        <w:spacing w:after="0" w:line="1" w:lineRule="exact"/>
        <w:rPr>
          <w:rFonts w:ascii="Arial" w:cs="Arial" w:eastAsia="Arial" w:hAnsi="Arial"/>
          <w:sz w:val="20"/>
          <w:szCs w:val="20"/>
          <w:color w:val="auto"/>
        </w:rPr>
      </w:pP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development of new services and technologies by us or our competitors;</w:t>
      </w: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availability of qualified personnel;</w:t>
      </w: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condition of our assets;</w:t>
      </w: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impact of legal proceedings;</w:t>
      </w: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general economic conditions;</w:t>
      </w: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acquisition-related costs and synergies;</w:t>
      </w:r>
    </w:p>
    <w:p>
      <w:pPr>
        <w:ind w:left="960" w:hanging="315"/>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sale of water and wastewater divisions; and</w:t>
      </w:r>
    </w:p>
    <w:p>
      <w:pPr>
        <w:ind w:left="960" w:right="100" w:hanging="315"/>
        <w:spacing w:after="0" w:line="244" w:lineRule="auto"/>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amount of income tax deductions for qualifying utility asset improvements and the Internal Revenue Service’s ultimate acceptance of the deduction methodology.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5" w:right="9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Because forward-looking statements involve risks and uncertainties, there are important factors that could cause actual results to differ materially from those expressed or implied by these forward-looking statements, including but not limited to:</w:t>
      </w:r>
    </w:p>
    <w:p>
      <w:pPr>
        <w:spacing w:after="0" w:line="144" w:lineRule="exact"/>
        <w:rPr>
          <w:sz w:val="20"/>
          <w:szCs w:val="20"/>
          <w:color w:val="auto"/>
        </w:rPr>
      </w:pPr>
    </w:p>
    <w:p>
      <w:pPr>
        <w:ind w:left="960" w:right="180" w:hanging="315"/>
        <w:spacing w:after="0" w:line="247" w:lineRule="auto"/>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integrate and otherwise realize all of the anticipated benefits of businesses, technologies or services which we may acquire;</w:t>
      </w:r>
    </w:p>
    <w:p>
      <w:pPr>
        <w:spacing w:after="0" w:line="1" w:lineRule="exact"/>
        <w:rPr>
          <w:rFonts w:ascii="Arial" w:cs="Arial" w:eastAsia="Arial" w:hAnsi="Arial"/>
          <w:sz w:val="20"/>
          <w:szCs w:val="20"/>
          <w:color w:val="auto"/>
        </w:rPr>
      </w:pPr>
    </w:p>
    <w:p>
      <w:pPr>
        <w:ind w:left="960" w:right="480" w:hanging="315"/>
        <w:spacing w:after="0" w:line="239" w:lineRule="auto"/>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manage the expansion of our business, including our ability to manage our expanded operations following the closing of the Peoples Gas Acquisition;</w:t>
      </w:r>
    </w:p>
    <w:p>
      <w:pPr>
        <w:spacing w:after="0" w:line="1" w:lineRule="exact"/>
        <w:rPr>
          <w:rFonts w:ascii="Arial" w:cs="Arial" w:eastAsia="Arial" w:hAnsi="Arial"/>
          <w:sz w:val="20"/>
          <w:szCs w:val="20"/>
          <w:color w:val="auto"/>
        </w:rPr>
      </w:pP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general economic, business, credit and financial market conditions;</w:t>
      </w:r>
    </w:p>
    <w:p>
      <w:pPr>
        <w:ind w:left="960" w:right="280" w:hanging="315"/>
        <w:spacing w:after="0" w:line="239" w:lineRule="auto"/>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governmental laws, regulations and policies, including those dealing with taxation, the environment, health and water quality, and public utility regulation;</w:t>
      </w:r>
    </w:p>
    <w:p>
      <w:pPr>
        <w:spacing w:after="0" w:line="1" w:lineRule="exact"/>
        <w:rPr>
          <w:rFonts w:ascii="Arial" w:cs="Arial" w:eastAsia="Arial" w:hAnsi="Arial"/>
          <w:sz w:val="20"/>
          <w:szCs w:val="20"/>
          <w:color w:val="auto"/>
        </w:rPr>
      </w:pP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treat and supply water or collect and treat wastewater;</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profitability of future acquisitions;</w:t>
      </w:r>
    </w:p>
    <w:p>
      <w:pPr>
        <w:ind w:left="960" w:hanging="315"/>
        <w:spacing w:after="0" w:line="239" w:lineRule="auto"/>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to the rules or our assumptions underlying our determination of what qualifies for an income tax deduction for qualifying utility asset improvements;</w:t>
      </w:r>
    </w:p>
    <w:p>
      <w:pPr>
        <w:spacing w:after="0" w:line="1" w:lineRule="exact"/>
        <w:rPr>
          <w:rFonts w:ascii="Arial" w:cs="Arial" w:eastAsia="Arial" w:hAnsi="Arial"/>
          <w:sz w:val="20"/>
          <w:szCs w:val="20"/>
          <w:color w:val="auto"/>
        </w:rPr>
      </w:pPr>
    </w:p>
    <w:p>
      <w:pPr>
        <w:ind w:left="960" w:right="60" w:hanging="315"/>
        <w:spacing w:after="0" w:line="239" w:lineRule="auto"/>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conditions to the completion of the Peoples Gas Acquisition may not be satisfied or waived on a timely basis, or at all;</w:t>
      </w:r>
    </w:p>
    <w:p>
      <w:pPr>
        <w:spacing w:after="0" w:line="1" w:lineRule="exact"/>
        <w:rPr>
          <w:rFonts w:ascii="Arial" w:cs="Arial" w:eastAsia="Arial" w:hAnsi="Arial"/>
          <w:sz w:val="20"/>
          <w:szCs w:val="20"/>
          <w:color w:val="auto"/>
        </w:rPr>
      </w:pPr>
    </w:p>
    <w:p>
      <w:pPr>
        <w:ind w:left="960" w:right="240" w:hanging="315"/>
        <w:spacing w:after="0" w:line="239" w:lineRule="auto"/>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decisions of governmental and regulatory bodies, including decisions on rate increase requests and decisions regarding potential acquisitions;</w:t>
      </w:r>
    </w:p>
    <w:p>
      <w:pPr>
        <w:spacing w:after="0" w:line="1" w:lineRule="exact"/>
        <w:rPr>
          <w:rFonts w:ascii="Arial" w:cs="Arial" w:eastAsia="Arial" w:hAnsi="Arial"/>
          <w:sz w:val="20"/>
          <w:szCs w:val="20"/>
          <w:color w:val="auto"/>
        </w:rPr>
      </w:pP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file rate cases on a timely basis to minimize regulatory lag;</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abnormal weather conditions, including those that result in water use restrictions;</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or unanticipated, capital requirements;</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our credit rating or the market price of our common stock;</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valuation of strategic ventures;</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extent to which we are able to develop and market new and improved services;</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effect of the loss of major customers;</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retain the services of key personnel and to hire qualified personnel as we expand;</w:t>
      </w:r>
    </w:p>
    <w:p>
      <w:pPr>
        <w:ind w:left="960" w:hanging="315"/>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our management’s time and resources caused by the pendency of the Peoples Gas Acquisition;</w:t>
      </w:r>
    </w:p>
    <w:p>
      <w:pPr>
        <w:spacing w:after="0" w:line="22" w:lineRule="exact"/>
        <w:rPr>
          <w:rFonts w:ascii="Arial" w:cs="Arial" w:eastAsia="Arial" w:hAnsi="Arial"/>
          <w:sz w:val="18"/>
          <w:szCs w:val="18"/>
          <w:color w:val="auto"/>
        </w:rPr>
      </w:pP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labor disputes;</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increasing difficulties in obtaining insurance and increased cost of insurance;</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cost overruns relating to improvements to, or the expansion of, our operations;</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increases in the costs of goods and services;</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civil disturbance or terroristic threats or acts;</w:t>
      </w:r>
    </w:p>
    <w:p>
      <w:pPr>
        <w:ind w:left="960" w:right="640" w:hanging="315"/>
        <w:spacing w:after="0" w:line="239" w:lineRule="auto"/>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continuous and reliable operation of our information technology systems, including the impact of cyber security attacks or other cyber-related events;</w:t>
      </w:r>
    </w:p>
    <w:p>
      <w:pPr>
        <w:spacing w:after="0" w:line="1" w:lineRule="exact"/>
        <w:rPr>
          <w:rFonts w:ascii="Arial" w:cs="Arial" w:eastAsia="Arial" w:hAnsi="Arial"/>
          <w:sz w:val="20"/>
          <w:szCs w:val="20"/>
          <w:color w:val="auto"/>
        </w:rPr>
      </w:pP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accounting pronouncements;</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litigation and claims; and</w:t>
      </w:r>
    </w:p>
    <w:p>
      <w:pPr>
        <w:ind w:left="960" w:hanging="315"/>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environmental conditions, including the effects of climate change.</w:t>
      </w:r>
    </w:p>
    <w:p>
      <w:pPr>
        <w:spacing w:after="0" w:line="21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 xml:space="preserve">Given these risks and uncertainties, you should not place undue reliance on any forward-looking statements. You should read this Annual Report completely and with the understanding that our actual future results, performance and achievements may be materially different from what we expect. These forward-looking statements represent assumptions, expectations, plans, and beliefs only as of the date of this Annual Report. Except for our ongoing obligations to disclose certain information under the federal securities laws, we are not obligated, and assume no obligation, to update these forward-looking statements, even though our situation may change in the future. For further information or other factors which could affect our financial results and such forward-looking statements, see </w:t>
      </w:r>
      <w:r>
        <w:rPr>
          <w:rFonts w:ascii="Arial" w:cs="Arial" w:eastAsia="Arial" w:hAnsi="Arial"/>
          <w:sz w:val="20"/>
          <w:szCs w:val="20"/>
          <w:i w:val="1"/>
          <w:iCs w:val="1"/>
          <w:color w:val="auto"/>
        </w:rPr>
        <w:t>Risk Factors</w:t>
      </w:r>
      <w:r>
        <w:rPr>
          <w:rFonts w:ascii="Arial" w:cs="Arial" w:eastAsia="Arial" w:hAnsi="Arial"/>
          <w:sz w:val="20"/>
          <w:szCs w:val="20"/>
          <w:color w:val="auto"/>
        </w:rPr>
        <w:t>. We qualify all of our forward-looking statements by these cautionary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PART I</w:t>
      </w:r>
    </w:p>
    <w:p>
      <w:pPr>
        <w:spacing w:after="0" w:line="12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6"/>
          <w:szCs w:val="16"/>
          <w:i w:val="1"/>
          <w:iCs w:val="1"/>
          <w:color w:val="auto"/>
        </w:rPr>
        <w:t>Business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Aqua America, Inc. (referred to as “Aqua America”, the “Company”, “we”, “us”, or “our”), a Pennsylvania corporation, is the holding company for regulated utilities providing water or wastewater services to an estimated three million people in Pennsylvania, Ohio, Texas, Illinois, North Carolina, New Jersey, Indiana, and Virginia. Our largest operating subsidiary is Aqua Pennsylvania, Inc., which accounted for approximately 53% of our operating revenues and approximately 71% of our Regulated segment’s income for 2018. As of December 31, 2018, Aqua Pennsylvania provided water or wastewater services to approximately one-half of the total number of people we serve. Aqua Pennsylvania’s service territory is located in the suburban areas in counties north and west of the City of Philadelphia and in 27 other counties in Pennsylvania. Our other regulated utility subsidiaries provide similar services in seven other states. In addition, the Company’s market-based activities are conducted through Aqua Infrastructure, LLC and Aqua Resources Inc. Aqua Infrastructure provides non-utility raw water supply services for firms in the natural gas drilling industry. Aqua Resources provides water service through operating and maintenance contracts with a municipal authority and another party close to our utility companies’ service territory; and offers, through a third-party, water and sewer line protection solutions and repair services to households. In 2017, we completed the sale of business units that were reported within Aqua Resources, one which installed and tested devices that prevent the contamination of potable water and another that constructed, maintained, and repaired water and wastewater systems. During 2016, we completed the sale of business units within Aqua Resources, which provided liquid waste hauling and disposal services and inspection, and cleaning and repair of storm and sanitary wastewater lines.</w:t>
      </w:r>
    </w:p>
    <w:p>
      <w:pPr>
        <w:spacing w:after="0" w:line="19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Aqua America, which prior to its name change in 2004 was known as Philadelphia Suburban Corporation, was formed in 1968 as a holding company for its primary subsidiary, Aqua Pennsylvania, formerly known as Philadelphia Suburban Water Company. In the early 1990s, we embarked on a growth through 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and the acquisition of American Water Works Company, Inc.’s regulated water and wastewater operations in Ohio in 2012. Since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throughout Pennsylvania and in seven other states. During 2010 through 2013, we sold our utility operations in six states, pursuant to a portfolio rationalization strategy to focus our operations in areas where we have critical mass and economic growth potential. Currently, the Company seeks to acquire businesses in the U.S. regulated sector, which includes water and wastewater utilities and other regulated utilities, and to pursue growth ventures in market-based activities, such as infrastructure opportunities that are supplementary and complementary to our regulated businesses. On October 22, 2018, we entered into a purchase agreement to acquire, from LDC Funding LLC, the parent company of PNG Companies, a natural gas distribution company consisting of Peoples Natural Gas Company LLC, Peoples Gas Company LLC, Peoples Gas West Virginia, Inc., Peoples Gas Kentucky, Inc., and Delta Natural Gas Company Inc. expanding the Company’s regulated utility business to include natural gas distribution. This acquisition is referred to as the “Peoples Gas Acquisition,” and collectively these businesses are referred to as “Peoples.” Peoples serves approximately 740,000 gas utility customers in western Pennsylvania, West Virginia, and Kentucky. This acquisition is subject to regulatory approvals and is expected to close in mid-2019.</w:t>
      </w:r>
    </w:p>
    <w:p>
      <w:pPr>
        <w:spacing w:after="0" w:line="197" w:lineRule="exact"/>
        <w:rPr>
          <w:sz w:val="20"/>
          <w:szCs w:val="20"/>
          <w:color w:val="auto"/>
        </w:rPr>
      </w:pPr>
    </w:p>
    <w:p>
      <w:pPr>
        <w:ind w:right="480"/>
        <w:spacing w:after="0" w:line="287" w:lineRule="auto"/>
        <w:rPr>
          <w:sz w:val="20"/>
          <w:szCs w:val="20"/>
          <w:color w:val="auto"/>
        </w:rPr>
      </w:pPr>
      <w:r>
        <w:rPr>
          <w:rFonts w:ascii="Arial" w:cs="Arial" w:eastAsia="Arial" w:hAnsi="Arial"/>
          <w:sz w:val="19"/>
          <w:szCs w:val="19"/>
          <w:color w:val="auto"/>
        </w:rPr>
        <w:t>The descriptions of our business and operations, financial results, and operational data included in this Annual Report are historical and do not include Peoples or otherwise give effect to our pending acquisition of Peoples.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following table reports our operating revenues, by principal state, for the Regulated segment and Other and eliminations for the year ended December 31,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20"/>
                <w:szCs w:val="20"/>
                <w:color w:val="auto"/>
                <w:w w:val="91"/>
              </w:rPr>
              <w:t>Operating</w:t>
            </w:r>
          </w:p>
        </w:tc>
        <w:tc>
          <w:tcPr>
            <w:tcW w:w="1000" w:type="dxa"/>
            <w:vAlign w:val="bottom"/>
          </w:tcPr>
          <w:p>
            <w:pPr>
              <w:jc w:val="center"/>
              <w:spacing w:after="0"/>
              <w:rPr>
                <w:sz w:val="20"/>
                <w:szCs w:val="20"/>
                <w:color w:val="auto"/>
              </w:rPr>
            </w:pPr>
            <w:r>
              <w:rPr>
                <w:rFonts w:ascii="Arial" w:cs="Arial" w:eastAsia="Arial" w:hAnsi="Arial"/>
                <w:sz w:val="20"/>
                <w:szCs w:val="20"/>
                <w:color w:val="auto"/>
                <w:w w:val="91"/>
              </w:rPr>
              <w:t>Operating</w:t>
            </w:r>
          </w:p>
        </w:tc>
      </w:tr>
      <w:tr>
        <w:trPr>
          <w:trHeight w:val="230"/>
        </w:trPr>
        <w:tc>
          <w:tcPr>
            <w:tcW w:w="7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20"/>
                <w:szCs w:val="20"/>
                <w:color w:val="auto"/>
                <w:w w:val="86"/>
              </w:rPr>
              <w:t>Revenues</w:t>
            </w:r>
          </w:p>
        </w:tc>
        <w:tc>
          <w:tcPr>
            <w:tcW w:w="1000" w:type="dxa"/>
            <w:vAlign w:val="bottom"/>
          </w:tcPr>
          <w:p>
            <w:pPr>
              <w:jc w:val="center"/>
              <w:spacing w:after="0"/>
              <w:rPr>
                <w:sz w:val="20"/>
                <w:szCs w:val="20"/>
                <w:color w:val="auto"/>
              </w:rPr>
            </w:pPr>
            <w:r>
              <w:rPr>
                <w:rFonts w:ascii="Arial" w:cs="Arial" w:eastAsia="Arial" w:hAnsi="Arial"/>
                <w:sz w:val="20"/>
                <w:szCs w:val="20"/>
                <w:color w:val="auto"/>
                <w:w w:val="84"/>
              </w:rPr>
              <w:t>Revenues</w:t>
            </w:r>
          </w:p>
        </w:tc>
      </w:tr>
      <w:tr>
        <w:trPr>
          <w:trHeight w:val="246"/>
        </w:trPr>
        <w:tc>
          <w:tcPr>
            <w:tcW w:w="7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20"/>
                <w:szCs w:val="20"/>
                <w:color w:val="auto"/>
                <w:w w:val="89"/>
              </w:rPr>
              <w:t>(000's)</w:t>
            </w:r>
          </w:p>
        </w:tc>
        <w:tc>
          <w:tcPr>
            <w:tcW w:w="1000" w:type="dxa"/>
            <w:vAlign w:val="bottom"/>
          </w:tcPr>
          <w:p>
            <w:pPr>
              <w:jc w:val="center"/>
              <w:spacing w:after="0"/>
              <w:rPr>
                <w:sz w:val="20"/>
                <w:szCs w:val="20"/>
                <w:color w:val="auto"/>
              </w:rPr>
            </w:pPr>
            <w:r>
              <w:rPr>
                <w:rFonts w:ascii="Arial" w:cs="Arial" w:eastAsia="Arial" w:hAnsi="Arial"/>
                <w:sz w:val="20"/>
                <w:szCs w:val="20"/>
                <w:color w:val="auto"/>
                <w:w w:val="89"/>
              </w:rPr>
              <w:t>(%)</w:t>
            </w:r>
          </w:p>
        </w:tc>
      </w:tr>
      <w:tr>
        <w:trPr>
          <w:trHeight w:val="223"/>
        </w:trPr>
        <w:tc>
          <w:tcPr>
            <w:tcW w:w="75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Pennsylvania</w:t>
            </w:r>
          </w:p>
        </w:tc>
        <w:tc>
          <w:tcPr>
            <w:tcW w:w="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443,260</w:t>
            </w:r>
          </w:p>
        </w:tc>
        <w:tc>
          <w:tcPr>
            <w:tcW w:w="2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52.9%</w:t>
            </w:r>
          </w:p>
        </w:tc>
      </w:tr>
      <w:tr>
        <w:trPr>
          <w:trHeight w:val="243"/>
        </w:trPr>
        <w:tc>
          <w:tcPr>
            <w:tcW w:w="7580" w:type="dxa"/>
            <w:vAlign w:val="bottom"/>
          </w:tcPr>
          <w:p>
            <w:pPr>
              <w:spacing w:after="0"/>
              <w:rPr>
                <w:sz w:val="20"/>
                <w:szCs w:val="20"/>
                <w:color w:val="auto"/>
              </w:rPr>
            </w:pPr>
            <w:r>
              <w:rPr>
                <w:rFonts w:ascii="Arial" w:cs="Arial" w:eastAsia="Arial" w:hAnsi="Arial"/>
                <w:sz w:val="20"/>
                <w:szCs w:val="20"/>
                <w:color w:val="auto"/>
              </w:rPr>
              <w:t>Ohio</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105,215</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43"/>
        </w:trPr>
        <w:tc>
          <w:tcPr>
            <w:tcW w:w="7580" w:type="dxa"/>
            <w:vAlign w:val="bottom"/>
            <w:shd w:val="clear" w:color="auto" w:fill="CCEEFF"/>
          </w:tcPr>
          <w:p>
            <w:pPr>
              <w:spacing w:after="0"/>
              <w:rPr>
                <w:sz w:val="20"/>
                <w:szCs w:val="20"/>
                <w:color w:val="auto"/>
              </w:rPr>
            </w:pPr>
            <w:r>
              <w:rPr>
                <w:rFonts w:ascii="Arial" w:cs="Arial" w:eastAsia="Arial" w:hAnsi="Arial"/>
                <w:sz w:val="20"/>
                <w:szCs w:val="20"/>
                <w:color w:val="auto"/>
              </w:rPr>
              <w:t>Texas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71,581</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w:t>
            </w:r>
          </w:p>
        </w:tc>
      </w:tr>
      <w:tr>
        <w:trPr>
          <w:trHeight w:val="243"/>
        </w:trPr>
        <w:tc>
          <w:tcPr>
            <w:tcW w:w="7580" w:type="dxa"/>
            <w:vAlign w:val="bottom"/>
          </w:tcPr>
          <w:p>
            <w:pPr>
              <w:spacing w:after="0"/>
              <w:rPr>
                <w:sz w:val="20"/>
                <w:szCs w:val="20"/>
                <w:color w:val="auto"/>
              </w:rPr>
            </w:pPr>
            <w:r>
              <w:rPr>
                <w:rFonts w:ascii="Arial" w:cs="Arial" w:eastAsia="Arial" w:hAnsi="Arial"/>
                <w:sz w:val="20"/>
                <w:szCs w:val="20"/>
                <w:color w:val="auto"/>
              </w:rPr>
              <w:t>Illinois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71,352</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3"/>
        </w:trPr>
        <w:tc>
          <w:tcPr>
            <w:tcW w:w="7580" w:type="dxa"/>
            <w:vAlign w:val="bottom"/>
            <w:shd w:val="clear" w:color="auto" w:fill="CCEEFF"/>
          </w:tcPr>
          <w:p>
            <w:pPr>
              <w:spacing w:after="0"/>
              <w:rPr>
                <w:sz w:val="20"/>
                <w:szCs w:val="20"/>
                <w:color w:val="auto"/>
              </w:rPr>
            </w:pPr>
            <w:r>
              <w:rPr>
                <w:rFonts w:ascii="Arial" w:cs="Arial" w:eastAsia="Arial" w:hAnsi="Arial"/>
                <w:sz w:val="20"/>
                <w:szCs w:val="20"/>
                <w:color w:val="auto"/>
              </w:rPr>
              <w:t>North Carolina</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54,344</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w:t>
            </w:r>
          </w:p>
        </w:tc>
      </w:tr>
      <w:tr>
        <w:trPr>
          <w:trHeight w:val="243"/>
        </w:trPr>
        <w:tc>
          <w:tcPr>
            <w:tcW w:w="75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states (1)</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88,886</w:t>
            </w: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w:t>
            </w:r>
          </w:p>
        </w:tc>
      </w:tr>
      <w:tr>
        <w:trPr>
          <w:trHeight w:val="223"/>
        </w:trPr>
        <w:tc>
          <w:tcPr>
            <w:tcW w:w="758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Regulated segment total</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834,638</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99.6%</w:t>
            </w:r>
          </w:p>
        </w:tc>
      </w:tr>
      <w:tr>
        <w:trPr>
          <w:trHeight w:val="243"/>
        </w:trPr>
        <w:tc>
          <w:tcPr>
            <w:tcW w:w="75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and eliminations</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3,453</w:t>
            </w: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r>
      <w:tr>
        <w:trPr>
          <w:trHeight w:val="230"/>
        </w:trPr>
        <w:tc>
          <w:tcPr>
            <w:tcW w:w="75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Consolidated</w:t>
            </w:r>
          </w:p>
        </w:tc>
        <w:tc>
          <w:tcPr>
            <w:tcW w:w="2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838,091</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100.0%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(1) Includes our operating subsidiaries in the following states: New Jersey, Indiana, and Virginia.</w:t>
      </w:r>
    </w:p>
    <w:p>
      <w:pPr>
        <w:spacing w:after="0" w:line="270"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 xml:space="preserve">The Company has identified ten operating segments and has one reportable segment named the Regulated segment. The reportable segment is comprised of eight operating segments for our water and wastewater regulated utility companies which are organized by the states where we provide these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Further, Aqua Resources and Aqua Infrastructure are not quantitatively significant to be reportable and are included as a component of “Other,” in addition to corporate costs that have not been allocated to the Regulated segment, because they would not be recoverable as a cost of utility service, and intersegment eliminations. Information concerning revenues, net income, identifiable assets and related financial information for the Regulated segment and Other and eliminations for 2018, 2017, and 2016 is set forth in </w:t>
      </w:r>
      <w:r>
        <w:rPr>
          <w:rFonts w:ascii="Arial" w:cs="Arial" w:eastAsia="Arial" w:hAnsi="Arial"/>
          <w:sz w:val="19"/>
          <w:szCs w:val="19"/>
          <w:i w:val="1"/>
          <w:iCs w:val="1"/>
          <w:color w:val="auto"/>
        </w:rPr>
        <w:t>Management’s Discussion and Analysis of Financial Condition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Results of Operations </w:t>
      </w:r>
      <w:r>
        <w:rPr>
          <w:rFonts w:ascii="Arial" w:cs="Arial" w:eastAsia="Arial" w:hAnsi="Arial"/>
          <w:sz w:val="19"/>
          <w:szCs w:val="19"/>
          <w:color w:val="auto"/>
        </w:rPr>
        <w:t>and in Note 17</w:t>
      </w:r>
      <w:r>
        <w:rPr>
          <w:rFonts w:ascii="Arial" w:cs="Arial" w:eastAsia="Arial" w:hAnsi="Arial"/>
          <w:sz w:val="19"/>
          <w:szCs w:val="19"/>
          <w:i w:val="1"/>
          <w:iCs w:val="1"/>
          <w:color w:val="auto"/>
        </w:rPr>
        <w:t xml:space="preserve"> – Segment Information </w:t>
      </w:r>
      <w:r>
        <w:rPr>
          <w:rFonts w:ascii="Arial" w:cs="Arial" w:eastAsia="Arial" w:hAnsi="Arial"/>
          <w:sz w:val="19"/>
          <w:szCs w:val="19"/>
          <w:color w:val="auto"/>
        </w:rPr>
        <w:t>in the</w:t>
      </w:r>
      <w:r>
        <w:rPr>
          <w:rFonts w:ascii="Arial" w:cs="Arial" w:eastAsia="Arial" w:hAnsi="Arial"/>
          <w:sz w:val="19"/>
          <w:szCs w:val="19"/>
          <w:i w:val="1"/>
          <w:iCs w:val="1"/>
          <w:color w:val="auto"/>
        </w:rPr>
        <w:t xml:space="preserve"> Notes to Consolidated Financial Statements </w:t>
      </w:r>
      <w:r>
        <w:rPr>
          <w:rFonts w:ascii="Arial" w:cs="Arial" w:eastAsia="Arial" w:hAnsi="Arial"/>
          <w:sz w:val="19"/>
          <w:szCs w:val="19"/>
          <w:color w:val="auto"/>
        </w:rPr>
        <w:t>which is</w:t>
      </w:r>
      <w:r>
        <w:rPr>
          <w:rFonts w:ascii="Arial" w:cs="Arial" w:eastAsia="Arial" w:hAnsi="Arial"/>
          <w:sz w:val="19"/>
          <w:szCs w:val="19"/>
          <w:i w:val="1"/>
          <w:iCs w:val="1"/>
          <w:color w:val="auto"/>
        </w:rPr>
        <w:t xml:space="preserve"> </w:t>
      </w:r>
      <w:r>
        <w:rPr>
          <w:rFonts w:ascii="Arial" w:cs="Arial" w:eastAsia="Arial" w:hAnsi="Arial"/>
          <w:sz w:val="19"/>
          <w:szCs w:val="19"/>
          <w:color w:val="auto"/>
        </w:rPr>
        <w:t>contained in Item 8 of this Annual Report.</w:t>
      </w:r>
    </w:p>
    <w:p>
      <w:pPr>
        <w:spacing w:after="0" w:line="19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following table summarizes our operating revenues, by utility customer class, for the Regulated segment and Other and eliminations for the year ended December 31, 2018:</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19"/>
                <w:szCs w:val="19"/>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20"/>
                <w:szCs w:val="20"/>
                <w:color w:val="auto"/>
                <w:w w:val="91"/>
              </w:rPr>
              <w:t>Operating</w:t>
            </w:r>
          </w:p>
        </w:tc>
        <w:tc>
          <w:tcPr>
            <w:tcW w:w="900" w:type="dxa"/>
            <w:vAlign w:val="bottom"/>
          </w:tcPr>
          <w:p>
            <w:pPr>
              <w:jc w:val="center"/>
              <w:spacing w:after="0"/>
              <w:rPr>
                <w:sz w:val="20"/>
                <w:szCs w:val="20"/>
                <w:color w:val="auto"/>
              </w:rPr>
            </w:pPr>
            <w:r>
              <w:rPr>
                <w:rFonts w:ascii="Arial" w:cs="Arial" w:eastAsia="Arial" w:hAnsi="Arial"/>
                <w:sz w:val="20"/>
                <w:szCs w:val="20"/>
                <w:color w:val="auto"/>
                <w:w w:val="88"/>
              </w:rPr>
              <w:t>Operating</w:t>
            </w:r>
          </w:p>
        </w:tc>
      </w:tr>
      <w:tr>
        <w:trPr>
          <w:trHeight w:val="230"/>
        </w:trPr>
        <w:tc>
          <w:tcPr>
            <w:tcW w:w="7920" w:type="dxa"/>
            <w:vAlign w:val="bottom"/>
          </w:tcPr>
          <w:p>
            <w:pPr>
              <w:spacing w:after="0"/>
              <w:rPr>
                <w:sz w:val="19"/>
                <w:szCs w:val="19"/>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20"/>
                <w:szCs w:val="20"/>
                <w:color w:val="auto"/>
                <w:w w:val="84"/>
              </w:rPr>
              <w:t>Revenues</w:t>
            </w:r>
          </w:p>
        </w:tc>
        <w:tc>
          <w:tcPr>
            <w:tcW w:w="900" w:type="dxa"/>
            <w:vAlign w:val="bottom"/>
          </w:tcPr>
          <w:p>
            <w:pPr>
              <w:jc w:val="center"/>
              <w:spacing w:after="0"/>
              <w:rPr>
                <w:sz w:val="20"/>
                <w:szCs w:val="20"/>
                <w:color w:val="auto"/>
              </w:rPr>
            </w:pPr>
            <w:r>
              <w:rPr>
                <w:rFonts w:ascii="Arial" w:cs="Arial" w:eastAsia="Arial" w:hAnsi="Arial"/>
                <w:sz w:val="20"/>
                <w:szCs w:val="20"/>
                <w:color w:val="auto"/>
                <w:w w:val="86"/>
              </w:rPr>
              <w:t>Revenues</w:t>
            </w:r>
          </w:p>
        </w:tc>
      </w:tr>
      <w:tr>
        <w:trPr>
          <w:trHeight w:val="246"/>
        </w:trPr>
        <w:tc>
          <w:tcPr>
            <w:tcW w:w="7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20"/>
                <w:szCs w:val="20"/>
                <w:color w:val="auto"/>
                <w:w w:val="89"/>
              </w:rPr>
              <w:t>(000's)</w:t>
            </w:r>
          </w:p>
        </w:tc>
        <w:tc>
          <w:tcPr>
            <w:tcW w:w="900" w:type="dxa"/>
            <w:vAlign w:val="bottom"/>
          </w:tcPr>
          <w:p>
            <w:pPr>
              <w:jc w:val="center"/>
              <w:spacing w:after="0"/>
              <w:rPr>
                <w:sz w:val="20"/>
                <w:szCs w:val="20"/>
                <w:color w:val="auto"/>
              </w:rPr>
            </w:pPr>
            <w:r>
              <w:rPr>
                <w:rFonts w:ascii="Arial" w:cs="Arial" w:eastAsia="Arial" w:hAnsi="Arial"/>
                <w:sz w:val="20"/>
                <w:szCs w:val="20"/>
                <w:color w:val="auto"/>
                <w:w w:val="96"/>
              </w:rPr>
              <w:t>(%)</w:t>
            </w:r>
          </w:p>
        </w:tc>
      </w:tr>
      <w:tr>
        <w:trPr>
          <w:trHeight w:val="223"/>
        </w:trPr>
        <w:tc>
          <w:tcPr>
            <w:tcW w:w="792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Residential water</w:t>
            </w:r>
          </w:p>
        </w:tc>
        <w:tc>
          <w:tcPr>
            <w:tcW w:w="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482,946</w:t>
            </w:r>
          </w:p>
        </w:tc>
        <w:tc>
          <w:tcPr>
            <w:tcW w:w="1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57.6%</w:t>
            </w:r>
          </w:p>
        </w:tc>
      </w:tr>
      <w:tr>
        <w:trPr>
          <w:trHeight w:val="243"/>
        </w:trPr>
        <w:tc>
          <w:tcPr>
            <w:tcW w:w="7920" w:type="dxa"/>
            <w:vAlign w:val="bottom"/>
          </w:tcPr>
          <w:p>
            <w:pPr>
              <w:spacing w:after="0"/>
              <w:rPr>
                <w:sz w:val="20"/>
                <w:szCs w:val="20"/>
                <w:color w:val="auto"/>
              </w:rPr>
            </w:pPr>
            <w:r>
              <w:rPr>
                <w:rFonts w:ascii="Arial" w:cs="Arial" w:eastAsia="Arial" w:hAnsi="Arial"/>
                <w:sz w:val="20"/>
                <w:szCs w:val="20"/>
                <w:color w:val="auto"/>
              </w:rPr>
              <w:t>Commercial water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133,753</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16.0%</w:t>
            </w:r>
          </w:p>
        </w:tc>
      </w:tr>
      <w:tr>
        <w:trPr>
          <w:trHeight w:val="243"/>
        </w:trPr>
        <w:tc>
          <w:tcPr>
            <w:tcW w:w="7920" w:type="dxa"/>
            <w:vAlign w:val="bottom"/>
            <w:shd w:val="clear" w:color="auto" w:fill="CCEEFF"/>
          </w:tcPr>
          <w:p>
            <w:pPr>
              <w:spacing w:after="0"/>
              <w:rPr>
                <w:sz w:val="20"/>
                <w:szCs w:val="20"/>
                <w:color w:val="auto"/>
              </w:rPr>
            </w:pPr>
            <w:r>
              <w:rPr>
                <w:rFonts w:ascii="Arial" w:cs="Arial" w:eastAsia="Arial" w:hAnsi="Arial"/>
                <w:sz w:val="20"/>
                <w:szCs w:val="20"/>
                <w:color w:val="auto"/>
              </w:rPr>
              <w:t>Fire protection</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32,236</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w:t>
            </w:r>
          </w:p>
        </w:tc>
      </w:tr>
      <w:tr>
        <w:trPr>
          <w:trHeight w:val="243"/>
        </w:trPr>
        <w:tc>
          <w:tcPr>
            <w:tcW w:w="7920" w:type="dxa"/>
            <w:vAlign w:val="bottom"/>
          </w:tcPr>
          <w:p>
            <w:pPr>
              <w:spacing w:after="0"/>
              <w:rPr>
                <w:sz w:val="20"/>
                <w:szCs w:val="20"/>
                <w:color w:val="auto"/>
              </w:rPr>
            </w:pPr>
            <w:r>
              <w:rPr>
                <w:rFonts w:ascii="Arial" w:cs="Arial" w:eastAsia="Arial" w:hAnsi="Arial"/>
                <w:sz w:val="20"/>
                <w:szCs w:val="20"/>
                <w:color w:val="auto"/>
              </w:rPr>
              <w:t>Industrial water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28,848</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43"/>
        </w:trPr>
        <w:tc>
          <w:tcPr>
            <w:tcW w:w="7920" w:type="dxa"/>
            <w:vAlign w:val="bottom"/>
            <w:shd w:val="clear" w:color="auto" w:fill="CCEEFF"/>
          </w:tcPr>
          <w:p>
            <w:pPr>
              <w:spacing w:after="0"/>
              <w:rPr>
                <w:sz w:val="20"/>
                <w:szCs w:val="20"/>
                <w:color w:val="auto"/>
              </w:rPr>
            </w:pPr>
            <w:r>
              <w:rPr>
                <w:rFonts w:ascii="Arial" w:cs="Arial" w:eastAsia="Arial" w:hAnsi="Arial"/>
                <w:sz w:val="20"/>
                <w:szCs w:val="20"/>
                <w:color w:val="auto"/>
              </w:rPr>
              <w:t>Other water</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53,658</w:t>
            </w:r>
          </w:p>
        </w:tc>
        <w:tc>
          <w:tcPr>
            <w:tcW w:w="18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w:t>
            </w:r>
          </w:p>
        </w:tc>
      </w:tr>
      <w:tr>
        <w:trPr>
          <w:trHeight w:val="223"/>
        </w:trPr>
        <w:tc>
          <w:tcPr>
            <w:tcW w:w="7920" w:type="dxa"/>
            <w:vAlign w:val="bottom"/>
          </w:tcPr>
          <w:p>
            <w:pPr>
              <w:spacing w:after="0" w:line="223" w:lineRule="exact"/>
              <w:rPr>
                <w:sz w:val="20"/>
                <w:szCs w:val="20"/>
                <w:color w:val="auto"/>
              </w:rPr>
            </w:pPr>
            <w:r>
              <w:rPr>
                <w:rFonts w:ascii="Arial" w:cs="Arial" w:eastAsia="Arial" w:hAnsi="Arial"/>
                <w:sz w:val="20"/>
                <w:szCs w:val="20"/>
                <w:color w:val="auto"/>
              </w:rPr>
              <w:t>Total water</w:t>
            </w: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Arial" w:cs="Arial" w:eastAsia="Arial" w:hAnsi="Arial"/>
                <w:sz w:val="20"/>
                <w:szCs w:val="20"/>
                <w:color w:val="auto"/>
              </w:rPr>
              <w:t>731,441</w:t>
            </w:r>
          </w:p>
        </w:tc>
        <w:tc>
          <w:tcPr>
            <w:tcW w:w="18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Arial" w:cs="Arial" w:eastAsia="Arial" w:hAnsi="Arial"/>
                <w:sz w:val="20"/>
                <w:szCs w:val="20"/>
                <w:color w:val="auto"/>
              </w:rPr>
              <w:t>87.3%</w:t>
            </w:r>
          </w:p>
        </w:tc>
      </w:tr>
      <w:tr>
        <w:trPr>
          <w:trHeight w:val="243"/>
        </w:trPr>
        <w:tc>
          <w:tcPr>
            <w:tcW w:w="7920" w:type="dxa"/>
            <w:vAlign w:val="bottom"/>
            <w:shd w:val="clear" w:color="auto" w:fill="CCEEFF"/>
          </w:tcPr>
          <w:p>
            <w:pPr>
              <w:spacing w:after="0"/>
              <w:rPr>
                <w:sz w:val="20"/>
                <w:szCs w:val="20"/>
                <w:color w:val="auto"/>
              </w:rPr>
            </w:pPr>
            <w:r>
              <w:rPr>
                <w:rFonts w:ascii="Arial" w:cs="Arial" w:eastAsia="Arial" w:hAnsi="Arial"/>
                <w:sz w:val="20"/>
                <w:szCs w:val="20"/>
                <w:color w:val="auto"/>
              </w:rPr>
              <w:t>Wastewater</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94,170</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11.2%</w:t>
            </w:r>
          </w:p>
        </w:tc>
      </w:tr>
      <w:tr>
        <w:trPr>
          <w:trHeight w:val="243"/>
        </w:trPr>
        <w:tc>
          <w:tcPr>
            <w:tcW w:w="79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utility</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9,027</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r>
      <w:tr>
        <w:trPr>
          <w:trHeight w:val="223"/>
        </w:trPr>
        <w:tc>
          <w:tcPr>
            <w:tcW w:w="792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Regulated segment total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834,638</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99.6%</w:t>
            </w:r>
          </w:p>
        </w:tc>
      </w:tr>
      <w:tr>
        <w:trPr>
          <w:trHeight w:val="243"/>
        </w:trPr>
        <w:tc>
          <w:tcPr>
            <w:tcW w:w="79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and eliminations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3,453</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r>
      <w:tr>
        <w:trPr>
          <w:trHeight w:val="230"/>
        </w:trPr>
        <w:tc>
          <w:tcPr>
            <w:tcW w:w="792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Consolidated</w:t>
            </w:r>
          </w:p>
        </w:tc>
        <w:tc>
          <w:tcPr>
            <w:tcW w:w="2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838,091</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100.0%</w:t>
            </w:r>
          </w:p>
        </w:tc>
      </w:tr>
    </w:tbl>
    <w:p>
      <w:pPr>
        <w:spacing w:after="0" w:line="213" w:lineRule="exact"/>
        <w:rPr>
          <w:sz w:val="20"/>
          <w:szCs w:val="20"/>
          <w:color w:val="auto"/>
        </w:rPr>
      </w:pPr>
    </w:p>
    <w:p>
      <w:pPr>
        <w:ind w:right="440"/>
        <w:spacing w:after="0" w:line="386" w:lineRule="auto"/>
        <w:rPr>
          <w:sz w:val="20"/>
          <w:szCs w:val="20"/>
          <w:color w:val="auto"/>
        </w:rPr>
      </w:pPr>
      <w:r>
        <w:rPr>
          <w:rFonts w:ascii="Arial" w:cs="Arial" w:eastAsia="Arial" w:hAnsi="Arial"/>
          <w:sz w:val="16"/>
          <w:szCs w:val="16"/>
          <w:color w:val="auto"/>
        </w:rPr>
        <w:t>Our utility customer base is diversified among residential water, commercial water, fire protection, industrial water, other water, wastewater customers, and other utility customers (consisting of operating contracts that are closely associated with</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 xml:space="preserve">the utility operations). Residential water and wastewater customers make up the largest component of our utility customer base, with these customers representing approximately 67%, 70%, and 70% of our water and wastewater revenues for 2018, 2017, and 2016, respectively. Substantially all of our water customers are metered, which allows us to measure and bill for our customers’ water consumption. Water consumption per customer is affected by local weather conditions during the year, especially during late spring, summer, and early fall. In general, during these seasons, an extended period of dry weather increases consumption, while above average rainfall decreases consumption. Also, an increase in the average temperature generally causes an increase in water consumption. On occasion, abnormally dry weather in our service areas can result in governmental authorities declaring drought warnings and imposing water use restrictions in the affected areas, which could reduce water consumption. See “Business – </w:t>
      </w:r>
      <w:r>
        <w:rPr>
          <w:rFonts w:ascii="Arial" w:cs="Arial" w:eastAsia="Arial" w:hAnsi="Arial"/>
          <w:sz w:val="18"/>
          <w:szCs w:val="18"/>
          <w:i w:val="1"/>
          <w:iCs w:val="1"/>
          <w:color w:val="auto"/>
        </w:rPr>
        <w:t>Water Utility Supplies, and Facilities and Wastewater Utility Facilities</w:t>
      </w:r>
      <w:r>
        <w:rPr>
          <w:rFonts w:ascii="Arial" w:cs="Arial" w:eastAsia="Arial" w:hAnsi="Arial"/>
          <w:sz w:val="18"/>
          <w:szCs w:val="18"/>
          <w:color w:val="auto"/>
        </w:rPr>
        <w:t>” for a discussion of water use restrictions that may impact water consumption during abnormally dry weather. The geographic diversity of our utility customer base reduces the effect of our exposure to extreme or unusual weather conditions in any one area of our service territory. Water usage is also affected by changing consumption patterns by our customers, resulting from such causes as increased water conservation and the installation of water saving devices and appliances that can result in decreased water usage. It is estimated that in the event we experience a 0.50% decrease in residential water consumption it would result in a decrease in annual residential water revenue of approximately $2,400,000 and would likely be partially offset by a reduction in incremental water production expenses such as chemicals and power.</w:t>
      </w:r>
    </w:p>
    <w:p>
      <w:pPr>
        <w:spacing w:after="0" w:line="191"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 xml:space="preserve">Our growth in revenues over the past five years is primarily a result of increases in water and wastewater rates and customer growth. See </w:t>
      </w:r>
      <w:r>
        <w:rPr>
          <w:rFonts w:ascii="Arial" w:cs="Arial" w:eastAsia="Arial" w:hAnsi="Arial"/>
          <w:sz w:val="20"/>
          <w:szCs w:val="20"/>
          <w:i w:val="1"/>
          <w:iCs w:val="1"/>
          <w:color w:val="auto"/>
        </w:rPr>
        <w:t>Economic Regulation</w:t>
      </w:r>
      <w:r>
        <w:rPr>
          <w:rFonts w:ascii="Arial" w:cs="Arial" w:eastAsia="Arial" w:hAnsi="Arial"/>
          <w:sz w:val="20"/>
          <w:szCs w:val="20"/>
          <w:color w:val="auto"/>
        </w:rPr>
        <w:t xml:space="preserve"> for a discussion of water and wastewater rates. The increase in our utility customer base has been due to customers added through acquisitions, partnerships with developers, and organic growth (excluding dispositions) as shown below:</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100" w:type="dxa"/>
            <w:vAlign w:val="bottom"/>
            <w:gridSpan w:val="2"/>
          </w:tcPr>
          <w:p>
            <w:pPr>
              <w:ind w:left="580"/>
              <w:spacing w:after="0"/>
              <w:rPr>
                <w:sz w:val="20"/>
                <w:szCs w:val="20"/>
                <w:color w:val="auto"/>
              </w:rPr>
            </w:pPr>
            <w:r>
              <w:rPr>
                <w:rFonts w:ascii="Arial" w:cs="Arial" w:eastAsia="Arial" w:hAnsi="Arial"/>
                <w:sz w:val="20"/>
                <w:szCs w:val="20"/>
                <w:color w:val="auto"/>
              </w:rPr>
              <w:t>Year</w:t>
            </w:r>
          </w:p>
        </w:tc>
        <w:tc>
          <w:tcPr>
            <w:tcW w:w="8020" w:type="dxa"/>
            <w:vAlign w:val="bottom"/>
          </w:tcPr>
          <w:p>
            <w:pPr>
              <w:jc w:val="center"/>
              <w:spacing w:after="0"/>
              <w:rPr>
                <w:sz w:val="20"/>
                <w:szCs w:val="20"/>
                <w:color w:val="auto"/>
              </w:rPr>
            </w:pPr>
            <w:r>
              <w:rPr>
                <w:rFonts w:ascii="Arial" w:cs="Arial" w:eastAsia="Arial" w:hAnsi="Arial"/>
                <w:sz w:val="20"/>
                <w:szCs w:val="20"/>
                <w:color w:val="auto"/>
                <w:w w:val="92"/>
              </w:rPr>
              <w:t>Utility Customer Growth Rate</w:t>
            </w:r>
          </w:p>
        </w:tc>
      </w:tr>
      <w:tr>
        <w:trPr>
          <w:trHeight w:val="250"/>
        </w:trPr>
        <w:tc>
          <w:tcPr>
            <w:tcW w:w="15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20"/>
                <w:szCs w:val="20"/>
                <w:color w:val="auto"/>
              </w:rPr>
              <w:t>2018</w:t>
            </w:r>
          </w:p>
        </w:tc>
        <w:tc>
          <w:tcPr>
            <w:tcW w:w="600" w:type="dxa"/>
            <w:vAlign w:val="bottom"/>
            <w:tcBorders>
              <w:top w:val="single" w:sz="8" w:color="CCEEFF"/>
            </w:tcBorders>
            <w:shd w:val="clear" w:color="auto" w:fill="CCEEFF"/>
          </w:tcPr>
          <w:p>
            <w:pPr>
              <w:spacing w:after="0"/>
              <w:rPr>
                <w:sz w:val="21"/>
                <w:szCs w:val="21"/>
                <w:color w:val="auto"/>
              </w:rPr>
            </w:pPr>
          </w:p>
        </w:tc>
        <w:tc>
          <w:tcPr>
            <w:tcW w:w="8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2"/>
              </w:rPr>
              <w:t>2.3%</w:t>
            </w:r>
          </w:p>
        </w:tc>
      </w:tr>
      <w:tr>
        <w:trPr>
          <w:trHeight w:val="270"/>
        </w:trPr>
        <w:tc>
          <w:tcPr>
            <w:tcW w:w="1500" w:type="dxa"/>
            <w:vAlign w:val="bottom"/>
          </w:tcPr>
          <w:p>
            <w:pPr>
              <w:ind w:left="560"/>
              <w:spacing w:after="0"/>
              <w:rPr>
                <w:sz w:val="20"/>
                <w:szCs w:val="20"/>
                <w:color w:val="auto"/>
              </w:rPr>
            </w:pPr>
            <w:r>
              <w:rPr>
                <w:rFonts w:ascii="Arial" w:cs="Arial" w:eastAsia="Arial" w:hAnsi="Arial"/>
                <w:sz w:val="20"/>
                <w:szCs w:val="20"/>
                <w:color w:val="auto"/>
              </w:rPr>
              <w:t>2017</w:t>
            </w:r>
          </w:p>
        </w:tc>
        <w:tc>
          <w:tcPr>
            <w:tcW w:w="600" w:type="dxa"/>
            <w:vAlign w:val="bottom"/>
          </w:tcPr>
          <w:p>
            <w:pPr>
              <w:spacing w:after="0"/>
              <w:rPr>
                <w:sz w:val="23"/>
                <w:szCs w:val="23"/>
                <w:color w:val="auto"/>
              </w:rPr>
            </w:pPr>
          </w:p>
        </w:tc>
        <w:tc>
          <w:tcPr>
            <w:tcW w:w="8020" w:type="dxa"/>
            <w:vAlign w:val="bottom"/>
          </w:tcPr>
          <w:p>
            <w:pPr>
              <w:jc w:val="center"/>
              <w:spacing w:after="0"/>
              <w:rPr>
                <w:sz w:val="20"/>
                <w:szCs w:val="20"/>
                <w:color w:val="auto"/>
              </w:rPr>
            </w:pPr>
            <w:r>
              <w:rPr>
                <w:rFonts w:ascii="Arial" w:cs="Arial" w:eastAsia="Arial" w:hAnsi="Arial"/>
                <w:sz w:val="20"/>
                <w:szCs w:val="20"/>
                <w:color w:val="auto"/>
                <w:w w:val="92"/>
              </w:rPr>
              <w:t>1.1%</w:t>
            </w:r>
          </w:p>
        </w:tc>
      </w:tr>
      <w:tr>
        <w:trPr>
          <w:trHeight w:val="270"/>
        </w:trPr>
        <w:tc>
          <w:tcPr>
            <w:tcW w:w="15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2016</w:t>
            </w:r>
          </w:p>
        </w:tc>
        <w:tc>
          <w:tcPr>
            <w:tcW w:w="600" w:type="dxa"/>
            <w:vAlign w:val="bottom"/>
            <w:shd w:val="clear" w:color="auto" w:fill="CCEEFF"/>
          </w:tcPr>
          <w:p>
            <w:pPr>
              <w:spacing w:after="0"/>
              <w:rPr>
                <w:sz w:val="23"/>
                <w:szCs w:val="23"/>
                <w:color w:val="auto"/>
              </w:rPr>
            </w:pPr>
          </w:p>
        </w:tc>
        <w:tc>
          <w:tcPr>
            <w:tcW w:w="8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2"/>
              </w:rPr>
              <w:t>1.6%</w:t>
            </w:r>
          </w:p>
        </w:tc>
      </w:tr>
      <w:tr>
        <w:trPr>
          <w:trHeight w:val="270"/>
        </w:trPr>
        <w:tc>
          <w:tcPr>
            <w:tcW w:w="1500" w:type="dxa"/>
            <w:vAlign w:val="bottom"/>
          </w:tcPr>
          <w:p>
            <w:pPr>
              <w:ind w:left="560"/>
              <w:spacing w:after="0"/>
              <w:rPr>
                <w:sz w:val="20"/>
                <w:szCs w:val="20"/>
                <w:color w:val="auto"/>
              </w:rPr>
            </w:pPr>
            <w:r>
              <w:rPr>
                <w:rFonts w:ascii="Arial" w:cs="Arial" w:eastAsia="Arial" w:hAnsi="Arial"/>
                <w:sz w:val="20"/>
                <w:szCs w:val="20"/>
                <w:color w:val="auto"/>
              </w:rPr>
              <w:t>2015</w:t>
            </w:r>
          </w:p>
        </w:tc>
        <w:tc>
          <w:tcPr>
            <w:tcW w:w="600" w:type="dxa"/>
            <w:vAlign w:val="bottom"/>
          </w:tcPr>
          <w:p>
            <w:pPr>
              <w:spacing w:after="0"/>
              <w:rPr>
                <w:sz w:val="23"/>
                <w:szCs w:val="23"/>
                <w:color w:val="auto"/>
              </w:rPr>
            </w:pPr>
          </w:p>
        </w:tc>
        <w:tc>
          <w:tcPr>
            <w:tcW w:w="8020" w:type="dxa"/>
            <w:vAlign w:val="bottom"/>
          </w:tcPr>
          <w:p>
            <w:pPr>
              <w:jc w:val="center"/>
              <w:spacing w:after="0"/>
              <w:rPr>
                <w:sz w:val="20"/>
                <w:szCs w:val="20"/>
                <w:color w:val="auto"/>
              </w:rPr>
            </w:pPr>
            <w:r>
              <w:rPr>
                <w:rFonts w:ascii="Arial" w:cs="Arial" w:eastAsia="Arial" w:hAnsi="Arial"/>
                <w:sz w:val="20"/>
                <w:szCs w:val="20"/>
                <w:color w:val="auto"/>
                <w:w w:val="92"/>
              </w:rPr>
              <w:t>1.9%</w:t>
            </w:r>
          </w:p>
        </w:tc>
      </w:tr>
      <w:tr>
        <w:trPr>
          <w:trHeight w:val="270"/>
        </w:trPr>
        <w:tc>
          <w:tcPr>
            <w:tcW w:w="15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2014</w:t>
            </w:r>
          </w:p>
        </w:tc>
        <w:tc>
          <w:tcPr>
            <w:tcW w:w="600" w:type="dxa"/>
            <w:vAlign w:val="bottom"/>
            <w:shd w:val="clear" w:color="auto" w:fill="CCEEFF"/>
          </w:tcPr>
          <w:p>
            <w:pPr>
              <w:spacing w:after="0"/>
              <w:rPr>
                <w:sz w:val="23"/>
                <w:szCs w:val="23"/>
                <w:color w:val="auto"/>
              </w:rPr>
            </w:pPr>
          </w:p>
        </w:tc>
        <w:tc>
          <w:tcPr>
            <w:tcW w:w="8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2"/>
              </w:rPr>
              <w:t>1.3%</w:t>
            </w:r>
          </w:p>
        </w:tc>
      </w:tr>
    </w:tbl>
    <w:p>
      <w:pPr>
        <w:spacing w:after="0" w:line="213"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In 2018, our customer count increased by 22,741 customers, primarily due to utility systems that we acquired and organic growth. Overall, for the five-year period of 2014 through 2018, our utility customer base, adjusted to exclude customers associated with utility system dispositions, increased at an annual compound rate of 1.6%. During the five-year period ended December 31, 2018, our utility customer base including customers associated with utility system acquisitions and dispositions increased from 941,008 at January 1, 2014 to 1,005,590 at December 31, 2018. This five-year period includes the impact of the condemnation of our Fort Wayne, IN system in 2014, which resulted in the loss of approximately 13,000 connections.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Acquisitions and Other Growth Ventures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We believe that acquisitions will continue to be an important source of customer growth for us. We intend to continue to pursue acquisitions of government-owned and regulated water and wastewater systems that provide services in areas near our existing service territories or in new service areas. We engage in continuing activities with respect to potential acquisitions, including calling on prospective sellers, performing analyses of and due diligence on acquisition candidates, making preliminary acquisition proposals, and negotiating the terms of potential acquisitions. Further, we are also seeking other potential business opportunities, including but not limited to, partnering with public and regulated utilities to invest in infrastructure projects, growing our market-based activities by acquiring businesses that provide water and wastewater or other utility-related services, and investing in infrastructure projects.</w:t>
      </w:r>
    </w:p>
    <w:p>
      <w:pPr>
        <w:spacing w:after="0" w:line="195"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According to the U.S. Environmental Protection Agency (“EPA”), based on the 2015 U.S. Census American Housing Survey, approximately 89% of the U.S. population obtains its water from community water systems, and 11% of the U.S. population obtains its water from private wells. With approximately 50,000 community water systems in the U.S. (81%</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of which serve less than 3,300 customers), the water industry is the most fragmented of the major utility industries (telephone, natural gas, electric, water and wastewater). The majority of these community water systems are government-owned, and the balance of the systems are regulated utilities. The nation’s water systems range in size from large government-owned systems, such as the New York City water system, which serves approximately 8.6 million people, to small systems, where a few customers share a common well. In the states where we operate regulated utilities, we believe there are approximately 14,000 community water systems of widely-varying size, with the majority of the population being served by government-owned water systems.</w:t>
      </w:r>
    </w:p>
    <w:p>
      <w:pPr>
        <w:spacing w:after="0" w:line="20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Although not as fragmented as the water industry, the wastewater industry in the U.S. also presents opportunities for consolidation. According to the EPA’s most recent survey of wastewater treatment facilities (which includes both government-owned facilities and regulated utility systems) in 2012, there were approximately 15,000 such facilities in the nation serving approximately 76% of the U.S. population. The remaining population represents individual homeowners with their own treatment facilities; for example, community on-lot disposal systems and septic tank systems. A majority of wastewater facilities are government-owned rather than regulated utilities. The EPA’s survey also indicated that, in 2012, there were approximately 4,000 wastewater facilities in operation in the states where we operate regulated utilities.</w:t>
      </w:r>
    </w:p>
    <w:p>
      <w:pPr>
        <w:spacing w:after="0" w:line="183"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Because of the fragmented nature of the water and wastewater utility industries, we believe there are many potential water and wastewater system acquisition candidates throughout the U.S. We believe the factors driving consolidation of these systems are:</w:t>
      </w:r>
    </w:p>
    <w:p>
      <w:pPr>
        <w:spacing w:after="0" w:line="200" w:lineRule="exact"/>
        <w:rPr>
          <w:sz w:val="20"/>
          <w:szCs w:val="20"/>
          <w:color w:val="auto"/>
        </w:rPr>
      </w:pPr>
    </w:p>
    <w:p>
      <w:pPr>
        <w:ind w:left="640" w:hanging="320"/>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benefits of economies of scale;</w:t>
      </w:r>
    </w:p>
    <w:p>
      <w:pPr>
        <w:spacing w:after="0" w:line="15" w:lineRule="exact"/>
        <w:rPr>
          <w:rFonts w:ascii="Arial" w:cs="Arial" w:eastAsia="Arial" w:hAnsi="Arial"/>
          <w:sz w:val="20"/>
          <w:szCs w:val="20"/>
          <w:color w:val="auto"/>
        </w:rPr>
      </w:pPr>
    </w:p>
    <w:p>
      <w:pPr>
        <w:ind w:left="640" w:hanging="320"/>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increasing cost and complexity of environmental regulations;</w:t>
      </w:r>
    </w:p>
    <w:p>
      <w:pPr>
        <w:ind w:left="640" w:hanging="320"/>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need for substantial capital investment;</w:t>
      </w:r>
    </w:p>
    <w:p>
      <w:pPr>
        <w:ind w:left="640" w:hanging="320"/>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need for technological and managerial expertise;</w:t>
      </w:r>
    </w:p>
    <w:p>
      <w:pPr>
        <w:ind w:left="640" w:hanging="320"/>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desire to improve water quality and service;</w:t>
      </w:r>
    </w:p>
    <w:p>
      <w:pPr>
        <w:ind w:left="640" w:hanging="320"/>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limited access to cost-effective financing;</w:t>
      </w:r>
    </w:p>
    <w:p>
      <w:pPr>
        <w:ind w:left="640" w:hanging="320"/>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monetizing of public assets to support, in some cases, the declining financial condition of municipalities; and</w:t>
      </w:r>
    </w:p>
    <w:p>
      <w:pPr>
        <w:spacing w:after="0" w:line="11" w:lineRule="exact"/>
        <w:rPr>
          <w:rFonts w:ascii="Arial" w:cs="Arial" w:eastAsia="Arial" w:hAnsi="Arial"/>
          <w:sz w:val="19"/>
          <w:szCs w:val="19"/>
          <w:color w:val="auto"/>
        </w:rPr>
      </w:pPr>
    </w:p>
    <w:p>
      <w:pPr>
        <w:ind w:left="640" w:hanging="320"/>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use of system sale proceeds by a municipality to accomplish other public purposes.</w:t>
      </w:r>
    </w:p>
    <w:p>
      <w:pPr>
        <w:spacing w:after="0" w:line="21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are actively exploring opportunities to expand our utility operations through acquisitions or other growth ventures. During the five-year period ended December 31, 2018, we expanded our utility operations by completing 64 acquisitions or other growth ventures. Additionally, in October 2018, the Company entered into an agreement to acquire Peoples, which will expand the Company’s regulated utility business to include natural gas distribution. This acquisition is subject to regulatory approvals and is expected to close in mid-2019.</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Water Utility Supplies and Facilities and Wastewater Utility Facilities</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Our water utility operations obtain their water supplies from surface water sources, underground aquifers, and water purchased from other water suppliers. Our water supplies are primarily self-supplied and processed at twenty-one surface water treatment plants located in four states, and numerous well stations located in the states in which we conduct business. Approximately 5.8% of our water supplies are provided through water purchased from other water suppliers. It is our policy to obtain and maintain the permits necessary to obtain the water we distribute.</w:t>
      </w:r>
    </w:p>
    <w:p>
      <w:pPr>
        <w:spacing w:after="0" w:line="194"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We believe that the capacities of our sources of supply, and our water treatment, pumping and distribution facilities, are generally sufficient to meet the present requirements of our customers under normal conditions. We plan system improvements and additions to capacity in response to normal replacement and renewal needs, changing regulatory standards, changing patterns of consumption, and increased demand from customer growth. The various state utility commissions have generally recognized the operating and capital costs associated with these improvements in setting water and wastewater rates.</w:t>
      </w:r>
    </w:p>
    <w:p>
      <w:pPr>
        <w:spacing w:after="0" w:line="14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On occasion, drought warnings and water use restrictions are issued by governmental authorities for portions of our service territories in response to extended periods of dry weather conditions. The timing and duration of the warnings and restrictions can have an impact on our water revenues and net income. In general, water consumption in the summer months is more affected by drought warnings and restrictions because discretionary and recreational use of water is at 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380"/>
        <w:spacing w:after="0" w:line="291" w:lineRule="auto"/>
        <w:rPr>
          <w:sz w:val="20"/>
          <w:szCs w:val="20"/>
          <w:color w:val="auto"/>
        </w:rPr>
      </w:pPr>
      <w:r>
        <w:rPr>
          <w:rFonts w:ascii="Arial" w:cs="Arial" w:eastAsia="Arial" w:hAnsi="Arial"/>
          <w:sz w:val="18"/>
          <w:szCs w:val="18"/>
          <w:color w:val="auto"/>
        </w:rPr>
        <w:t>highest during the summer months. At other times of the year, warnings and restrictions generally have less of an effect on water consumption. Currently, portions of our northern and central Texas service areas have conservation-based water restrictions. Drought warnings and watches result in the public being asked to voluntarily reduce water consumption.</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We believe that our wastewater treatment facilities are generally adequate to meet the present requirements of our customers under normal conditions. Additionally, we own several wastewater collection systems that convey the wastewater to municipally-owned facilities for treatment. Changes in regulatory requirements can be reflected in revised permit limits and conditions when permits are renewed, typically on a five-year cycle, or when treatment capacity is expanded. Capital improvements are planned and budgeted to meet normal replacement and renewal needs, anticipated changes in regulations, needs for increased capacity related to projected growth, and to reduce inflow and infiltration to collection systems. The various state utility commissions have generally recognized the operating and capital costs associated with these improvements in setting wastewater rates for current and new customers. It is our policy to obtain and maintain the permits necessary for the treatment of the wastewater that we return to the environment.</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Economic Regulation</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Most of our water and wastewater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establish uniform systems of accounts and approve the terms of contracts with affiliates and customers, business combinations with other utility systems, and loans and other financings. The policies of the utility commissions often differ from state to state, and may change over time. A small number of our operations are subject to rate regulation by county or city governments. The profitability of our utility operations is influenced to a great extent by the timeliness and adequacy of rate allowances we are granted by the respective utility commissions or authorities in the various states in which we operate.</w:t>
      </w:r>
    </w:p>
    <w:p>
      <w:pPr>
        <w:spacing w:after="0" w:line="18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u w:val="single" w:color="auto"/>
          <w:color w:val="auto"/>
        </w:rPr>
        <w:t>Rate Case Management Capability</w:t>
      </w:r>
      <w:r>
        <w:rPr>
          <w:rFonts w:ascii="Arial" w:cs="Arial" w:eastAsia="Arial" w:hAnsi="Arial"/>
          <w:sz w:val="20"/>
          <w:szCs w:val="20"/>
          <w:color w:val="auto"/>
        </w:rPr>
        <w:t xml:space="preserve"> – We maintain a rate case management capability, the objective of which is to provide that the tariffs of our utility operations reflect, to the extent practicable, the timely recovery of increases in costs of operations, capital expenditures, interest expense, taxes, energy, materials, and compliance with environmental regulations. We file rate increase requests to recover and earn a fair return on the infrastructure investments that we make in improving or replacing our facilities and to recover expense increases. In the states in which we operate, we are primarily subject to economic regulation by the following state utility commissions: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gridSpan w:val="3"/>
          </w:tcPr>
          <w:p>
            <w:pPr>
              <w:ind w:left="1300"/>
              <w:spacing w:after="0"/>
              <w:rPr>
                <w:sz w:val="20"/>
                <w:szCs w:val="20"/>
                <w:color w:val="auto"/>
              </w:rPr>
            </w:pPr>
            <w:r>
              <w:rPr>
                <w:rFonts w:ascii="Arial" w:cs="Arial" w:eastAsia="Arial" w:hAnsi="Arial"/>
                <w:sz w:val="20"/>
                <w:szCs w:val="20"/>
                <w:color w:val="auto"/>
              </w:rPr>
              <w:t>State</w:t>
            </w:r>
          </w:p>
        </w:tc>
        <w:tc>
          <w:tcPr>
            <w:tcW w:w="7080" w:type="dxa"/>
            <w:vAlign w:val="bottom"/>
            <w:gridSpan w:val="3"/>
          </w:tcPr>
          <w:p>
            <w:pPr>
              <w:ind w:left="520"/>
              <w:spacing w:after="0"/>
              <w:rPr>
                <w:sz w:val="20"/>
                <w:szCs w:val="20"/>
                <w:color w:val="auto"/>
              </w:rPr>
            </w:pPr>
            <w:r>
              <w:rPr>
                <w:rFonts w:ascii="Arial" w:cs="Arial" w:eastAsia="Arial" w:hAnsi="Arial"/>
                <w:sz w:val="20"/>
                <w:szCs w:val="20"/>
                <w:color w:val="auto"/>
              </w:rPr>
              <w:t>Utility Commission</w:t>
            </w:r>
          </w:p>
        </w:tc>
      </w:tr>
      <w:tr>
        <w:trPr>
          <w:trHeight w:val="21"/>
        </w:trPr>
        <w:tc>
          <w:tcPr>
            <w:tcW w:w="13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30"/>
        </w:trPr>
        <w:tc>
          <w:tcPr>
            <w:tcW w:w="3040" w:type="dxa"/>
            <w:vAlign w:val="bottom"/>
            <w:gridSpan w:val="3"/>
            <w:shd w:val="clear" w:color="auto" w:fill="CCEEFF"/>
          </w:tcPr>
          <w:p>
            <w:pPr>
              <w:ind w:left="1300"/>
              <w:spacing w:after="0"/>
              <w:rPr>
                <w:sz w:val="20"/>
                <w:szCs w:val="20"/>
                <w:color w:val="auto"/>
              </w:rPr>
            </w:pPr>
            <w:r>
              <w:rPr>
                <w:rFonts w:ascii="Arial" w:cs="Arial" w:eastAsia="Arial" w:hAnsi="Arial"/>
                <w:sz w:val="20"/>
                <w:szCs w:val="20"/>
                <w:color w:val="auto"/>
              </w:rPr>
              <w:t>Pennsylvania</w:t>
            </w:r>
          </w:p>
        </w:tc>
        <w:tc>
          <w:tcPr>
            <w:tcW w:w="7080" w:type="dxa"/>
            <w:vAlign w:val="bottom"/>
            <w:gridSpan w:val="3"/>
            <w:shd w:val="clear" w:color="auto" w:fill="CCEEFF"/>
          </w:tcPr>
          <w:p>
            <w:pPr>
              <w:ind w:left="520"/>
              <w:spacing w:after="0"/>
              <w:rPr>
                <w:sz w:val="20"/>
                <w:szCs w:val="20"/>
                <w:color w:val="auto"/>
              </w:rPr>
            </w:pPr>
            <w:r>
              <w:rPr>
                <w:rFonts w:ascii="Arial" w:cs="Arial" w:eastAsia="Arial" w:hAnsi="Arial"/>
                <w:sz w:val="20"/>
                <w:szCs w:val="20"/>
                <w:color w:val="auto"/>
              </w:rPr>
              <w:t>Pennsylvania Public Utility Commission</w:t>
            </w:r>
          </w:p>
        </w:tc>
      </w:tr>
      <w:tr>
        <w:trPr>
          <w:trHeight w:val="230"/>
        </w:trPr>
        <w:tc>
          <w:tcPr>
            <w:tcW w:w="3040" w:type="dxa"/>
            <w:vAlign w:val="bottom"/>
            <w:gridSpan w:val="3"/>
          </w:tcPr>
          <w:p>
            <w:pPr>
              <w:ind w:left="1300"/>
              <w:spacing w:after="0"/>
              <w:rPr>
                <w:sz w:val="20"/>
                <w:szCs w:val="20"/>
                <w:color w:val="auto"/>
              </w:rPr>
            </w:pPr>
            <w:r>
              <w:rPr>
                <w:rFonts w:ascii="Arial" w:cs="Arial" w:eastAsia="Arial" w:hAnsi="Arial"/>
                <w:sz w:val="20"/>
                <w:szCs w:val="20"/>
                <w:color w:val="auto"/>
              </w:rPr>
              <w:t>Ohio</w:t>
            </w:r>
          </w:p>
        </w:tc>
        <w:tc>
          <w:tcPr>
            <w:tcW w:w="7080" w:type="dxa"/>
            <w:vAlign w:val="bottom"/>
            <w:gridSpan w:val="3"/>
          </w:tcPr>
          <w:p>
            <w:pPr>
              <w:ind w:left="520"/>
              <w:spacing w:after="0"/>
              <w:rPr>
                <w:sz w:val="20"/>
                <w:szCs w:val="20"/>
                <w:color w:val="auto"/>
              </w:rPr>
            </w:pPr>
            <w:r>
              <w:rPr>
                <w:rFonts w:ascii="Arial" w:cs="Arial" w:eastAsia="Arial" w:hAnsi="Arial"/>
                <w:sz w:val="20"/>
                <w:szCs w:val="20"/>
                <w:color w:val="auto"/>
              </w:rPr>
              <w:t>Public Utilities Commission of Ohio</w:t>
            </w:r>
          </w:p>
        </w:tc>
      </w:tr>
      <w:tr>
        <w:trPr>
          <w:trHeight w:val="230"/>
        </w:trPr>
        <w:tc>
          <w:tcPr>
            <w:tcW w:w="3040" w:type="dxa"/>
            <w:vAlign w:val="bottom"/>
            <w:gridSpan w:val="3"/>
            <w:shd w:val="clear" w:color="auto" w:fill="CCEEFF"/>
          </w:tcPr>
          <w:p>
            <w:pPr>
              <w:ind w:left="1300"/>
              <w:spacing w:after="0"/>
              <w:rPr>
                <w:sz w:val="20"/>
                <w:szCs w:val="20"/>
                <w:color w:val="auto"/>
              </w:rPr>
            </w:pPr>
            <w:r>
              <w:rPr>
                <w:rFonts w:ascii="Arial" w:cs="Arial" w:eastAsia="Arial" w:hAnsi="Arial"/>
                <w:sz w:val="20"/>
                <w:szCs w:val="20"/>
                <w:color w:val="auto"/>
              </w:rPr>
              <w:t>Texas</w:t>
            </w:r>
          </w:p>
        </w:tc>
        <w:tc>
          <w:tcPr>
            <w:tcW w:w="7080" w:type="dxa"/>
            <w:vAlign w:val="bottom"/>
            <w:gridSpan w:val="3"/>
            <w:shd w:val="clear" w:color="auto" w:fill="CCEEFF"/>
          </w:tcPr>
          <w:p>
            <w:pPr>
              <w:ind w:left="520"/>
              <w:spacing w:after="0"/>
              <w:rPr>
                <w:sz w:val="20"/>
                <w:szCs w:val="20"/>
                <w:color w:val="auto"/>
              </w:rPr>
            </w:pPr>
            <w:r>
              <w:rPr>
                <w:rFonts w:ascii="Arial" w:cs="Arial" w:eastAsia="Arial" w:hAnsi="Arial"/>
                <w:sz w:val="20"/>
                <w:szCs w:val="20"/>
                <w:color w:val="auto"/>
              </w:rPr>
              <w:t>Public Utility Commission of Texas</w:t>
            </w:r>
          </w:p>
        </w:tc>
      </w:tr>
      <w:tr>
        <w:trPr>
          <w:trHeight w:val="230"/>
        </w:trPr>
        <w:tc>
          <w:tcPr>
            <w:tcW w:w="3040" w:type="dxa"/>
            <w:vAlign w:val="bottom"/>
            <w:gridSpan w:val="3"/>
          </w:tcPr>
          <w:p>
            <w:pPr>
              <w:ind w:left="1300"/>
              <w:spacing w:after="0"/>
              <w:rPr>
                <w:sz w:val="20"/>
                <w:szCs w:val="20"/>
                <w:color w:val="auto"/>
              </w:rPr>
            </w:pPr>
            <w:r>
              <w:rPr>
                <w:rFonts w:ascii="Arial" w:cs="Arial" w:eastAsia="Arial" w:hAnsi="Arial"/>
                <w:sz w:val="20"/>
                <w:szCs w:val="20"/>
                <w:color w:val="auto"/>
              </w:rPr>
              <w:t>Illinois</w:t>
            </w:r>
          </w:p>
        </w:tc>
        <w:tc>
          <w:tcPr>
            <w:tcW w:w="7080" w:type="dxa"/>
            <w:vAlign w:val="bottom"/>
            <w:gridSpan w:val="3"/>
          </w:tcPr>
          <w:p>
            <w:pPr>
              <w:ind w:left="520"/>
              <w:spacing w:after="0"/>
              <w:rPr>
                <w:sz w:val="20"/>
                <w:szCs w:val="20"/>
                <w:color w:val="auto"/>
              </w:rPr>
            </w:pPr>
            <w:r>
              <w:rPr>
                <w:rFonts w:ascii="Arial" w:cs="Arial" w:eastAsia="Arial" w:hAnsi="Arial"/>
                <w:sz w:val="20"/>
                <w:szCs w:val="20"/>
                <w:color w:val="auto"/>
              </w:rPr>
              <w:t>Illinois Commerce Commission</w:t>
            </w:r>
          </w:p>
        </w:tc>
      </w:tr>
      <w:tr>
        <w:trPr>
          <w:trHeight w:val="230"/>
        </w:trPr>
        <w:tc>
          <w:tcPr>
            <w:tcW w:w="3040" w:type="dxa"/>
            <w:vAlign w:val="bottom"/>
            <w:gridSpan w:val="3"/>
            <w:shd w:val="clear" w:color="auto" w:fill="CCEEFF"/>
          </w:tcPr>
          <w:p>
            <w:pPr>
              <w:ind w:left="1300"/>
              <w:spacing w:after="0"/>
              <w:rPr>
                <w:sz w:val="20"/>
                <w:szCs w:val="20"/>
                <w:color w:val="auto"/>
              </w:rPr>
            </w:pPr>
            <w:r>
              <w:rPr>
                <w:rFonts w:ascii="Arial" w:cs="Arial" w:eastAsia="Arial" w:hAnsi="Arial"/>
                <w:sz w:val="20"/>
                <w:szCs w:val="20"/>
                <w:color w:val="auto"/>
              </w:rPr>
              <w:t>North Carolina</w:t>
            </w:r>
          </w:p>
        </w:tc>
        <w:tc>
          <w:tcPr>
            <w:tcW w:w="7080" w:type="dxa"/>
            <w:vAlign w:val="bottom"/>
            <w:gridSpan w:val="3"/>
            <w:shd w:val="clear" w:color="auto" w:fill="CCEEFF"/>
          </w:tcPr>
          <w:p>
            <w:pPr>
              <w:ind w:left="520"/>
              <w:spacing w:after="0"/>
              <w:rPr>
                <w:sz w:val="20"/>
                <w:szCs w:val="20"/>
                <w:color w:val="auto"/>
              </w:rPr>
            </w:pPr>
            <w:r>
              <w:rPr>
                <w:rFonts w:ascii="Arial" w:cs="Arial" w:eastAsia="Arial" w:hAnsi="Arial"/>
                <w:sz w:val="20"/>
                <w:szCs w:val="20"/>
                <w:color w:val="auto"/>
              </w:rPr>
              <w:t>North Carolina Utilities Commission</w:t>
            </w:r>
          </w:p>
        </w:tc>
      </w:tr>
      <w:tr>
        <w:trPr>
          <w:trHeight w:val="230"/>
        </w:trPr>
        <w:tc>
          <w:tcPr>
            <w:tcW w:w="3040" w:type="dxa"/>
            <w:vAlign w:val="bottom"/>
            <w:gridSpan w:val="3"/>
          </w:tcPr>
          <w:p>
            <w:pPr>
              <w:ind w:left="1300"/>
              <w:spacing w:after="0"/>
              <w:rPr>
                <w:sz w:val="20"/>
                <w:szCs w:val="20"/>
                <w:color w:val="auto"/>
              </w:rPr>
            </w:pPr>
            <w:r>
              <w:rPr>
                <w:rFonts w:ascii="Arial" w:cs="Arial" w:eastAsia="Arial" w:hAnsi="Arial"/>
                <w:sz w:val="20"/>
                <w:szCs w:val="20"/>
                <w:color w:val="auto"/>
              </w:rPr>
              <w:t>New Jersey</w:t>
            </w:r>
          </w:p>
        </w:tc>
        <w:tc>
          <w:tcPr>
            <w:tcW w:w="7080" w:type="dxa"/>
            <w:vAlign w:val="bottom"/>
            <w:gridSpan w:val="3"/>
          </w:tcPr>
          <w:p>
            <w:pPr>
              <w:ind w:left="520"/>
              <w:spacing w:after="0"/>
              <w:rPr>
                <w:sz w:val="20"/>
                <w:szCs w:val="20"/>
                <w:color w:val="auto"/>
              </w:rPr>
            </w:pPr>
            <w:r>
              <w:rPr>
                <w:rFonts w:ascii="Arial" w:cs="Arial" w:eastAsia="Arial" w:hAnsi="Arial"/>
                <w:sz w:val="20"/>
                <w:szCs w:val="20"/>
                <w:color w:val="auto"/>
              </w:rPr>
              <w:t>New Jersey Board of Public Utilities</w:t>
            </w:r>
          </w:p>
        </w:tc>
      </w:tr>
      <w:tr>
        <w:trPr>
          <w:trHeight w:val="230"/>
        </w:trPr>
        <w:tc>
          <w:tcPr>
            <w:tcW w:w="3040" w:type="dxa"/>
            <w:vAlign w:val="bottom"/>
            <w:gridSpan w:val="3"/>
            <w:shd w:val="clear" w:color="auto" w:fill="CCEEFF"/>
          </w:tcPr>
          <w:p>
            <w:pPr>
              <w:ind w:left="1300"/>
              <w:spacing w:after="0"/>
              <w:rPr>
                <w:sz w:val="20"/>
                <w:szCs w:val="20"/>
                <w:color w:val="auto"/>
              </w:rPr>
            </w:pPr>
            <w:r>
              <w:rPr>
                <w:rFonts w:ascii="Arial" w:cs="Arial" w:eastAsia="Arial" w:hAnsi="Arial"/>
                <w:sz w:val="20"/>
                <w:szCs w:val="20"/>
                <w:color w:val="auto"/>
              </w:rPr>
              <w:t>Indiana</w:t>
            </w:r>
          </w:p>
        </w:tc>
        <w:tc>
          <w:tcPr>
            <w:tcW w:w="7080" w:type="dxa"/>
            <w:vAlign w:val="bottom"/>
            <w:gridSpan w:val="3"/>
            <w:shd w:val="clear" w:color="auto" w:fill="CCEEFF"/>
          </w:tcPr>
          <w:p>
            <w:pPr>
              <w:ind w:left="520"/>
              <w:spacing w:after="0"/>
              <w:rPr>
                <w:sz w:val="20"/>
                <w:szCs w:val="20"/>
                <w:color w:val="auto"/>
              </w:rPr>
            </w:pPr>
            <w:r>
              <w:rPr>
                <w:rFonts w:ascii="Arial" w:cs="Arial" w:eastAsia="Arial" w:hAnsi="Arial"/>
                <w:sz w:val="20"/>
                <w:szCs w:val="20"/>
                <w:color w:val="auto"/>
              </w:rPr>
              <w:t>Indiana Utility Regulatory Commission</w:t>
            </w:r>
          </w:p>
        </w:tc>
      </w:tr>
      <w:tr>
        <w:trPr>
          <w:trHeight w:val="274"/>
        </w:trPr>
        <w:tc>
          <w:tcPr>
            <w:tcW w:w="3040" w:type="dxa"/>
            <w:vAlign w:val="bottom"/>
            <w:gridSpan w:val="3"/>
          </w:tcPr>
          <w:p>
            <w:pPr>
              <w:ind w:left="1300"/>
              <w:spacing w:after="0"/>
              <w:rPr>
                <w:sz w:val="20"/>
                <w:szCs w:val="20"/>
                <w:color w:val="auto"/>
              </w:rPr>
            </w:pPr>
            <w:r>
              <w:rPr>
                <w:rFonts w:ascii="Arial" w:cs="Arial" w:eastAsia="Arial" w:hAnsi="Arial"/>
                <w:sz w:val="20"/>
                <w:szCs w:val="20"/>
                <w:color w:val="auto"/>
              </w:rPr>
              <w:t>Virginia</w:t>
            </w:r>
          </w:p>
        </w:tc>
        <w:tc>
          <w:tcPr>
            <w:tcW w:w="7080" w:type="dxa"/>
            <w:vAlign w:val="bottom"/>
            <w:gridSpan w:val="3"/>
          </w:tcPr>
          <w:p>
            <w:pPr>
              <w:ind w:left="520"/>
              <w:spacing w:after="0"/>
              <w:rPr>
                <w:sz w:val="20"/>
                <w:szCs w:val="20"/>
                <w:color w:val="auto"/>
              </w:rPr>
            </w:pPr>
            <w:r>
              <w:rPr>
                <w:rFonts w:ascii="Arial" w:cs="Arial" w:eastAsia="Arial" w:hAnsi="Arial"/>
                <w:sz w:val="20"/>
                <w:szCs w:val="20"/>
                <w:color w:val="auto"/>
              </w:rPr>
              <w:t>Virginia State Corporation Commission</w:t>
            </w:r>
          </w:p>
        </w:tc>
      </w:tr>
    </w:tbl>
    <w:p>
      <w:pPr>
        <w:spacing w:after="0" w:line="209"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Our water and wastewater operations are comprised of 44 rate divisions, each of which requires a separate rate filing for the evaluation of the cost of service, including the recovery of investments, in connection with the establishment of rates for that rate division. When feasible and beneficial to our utility customers, we will seek approval from the applicable state regulatory commission to consolidate rate divisions to achieve a more even distribution of costs over a larger customer base. All of the states in which we operate permit us to file a revenue requirement for some form of consolidated rates for all, or some of the rate divisions in that state.</w:t>
      </w:r>
    </w:p>
    <w:p>
      <w:pPr>
        <w:spacing w:after="0" w:line="210"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In Virginia, we may seek authorization to bill our utility customers in accordance with a rate filing that is pending before the respective regulatory commission. As of December 31, 2018, we have no billings under interim rate arrangements for rate case filings in progress. Furthermore, some utility commissions authorize the use of expense deferrals and amortization in order to provide for an impact on our operating income by an amount that approximates the requested amount in a rate request. In these states, the additional revenue billed and collected prior to the final regulatory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commission ruling is subject to 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spacing w:after="0" w:line="20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u w:val="single" w:color="auto"/>
          <w:color w:val="auto"/>
        </w:rPr>
        <w:t>Revenue Surcharges</w:t>
      </w:r>
      <w:r>
        <w:rPr>
          <w:rFonts w:ascii="Arial" w:cs="Arial" w:eastAsia="Arial" w:hAnsi="Arial"/>
          <w:sz w:val="18"/>
          <w:szCs w:val="18"/>
          <w:color w:val="auto"/>
        </w:rPr>
        <w:t xml:space="preserve"> – Seven states in which we operate water utilities, and six states in which we operate wastewater utilities, permit us to add an infrastructure rehabilitation surcharge to their respective bills to offset the additional depreciation and capital costs associated with capital expenditures related to replacing and rehabilitating infrastructure systems. Without this surcharge, a water and wastewater utility absorbs all of the depreciation and capital costs of these projects between base rate increases. The gap between the time that a capital project is completed and the recovery of its costs in rates is known as regulatory lag. This surcharge is intended to substantially reduce regulatory lag, which often acted as a disincentive to water and wastewater utilities to rehabilitate their infrastructure. In addition, our subsidiaries in some states use a surcharge or credit on their bills to reflect changes in costs, such as changes in state tax rates, other taxes and purchased water costs, until such time as the new cost levels are incorporated into base rates.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Currently, New Jersey allows for an infrastructure rehabilitation surcharge for water utilities, while Pennsylvania, Illinois, Ohio, Indiana, and North Carolina allow for the use of an infrastructure rehabilitation surcharge for both water and wastewater utility systems, and Aqua Virginia is piloting an infrastructure rehabilitation surcharge for its water and wastewater utilities to be implemented in 2019, pursuant to the final order issued in Aqua Virginia’s 2018 rate case. The infrastructure rehabilitation surcharge typically adjusts periodically based on additional qualified capital expenditures completed or anticipated in a future period, and is capped at a percentage of base rates, generally at 5% to 12.75%, and is reset to zero when new base rates that reflect the costs of those additions become effective or when a utility’s earnings exceed a regulatory benchmark. This surcharge provided revenues of $31,835,811 in 2018, $10,255,284 in 2017, and $7,379,000 in 2016.</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8"/>
          <w:szCs w:val="18"/>
          <w:u w:val="single" w:color="auto"/>
          <w:color w:val="auto"/>
        </w:rPr>
        <w:t>Income Tax Accounting Change</w:t>
      </w:r>
      <w:r>
        <w:rPr>
          <w:rFonts w:ascii="Arial" w:cs="Arial" w:eastAsia="Arial" w:hAnsi="Arial"/>
          <w:sz w:val="18"/>
          <w:szCs w:val="18"/>
          <w:color w:val="auto"/>
        </w:rPr>
        <w:t xml:space="preserve"> – In December 2012, Aqua Pennsylvania adopted an income tax accounting change, implemented on Aqua America’s 2012 federal income tax return, which was filed in September 2013. This accounting change allows a tax deduction for qualifying utility asset improvements that were formerly capitalized for tax purposes, and was implemented in response to a June 2012 rate order issued by the Pennsylvania Public Utility Commission. The Pennsylvania rate order requires use of the flow-through method of income tax benefits which results in a reduction in current income tax expense as a result of the recognition of income tax benefits resulting from the accounting change. This tax accounting change and its treatment under the Pennsylvania rate order provided sufficient income tax benefits to permit the suspension of the Pennsylvania infrastructure rehabilitation surcharge from January 1, 2013 to September 30, 2017. Beginning on October 1, 2017, Aqua Pennsylvania initiated a water infrastructure rehabilitation surcharge for the capital invested since the last rate proceeding and filed a base rate case in August 2018. The base rate case is being reviewed by the Pennsylvania Public Utility Commission. In February 2019, the Company filed a settlement for this base rate case. Rates from this settlement for approximately $47,000,000 are expected to go into effect in May 2019. The settlement agreement is subject to approval by the administrative law judge and the Pennsylvania Public Utilities Commission.</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u w:val="single" w:color="auto"/>
          <w:color w:val="auto"/>
        </w:rPr>
        <w:t>Fair Market Value Legislation</w:t>
      </w:r>
      <w:r>
        <w:rPr>
          <w:rFonts w:ascii="Arial" w:cs="Arial" w:eastAsia="Arial" w:hAnsi="Arial"/>
          <w:sz w:val="18"/>
          <w:szCs w:val="18"/>
          <w:color w:val="auto"/>
        </w:rPr>
        <w:t xml:space="preserve"> – In April 2016, Pennsylvania enacted legislation allowing the public utility commission to utilize fair market value to set ratemaking rate base instead of the depreciated original cost of water or wastewater assets for certain qualifying municipal acquisitions. The legislation includes a process for engaging two independent utility valuation experts to perform appraisals that are filed with the public utility commission and then averaged and compared to the purchase price. The ratemaking rate base is the lower of the average of the appraisals or the purchase price and is subject to regulatory approval. Illinois, Indiana, New Jersey, North Carolina, and Ohio also have legislation that allows the use of fair market value under varying rules and circumstances, with Ohio’s legislation becoming effective on April 4, 2019. We believe that this legislation will encourage consolidation in the water and wastewater industry, providing municipalities with an option for exiting the business if they are dealing with challenges associated with their aging, deteriorating water and wastewater assets, do not have the expertise or technical capabilities to continue to comply with ever increasing environmental regulations or simply want to focus on other community priorities.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u w:val="single" w:color="auto"/>
          <w:color w:val="auto"/>
        </w:rPr>
        <w:t>Revenue Stability Mechanisms –</w:t>
      </w:r>
      <w:r>
        <w:rPr>
          <w:rFonts w:ascii="Arial" w:cs="Arial" w:eastAsia="Arial" w:hAnsi="Arial"/>
          <w:sz w:val="19"/>
          <w:szCs w:val="19"/>
          <w:color w:val="auto"/>
        </w:rPr>
        <w:t xml:space="preserve"> Revenue stability mechanisms separate the volume of water sold from our ability to meet our cost of service and infrastructure costs. These mechanisms allows us to recognize revenue based on a target</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5" w:right="9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amount established in the last rate case, and then record either a regulatory asset or liability based on the cumulative difference over time, which results in either a refund due to customers or a payment from customers. In Illinois, our operating subsidiary has adopted a revenue stability mechanism in its latest rate case.</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Competition</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general, we believe that Aqua America and its subsidiaries have valid authority, free from unduly burdensome restrictions, to enable us to carry on our business as presently conducted in the franchised or contracted areas we now serve. The rights to provide water or wastewater service to customers in a particular franchised service territory are generally non-exclusive, although the applicable utility commissions usually allow only one regulated utility to provide service to customers in a given area. In some instances, another water utility provides service to a separate area within the same political subdivision served by one of our subsidiaries. Therefore, as a regulated utility, there is little or no competition for the daily water and wastewater service we provide to our customers. Water and wastewater utilities may compete for the acquisition of other water and wastewater utilities or for acquiring new customers in new service territories. Competition for these acquisitions generally comes from nearby utilities, either other regulated utilities or municipal-owned utilities, and sometimes from strategic or financial purchasers seeking to enter or expand in the water and wastewater industry. We compete for new service territories and the acquisition of other utilities on the following bases:</w:t>
      </w:r>
    </w:p>
    <w:p>
      <w:pPr>
        <w:spacing w:after="0" w:line="146" w:lineRule="exact"/>
        <w:rPr>
          <w:sz w:val="20"/>
          <w:szCs w:val="20"/>
          <w:color w:val="auto"/>
        </w:rPr>
      </w:pPr>
    </w:p>
    <w:p>
      <w:pPr>
        <w:ind w:left="640" w:hanging="320"/>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economic value;</w:t>
      </w:r>
    </w:p>
    <w:p>
      <w:pPr>
        <w:ind w:left="640" w:hanging="320"/>
        <w:spacing w:after="0" w:line="197"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economies of scale;</w:t>
      </w:r>
    </w:p>
    <w:p>
      <w:pPr>
        <w:ind w:left="640" w:hanging="320"/>
        <w:spacing w:after="0" w:line="197"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ability to provide quality water and wastewater service;</w:t>
      </w:r>
    </w:p>
    <w:p>
      <w:pPr>
        <w:ind w:left="640" w:hanging="320"/>
        <w:spacing w:after="0" w:line="197"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existing infrastructure network;</w:t>
      </w:r>
    </w:p>
    <w:p>
      <w:pPr>
        <w:ind w:left="640" w:hanging="320"/>
        <w:spacing w:after="0" w:line="197"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ability to perform infrastructure improvements;</w:t>
      </w:r>
    </w:p>
    <w:p>
      <w:pPr>
        <w:ind w:left="640" w:hanging="320"/>
        <w:spacing w:after="0" w:line="197"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ability to comply with environmental, health, and safety regulations;</w:t>
      </w:r>
    </w:p>
    <w:p>
      <w:pPr>
        <w:ind w:left="640" w:hanging="320"/>
        <w:spacing w:after="0" w:line="197"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technical, regulatory, and operational expertise;</w:t>
      </w:r>
    </w:p>
    <w:p>
      <w:pPr>
        <w:ind w:left="640" w:hanging="320"/>
        <w:spacing w:after="0" w:line="197"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ability to access capital markets; and</w:t>
      </w:r>
    </w:p>
    <w:p>
      <w:pPr>
        <w:ind w:left="640" w:hanging="320"/>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cost of capital.</w:t>
      </w:r>
    </w:p>
    <w:p>
      <w:pPr>
        <w:spacing w:after="0" w:line="186"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addition of new service territories and the acquisition of other utilities by regulated utilities such as by the Company are generally subject to review and approval by the applicable state utility commissions.</w:t>
      </w:r>
    </w:p>
    <w:p>
      <w:pPr>
        <w:spacing w:after="0" w:line="190"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In a very few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rare circumstances, the municipally-owned system may attempt to voluntarily offer service to customers who are connected to our mains, resulting in our mains becoming surplus or underutilized without compensation.</w:t>
      </w:r>
    </w:p>
    <w:p>
      <w:pPr>
        <w:spacing w:after="0" w:line="179"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In the states where our subsidiaries operate, it is possible that portions of our subsidiaries’ operations could be acquired by municipal governments by one or more of the following methods:</w:t>
      </w:r>
    </w:p>
    <w:p>
      <w:pPr>
        <w:spacing w:after="0" w:line="190" w:lineRule="exact"/>
        <w:rPr>
          <w:sz w:val="20"/>
          <w:szCs w:val="20"/>
          <w:color w:val="auto"/>
        </w:rPr>
      </w:pPr>
    </w:p>
    <w:p>
      <w:pPr>
        <w:ind w:left="640" w:hanging="320"/>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eminent domain;</w:t>
      </w:r>
    </w:p>
    <w:p>
      <w:pPr>
        <w:spacing w:after="0" w:line="15" w:lineRule="exact"/>
        <w:rPr>
          <w:rFonts w:ascii="Arial" w:cs="Arial" w:eastAsia="Arial" w:hAnsi="Arial"/>
          <w:sz w:val="20"/>
          <w:szCs w:val="20"/>
          <w:color w:val="auto"/>
        </w:rPr>
      </w:pPr>
    </w:p>
    <w:p>
      <w:pPr>
        <w:ind w:left="640" w:right="460" w:hanging="320"/>
        <w:spacing w:after="0" w:line="239"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right of purchase given or reserved by a municipality or political subdivision when the original franchise was granted; and</w:t>
      </w:r>
    </w:p>
    <w:p>
      <w:pPr>
        <w:spacing w:after="0" w:line="1" w:lineRule="exact"/>
        <w:rPr>
          <w:rFonts w:ascii="Arial" w:cs="Arial" w:eastAsia="Arial" w:hAnsi="Arial"/>
          <w:sz w:val="20"/>
          <w:szCs w:val="20"/>
          <w:color w:val="auto"/>
        </w:rPr>
      </w:pPr>
    </w:p>
    <w:p>
      <w:pPr>
        <w:ind w:left="640" w:right="340" w:hanging="320"/>
        <w:spacing w:after="0" w:line="244"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right of purchase given or reserved under the law of the state in which the subsidiary was incorporated or from which it received its permit.</w:t>
      </w:r>
    </w:p>
    <w:p>
      <w:pPr>
        <w:spacing w:after="0" w:line="20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fair market value for any assets that are condemned, and we believe the fair market value would be in excess of the book value for such assets.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0"/>
          </w:cols>
          <w:pgMar w:left="900" w:top="125" w:right="9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Despite maintaining a program to monitor condemnation interests and activities that may affect us over time, one of our primary strategies continues to be to acquire additional water and wastewater systems, to maintain our existing systems where there is a business or a strategic benefit, and to actively oppose unilateral efforts by municipal governments to acquire any of our operations, particularly for less than the fair market value of our operations or where the municipal government seeks to acquire more than it is entitled to under the applicable law or agreement. On occasion, we may voluntarily agree to sell systems or portions of systems in order to help focus our efforts in areas where we have more critical mass and economies of scale or for other strategic reasons.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Environmental, Health and Safety Regulation</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Provision of water and wastewater services is subject to regulation under the federal Safe Drinking Water Act, the Clean Water Act, and related state laws, and under federal and state regulations issued under these laws. These laws and regulations establish criteria and standards for drinking water and for wastewater discharges. In addition, we are subject to federal and state laws and other regulations relating to solid waste disposal, dam safety and other aspects of our operations. Capital expenditures and operating costs required as a result of water quality standards and environmental requirements have been traditionally recognized by state utility commissions as appropriate for inclusion in establishing rates.</w:t>
      </w:r>
    </w:p>
    <w:p>
      <w:pPr>
        <w:spacing w:after="0" w:line="179" w:lineRule="exact"/>
        <w:rPr>
          <w:sz w:val="20"/>
          <w:szCs w:val="20"/>
          <w:color w:val="auto"/>
        </w:rPr>
      </w:pPr>
    </w:p>
    <w:p>
      <w:pPr>
        <w:ind w:right="1140"/>
        <w:spacing w:after="0" w:line="309" w:lineRule="auto"/>
        <w:rPr>
          <w:sz w:val="20"/>
          <w:szCs w:val="20"/>
          <w:color w:val="auto"/>
        </w:rPr>
      </w:pPr>
      <w:r>
        <w:rPr>
          <w:rFonts w:ascii="Arial" w:cs="Arial" w:eastAsia="Arial" w:hAnsi="Arial"/>
          <w:sz w:val="16"/>
          <w:szCs w:val="16"/>
          <w:color w:val="auto"/>
        </w:rPr>
        <w:t>From time to time, Aqua America has acquired, and may acquire, systems that have environmental compliance issues. Environmental compliance issues also arise in the course of normal operations or as a result of regulatory</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changes. Aqua America attempts to align capital budgeting and expenditures to address these issues in due course. We believe that the capital expenditures required to address outstanding environmental compliance issues have been budgeted in our capital program and represent approximately $74,200,000, or approximately 3.4% of our expected total capital expenditures over the next five years. We are parties to agreements with regulatory agencies in Pennsylvania, Texas, and North Carolina under which we have committed to make improvements for environmental compliance. These agreements are intended to provide the regulators with assurance that problems covered by these agreements will be addressed, and the agreements generally provide protection from fines, penalties and other actions while corrective measures are being implemented. We are actively working with state environmental officials in Pennsylvania, Texas, and North Carolina to implement or amend regulatory agreements as necessary.</w:t>
      </w:r>
    </w:p>
    <w:p>
      <w:pPr>
        <w:spacing w:after="0" w:line="199"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u w:val="single" w:color="auto"/>
          <w:color w:val="auto"/>
        </w:rPr>
        <w:t>Safe Drinking Water Act</w:t>
      </w:r>
      <w:r>
        <w:rPr>
          <w:rFonts w:ascii="Arial" w:cs="Arial" w:eastAsia="Arial" w:hAnsi="Arial"/>
          <w:sz w:val="19"/>
          <w:szCs w:val="19"/>
          <w:color w:val="auto"/>
        </w:rPr>
        <w:t xml:space="preserve"> - The Safe Drinking Water Act establishes criteria and procedures for the EPA to develop national quality standards for drinking water. Regulations issued pursuant to the Safe Drinking Water Act set standards regarding the amount of microbial and chemical contaminants and radionuclides in drinking water. Current requirements under the Safe Drinking Water Act are not expected to have a material impact on our business, financial condition, or results of operations as we have made and are making investments to meet existing water quality standards. We may, in the future, be required to change our method of treating drinking water at some sources of supply and make additional capital investments if additional regulations become effective.</w:t>
      </w:r>
    </w:p>
    <w:p>
      <w:pPr>
        <w:spacing w:after="0" w:line="193" w:lineRule="exact"/>
        <w:rPr>
          <w:sz w:val="20"/>
          <w:szCs w:val="20"/>
          <w:color w:val="auto"/>
        </w:rPr>
      </w:pPr>
    </w:p>
    <w:p>
      <w:pPr>
        <w:spacing w:after="0" w:line="242" w:lineRule="auto"/>
        <w:rPr>
          <w:sz w:val="20"/>
          <w:szCs w:val="20"/>
          <w:color w:val="auto"/>
        </w:rPr>
      </w:pPr>
      <w:r>
        <w:rPr>
          <w:rFonts w:ascii="Arial" w:cs="Arial" w:eastAsia="Arial" w:hAnsi="Arial"/>
          <w:sz w:val="20"/>
          <w:szCs w:val="20"/>
          <w:u w:val="single" w:color="auto"/>
          <w:color w:val="auto"/>
        </w:rPr>
        <w:t>Clean Water Act</w:t>
      </w:r>
      <w:r>
        <w:rPr>
          <w:rFonts w:ascii="Arial" w:cs="Arial" w:eastAsia="Arial" w:hAnsi="Arial"/>
          <w:sz w:val="20"/>
          <w:szCs w:val="20"/>
          <w:color w:val="auto"/>
        </w:rPr>
        <w:t xml:space="preserve"> - The Clean Water Act regulates discharges from drinking water and wastewater treatment facilities into lakes, rivers, streams, and groundwater. It is our policy to obtain and maintain all required permits and approvals for the discharges from our water and wastewater facilities, and to comply with all conditions of those permits and other regulatory requirements. A program is in place to monitor facilities for compliance with permitting, monitoring and reporting for wastewater discharges. From time to time, discharge violations may occur which may result in fines. These fines and penalties, if any, are not expected to have a material impact on our business, financial condition, or results of operations. We are also parties to agreements with regulatory agencies in several states where we operate while improvements are being made to address wastewater discharge issues.</w:t>
      </w:r>
    </w:p>
    <w:p>
      <w:pPr>
        <w:spacing w:after="0" w:line="211"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u w:val="single" w:color="auto"/>
          <w:color w:val="auto"/>
        </w:rPr>
        <w:t>Solid Waste Disposal</w:t>
      </w:r>
      <w:r>
        <w:rPr>
          <w:rFonts w:ascii="Arial" w:cs="Arial" w:eastAsia="Arial" w:hAnsi="Arial"/>
          <w:sz w:val="20"/>
          <w:szCs w:val="20"/>
          <w:color w:val="auto"/>
        </w:rPr>
        <w:t xml:space="preserve"> - The handling and disposal of waste generated from water and wastewater treatment facilities is governed by federal and state laws and regulations. A program is in place to monitor our facilities for compliance with regulatory requirements, and we are not aware of any significant environmental remediation costs necessary from our handling and disposal of waste material from our water and wastewater operations.</w:t>
      </w:r>
    </w:p>
    <w:p>
      <w:pPr>
        <w:spacing w:after="0" w:line="205" w:lineRule="exact"/>
        <w:rPr>
          <w:sz w:val="20"/>
          <w:szCs w:val="20"/>
          <w:color w:val="auto"/>
        </w:rPr>
      </w:pPr>
    </w:p>
    <w:p>
      <w:pPr>
        <w:ind w:right="400"/>
        <w:spacing w:after="0" w:line="291" w:lineRule="auto"/>
        <w:rPr>
          <w:sz w:val="20"/>
          <w:szCs w:val="20"/>
          <w:color w:val="auto"/>
        </w:rPr>
      </w:pPr>
      <w:r>
        <w:rPr>
          <w:rFonts w:ascii="Arial" w:cs="Arial" w:eastAsia="Arial" w:hAnsi="Arial"/>
          <w:sz w:val="18"/>
          <w:szCs w:val="18"/>
          <w:u w:val="single" w:color="auto"/>
          <w:color w:val="auto"/>
        </w:rPr>
        <w:t>Dam Safety</w:t>
      </w:r>
      <w:r>
        <w:rPr>
          <w:rFonts w:ascii="Arial" w:cs="Arial" w:eastAsia="Arial" w:hAnsi="Arial"/>
          <w:sz w:val="18"/>
          <w:szCs w:val="18"/>
          <w:color w:val="auto"/>
        </w:rPr>
        <w:t xml:space="preserve"> - Our subsidiaries own thirty dams, of which fifteen are classified as high hazard dams that are subject to the requirements of the federal and state regulations related to dam safety, which undergo regular inspections and an annual engineering inspection. After a thorough review and inspection of our dams by professional outside engineering firms, we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2" w:name="page13"/>
    <w:bookmarkEnd w:id="12"/>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left="4" w:right="120"/>
        <w:spacing w:after="0" w:line="287" w:lineRule="auto"/>
        <w:rPr>
          <w:sz w:val="20"/>
          <w:szCs w:val="20"/>
          <w:color w:val="auto"/>
        </w:rPr>
      </w:pPr>
      <w:r>
        <w:rPr>
          <w:rFonts w:ascii="Arial" w:cs="Arial" w:eastAsia="Arial" w:hAnsi="Arial"/>
          <w:sz w:val="19"/>
          <w:szCs w:val="19"/>
          <w:color w:val="auto"/>
        </w:rPr>
        <w:t>believe that all fifteen dams are structurally sound and well-maintained, except as described below. These inspections provide recommendations for ongoing rehabilitation which we include in our capital improvement program.</w:t>
      </w:r>
    </w:p>
    <w:p>
      <w:pPr>
        <w:spacing w:after="0" w:line="166" w:lineRule="exact"/>
        <w:rPr>
          <w:sz w:val="20"/>
          <w:szCs w:val="20"/>
          <w:color w:val="auto"/>
        </w:rPr>
      </w:pPr>
    </w:p>
    <w:p>
      <w:pPr>
        <w:ind w:left="4" w:right="240"/>
        <w:spacing w:after="0" w:line="260" w:lineRule="auto"/>
        <w:rPr>
          <w:sz w:val="20"/>
          <w:szCs w:val="20"/>
          <w:color w:val="auto"/>
        </w:rPr>
      </w:pPr>
      <w:r>
        <w:rPr>
          <w:rFonts w:ascii="Arial" w:cs="Arial" w:eastAsia="Arial" w:hAnsi="Arial"/>
          <w:sz w:val="19"/>
          <w:szCs w:val="19"/>
          <w:color w:val="auto"/>
        </w:rPr>
        <w:t>We performed studies of our dams that identified three dams in Pennsylvania and two dams in Ohio requiring capital improvements. These capital improvements result from the adoption by state regulatory agencies of revised formulas for calculating the magnitude of a possible maximum flood event. The most significant capital improvement remaining to be performed in our dam improvement program is on one dam in Pennsylvania at a total estimated cost of $13,300,000. Design for this dam commenced in 2013 and construction is expected to be completed in 2021.</w:t>
      </w:r>
    </w:p>
    <w:p>
      <w:pPr>
        <w:spacing w:after="0" w:line="194" w:lineRule="exact"/>
        <w:rPr>
          <w:sz w:val="20"/>
          <w:szCs w:val="20"/>
          <w:color w:val="auto"/>
        </w:rPr>
      </w:pPr>
    </w:p>
    <w:p>
      <w:pPr>
        <w:ind w:left="4" w:right="420" w:hanging="4"/>
        <w:spacing w:after="0" w:line="244" w:lineRule="auto"/>
        <w:tabs>
          <w:tab w:leader="none" w:pos="246" w:val="left"/>
        </w:tabs>
        <w:numPr>
          <w:ilvl w:val="0"/>
          <w:numId w:val="12"/>
        </w:numPr>
        <w:rPr>
          <w:rFonts w:ascii="Arial" w:cs="Arial" w:eastAsia="Arial" w:hAnsi="Arial"/>
          <w:sz w:val="20"/>
          <w:szCs w:val="20"/>
          <w:color w:val="auto"/>
        </w:rPr>
      </w:pPr>
      <w:r>
        <w:rPr>
          <w:rFonts w:ascii="Arial" w:cs="Arial" w:eastAsia="Arial" w:hAnsi="Arial"/>
          <w:sz w:val="20"/>
          <w:szCs w:val="20"/>
          <w:color w:val="auto"/>
        </w:rPr>
        <w:t>2017 dam inspection in Illinois found cracks on two control gate mechanisms, and as a result, temporary gates were installed to eliminate reliance on the cracked control gates. An inspection of the other control gates was conducted in the fourth quarter of 2017, and it was determined that the dam’s control gates should be replaced. All gates were reinforced in 2018 and all 10 gates will be replaced in 2019 and 2020 at a total estimated cost of $15,100,000. We believe these capital investments will be recoverable in ratemaking.</w:t>
      </w:r>
    </w:p>
    <w:p>
      <w:pPr>
        <w:spacing w:after="0" w:line="208" w:lineRule="exact"/>
        <w:rPr>
          <w:sz w:val="20"/>
          <w:szCs w:val="20"/>
          <w:color w:val="auto"/>
        </w:rPr>
      </w:pPr>
    </w:p>
    <w:p>
      <w:pPr>
        <w:ind w:left="4" w:right="440"/>
        <w:spacing w:after="0" w:line="250" w:lineRule="auto"/>
        <w:rPr>
          <w:sz w:val="20"/>
          <w:szCs w:val="20"/>
          <w:color w:val="auto"/>
        </w:rPr>
      </w:pPr>
      <w:r>
        <w:rPr>
          <w:rFonts w:ascii="Arial" w:cs="Arial" w:eastAsia="Arial" w:hAnsi="Arial"/>
          <w:sz w:val="20"/>
          <w:szCs w:val="20"/>
          <w:color w:val="auto"/>
        </w:rPr>
        <w:t>One of our Ohio dams needing capital improvements is no longer used for water supply and may be sold to a third party. Should that sale not be consummated, we will need to breech the dam or rehabilitate portions of the dam at a cost of up to approximately $2,600,000.</w:t>
      </w:r>
    </w:p>
    <w:p>
      <w:pPr>
        <w:spacing w:after="0" w:line="200" w:lineRule="exact"/>
        <w:rPr>
          <w:sz w:val="20"/>
          <w:szCs w:val="20"/>
          <w:color w:val="auto"/>
        </w:rPr>
      </w:pPr>
    </w:p>
    <w:p>
      <w:pPr>
        <w:ind w:left="4" w:right="20"/>
        <w:spacing w:after="0" w:line="269" w:lineRule="auto"/>
        <w:rPr>
          <w:sz w:val="20"/>
          <w:szCs w:val="20"/>
          <w:color w:val="auto"/>
        </w:rPr>
      </w:pPr>
      <w:r>
        <w:rPr>
          <w:rFonts w:ascii="Arial" w:cs="Arial" w:eastAsia="Arial" w:hAnsi="Arial"/>
          <w:sz w:val="18"/>
          <w:szCs w:val="18"/>
          <w:u w:val="single" w:color="auto"/>
          <w:color w:val="auto"/>
        </w:rPr>
        <w:t>Lead and Copper Rule</w:t>
      </w:r>
      <w:r>
        <w:rPr>
          <w:rFonts w:ascii="Arial" w:cs="Arial" w:eastAsia="Arial" w:hAnsi="Arial"/>
          <w:sz w:val="18"/>
          <w:szCs w:val="18"/>
          <w:color w:val="auto"/>
        </w:rPr>
        <w:t xml:space="preserve"> – The events in Flint, Michigan, which commenced in 2014, and other communities have brought attention to the issue of lead in drinking water from home plumbing. Lead in drinking water can come from lead that leaches from service lines, home plumbing solder, and fixtures or faucets. Since the Lead and Copper Rule in 1992, we have been working to prevent lead leaching from home plumbing sources by reducing water corrosivity and adding chemicals that can prevent leaching of lead in pipes and homes. We also focus on identifying and removing lead service lines and encouraging customers to replace the customer-owned portion of the service line if it is lead as they are identified during our main replacement program or during other maintenance activities. We are currently developing a lead service line inventory. We support the recommendations of The Lead Service Line Replacement Collaborative, a collaborative of leading water industry organizations that has recommended full replacement of lead service lines as a “best practice” to reduce lead in drinking water, but we only have control over the company-owned portion of each service line. In cases where we are replacing a company-owned lead service line, our standard approach is to replace the company-owned portion and advise and encourage the customer to replace the customer-owned portion of the service line, all the way to the customer’s home. In Pennsylvania, we may have the legal and regulatory authority to replace the customer-owned portion of the service line and will attempt to obtain customer permission to do so. We also advise customers of the potential health impacts of lead in drinking water, and conduct lead testing at homes following replacement of a lead service line. We do not plan on replacing customer-owned lead service lines at locations where our portion of the service line does not contain lead, but if we become aware of such situations we will notify the customer. It is anticipated that the EPA will propose updated regulations for the Lead and Copper Rule in 2019.</w:t>
      </w:r>
    </w:p>
    <w:p>
      <w:pPr>
        <w:spacing w:after="0" w:line="270" w:lineRule="exact"/>
        <w:rPr>
          <w:sz w:val="20"/>
          <w:szCs w:val="20"/>
          <w:color w:val="auto"/>
        </w:rPr>
      </w:pPr>
    </w:p>
    <w:p>
      <w:pPr>
        <w:ind w:left="4" w:right="120"/>
        <w:spacing w:after="0" w:line="272" w:lineRule="auto"/>
        <w:rPr>
          <w:sz w:val="20"/>
          <w:szCs w:val="20"/>
          <w:color w:val="auto"/>
        </w:rPr>
      </w:pPr>
      <w:r>
        <w:rPr>
          <w:rFonts w:ascii="Arial" w:cs="Arial" w:eastAsia="Arial" w:hAnsi="Arial"/>
          <w:sz w:val="18"/>
          <w:szCs w:val="18"/>
          <w:u w:val="single" w:color="auto"/>
          <w:color w:val="auto"/>
        </w:rPr>
        <w:t>Partnership for Safe Water Program</w:t>
      </w:r>
      <w:r>
        <w:rPr>
          <w:rFonts w:ascii="Arial" w:cs="Arial" w:eastAsia="Arial" w:hAnsi="Arial"/>
          <w:sz w:val="18"/>
          <w:szCs w:val="18"/>
          <w:color w:val="auto"/>
        </w:rPr>
        <w:t xml:space="preserve"> – Aqua America is a proud participant in the American Water Works Association’s (AWWA) Partnership for Safe Water Program. This voluntary program is a commitment to excellence within the drinking water community above and beyond EPA’s stringent treatment goals. All of our active surface water treatment plants (within Pennsylvania, Ohio, Illinois, and Virginia) maintain good standing in the program which includes many awards of achievement. The honors include the “Director’s Award” (achieved at 5 systems) which recognizes plants that have: 1) completed a comprehensive self-assessment report, 2) created an action plan for continuous improvement, and 3) provided several evaluations of performance demonstrating operational excellence. Several of our systems have met these criteria annually and have received 5, 10, 15, and 20 year subscriber awards. Furthermore, our Roaring Creek Pennsylvania treatment plant has received the Phase IV Excellence Award, the highest honor achieved in the Partnership Program.</w:t>
      </w:r>
    </w:p>
    <w:p>
      <w:pPr>
        <w:spacing w:after="0" w:line="185" w:lineRule="exact"/>
        <w:rPr>
          <w:sz w:val="20"/>
          <w:szCs w:val="20"/>
          <w:color w:val="auto"/>
        </w:rPr>
      </w:pPr>
    </w:p>
    <w:p>
      <w:pPr>
        <w:ind w:left="4"/>
        <w:spacing w:after="0" w:line="260" w:lineRule="auto"/>
        <w:rPr>
          <w:sz w:val="20"/>
          <w:szCs w:val="20"/>
          <w:color w:val="auto"/>
        </w:rPr>
      </w:pPr>
      <w:r>
        <w:rPr>
          <w:rFonts w:ascii="Arial" w:cs="Arial" w:eastAsia="Arial" w:hAnsi="Arial"/>
          <w:sz w:val="19"/>
          <w:szCs w:val="19"/>
          <w:u w:val="single" w:color="auto"/>
          <w:color w:val="auto"/>
        </w:rPr>
        <w:t>Safety Standards</w:t>
      </w:r>
      <w:r>
        <w:rPr>
          <w:rFonts w:ascii="Arial" w:cs="Arial" w:eastAsia="Arial" w:hAnsi="Arial"/>
          <w:sz w:val="19"/>
          <w:szCs w:val="19"/>
          <w:color w:val="auto"/>
        </w:rPr>
        <w:t xml:space="preserve"> - Our facilities and operations may be subject to inspections by representatives of the Occupational Safety and Health Administration from time to time. We maintain safety policies and procedures to comply with the Occupational Safety and Health Administration’s rules and regulations, but violations may occur from time to time, which may result in fines and penalties, which are not expected to have a material impact on our business, financial condition, or results of operations. We endeavor to correct such violations promptly when they come to our attention.</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Security</w:t>
      </w:r>
    </w:p>
    <w:p>
      <w:pPr>
        <w:spacing w:after="0" w:line="2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We maintain security measures at our facilities, and collaborate with federal, state and local authorities and industry trade associations regarding information on possible threats and security measures for water and wastewater utility operations. The costs incurred are expected to be recoverable in water and wastewater rates and are not expected to have a material impact on our business, financial condition, or results of operations.</w:t>
      </w:r>
    </w:p>
    <w:p>
      <w:pPr>
        <w:spacing w:after="0" w:line="20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We also maintain cyber security protection measures with respect to our information technology, including our customer data, and, in some cases, the monitoring and operation of our treatment, storage and pumping facilities.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Relations</w:t>
      </w:r>
    </w:p>
    <w:p>
      <w:pPr>
        <w:spacing w:after="0" w:line="148"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As of December 31, 2018, we employed a total of 1,570 full-time employees. Our subsidiaries are parties to 15 labor agreements with labor unions covering 516 employees. The labor agreements expire at various times between April 2019 and December 2023, except for one labor agreement, which expired in October 2018, representing 4 employees. The employees under this expired agreement continue to work under the agreement, and negotiations with the labor union representing these employees are ongoing and we expect to reach a new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Available Information</w:t>
      </w:r>
    </w:p>
    <w:p>
      <w:pPr>
        <w:spacing w:after="0" w:line="229" w:lineRule="exact"/>
        <w:rPr>
          <w:sz w:val="20"/>
          <w:szCs w:val="20"/>
          <w:color w:val="auto"/>
        </w:rPr>
      </w:pPr>
    </w:p>
    <w:p>
      <w:pPr>
        <w:ind w:right="860"/>
        <w:spacing w:after="0" w:line="287" w:lineRule="auto"/>
        <w:rPr>
          <w:sz w:val="20"/>
          <w:szCs w:val="20"/>
          <w:color w:val="auto"/>
        </w:rPr>
      </w:pPr>
      <w:r>
        <w:rPr>
          <w:rFonts w:ascii="Arial" w:cs="Arial" w:eastAsia="Arial" w:hAnsi="Arial"/>
          <w:sz w:val="19"/>
          <w:szCs w:val="19"/>
          <w:color w:val="auto"/>
        </w:rPr>
        <w:t xml:space="preserve">We file annual, quarterly, current reports, proxy statements, and other information with the Securities and Exchange Commission (“SEC”). You may obtain our SEC filings from the SEC’s web site at </w:t>
      </w:r>
      <w:r>
        <w:rPr>
          <w:rFonts w:ascii="Arial" w:cs="Arial" w:eastAsia="Arial" w:hAnsi="Arial"/>
          <w:sz w:val="19"/>
          <w:szCs w:val="19"/>
          <w:u w:val="single" w:color="auto"/>
          <w:color w:val="auto"/>
        </w:rPr>
        <w:t>www.sec.gov</w:t>
      </w:r>
      <w:r>
        <w:rPr>
          <w:rFonts w:ascii="Arial" w:cs="Arial" w:eastAsia="Arial" w:hAnsi="Arial"/>
          <w:sz w:val="19"/>
          <w:szCs w:val="19"/>
          <w:color w:val="auto"/>
        </w:rPr>
        <w:t>.</w:t>
      </w:r>
    </w:p>
    <w:p>
      <w:pPr>
        <w:spacing w:after="0" w:line="166" w:lineRule="exact"/>
        <w:rPr>
          <w:sz w:val="20"/>
          <w:szCs w:val="20"/>
          <w:color w:val="auto"/>
        </w:rPr>
      </w:pPr>
    </w:p>
    <w:p>
      <w:pPr>
        <w:ind w:right="320"/>
        <w:spacing w:after="0" w:line="263" w:lineRule="auto"/>
        <w:rPr>
          <w:sz w:val="20"/>
          <w:szCs w:val="20"/>
          <w:color w:val="auto"/>
        </w:rPr>
      </w:pPr>
      <w:r>
        <w:rPr>
          <w:rFonts w:ascii="Arial" w:cs="Arial" w:eastAsia="Arial" w:hAnsi="Arial"/>
          <w:sz w:val="19"/>
          <w:szCs w:val="19"/>
          <w:color w:val="auto"/>
        </w:rPr>
        <w:t xml:space="preserve">Our internet web site address is </w:t>
      </w:r>
      <w:r>
        <w:rPr>
          <w:rFonts w:ascii="Arial" w:cs="Arial" w:eastAsia="Arial" w:hAnsi="Arial"/>
          <w:sz w:val="19"/>
          <w:szCs w:val="19"/>
          <w:u w:val="single" w:color="auto"/>
          <w:color w:val="auto"/>
        </w:rPr>
        <w:t>www.aquaamerica.com</w:t>
      </w:r>
      <w:r>
        <w:rPr>
          <w:rFonts w:ascii="Arial" w:cs="Arial" w:eastAsia="Arial" w:hAnsi="Arial"/>
          <w:sz w:val="19"/>
          <w:szCs w:val="19"/>
          <w:color w:val="auto"/>
        </w:rPr>
        <w:t xml:space="preserve">. We make available free of charge through our web site’s </w:t>
      </w:r>
      <w:r>
        <w:rPr>
          <w:rFonts w:ascii="Arial" w:cs="Arial" w:eastAsia="Arial" w:hAnsi="Arial"/>
          <w:sz w:val="19"/>
          <w:szCs w:val="19"/>
          <w:i w:val="1"/>
          <w:iCs w:val="1"/>
          <w:color w:val="auto"/>
        </w:rPr>
        <w:t>Investor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Relations </w:t>
      </w:r>
      <w:r>
        <w:rPr>
          <w:rFonts w:ascii="Arial" w:cs="Arial" w:eastAsia="Arial" w:hAnsi="Arial"/>
          <w:sz w:val="19"/>
          <w:szCs w:val="19"/>
          <w:color w:val="auto"/>
        </w:rPr>
        <w:t>page all of our filings with the SEC, including our annual report on Form 10-K, quarterly reports on Form 10-Q,</w:t>
      </w:r>
      <w:r>
        <w:rPr>
          <w:rFonts w:ascii="Arial" w:cs="Arial" w:eastAsia="Arial" w:hAnsi="Arial"/>
          <w:sz w:val="19"/>
          <w:szCs w:val="19"/>
          <w:i w:val="1"/>
          <w:iCs w:val="1"/>
          <w:color w:val="auto"/>
        </w:rPr>
        <w:t xml:space="preserve"> </w:t>
      </w:r>
      <w:r>
        <w:rPr>
          <w:rFonts w:ascii="Arial" w:cs="Arial" w:eastAsia="Arial" w:hAnsi="Arial"/>
          <w:sz w:val="19"/>
          <w:szCs w:val="19"/>
          <w:color w:val="auto"/>
        </w:rPr>
        <w:t>current reports on Form 8-K, and other information. These reports and information are available as soon as reasonably practicable after such material is electronically filed with the SEC.</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addition, you may request a copy of the foregoing filings, at no cost by writing or telephoning us at the following address or telephone number:</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Investor Relations Department</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Aqua America, Inc.</w:t>
      </w:r>
    </w:p>
    <w:p>
      <w:pPr>
        <w:jc w:val="center"/>
        <w:ind w:right="-79"/>
        <w:spacing w:after="0"/>
        <w:rPr>
          <w:sz w:val="20"/>
          <w:szCs w:val="20"/>
          <w:color w:val="auto"/>
        </w:rPr>
      </w:pPr>
      <w:r>
        <w:rPr>
          <w:rFonts w:ascii="Arial" w:cs="Arial" w:eastAsia="Arial" w:hAnsi="Arial"/>
          <w:sz w:val="20"/>
          <w:szCs w:val="20"/>
          <w:color w:val="auto"/>
        </w:rPr>
        <w:t>762 W. Lancaster Avenue</w:t>
      </w:r>
    </w:p>
    <w:p>
      <w:pPr>
        <w:jc w:val="center"/>
        <w:ind w:right="-79"/>
        <w:spacing w:after="0"/>
        <w:rPr>
          <w:sz w:val="20"/>
          <w:szCs w:val="20"/>
          <w:color w:val="auto"/>
        </w:rPr>
      </w:pPr>
      <w:r>
        <w:rPr>
          <w:rFonts w:ascii="Arial" w:cs="Arial" w:eastAsia="Arial" w:hAnsi="Arial"/>
          <w:sz w:val="20"/>
          <w:szCs w:val="20"/>
          <w:color w:val="auto"/>
        </w:rPr>
        <w:t>Bryn Mawr, PA 19010-3489</w:t>
      </w:r>
    </w:p>
    <w:p>
      <w:pPr>
        <w:jc w:val="center"/>
        <w:ind w:right="-79"/>
        <w:spacing w:after="0"/>
        <w:rPr>
          <w:sz w:val="20"/>
          <w:szCs w:val="20"/>
          <w:color w:val="auto"/>
        </w:rPr>
      </w:pPr>
      <w:r>
        <w:rPr>
          <w:rFonts w:ascii="Arial" w:cs="Arial" w:eastAsia="Arial" w:hAnsi="Arial"/>
          <w:sz w:val="20"/>
          <w:szCs w:val="20"/>
          <w:color w:val="auto"/>
        </w:rPr>
        <w:t>Telephone: 610-527-8000</w:t>
      </w:r>
    </w:p>
    <w:p>
      <w:pPr>
        <w:spacing w:after="0" w:line="213"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 xml:space="preserve">Our Board of Directors has various committees including an audit committee, an executive compensation committee, a corporate governance committee, and a risk mitigation and investment policy committee. Each of these committees has a formal charter. We also have Corporate Governance Guidelines and a Code of Ethical Business Conduct. Copies of these charters, guidelines, and codes can be obtained free of charge from our </w:t>
      </w:r>
      <w:r>
        <w:rPr>
          <w:rFonts w:ascii="Arial" w:cs="Arial" w:eastAsia="Arial" w:hAnsi="Arial"/>
          <w:sz w:val="18"/>
          <w:szCs w:val="18"/>
          <w:i w:val="1"/>
          <w:iCs w:val="1"/>
          <w:color w:val="auto"/>
        </w:rPr>
        <w:t>Investor Relations</w:t>
      </w:r>
      <w:r>
        <w:rPr>
          <w:rFonts w:ascii="Arial" w:cs="Arial" w:eastAsia="Arial" w:hAnsi="Arial"/>
          <w:sz w:val="18"/>
          <w:szCs w:val="18"/>
          <w:color w:val="auto"/>
        </w:rPr>
        <w:t xml:space="preserve"> page on our web site, </w:t>
      </w:r>
      <w:r>
        <w:rPr>
          <w:rFonts w:ascii="Arial" w:cs="Arial" w:eastAsia="Arial" w:hAnsi="Arial"/>
          <w:sz w:val="18"/>
          <w:szCs w:val="18"/>
          <w:u w:val="single" w:color="auto"/>
          <w:color w:val="auto"/>
        </w:rPr>
        <w:t>www.aquaamerica.com</w:t>
      </w:r>
      <w:r>
        <w:rPr>
          <w:rFonts w:ascii="Arial" w:cs="Arial" w:eastAsia="Arial" w:hAnsi="Arial"/>
          <w:sz w:val="18"/>
          <w:szCs w:val="18"/>
          <w:color w:val="auto"/>
        </w:rPr>
        <w:t>. In the event we change or waive any portion of the Code of Ethical Business Conduct that applies to any of our directors, executive officers, or senior financial officers, we will post that information on our web site.</w:t>
      </w:r>
    </w:p>
    <w:p>
      <w:pPr>
        <w:spacing w:after="0" w:line="179"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The references to our web site and the SEC’s web site are intended to be inactive textual references only, and the contents of those web sites are not incorporated by reference herein and should not be considered part of this or any other report that we file with or furnish to the SEC.</w:t>
      </w:r>
    </w:p>
    <w:p>
      <w:pPr>
        <w:spacing w:after="0" w:line="200" w:lineRule="exact"/>
        <w:rPr>
          <w:sz w:val="20"/>
          <w:szCs w:val="20"/>
          <w:color w:val="auto"/>
        </w:rPr>
      </w:pPr>
    </w:p>
    <w:p>
      <w:pPr>
        <w:spacing w:after="0" w:line="243"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color w:val="auto"/>
        </w:rPr>
        <w:t>Item 1A.</w:t>
      </w:r>
      <w:r>
        <w:rPr>
          <w:sz w:val="20"/>
          <w:szCs w:val="20"/>
          <w:color w:val="auto"/>
        </w:rPr>
        <w:tab/>
      </w:r>
      <w:r>
        <w:rPr>
          <w:rFonts w:ascii="Arial" w:cs="Arial" w:eastAsia="Arial" w:hAnsi="Arial"/>
          <w:sz w:val="16"/>
          <w:szCs w:val="16"/>
          <w:i w:val="1"/>
          <w:iCs w:val="1"/>
          <w:color w:val="auto"/>
        </w:rPr>
        <w:t>Risk Factors</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i w:val="1"/>
          <w:iCs w:val="1"/>
          <w:color w:val="auto"/>
        </w:rPr>
        <w:t>In addition to the other information included in this Annual Report, the following factors should be considered in evaluating our business and future prospects. Any of the following risks, either alone or taken together, could materially harm our business, financial condition, and results of operations. If one or more of these or other risks or uncertainties</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20"/>
          </w:cols>
          <w:pgMar w:left="900" w:top="125" w:right="9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i w:val="1"/>
          <w:iCs w:val="1"/>
          <w:color w:val="auto"/>
        </w:rPr>
        <w:t>materialize, or if our underlying assumptions prove to be incorrect, our business, financial condition, and results of operations could be materially harmed.</w:t>
      </w:r>
    </w:p>
    <w:p>
      <w:pPr>
        <w:spacing w:after="0" w:line="190"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b w:val="1"/>
          <w:bCs w:val="1"/>
          <w:i w:val="1"/>
          <w:iCs w:val="1"/>
          <w:color w:val="auto"/>
        </w:rPr>
        <w:t>Our water supply, including water provided to our customers, is subject to various contaminants which may result in disruption in our services, additional costs, fines, laws and/or regulations, and litigation which could harm our business, reputation,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Our water supplies, including water provided to our customers, are subject to possible contaminants, including those from:</w:t>
      </w:r>
    </w:p>
    <w:p>
      <w:pPr>
        <w:spacing w:after="0" w:line="252" w:lineRule="exact"/>
        <w:rPr>
          <w:sz w:val="20"/>
          <w:szCs w:val="20"/>
          <w:color w:val="auto"/>
        </w:rPr>
      </w:pPr>
    </w:p>
    <w:p>
      <w:pPr>
        <w:ind w:left="640" w:hanging="320"/>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naturally occurring compounds or man-made substances;</w:t>
      </w:r>
    </w:p>
    <w:p>
      <w:pPr>
        <w:spacing w:after="0" w:line="15" w:lineRule="exact"/>
        <w:rPr>
          <w:rFonts w:ascii="Arial" w:cs="Arial" w:eastAsia="Arial" w:hAnsi="Arial"/>
          <w:sz w:val="20"/>
          <w:szCs w:val="20"/>
          <w:color w:val="auto"/>
        </w:rPr>
      </w:pPr>
    </w:p>
    <w:p>
      <w:pPr>
        <w:ind w:left="640" w:hanging="320"/>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chemicals and other hazardous materials;</w:t>
      </w:r>
    </w:p>
    <w:p>
      <w:pPr>
        <w:ind w:left="640" w:hanging="320"/>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lead and other materials;</w:t>
      </w:r>
    </w:p>
    <w:p>
      <w:pPr>
        <w:ind w:left="640" w:hanging="320"/>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pharmaceuticals and personal care products; and</w:t>
      </w:r>
    </w:p>
    <w:p>
      <w:pPr>
        <w:ind w:left="640" w:hanging="320"/>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possible deliberate or terrorist attacks.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Depending on the nature of the water contamination, we may have to interrupt the use of that water supply until we are able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substitute, where feasible, the flow of water from an uncontaminated water source, including if practicable, the purchase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water from other suppliers, or continue the water supply under restrictions on use for drinking or broader restrictions against 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use except for basic sanitation and essential fire protection. We may incur significant costs, including, but not limited to,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water quality testing and monitoring, treatment of the contaminated source through modification of our current treatment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facilities or development of new treatment methods, or the purchase of alternative water supplies. In addition, the costs we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could incur to decontaminate a water source or our water distribution system and dispose of waste could also be</w:t>
      </w:r>
    </w:p>
    <w:p>
      <w:pPr>
        <w:spacing w:after="0"/>
        <w:rPr>
          <w:sz w:val="20"/>
          <w:szCs w:val="20"/>
          <w:color w:val="auto"/>
        </w:rPr>
      </w:pPr>
      <w:r>
        <w:rPr>
          <w:rFonts w:ascii="Arial" w:cs="Arial" w:eastAsia="Arial" w:hAnsi="Arial"/>
          <w:sz w:val="18"/>
          <w:szCs w:val="18"/>
          <w:color w:val="auto"/>
        </w:rPr>
        <w:t>significant. The costs resulting from the contamination may not be recoverable in rates we charge our customer, or may not be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recoverable in a timely manner. If we are unable to adequately treat the contaminated water supply or substitute a water supply</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from an uncontaminated water source in a timely or cost</w:t>
      </w:r>
      <w:r>
        <w:rPr>
          <w:rFonts w:ascii="MS PGothic" w:cs="MS PGothic" w:eastAsia="MS PGothic" w:hAnsi="MS PGothic"/>
          <w:sz w:val="18"/>
          <w:szCs w:val="18"/>
          <w:color w:val="auto"/>
        </w:rPr>
        <w:t>‑</w:t>
      </w:r>
      <w:r>
        <w:rPr>
          <w:rFonts w:ascii="Arial" w:cs="Arial" w:eastAsia="Arial" w:hAnsi="Arial"/>
          <w:sz w:val="18"/>
          <w:szCs w:val="18"/>
          <w:color w:val="auto"/>
        </w:rPr>
        <w:t>effective manner, there may be an adverse effect on our business,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 and results of operations. We could also be subject to:</w:t>
      </w:r>
    </w:p>
    <w:p>
      <w:pPr>
        <w:spacing w:after="0" w:line="213" w:lineRule="exact"/>
        <w:rPr>
          <w:sz w:val="20"/>
          <w:szCs w:val="20"/>
          <w:color w:val="auto"/>
        </w:rPr>
      </w:pPr>
    </w:p>
    <w:p>
      <w:pPr>
        <w:ind w:left="640" w:right="340" w:hanging="320"/>
        <w:spacing w:after="0" w:line="247" w:lineRule="auto"/>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claims for consequences arising out of human exposure to contamination and/or hazardous substances in our water supplies, including toxic torts;</w:t>
      </w:r>
    </w:p>
    <w:p>
      <w:pPr>
        <w:spacing w:after="0" w:line="1" w:lineRule="exact"/>
        <w:rPr>
          <w:rFonts w:ascii="Arial" w:cs="Arial" w:eastAsia="Arial" w:hAnsi="Arial"/>
          <w:sz w:val="20"/>
          <w:szCs w:val="20"/>
          <w:color w:val="auto"/>
        </w:rPr>
      </w:pPr>
    </w:p>
    <w:p>
      <w:pPr>
        <w:ind w:left="640" w:hanging="320"/>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claims for other environmental damage;</w:t>
      </w:r>
    </w:p>
    <w:p>
      <w:pPr>
        <w:ind w:left="640" w:hanging="320"/>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claims for customers’ business interruption as a result of an interruption in water service;</w:t>
      </w:r>
    </w:p>
    <w:p>
      <w:pPr>
        <w:ind w:left="640" w:hanging="320"/>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claims for breach of contract;</w:t>
      </w:r>
    </w:p>
    <w:p>
      <w:pPr>
        <w:ind w:left="640" w:hanging="320"/>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criminal enforcement actions;</w:t>
      </w:r>
    </w:p>
    <w:p>
      <w:pPr>
        <w:ind w:left="640" w:hanging="320"/>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regulatory fines; or</w:t>
      </w:r>
    </w:p>
    <w:p>
      <w:pPr>
        <w:ind w:left="640" w:hanging="320"/>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other claims.</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We incur substantial costs on an ongoing basis to comply with all laws and regulations. New or stricter laws and/or regulations could increase our costs. Although we may seek to recover these costs through customer rates, there is no guarantee that the various state regulators would approve the increase in costs.</w:t>
      </w:r>
    </w:p>
    <w:p>
      <w:pPr>
        <w:spacing w:after="0" w:line="20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 events in Flint, Michigan, which commenced in 2014, and other communities have brought attention to the issue of lead in drinking water from home plumbing. We have been working to prevent lead leaching from home plumbing sources by reducing water corrosivity and adding chemicals that can prevent leaching of lead in pipes and homes. We also focus on identifying and removing lead service lines and encouraging customers to replace the customer-owned portion of the service line if it is lead as they are identified during our main replacement program or during other maintenance activities.</w:t>
      </w:r>
    </w:p>
    <w:p>
      <w:pPr>
        <w:spacing w:after="0" w:line="17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are devoting our attention to various emerging contaminants, including the Per- and Polyfluoroalkyl Substances (PFAS) family of chemicals and other chemicals and substances that do not have any regulatory standard in drinking water. We rely on governmental agencies to establish the standard of protection from these unregulated contaminants and we meet or exceed these standards, when established. There is no guarantee that the various state regulators would approve the costs associated with the treatment in our system of the emerging contaminants without the establishment of treatment standards by the appropriate governmental entities.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5" w:right="9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We may incur costs to defend our position and/or incur reputational damage even if we are not liable for consequences arising out of human exposure to contamination and/or hazardous substances in our water supplies or other environmental damage. Our insurance policies may not be sufficient to cover the costs of these claims, and losses incurred may make it difficult for us to secure insurance in the future at acceptable rates. Such claims or actions could harm our business, financial condition, and results of operations.</w:t>
      </w:r>
    </w:p>
    <w:p>
      <w:pPr>
        <w:spacing w:after="0" w:line="208" w:lineRule="exact"/>
        <w:rPr>
          <w:sz w:val="20"/>
          <w:szCs w:val="20"/>
          <w:color w:val="auto"/>
        </w:rPr>
      </w:pPr>
    </w:p>
    <w:p>
      <w:pPr>
        <w:ind w:right="380"/>
        <w:spacing w:after="0" w:line="246" w:lineRule="auto"/>
        <w:rPr>
          <w:sz w:val="20"/>
          <w:szCs w:val="20"/>
          <w:color w:val="auto"/>
        </w:rPr>
      </w:pPr>
      <w:r>
        <w:rPr>
          <w:rFonts w:ascii="Arial" w:cs="Arial" w:eastAsia="Arial" w:hAnsi="Arial"/>
          <w:sz w:val="20"/>
          <w:szCs w:val="20"/>
          <w:b w:val="1"/>
          <w:bCs w:val="1"/>
          <w:i w:val="1"/>
          <w:iCs w:val="1"/>
          <w:color w:val="auto"/>
        </w:rPr>
        <w:t>The rates we charge our customers are subject to regulation. If we are unable to obtain government approval of our requests for rate increases or if approved rate increases are untimely or inadequate to recover and earn a return on our capital investments, to recover expenses or taxes, or to take into account changes in water usage, our profitability may suffer.</w:t>
      </w:r>
    </w:p>
    <w:p>
      <w:pPr>
        <w:spacing w:after="0" w:line="20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The rates we charge our customers are subject to approval by utility commissions in the states in which we operate. We file rate increase requests, from time to time, to recover our investments in utility plant and expenses. Our ability to maintain and meet our financial objectives is dependent upon the recovery of, and return on, our capital investments and expenses through the rates we charge our customers. Once a rate increase petition is filed with a utility commission, the ensuing administrative and hearing process may be lengthy and costly, and our costs may not always be fully recoverable. The timing of our rate increase requests are therefore partially dependent upon the estimated cost of the administrative process in relation to the investments and expenses that we hope to recover through the rate increase. In addition, the amount or frequency of rate increases may be decreased or lengthened as a result of many factors including changes in regulatory oversight in the states in which we operate utilities and income tax laws, including regulations regarding tax-basis depreciation as it applies to our capital expenditures or qualifying utility asset improvements. We can provide no assurances that any future rate increase request will be approved by the appropriate utility commission; and, if approved, we cannot guarantee that these rate increases will be granted in a timely or sufficient manner.</w:t>
      </w:r>
    </w:p>
    <w:p>
      <w:pPr>
        <w:spacing w:after="0" w:line="190"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In Virginia, we may seek authorization to bill our utility customers in accordance with a rate filing that is pending before the respective regulatory commission. Furthermore, some utility commissions authorize the use of expense deferrals and amortization in order to provide for an impact on our operating income by an amount that approximates the requested amount in a rate request. The additional revenue billed and collected prior to the final ruling is subject to 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b w:val="1"/>
          <w:bCs w:val="1"/>
          <w:i w:val="1"/>
          <w:iCs w:val="1"/>
          <w:color w:val="auto"/>
        </w:rPr>
        <w:t>Any failure of our water and wastewater treatment plants, network of water and wastewater pipes, or water reservoirs could result in damages that may harm our business, financial condition, and results of operations.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Our operating subsidiaries treat water and wastewater, distribute water and collect wastewater through an extensive network of pipes, and store water in reservoirs. A failure of a major treatment plant, pipe, or reservoir could result in claims for injuries or property damage. The failure of a major treatment plant, pipe, or reservoir may also result in the need to shut down some facilities or parts of our network in order to conduct repairs. Such failures and shutdowns may limit our ability to supply water in sufficient quality and quantities to our customers or collect and treat wastewater in accordance with standards prescribed by governmental regulators, including state utility commissions, and may harm our business, financial condition, and results of operations. Any business interruption or other losses might not be covered by insurance policies or be recoverable in rates, and such losses may make it difficult for us to secure insurance in the future at acceptable rates.</w:t>
      </w:r>
    </w:p>
    <w:p>
      <w:pPr>
        <w:spacing w:after="0" w:line="183" w:lineRule="exact"/>
        <w:rPr>
          <w:sz w:val="20"/>
          <w:szCs w:val="20"/>
          <w:color w:val="auto"/>
        </w:rPr>
      </w:pPr>
    </w:p>
    <w:p>
      <w:pPr>
        <w:ind w:right="220"/>
        <w:spacing w:after="0" w:line="260" w:lineRule="auto"/>
        <w:rPr>
          <w:sz w:val="20"/>
          <w:szCs w:val="20"/>
          <w:color w:val="auto"/>
        </w:rPr>
      </w:pPr>
      <w:r>
        <w:rPr>
          <w:rFonts w:ascii="Arial" w:cs="Arial" w:eastAsia="Arial" w:hAnsi="Arial"/>
          <w:sz w:val="19"/>
          <w:szCs w:val="19"/>
          <w:b w:val="1"/>
          <w:bCs w:val="1"/>
          <w:i w:val="1"/>
          <w:iCs w:val="1"/>
          <w:color w:val="auto"/>
        </w:rPr>
        <w:t>Our business requires significant capital expenditures that are partially dependent on our ability to secure appropriate funding. Disruptions in the capital markets may limit our access to capital and may impact the Peoples Gas Acquisition. If we are unable to obtain sufficient capital, or if the cost of borrowing increases, it may harm our business, financial condition, results of operations, and our ability to pay dividends, and could make it more difficult and more expensive for us to complete the Peoples Gas Acquisition.</w:t>
      </w:r>
    </w:p>
    <w:p>
      <w:pPr>
        <w:spacing w:after="0" w:line="19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Our business is capital intensive. In addition to the capital required to fund customer growth through our acquisition strategy, on an annual basis, and particularly the acquisition of Peoples, we spend significant sums for additions to or replacement of property, plant and equipment. We obtain funds for our capital expenditures from operations, contributions and advances by developers and others, debt issuances, and equity issuances. We have paid dividends consecutively for 74 years and our Board of Directors recognizes the value that our common shareholders place on both</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5" w:right="9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historical payment record and on our future dividend payments. Our ability to continue our growth through acquisition, including the Peoples Gas Acquisition, and to maintain and meet our financial objectives is dependent upon the availability of adequate capital, and we may not be able to access the capital markets on favorable terms or at all. Further, while we have obtained a commitment (the “Bridge Commitment”) from certain banks to provide senior unsecured bridge loans (the “Bridge Loan”), which backstops the Peoples Gas Acquisition purchase price and the refinancing of certain debt of the Company, we expect to obtain long-term financing in the capital markets to fund these transactions in lieu of utilizing the funds available under the Bridge Commitment. If such long-term financing is not available on terms acceptable to us, we would draw upon the Bridge Commitment to complete these transactions and would incur significantly higher borrowing costs than the contemplated long-term financing, which would increase the overall cost of the Peoples Gas Acquisition and could harm our business, financial condition, results of operations, and cash flows. The Bridge Loan would mature 364 days after the closing of the Peoples Gas Acquisition, and any debt incurred to refinance the Bridge Loan may be on unfavorable terms. Additionally, if in the future, our credit facilities are not renewed or our short-term borrowings are called for repayment, we would need to seek alternative financing sources; however, there can be no assurance that these alternative financing sources would be available on terms acceptable to us. In the event we are unable to obtain sufficient capital, we may need to take steps to conserve cash by reducing our capital expenditures or dividend payments and our ability to pursue acquisitions may be limited. The reduction in capital expenditures may result in reduced potential earnings growth, affect our ability to meet environmental laws and regulations, and limit our ability to improve or expand our utility systems to the level we believe appropriate. There is no guarantee that we will be able to obtain sufficient capital in the future on reasonable terms and conditions for expansion, construction and maintenance. In addition, delays in completing major capital projects could delay the recovery of the capital expenditures associated with such projects through rates.</w:t>
      </w:r>
    </w:p>
    <w:p>
      <w:pPr>
        <w:spacing w:after="0" w:line="199"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If the cost of borrowing increases, we might not be able to recover increases in our cost of capital through rates. The inability to recover higher borrowing costs through rates, or the regulatory lag associated with the time that it takes to begin recovery, may harm our business, financial condition, results of operations and cash flows.</w:t>
      </w:r>
    </w:p>
    <w:p>
      <w:pPr>
        <w:spacing w:after="0" w:line="200"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In an effort to manage our exposure to interest rate risk associated with our planned issuance of long-term debt to fund a portion of the Peoples Gas Acquisition, we have entered into, and in the future, may enter into, financial derivative instruments such as interest rate swap agreements. However, these efforts may not be effective to fully mitigate interest rate risk, and may expose us to other risks and uncertainties, including quarterly mark-to-market valuation risk associated with these instruments, that could negatively and materially affect our business, financial condition,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comply with debt covenants under our loan and debt agreements could result in prepayment obligations.</w:t>
      </w:r>
    </w:p>
    <w:p>
      <w:pPr>
        <w:spacing w:after="0" w:line="275"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We are obligated to comply with debt covenants under some of our loan and debt agreements. In addition, we intend to incur additional indebtedness in connection with the Peoples Gas Acquisition, including by assuming certain outstanding indebtedness of Peoples, and will be obligated to comply with the debt covenants under the agreements governing such indebtedness. Failure to comply with covenants under our loan and debt agreements could result in an event of default, which if not cured or waived, could result in us being required to repay or finance these borrowings before their due date, limit future borrowings, cause us to default on other obligations, and increase borrowing costs. If we are forced to repay or refinance (on less favorable terms) these borrowings, our business, financial condition, and results of operations could be harmed by reduced access to capital and increased costs and rates.</w:t>
      </w:r>
    </w:p>
    <w:p>
      <w:pPr>
        <w:spacing w:after="0" w:line="195"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b w:val="1"/>
          <w:bCs w:val="1"/>
          <w:i w:val="1"/>
          <w:iCs w:val="1"/>
          <w:color w:val="auto"/>
        </w:rPr>
        <w:t>One of the important elements of our growth strategy is the acquisition of regulated utility systems. Any acquisition we decide to undertake may involve risks. Further, competition for acquisition opportunities from other regulated utilities, governmental entities, and strategic and financial buyers may hinder our ability to grow our business.</w:t>
      </w:r>
    </w:p>
    <w:p>
      <w:pPr>
        <w:spacing w:after="0" w:line="13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One important element of our growth strategy is the acquisition and integration of regulated utility systems in order to broaden our service areas. In addition, the acquisition of Peoples is an opportunity to broaden our services to include natural gas distribution and additional states of operation. We will not be able to acquire other businesses if we cannot identify suitable acquisition opportunities or reach mutually agreeable terms with acquisition candidates. It is our intent, when practical, to integrate any businesses we acquire with our existing operations. Investing in and integrating acquisitions could require us to incur significant costs and cause diversion of our management's time and resources,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960"/>
        <w:spacing w:after="0" w:line="260" w:lineRule="auto"/>
        <w:rPr>
          <w:sz w:val="20"/>
          <w:szCs w:val="20"/>
          <w:color w:val="auto"/>
        </w:rPr>
      </w:pPr>
      <w:r>
        <w:rPr>
          <w:rFonts w:ascii="Arial" w:cs="Arial" w:eastAsia="Arial" w:hAnsi="Arial"/>
          <w:sz w:val="20"/>
          <w:szCs w:val="20"/>
          <w:color w:val="auto"/>
        </w:rPr>
        <w:t>we may be unable to successfully integrate our business with acquired businesses or to realize anticipate benefits of acquisitions. Acquisitions by us could also result in:</w:t>
      </w:r>
    </w:p>
    <w:p>
      <w:pPr>
        <w:spacing w:after="0" w:line="152" w:lineRule="exact"/>
        <w:rPr>
          <w:sz w:val="20"/>
          <w:szCs w:val="20"/>
          <w:color w:val="auto"/>
        </w:rPr>
      </w:pPr>
    </w:p>
    <w:p>
      <w:pPr>
        <w:ind w:left="640" w:hanging="320"/>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dilutive issuances of our equity securities;</w:t>
      </w:r>
    </w:p>
    <w:p>
      <w:pPr>
        <w:ind w:left="640" w:hanging="320"/>
        <w:spacing w:after="0" w:line="197"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incurrence of debt, contingent liabilities, and environmental liabilities;</w:t>
      </w:r>
    </w:p>
    <w:p>
      <w:pPr>
        <w:ind w:left="640" w:hanging="320"/>
        <w:spacing w:after="0" w:line="197"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unanticipated capital expenditures;</w:t>
      </w:r>
    </w:p>
    <w:p>
      <w:pPr>
        <w:ind w:left="640" w:hanging="320"/>
        <w:spacing w:after="0" w:line="197"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failure to maintain effective internal control over financial reporting;</w:t>
      </w:r>
    </w:p>
    <w:p>
      <w:pPr>
        <w:ind w:left="640" w:right="380" w:hanging="320"/>
        <w:spacing w:after="0" w:line="197"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recording goodwill and other intangible assets for which we may never realize their full value and may result in an asset impairment that may negatively affect our results of operations;</w:t>
      </w:r>
    </w:p>
    <w:p>
      <w:pPr>
        <w:ind w:left="640" w:hanging="320"/>
        <w:spacing w:after="0" w:line="197"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fluctuations in quarterly results;</w:t>
      </w:r>
    </w:p>
    <w:p>
      <w:pPr>
        <w:ind w:left="640" w:hanging="320"/>
        <w:spacing w:after="0" w:line="197"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other acquisition related expenses; and</w:t>
      </w:r>
    </w:p>
    <w:p>
      <w:pPr>
        <w:ind w:left="640" w:hanging="320"/>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exposure to unknown or unexpected risks and liabilities.</w:t>
      </w:r>
    </w:p>
    <w:p>
      <w:pPr>
        <w:spacing w:after="0" w:line="18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For example, we expect to finance the Peoples Gas Acquisition purchase price and to refinance certain of our debt with a mix of common equity, equity-linked securities, and debt financing. Any such common equity or equity-linked securities financing could reduce the market price of our shares of common stock, dilute ownership interests of holders of our common stock, or otherwise adversely affect holders of our common stock. Any such debt financing would cause us to have outstanding indebtedness greater than our current outstanding indebtedness, which could require us to use a larger portion of our cash flows for debt service (reducing funds available for other purposes), reduce our ability to make investments and acquisitions, limit our ability to obtain additional financing on acceptable terms, and increase our vulnerability to adverse economic and industry conditions. In addition, we have incurred and expect to incur additional substantial expenses related to the completion of the Peoples Gas Acquisition and the integration of our business with Peoples.</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Some or all of these items could harm our business, financial condition, results of operations, and cash flows, and our ability to finance our business and to comply with regulatory requirements. Additionally, the Peoples acquisition is subject to obtaining regulatory approvals, which approvals may be denied or subject to burdensome conditions. The businesses we acquire, including Peoples, may not achieve sales and profitability that would justify our investment, and any difficulties we encounter in the integration process, including in the integration of processes necessary for internal control and financial reporting, could interfere with our operations, reduce our operating margins and harm our internal controls.</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Some states in which we operate allow the respective public utility commissions to use fair market value to set ratemaking rate base instead of the traditional depreciated original cost of water or wastewater assets for certain qualifying municipal acquisitions. Depending on the state, there are varying rules and circumstances in which fair value is determined. A number of states’ regulations allow ratemaking rate base to equal the lower of the average of the appraisals or the purchase price, subject to regulatory approval. There may be situations where we may pay more than the ultimate fair value of the utility assets as set by the regulatory commission, despite the fair value legislation suggesting its full recovery. In these situations, goodwill may be recognized to the extent there is an excess purchase price over the fair value of net tangible and identifiable intangible assets acquired through acquisition. Our financial condition and results of operations can be harmed by an inability to earn a return on, and recover our purchase price as a component of rate base.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We compete with governmental entities, other regulated utilities, and strategic and financial buyers, for acquisition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opportunities. As consolidation becomes more prevalent in the utility industry and competition for acquisitions increases,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prices for suitable acquisition candidates may increase to unacceptable levels and limit our ability to grow through</w:t>
      </w:r>
    </w:p>
    <w:p>
      <w:pPr>
        <w:spacing w:after="0"/>
        <w:rPr>
          <w:sz w:val="20"/>
          <w:szCs w:val="20"/>
          <w:color w:val="auto"/>
        </w:rPr>
      </w:pPr>
      <w:r>
        <w:rPr>
          <w:rFonts w:ascii="Arial" w:cs="Arial" w:eastAsia="Arial" w:hAnsi="Arial"/>
          <w:sz w:val="18"/>
          <w:szCs w:val="18"/>
          <w:color w:val="auto"/>
        </w:rPr>
        <w:t>acquisitions. In addition, our competitors may impede our growth by purchasing utilities near our existing operations, thereby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preventing us from acquiring them. Governmental entities or environmental / social activist groups have challenged, and may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 the future challenge our efforts to acquire new service territories, particularly from municipalities or municipal</w:t>
      </w:r>
    </w:p>
    <w:p>
      <w:pPr>
        <w:spacing w:after="0"/>
        <w:rPr>
          <w:sz w:val="20"/>
          <w:szCs w:val="20"/>
          <w:color w:val="auto"/>
        </w:rPr>
      </w:pPr>
      <w:r>
        <w:rPr>
          <w:rFonts w:ascii="Arial" w:cs="Arial" w:eastAsia="Arial" w:hAnsi="Arial"/>
          <w:sz w:val="18"/>
          <w:szCs w:val="18"/>
          <w:color w:val="auto"/>
        </w:rPr>
        <w:t>authorities. Higher purchase prices and resulting rates may limit our ability to invest additional capital for system maintenance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upgrades in an optimal manner. Our growth could be hindered if we are not able to compete effectively for new companies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and/or service territories with other companies or strategic and financial buyers that have lower costs of operations or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that submit more attractive bids. Any of these risks may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b w:val="1"/>
          <w:bCs w:val="1"/>
          <w:i w:val="1"/>
          <w:iCs w:val="1"/>
          <w:color w:val="auto"/>
        </w:rPr>
        <w:t>The Peoples Gas Acquisition is subject to conditions, some or all of which may not be satisfied or waived on a timely basis, if at all. Failure to close the Peoples Gas Acquisition could negatively and materially affect our business, financial condition and results of operations.</w:t>
      </w:r>
    </w:p>
    <w:p>
      <w:pPr>
        <w:spacing w:after="0" w:line="20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closing of the Peoples Gas Acquisition is subject to a number of conditions, including, among others, the receipt of regulatory approvals (including by the public utility commissions in Pennsylvania, Kentucky, and West Virginia). These regulatory approvals may be denied or may be subject to our agreeing to certain actions, undertakings, terms, or other measures. These conditions make the closing and timing of the closing of the Peoples Gas Acquisition uncertain. In addition, either we or Seller can terminate the acquisition agreement at any time prior to the closing of the Peoples Gas Acquisition in the event the Acquisition is not completed by October 22, 2019 (subject to extension to April 22, 2020 to obtain necessary regulatory approvals) and in other customary circumstances. In the event that the Peoples Gas Acquisition is terminated due to certain breaches by the Company, a fee of $120,000,000 would be payable to the Seller as liquidated damages. In addition, if the Peoples Gas Acquisition is not completed, we could be subject to litigation related to any failure to complete the Peoples Gas Acquisition or related to any enforcement proceeding commenced against us to perform our obligations under the acquisition agreement. Failure to close the Peoples Gas Acquisition may cause the market price of our common stock to decline, and could otherwise negatively and materially affect our business, financial condition and results of operations.</w:t>
      </w:r>
    </w:p>
    <w:p>
      <w:pPr>
        <w:spacing w:after="0" w:line="258"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Similarly, delays in the closing of the Peoples Gas Acquisition could, among other things, result in additional transaction costs, loss of revenue or other negative effects associated with uncertainty about the closing of the Peoples Gas Acquisition, and could cause us not to realize a portion of the benefits that we expect to achieve if the Peoples Gas Acquisition is successfully completed within its expected timeframe. We cannot assure you that the conditions to the closing of the Peoples Gas Acquisition will be satisfied or waived or that the Peoples Gas Acquisition will be completed.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Integrating the Peoples Gas Acquisition may disrupt or have a negative impact on our business.</w:t>
      </w:r>
    </w:p>
    <w:p>
      <w:pPr>
        <w:spacing w:after="0" w:line="2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We anticipate that the Peoples Gas Acquisition will close in mid-2019, following receipt of all regulatory approvals. We could have difficulty integrating the acquired assets, personnel and operations with our own. The Peoples Gas Acquisition is complex and we will devote significant time and resources to integrating the businesses. Risks that could impact us negatively include:</w:t>
      </w:r>
    </w:p>
    <w:p>
      <w:pPr>
        <w:spacing w:after="0" w:line="205" w:lineRule="exact"/>
        <w:rPr>
          <w:sz w:val="20"/>
          <w:szCs w:val="20"/>
          <w:color w:val="auto"/>
        </w:rPr>
      </w:pPr>
    </w:p>
    <w:p>
      <w:pPr>
        <w:ind w:left="640" w:hanging="320"/>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difficulty of integrating the acquired companies, and their concepts and operations;</w:t>
      </w:r>
    </w:p>
    <w:p>
      <w:pPr>
        <w:spacing w:after="0" w:line="2" w:lineRule="exact"/>
        <w:rPr>
          <w:rFonts w:ascii="Arial" w:cs="Arial" w:eastAsia="Arial" w:hAnsi="Arial"/>
          <w:sz w:val="20"/>
          <w:szCs w:val="20"/>
          <w:color w:val="auto"/>
        </w:rPr>
      </w:pPr>
    </w:p>
    <w:p>
      <w:pPr>
        <w:ind w:left="640" w:right="520" w:hanging="320"/>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potential disruption of the ongoing businesses and distraction of our management and the management of the acquired companies;</w:t>
      </w:r>
    </w:p>
    <w:p>
      <w:pPr>
        <w:ind w:left="640" w:hanging="320"/>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changes in our business focus and/or management;</w:t>
      </w:r>
    </w:p>
    <w:p>
      <w:pPr>
        <w:ind w:left="640" w:hanging="320"/>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risks related to the natural gas distribution business;</w:t>
      </w:r>
    </w:p>
    <w:p>
      <w:pPr>
        <w:ind w:left="640" w:hanging="320"/>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difficulties in maintaining uniform standards, controls, procedures and policies;</w:t>
      </w:r>
    </w:p>
    <w:p>
      <w:pPr>
        <w:ind w:left="640" w:right="1020" w:hanging="320"/>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potential impairment of relationships with employees and partners as a result of any integration of new management personnel;</w:t>
      </w:r>
    </w:p>
    <w:p>
      <w:pPr>
        <w:ind w:left="640" w:hanging="320"/>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potential inability to manage an increased number of locations and employees;</w:t>
      </w:r>
    </w:p>
    <w:p>
      <w:pPr>
        <w:ind w:left="640" w:hanging="320"/>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our ability to successfully manage Peoples; or</w:t>
      </w:r>
    </w:p>
    <w:p>
      <w:pPr>
        <w:ind w:left="640" w:hanging="320"/>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effect of any government regulations which relate to the business acquired.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If we are not successful in addressing these risks effectively, our business could be severely impaired.</w:t>
      </w:r>
    </w:p>
    <w:p>
      <w:pPr>
        <w:spacing w:after="0" w:line="229" w:lineRule="exact"/>
        <w:rPr>
          <w:sz w:val="20"/>
          <w:szCs w:val="20"/>
          <w:color w:val="auto"/>
        </w:rPr>
      </w:pPr>
    </w:p>
    <w:p>
      <w:pPr>
        <w:ind w:right="1160"/>
        <w:spacing w:after="0" w:line="260" w:lineRule="auto"/>
        <w:rPr>
          <w:sz w:val="20"/>
          <w:szCs w:val="20"/>
          <w:color w:val="auto"/>
        </w:rPr>
      </w:pPr>
      <w:r>
        <w:rPr>
          <w:rFonts w:ascii="Arial" w:cs="Arial" w:eastAsia="Arial" w:hAnsi="Arial"/>
          <w:sz w:val="20"/>
          <w:szCs w:val="20"/>
          <w:b w:val="1"/>
          <w:bCs w:val="1"/>
          <w:i w:val="1"/>
          <w:iCs w:val="1"/>
          <w:color w:val="auto"/>
        </w:rPr>
        <w:t>Our operations are geographically concentrated in Pennsylvania, which make us susceptible to risks affecting Pennsylvania.</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Although we operate water and wastewater facilities in a number of states, our operations are concentrated in Pennsylvania. As a result, our financial results are largely subject to political, water supply, labor, utility cost and regulatory risks, economic conditions, natural disasters and other risks affecting Pennsylvania.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480"/>
        <w:spacing w:after="0" w:line="386" w:lineRule="auto"/>
        <w:rPr>
          <w:sz w:val="20"/>
          <w:szCs w:val="20"/>
          <w:color w:val="auto"/>
        </w:rPr>
      </w:pPr>
      <w:r>
        <w:rPr>
          <w:rFonts w:ascii="Arial" w:cs="Arial" w:eastAsia="Arial" w:hAnsi="Arial"/>
          <w:sz w:val="16"/>
          <w:szCs w:val="16"/>
          <w:b w:val="1"/>
          <w:bCs w:val="1"/>
          <w:i w:val="1"/>
          <w:iCs w:val="1"/>
          <w:color w:val="auto"/>
        </w:rPr>
        <w:t>We are increasingly dependent on the continuous and reliable operation of our information technology systems, and a disruption of these systems, resulting from cyber security attacks or other events, could harm our business.</w:t>
      </w:r>
    </w:p>
    <w:p>
      <w:pPr>
        <w:spacing w:after="0" w:line="97"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We rely on our information technology systems in connection with the operation of our business, especially with respect to customer service and billing, accounting and, in some cases, the monitoring and operation of our treatment, storage and pumping facilities. In addition, we rely on our systems to track our utility assets and to manage maintenance and construction projects, materials and supplies, and our human resource functions. The addition of the Peoples information technology systems, and the integration of such systems with ours adds additional complexity. A loss of these systems, or major problems with the operation of these systems, could harm our business, financial condition, and results of operations. Our information technology systems may be vulnerable to damage or interruption from the following types of cyber security attacks or other events:</w:t>
      </w:r>
    </w:p>
    <w:p>
      <w:pPr>
        <w:spacing w:after="0" w:line="211" w:lineRule="exact"/>
        <w:rPr>
          <w:sz w:val="20"/>
          <w:szCs w:val="20"/>
          <w:color w:val="auto"/>
        </w:rPr>
      </w:pPr>
    </w:p>
    <w:p>
      <w:pPr>
        <w:ind w:left="640" w:hanging="320"/>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power loss, computer systems failures, and internet, telecommunications or data network failures;</w:t>
      </w:r>
    </w:p>
    <w:p>
      <w:pPr>
        <w:spacing w:after="0" w:line="15" w:lineRule="exact"/>
        <w:rPr>
          <w:rFonts w:ascii="Arial" w:cs="Arial" w:eastAsia="Arial" w:hAnsi="Arial"/>
          <w:sz w:val="20"/>
          <w:szCs w:val="20"/>
          <w:color w:val="auto"/>
        </w:rPr>
      </w:pPr>
    </w:p>
    <w:p>
      <w:pPr>
        <w:ind w:left="640" w:hanging="320"/>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operator negligence or improper operation by, or supervision of, employees;</w:t>
      </w:r>
    </w:p>
    <w:p>
      <w:pPr>
        <w:ind w:left="640" w:hanging="320"/>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physical and electronic loss of data;</w:t>
      </w:r>
    </w:p>
    <w:p>
      <w:pPr>
        <w:ind w:left="640" w:right="1100" w:hanging="320"/>
        <w:spacing w:after="0" w:line="239"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computer viruses, cyber security attacks, intentional security breaches, hacking, denial of service actions, misappropriation of data and similar events;</w:t>
      </w:r>
    </w:p>
    <w:p>
      <w:pPr>
        <w:spacing w:after="0" w:line="1" w:lineRule="exact"/>
        <w:rPr>
          <w:rFonts w:ascii="Arial" w:cs="Arial" w:eastAsia="Arial" w:hAnsi="Arial"/>
          <w:sz w:val="20"/>
          <w:szCs w:val="20"/>
          <w:color w:val="auto"/>
        </w:rPr>
      </w:pPr>
    </w:p>
    <w:p>
      <w:pPr>
        <w:ind w:left="640" w:hanging="320"/>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difficulties in the implementation of upgrades or modification to our information technology systems; and</w:t>
      </w:r>
    </w:p>
    <w:p>
      <w:pPr>
        <w:ind w:left="640" w:hanging="320"/>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hurricanes, fires, floods, earthquakes and other natural disasters.</w:t>
      </w:r>
    </w:p>
    <w:p>
      <w:pPr>
        <w:spacing w:after="0" w:line="213" w:lineRule="exact"/>
        <w:rPr>
          <w:sz w:val="20"/>
          <w:szCs w:val="20"/>
          <w:color w:val="auto"/>
        </w:rPr>
      </w:pPr>
    </w:p>
    <w:p>
      <w:pPr>
        <w:ind w:right="460"/>
        <w:spacing w:after="0" w:line="246" w:lineRule="auto"/>
        <w:rPr>
          <w:sz w:val="20"/>
          <w:szCs w:val="20"/>
          <w:color w:val="auto"/>
        </w:rPr>
      </w:pPr>
      <w:r>
        <w:rPr>
          <w:rFonts w:ascii="Arial" w:cs="Arial" w:eastAsia="Arial" w:hAnsi="Arial"/>
          <w:sz w:val="20"/>
          <w:szCs w:val="20"/>
          <w:color w:val="auto"/>
        </w:rPr>
        <w:t>Although we do not believe that our systems are at a materially greater risk of cyber security attacks than other similar organizations, our information technology systems may be vulnerable to damage or interruption from the types of cyber security attacks or other events listed above or other similar actions, and such incidents may go undetected for a period of time. Such cyber security attacks or other events may result in:</w:t>
      </w:r>
    </w:p>
    <w:p>
      <w:pPr>
        <w:spacing w:after="0" w:line="205" w:lineRule="exact"/>
        <w:rPr>
          <w:sz w:val="20"/>
          <w:szCs w:val="20"/>
          <w:color w:val="auto"/>
        </w:rPr>
      </w:pPr>
    </w:p>
    <w:p>
      <w:pPr>
        <w:ind w:left="640" w:hanging="320"/>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loss or compromise of customer, financial, employee, or operational data;</w:t>
      </w:r>
    </w:p>
    <w:p>
      <w:pPr>
        <w:spacing w:after="0" w:line="15" w:lineRule="exact"/>
        <w:rPr>
          <w:rFonts w:ascii="Arial" w:cs="Arial" w:eastAsia="Arial" w:hAnsi="Arial"/>
          <w:sz w:val="20"/>
          <w:szCs w:val="20"/>
          <w:color w:val="auto"/>
        </w:rPr>
      </w:pPr>
    </w:p>
    <w:p>
      <w:pPr>
        <w:ind w:left="640" w:hanging="320"/>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disruption of billing, collections or normal field service activities;</w:t>
      </w:r>
    </w:p>
    <w:p>
      <w:pPr>
        <w:ind w:left="640" w:hanging="320"/>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disruption of electronic monitoring and control of operational systems; and</w:t>
      </w:r>
    </w:p>
    <w:p>
      <w:pPr>
        <w:ind w:left="640" w:hanging="320"/>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delays in financial reporting and other normal management functions.</w:t>
      </w:r>
    </w:p>
    <w:p>
      <w:pPr>
        <w:spacing w:after="0" w:line="213"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Possible impacts associated with a cyber security attack or other events may include: remediation costs related to lost, stolen, or compromised data; repairs to data processing systems; increased cyber security protection costs; adverse effects on our compliance with regulatory and environmental laws and regulation, including standards for drinking water; litigation; and reputational damage. We maintain insurance to help defray costs associated with cyber security attacks or other events, but we cannot provide assurance that such insurance will provide coverage for any particular type of incident or event or that such insurance will be adequate, and losses incurred may make it difficult for us to secure insurance in the future at acceptable rates.</w:t>
      </w:r>
    </w:p>
    <w:p>
      <w:pPr>
        <w:spacing w:after="0" w:line="15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We have a cyber-security controls framework in place. We monitor our control effectiveness in an increasing threat landscape and continuously take action to improve our security posture. We cannot assure you that, despite such measures, a form of system failure or data security breach will not have a material adverse effect on our financial condition and results of operations.</w:t>
      </w:r>
    </w:p>
    <w:p>
      <w:pPr>
        <w:spacing w:after="0" w:line="205"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b w:val="1"/>
          <w:bCs w:val="1"/>
          <w:i w:val="1"/>
          <w:iCs w:val="1"/>
          <w:color w:val="auto"/>
        </w:rPr>
        <w:t>Our facilities could be the target of a possible terrorist or other deliberate attack which could harm our business, financial condition and results of operations.</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 addition to the potential contamination of our water supply as described in a separate risk factor herein, we maintain security measures at our facilities and have heightened employee and public safety official awareness of potential threats to our utility systems. We have and will continue to bear increases in costs for security precautions to protect our facilities, operations, and supplies, most of which have been recoverable under state regulatory policies. While the costs of increases in security, including capital expenditures, may be significant, we expect these costs to continue to be recoverable in utility rates. Despite our security measures, we may not be in a position to control the outcome of terrorist events, or other attacks on our utility systems, should they occur. Such an event could harm our business, financial condition, and results of operations.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5" w:right="9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b w:val="1"/>
          <w:bCs w:val="1"/>
          <w:i w:val="1"/>
          <w:iCs w:val="1"/>
          <w:color w:val="auto"/>
        </w:rPr>
        <w:t>Our business is impacted by weather conditions and is subject to seasonal fluctuations, which could harm demand for our water service and our revenues and earnings.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Demand for our water during the warmer months is generally greater than during cooler months due primarily to additional</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requirements for water in connection with irrigation systems, swimming pools, cooling systems, and other outside water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use. Throughout the year, and particularly during typically warmer months, demand will vary with temperature, rainfall levels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rainfall frequency. In the event that temperatures during the typically warmer months are cooler than normal, if there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more rainfall than normal, or rainfall is more frequent than normal, the demand for our water may decrease and harm our</w:t>
      </w:r>
    </w:p>
    <w:p>
      <w:pPr>
        <w:spacing w:after="0" w:line="22" w:lineRule="exact"/>
        <w:rPr>
          <w:sz w:val="20"/>
          <w:szCs w:val="20"/>
          <w:color w:val="auto"/>
        </w:rPr>
      </w:pPr>
    </w:p>
    <w:p>
      <w:pPr>
        <w:spacing w:after="0"/>
        <w:tabs>
          <w:tab w:leader="none" w:pos="4520" w:val="left"/>
        </w:tabs>
        <w:rPr>
          <w:sz w:val="20"/>
          <w:szCs w:val="20"/>
          <w:color w:val="auto"/>
        </w:rPr>
      </w:pPr>
      <w:r>
        <w:rPr>
          <w:rFonts w:ascii="Arial" w:cs="Arial" w:eastAsia="Arial" w:hAnsi="Arial"/>
          <w:sz w:val="20"/>
          <w:szCs w:val="20"/>
          <w:color w:val="auto"/>
        </w:rPr>
        <w:t>business, financial condition, and results of operations.</w:t>
      </w:r>
      <w:r>
        <w:rPr>
          <w:sz w:val="20"/>
          <w:szCs w:val="20"/>
          <w:color w:val="auto"/>
        </w:rPr>
        <w:tab/>
      </w:r>
      <w:r>
        <w:rPr>
          <w:rFonts w:ascii="Arial" w:cs="Arial" w:eastAsia="Arial" w:hAnsi="Arial"/>
          <w:sz w:val="18"/>
          <w:szCs w:val="18"/>
          <w:color w:val="auto"/>
        </w:rPr>
        <w:t>In Illinois, our operating subsidiary has adopted a revenue stability</w:t>
      </w:r>
    </w:p>
    <w:p>
      <w:pPr>
        <w:spacing w:after="0"/>
        <w:rPr>
          <w:sz w:val="20"/>
          <w:szCs w:val="20"/>
          <w:color w:val="auto"/>
        </w:rPr>
      </w:pPr>
      <w:r>
        <w:rPr>
          <w:rFonts w:ascii="Arial" w:cs="Arial" w:eastAsia="Arial" w:hAnsi="Arial"/>
          <w:sz w:val="18"/>
          <w:szCs w:val="18"/>
          <w:color w:val="auto"/>
        </w:rPr>
        <w:t>mechanism which allows us to recognize state PUC authorized revenue for a period which is not based upon the volume of</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water sold during that period, and effectively lessens the impact of weather and consumption variability.</w:t>
      </w:r>
    </w:p>
    <w:p>
      <w:pPr>
        <w:spacing w:after="0" w:line="213"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b w:val="1"/>
          <w:bCs w:val="1"/>
          <w:i w:val="1"/>
          <w:iCs w:val="1"/>
          <w:color w:val="auto"/>
        </w:rPr>
        <w:t>Decreased residential customer water consumption as a result of water conservation efforts may harm demand for our water service and may reduce our revenues and earnings.</w:t>
      </w:r>
    </w:p>
    <w:p>
      <w:pPr>
        <w:spacing w:after="0" w:line="190"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There has been a general decline in water usage per residential customer as a result of an increase in conservation awareness, and the impact of an increased use of more efficient plumbing fixtures and appliances. These gradual, long-term changes are normally taken into account by the utility commissions in setting rates, whereas short-term changes in water usage, if significant, may not be fully reflected in the rates we charge. We are dependent upon the revenue generated from rates charged to our residential customers for the volume of water used. If we are unable to obtain future rate increases to offset decreased residential customer water consumption to cover our investments, expenses, and return for which we initially sought the rate increase, our business, financial condition, and results of operations may be harmed.</w:t>
      </w:r>
    </w:p>
    <w:p>
      <w:pPr>
        <w:spacing w:after="0" w:line="183"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i w:val="1"/>
          <w:iCs w:val="1"/>
          <w:color w:val="auto"/>
        </w:rPr>
        <w:t>Drought conditions and government imposed water use restrictions may impact our ability to serve our current and future customers, and may impact our customers’ use of our water, which may harm our business, financial condition, and results of operations.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depend on an adequate water supply to meet the present and future demands of our customers. Drought conditions could interfere with our sources of water supply and could harm our ability to supply water in sufficient quantities to our existing and future customers. An interruption in our water supply could harm our business, financial condition, and results of operations. Moreover, governmental restrictions on water usage during drought conditions may result in a decreased demand for our water, even if our water supplies are sufficient to serve our customers during these drought conditions, which may harm our business, financial condition, and results of operations.</w:t>
      </w:r>
    </w:p>
    <w:p>
      <w:pPr>
        <w:spacing w:after="0" w:line="19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b w:val="1"/>
          <w:bCs w:val="1"/>
          <w:i w:val="1"/>
          <w:iCs w:val="1"/>
          <w:color w:val="auto"/>
        </w:rPr>
        <w:t>The failure of, or the requirement to repair, upgrade or dismantle any of our dams or reservoirs may harm our business, financial condition, and results of operations.</w:t>
      </w:r>
    </w:p>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Several of our water systems include impounding dams and reservoirs of various sizes. Although we believe our dam review program, which includes regular inspections and other engineering studies, will ensure our dams are structurally sound and well-maintained, the failure of a dam could result in significant downstream damage and could result in claims for property damage or for injuries or fatalities. We periodically inspect our dams and purchase liability insurance to cover such risks, but depending on the nature of the downstream damage and cause of the failure, the policy limits of insurance coverage may not be sufficient, and losses incurred may make it difficult for us to secure insurance in the future at acceptable rates. A dam failure could also result in damage to, or disruption of, our water treatment and pumping facilities that are often located downstream from our dams and reservoirs. Significant damage to these facilities, or a significant decline in the storage of the raw water impoundment, could affect our ability to provide water to our customers until the facilities and a sufficient raw water impoundment can be restored. The estimated costs to maintain our dams are included in our capital budget projections and, although such costs to date have been recoverable in rates, there can be no assurance that rate increases will be granted in a timely or sufficient manner to recover such costs in the future, if at all.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5" w:right="9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economic conditions may affect our financial condition and results of operations.</w:t>
      </w:r>
    </w:p>
    <w:p>
      <w:pPr>
        <w:spacing w:after="0" w:line="22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A general economic downturn may lead to a number of impacts on our business and may affect our financial condition and results of operations. Such impacts may include:</w:t>
      </w:r>
    </w:p>
    <w:p>
      <w:pPr>
        <w:spacing w:after="0" w:line="190" w:lineRule="exact"/>
        <w:rPr>
          <w:sz w:val="20"/>
          <w:szCs w:val="20"/>
          <w:color w:val="auto"/>
        </w:rPr>
      </w:pPr>
    </w:p>
    <w:p>
      <w:pPr>
        <w:ind w:left="640" w:right="480" w:hanging="320"/>
        <w:spacing w:after="0" w:line="247" w:lineRule="auto"/>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reduction in discretionary and recreational water use by our residential water customers, particularly during the summer months when such discretionary usage is normally at its highest;</w:t>
      </w:r>
    </w:p>
    <w:p>
      <w:pPr>
        <w:spacing w:after="0" w:line="1" w:lineRule="exact"/>
        <w:rPr>
          <w:rFonts w:ascii="Arial" w:cs="Arial" w:eastAsia="Arial" w:hAnsi="Arial"/>
          <w:sz w:val="20"/>
          <w:szCs w:val="20"/>
          <w:color w:val="auto"/>
        </w:rPr>
      </w:pPr>
    </w:p>
    <w:p>
      <w:pPr>
        <w:ind w:left="640" w:hanging="320"/>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decline in usage by industrial and commercial customers as a result of decreased business activity;</w:t>
      </w:r>
    </w:p>
    <w:p>
      <w:pPr>
        <w:ind w:left="640" w:right="180" w:hanging="320"/>
        <w:spacing w:after="0" w:line="239" w:lineRule="auto"/>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increased incidence of customers’ inability to pay or delays in paying their utility bills, or an increase in customer bankruptcies, which may lead to higher bad debt expense and reduced cash flow;</w:t>
      </w:r>
    </w:p>
    <w:p>
      <w:pPr>
        <w:spacing w:after="0" w:line="1" w:lineRule="exact"/>
        <w:rPr>
          <w:rFonts w:ascii="Arial" w:cs="Arial" w:eastAsia="Arial" w:hAnsi="Arial"/>
          <w:sz w:val="20"/>
          <w:szCs w:val="20"/>
          <w:color w:val="auto"/>
        </w:rPr>
      </w:pPr>
    </w:p>
    <w:p>
      <w:pPr>
        <w:ind w:left="640" w:hanging="320"/>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lower natural customer growth rate due to a decline in new housing starts; and</w:t>
      </w:r>
    </w:p>
    <w:p>
      <w:pPr>
        <w:ind w:left="640" w:hanging="320"/>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decline in the number of active customers due to housing vacancies.</w:t>
      </w:r>
    </w:p>
    <w:p>
      <w:pPr>
        <w:spacing w:after="0" w:line="213"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General economic turmoil may also lead to an investment market downturn, which may result in our pension and other post-retirement plans’ asset market values suffering a decline and significant volatility. A decline in our plans’ asset market values could increase our required cash contributions to the plans and expense in subsequent years.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utility systems may be subject to condemnations or other methods of taking by governmental entities.</w:t>
      </w:r>
    </w:p>
    <w:p>
      <w:pPr>
        <w:spacing w:after="0" w:line="241"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In the states where our subsidiaries operate, it is possible that portions of our subsidiaries’ operations could be acquired by municipal governments by one or more of the following methods:</w:t>
      </w:r>
    </w:p>
    <w:p>
      <w:pPr>
        <w:spacing w:after="0" w:line="190" w:lineRule="exact"/>
        <w:rPr>
          <w:sz w:val="20"/>
          <w:szCs w:val="20"/>
          <w:color w:val="auto"/>
        </w:rPr>
      </w:pPr>
    </w:p>
    <w:p>
      <w:pPr>
        <w:ind w:left="640" w:hanging="320"/>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eminent domain;</w:t>
      </w:r>
    </w:p>
    <w:p>
      <w:pPr>
        <w:spacing w:after="0" w:line="15" w:lineRule="exact"/>
        <w:rPr>
          <w:rFonts w:ascii="Arial" w:cs="Arial" w:eastAsia="Arial" w:hAnsi="Arial"/>
          <w:sz w:val="20"/>
          <w:szCs w:val="20"/>
          <w:color w:val="auto"/>
        </w:rPr>
      </w:pPr>
    </w:p>
    <w:p>
      <w:pPr>
        <w:ind w:left="640" w:right="480" w:hanging="320"/>
        <w:spacing w:after="0" w:line="239" w:lineRule="auto"/>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right of purchase given or reserved by a municipality or political subdivision when the original franchise was granted; and</w:t>
      </w:r>
    </w:p>
    <w:p>
      <w:pPr>
        <w:spacing w:after="0" w:line="1" w:lineRule="exact"/>
        <w:rPr>
          <w:rFonts w:ascii="Arial" w:cs="Arial" w:eastAsia="Arial" w:hAnsi="Arial"/>
          <w:sz w:val="20"/>
          <w:szCs w:val="20"/>
          <w:color w:val="auto"/>
        </w:rPr>
      </w:pPr>
    </w:p>
    <w:p>
      <w:pPr>
        <w:ind w:left="640" w:right="360" w:hanging="320"/>
        <w:spacing w:after="0" w:line="244" w:lineRule="auto"/>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right of purchase given or reserved under the law of the state in which the subsidiary was incorporated or from which it received its permit.</w:t>
      </w:r>
    </w:p>
    <w:p>
      <w:pPr>
        <w:spacing w:after="0" w:line="205"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receive fair market value for any assets that are</w:t>
      </w:r>
    </w:p>
    <w:p>
      <w:pPr>
        <w:spacing w:after="0" w:line="2"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condemned. However, there is no assurance that the fair market value received for assets condemned would be in excess of book value.</w:t>
      </w:r>
    </w:p>
    <w:p>
      <w:pPr>
        <w:spacing w:after="0" w:line="20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a very few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circumstances, on occasion, the municipally-owned system may attempt to offer service to customers who are connected to our mains, resulting in our mains becoming surplus or underutilized without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final determination of our income tax liability may be materially different from our income tax provision.</w:t>
      </w:r>
    </w:p>
    <w:p>
      <w:pPr>
        <w:spacing w:after="0" w:line="241"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Significant judgment is required in determining our provision for income taxes. Our calculation of the provision for income taxes is subject to our interpretation of applicable business tax laws in the jurisdictions in which we file. In addition, our income tax returns are subject to periodic examination by the Internal Revenue Service and other taxing authorities. In December 2012, Aqua Pennsylvania changed its tax method of accounting to permit the expensing of qualifying utility asset improvement costs that were previously being capitalized and depreciated for tax purposes. Subsequently, the Company’s Ohio and North Carolina regulated subsidiaries similarly changed their tax method of accounting. Our determination of what qualifies as a capital cost versus a tax deduction for utility asset improvements is subject to subsequent adjustment and may impact the income tax benefits that have been recognized.</w:t>
      </w:r>
    </w:p>
    <w:p>
      <w:pPr>
        <w:spacing w:after="0" w:line="195" w:lineRule="exact"/>
        <w:rPr>
          <w:sz w:val="20"/>
          <w:szCs w:val="20"/>
          <w:color w:val="auto"/>
        </w:rPr>
      </w:pPr>
    </w:p>
    <w:p>
      <w:pPr>
        <w:ind w:right="440"/>
        <w:spacing w:after="0" w:line="316" w:lineRule="auto"/>
        <w:rPr>
          <w:sz w:val="20"/>
          <w:szCs w:val="20"/>
          <w:color w:val="auto"/>
        </w:rPr>
      </w:pPr>
      <w:r>
        <w:rPr>
          <w:rFonts w:ascii="Arial" w:cs="Arial" w:eastAsia="Arial" w:hAnsi="Arial"/>
          <w:sz w:val="18"/>
          <w:szCs w:val="18"/>
          <w:color w:val="auto"/>
        </w:rPr>
        <w:t>On December 22, 2017, President Trump signed into law legislation referred to as the “Tax Cuts and Jobs Act” (the “TCJA”). The TCJA makes significant changes to the Internal Revenue Code of 1986, as amended (the “Code”), and the</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5" w:right="9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taxation of business entities, and includes specific provisions related to regulated public utilities. Significant changes that impact the Company in the TCJA include a reduction in the corporate federal income tax rate from 35% to 21%, and a limitation on the utilization of Net Operating Losses (“NOLs”) arising after December 31, 2017 to 80% of taxable income with an indefinite carryforward. In addition, specific provisions related to regulated public utilities in the TCJA generally allow for the continued deductibility of interest expense, the elimination of full expensing for tax purposes of certain property acquired after September 27, 2017, and the continuation of certain rate normalization requirements for accelerated depreciation benefits. Since the tax effects of changes in tax law must be recognized in the period in which TCJA was enacted, our deferred income tax assets and liabilities were remeasured in the period of enactment. This generally results in amounts previously collected from utility customers for these deferred taxes to be refundable to such customers, generally through reductions in future rates. In certain states there is not yet complete guidance as to how to account for the TCJA. With respect to these states, we will account for the changes in income tax balances by making a reasonable estimate. The estimate may differ from the actual tax amount determined once the state regulators provide specific guidance. To the extent such estimates are adjusted or prove to be incorrect, there could be an impact on the Company’s financial statements.</w:t>
      </w:r>
    </w:p>
    <w:p>
      <w:pPr>
        <w:spacing w:after="0" w:line="18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Although we believe our income tax estimates, including any tax reserves for uncertain tax positions or valuation allowances on deferred tax assets are appropriate, there is no assurance that the final determination of our income tax liability will not be materially different; either higher or lower, from what is reflected in our income tax provision. In the event we are assessed additional income taxes, our business, financial condition, and results of operations could be harmed.</w:t>
      </w:r>
    </w:p>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b w:val="1"/>
          <w:bCs w:val="1"/>
          <w:i w:val="1"/>
          <w:iCs w:val="1"/>
          <w:color w:val="auto"/>
        </w:rPr>
        <w:t>Federal and state environmental laws and regulations impose substantial compliance requirements on our operations. Our operating costs could be significantly increased in order to comply with new or stricter regulatory standards imposed by federal and state environmental agencies.</w:t>
      </w:r>
    </w:p>
    <w:p>
      <w:pPr>
        <w:spacing w:after="0" w:line="200"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Our water and wastewater services are governed by various federal and state environmental protection and health and safety laws and regulations, including the federal Safe Drinking Water Act, the Clean Water Act, Clean Air Act, Resource Conservation and Recovery Act and similar state laws, and federal and state regulations issued under these laws by the EPA and state environmental regulatory agencies. These laws and regulations establish, among other things, criteria and standards for drinking water and for discharges into the waters of the U.S. as well as dam safety, air emissions, and residuals management. Pursuant to these laws, we are required to obtain various environmental permits from environmental regulatory agencies for our operations. We cannot assure you that we will be at all times in total compliance with these laws, regulations and permits. If we fail to comply with these laws, regulations or permits, we could be fined or otherwise sanctioned by regulators and such noncompliance could result in civil suits. Environmental laws and regulations are complex and change frequently. These laws, and the enforcement thereof, have tended to become more stringent over time. While we have budgeted for future capital and operating expenditures to comply with these laws and our permits, it is possible that new or stricter standards could be imposed that will require additional capital expenditures or raise our operating costs. Although these expenditures and costs may be recovered in the form of higher rates, there can be no assurance that the various state utility commissions that govern our business would approve rate increases to enable us to recover such expenditures and costs. In summary, we cannot assure you that our costs of complying with, current and future environmental and health and safety laws will not harm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Wastewater operations entail significant risks and may impose significant costs.</w:t>
      </w:r>
    </w:p>
    <w:p>
      <w:pPr>
        <w:spacing w:after="0" w:line="229"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Wastewater collection and treatment involve various unique risks. If collection or treatment systems fail or do not operate properly, or if there is a spill, untreated or partially treated wastewater could discharge onto property or into nearby streams and rivers, causing various damages and injuries, including environmental damage. These risks are most acute during periods of substantial rainfall or flooding, which are the main causes of wastewater overflow and system failure. Liabilities resulting from such damages and injuries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Work stoppages and other labor relations matters could harm our operating results.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Approximately 33% of our workforce is unionized under 15 labor contracts with labor unions, which expire over several years. In light of rising costs for healthcare and retirement benefits, contract negotiations in the future may be difficult. We are subject to a risk of work stoppages and other labor actions as we negotiate with the unions to address these issues, which could harm our business, financial condition, and results of operations. We cannot assure you that issues with our labor forces will be resolved favorably to us in the future or that we will not experience work stoppages.</w:t>
      </w:r>
    </w:p>
    <w:p>
      <w:pPr>
        <w:spacing w:after="0" w:line="194"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b w:val="1"/>
          <w:bCs w:val="1"/>
          <w:i w:val="1"/>
          <w:iCs w:val="1"/>
          <w:color w:val="auto"/>
        </w:rPr>
        <w:t>Significant or prolonged disruptions in the supply of important goods or services from third parties could harm our business, financial condition, and results of operations.</w:t>
      </w:r>
    </w:p>
    <w:p>
      <w:pPr>
        <w:spacing w:after="0" w:line="190"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We are dependent on a continuing flow of important goods and services from suppliers for our businesses. A disruption or prolonged delays in obtaining important supplies or services, such as maintenance services, purchased water, chemicals, water pipe, valves, hydrants, electricity, or other materials, could harm our utility services and our ability to operate in compliance with all regulatory requirements, which could harm our business, financial condition, and results of operations. In some circumstances, we rely on third parties to provide important services (such as customer bill print and mail activities or utility service operations in some of our divisions) and a disruption in these services could harm our business, financial condition, and results of operations. Some possible reasons for a delay or disruption in the supply of important goods and services include:</w:t>
      </w:r>
    </w:p>
    <w:p>
      <w:pPr>
        <w:spacing w:after="0" w:line="157" w:lineRule="exact"/>
        <w:rPr>
          <w:sz w:val="20"/>
          <w:szCs w:val="20"/>
          <w:color w:val="auto"/>
        </w:rPr>
      </w:pPr>
    </w:p>
    <w:p>
      <w:pPr>
        <w:ind w:left="640" w:hanging="320"/>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suppliers may not provide materials that meet our specifications in sufficient quantities;</w:t>
      </w:r>
    </w:p>
    <w:p>
      <w:pPr>
        <w:spacing w:after="0" w:line="15" w:lineRule="exact"/>
        <w:rPr>
          <w:rFonts w:ascii="Arial" w:cs="Arial" w:eastAsia="Arial" w:hAnsi="Arial"/>
          <w:sz w:val="20"/>
          <w:szCs w:val="20"/>
          <w:color w:val="auto"/>
        </w:rPr>
      </w:pPr>
    </w:p>
    <w:p>
      <w:pPr>
        <w:ind w:left="640" w:hanging="320"/>
        <w:spacing w:after="0"/>
        <w:tabs>
          <w:tab w:leader="none" w:pos="6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our suppliers may provide us with water that does not meet applicable quality standards or is contaminated;</w:t>
      </w:r>
    </w:p>
    <w:p>
      <w:pPr>
        <w:spacing w:after="0" w:line="11" w:lineRule="exact"/>
        <w:rPr>
          <w:rFonts w:ascii="Arial" w:cs="Arial" w:eastAsia="Arial" w:hAnsi="Arial"/>
          <w:sz w:val="19"/>
          <w:szCs w:val="19"/>
          <w:color w:val="auto"/>
        </w:rPr>
      </w:pPr>
    </w:p>
    <w:p>
      <w:pPr>
        <w:ind w:left="640" w:hanging="320"/>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suppliers may face production delays due to natural disasters, strikes, lock-outs, or other such actions;</w:t>
      </w:r>
    </w:p>
    <w:p>
      <w:pPr>
        <w:ind w:left="640" w:hanging="320"/>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one or more suppliers could make strategic changes in the lines of products and services they offer; and</w:t>
      </w:r>
    </w:p>
    <w:p>
      <w:pPr>
        <w:ind w:left="640" w:right="40" w:hanging="320"/>
        <w:spacing w:after="0" w:line="269" w:lineRule="auto"/>
        <w:tabs>
          <w:tab w:leader="none" w:pos="6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some of our suppliers, such as small companies, may be more likely to experience financial and operational difficulties than larger, well-established companies, because of their limited financial and other resources.</w:t>
      </w:r>
    </w:p>
    <w:p>
      <w:pPr>
        <w:spacing w:after="0" w:line="183"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As a result of any of these factors, we may be required to find alternative suppliers for the materials and services on which we rely. Accordingly, we may experience delays in obtaining appropriate materials and services on a timely basis and in sufficient quantities from such alternative suppliers at a reasonable price, which could interrupt services to our customers and harm our business, financial condition, and results of operations.</w:t>
      </w:r>
    </w:p>
    <w:p>
      <w:pPr>
        <w:spacing w:after="0" w:line="199"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b w:val="1"/>
          <w:bCs w:val="1"/>
          <w:color w:val="auto"/>
        </w:rPr>
        <w:t>We depend significantly on the services of the members of our management team, and the departure of any of those persons could cause our operating results to suffer.</w:t>
      </w:r>
    </w:p>
    <w:p>
      <w:pPr>
        <w:spacing w:after="0" w:line="183"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Our success depends significantly on the continued individual and collective contributions of our management team. The loss of the services of any member of our management team or the inability to hire and retain experienced management personnel could harm our business, financial condition, and results of operations.</w:t>
      </w:r>
    </w:p>
    <w:p>
      <w:pPr>
        <w:spacing w:after="0" w:line="200"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Climate change laws and regulations have been passed and are being proposed that require compliance with greenhouse gas emissions standards, as well as other climate change initiatives, which could impact our business, financial condition or results of operations.</w:t>
      </w:r>
    </w:p>
    <w:p>
      <w:pPr>
        <w:spacing w:after="0" w:line="20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Climate change is receiving ever increasing attention worldwide. Many scientists, legislators, and others attribute global warming to increased levels of greenhouse gases (“GHG”), including carbon dioxide. Climate change laws and regulations enacted and proposed limit GHG emissions from covered entities and require additional monitoring/reporting. We produce a corporate social responsibility report, which provides an overview of our energy usage and GHG emissions. At this time, the existing GHG laws and regulations are not expected to materially harm the Company’s operations or capital expenditures. While regulation on climate change could change in light of the current federal administration’s agenda, the uncertainty of future climate change regulatory requirements still remains. We cannot predict the potential impact of future laws and regulations on our business, financial condition, or results of operations. Although these future expenditures and costs for regulatory compliance may be recovered in the form of higher rates, there can be no assurance that the various state utility commissions that govern our business would approve rate increases to enable us to recover such expenditures and costs. Another potential risk related to climate change would be more frequent and more severe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weather events, which could increase our costs to repair damaged facilities and restore service to our customers. If we are unable to provide utility services to our customers, our financial results would be impacted by lost revenues and we would have to seek regulatory approval to recover restoration costs.</w:t>
      </w:r>
    </w:p>
    <w:p>
      <w:pPr>
        <w:spacing w:after="0" w:line="200"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b w:val="1"/>
          <w:bCs w:val="1"/>
          <w:i w:val="1"/>
          <w:iCs w:val="1"/>
          <w:color w:val="auto"/>
        </w:rPr>
        <w:t>Some scientific experts are predicting a worsening of weather volatility in the future, possibly created by the climate change greenhouse gases. Changing severe weather patterns could require additional expenditures to reduce the risk associated with any increasing storm, flood and drought occurrences.</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issue of climate change is receiving ever increasing attention worldwide. Many climate change predictions, if true, present several potential challenges to water and wastewater utilities, such as: increased frequency and duration of droughts, increased precipitation and flooding, potential degradation of water quality, and changes in demand for services. We maintain an ongoing facility planning process, and this planning or the enactment of new standards may result in the need for additional capital expenditures or raise our operating costs. Because of the uncertainty of weather volatility related to climate change, we cannot predict its potential impact on our business, financial condition, or results of operations. Although any potential expenditures and costs may be recovered in the form of higher rates, there can be no assurance that the various state utility commissions that govern our business would approve rate increases to enable us to recover such expenditures and costs. We cannot assure you that our costs of complying with any climate change weather related measures will not harm our business, financial condition, or results of operations.</w:t>
      </w:r>
    </w:p>
    <w:p>
      <w:pPr>
        <w:spacing w:after="0" w:line="195"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b w:val="1"/>
          <w:bCs w:val="1"/>
          <w:i w:val="1"/>
          <w:iCs w:val="1"/>
          <w:color w:val="auto"/>
        </w:rPr>
        <w:t>Federal and state environmental laws, regulatory initiatives relating to hydraulic fracturing, changes in technology or hydraulic fracturing processes, and volatility in natural gas prices, could result in reduced demand for raw water utilized in hydraulic fracturing and harm our joint venture business, financial condition, or results of operations.</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have invested in a joint venture for the construction and operation of a private pipeline system to supply raw water to natural gas drilling operations for hydraulic fracturing. Hydraulic fracturing involves the injection under pressure of water, along with other materials such as sand, into rock formations to stimulate natural gas production. In general, the environmental community has taken an interest in monitoring and understanding the potential environmental impact of hydraulic fracturing. Although hydraulic fracturing is currently regulated, in the event the use of hydraulic fracturing is further limited through regulation, our investment in the raw water pipeline may be harmed in the event that demand for raw water is reduced.</w:t>
      </w:r>
    </w:p>
    <w:p>
      <w:pPr>
        <w:spacing w:after="0" w:line="179"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Changes in technology or hydraulic fracturing processes may occur which allows drillers to reuse injected water on a limited basis, or apply treatment processes to allow further reuse of water for drilling. These changes may reduce demand for raw water.</w:t>
      </w:r>
    </w:p>
    <w:p>
      <w:pPr>
        <w:spacing w:after="0" w:line="20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Furthermore, natural gas prices have historically been volatile, and are likely to continue to be volatile. A decrease in demand for natural gas, due to price volatility, could result in reduced demand for raw water utilized in hydraulic fracturing. In the event hydraulic fracturing is limited, due to a reduction in demand for natural gas or other factors affecting the industry, our investment in the raw water pipeline may be harmed should the demand for raw water be reduced.</w:t>
      </w:r>
    </w:p>
    <w:p>
      <w:pPr>
        <w:spacing w:after="0" w:line="17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i w:val="1"/>
          <w:iCs w:val="1"/>
          <w:color w:val="auto"/>
        </w:rPr>
        <w:t>We employ a portfolio rationalization strategy to focus our operations in areas where we have critical mass and economic growth potential and to divest operations where limited customer growth opportunities exist or where we are unable to achieve favorable operating results or a return on equity that we consider acceptable. Dispositions we decide to undertake may involve risks which could harm our business, operating results, and financial condition.</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the event we determine a division, utility system or business should be sold, we may be unable to reach terms that are agreeable to us or find a suitable buyer. If the business is part of our regulated operations, we may face additional challenges in obtaining regulatory approval for the disposition, and the regulatory approval obtained may include restrictive conditions. We may be required to continue to hold or assume residual liabilities with respect to the business sold. The negotiation of potential dispositions as well as the efforts to divest the acquired business could require us to incur significant costs and cause diversion of our management’s time and resources. Any of these risks may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Item 1B</w:t>
      </w:r>
      <w:r>
        <w:rPr>
          <w:sz w:val="20"/>
          <w:szCs w:val="20"/>
          <w:color w:val="auto"/>
        </w:rPr>
        <w:tab/>
      </w:r>
      <w:r>
        <w:rPr>
          <w:rFonts w:ascii="Arial" w:cs="Arial" w:eastAsia="Arial" w:hAnsi="Arial"/>
          <w:sz w:val="16"/>
          <w:szCs w:val="16"/>
          <w:i w:val="1"/>
          <w:i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6"/>
          <w:szCs w:val="16"/>
          <w:i w:val="1"/>
          <w:iCs w:val="1"/>
          <w:color w:val="auto"/>
        </w:rPr>
        <w:t>Properties</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Our properties consist of water transmission and distribution mains and wastewater collection pipelines, water and wastewater treatment plants, pumping facilities, wells, tanks, meters, pipes, dams, reservoirs, buildings, vehicles, land, easements, rights-of-way, and other facilities and equipment used for the operation of our systems, including the collection, treatment, storage, and distribution of water and the collection and treatment of wastewater. Substantially all of our treatment, storage, and distribution properties are owned by our subsidiaries, and a substantial portion of our property is subject to liens of mortgage or indentures. These liens secure bonds, notes and other evidences of long-term indebtedness of our subsidiaries. For some properties that we acquired through the exercise of the power of eminent domain and other properties we purchased, we hold title for water supply purposes only. We own, operate and maintain over 13,000 miles of transmission and distribution mains, 21 surface water treatment plants, many well treatment stations, and 188 wastewater treatment plants. A small portion of the properties are leased under long-term leases.</w:t>
      </w:r>
    </w:p>
    <w:p>
      <w:pPr>
        <w:spacing w:after="0" w:line="195"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following table indicates our net property, plant and equipment, in thousands of dollars, as of December 31, 2018 in the principal states where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Net Property, Plant and Equipment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Pennsylvania</w:t>
            </w:r>
          </w:p>
        </w:tc>
        <w:tc>
          <w:tcPr>
            <w:tcW w:w="1260" w:type="dxa"/>
            <w:vAlign w:val="bottom"/>
            <w:tcBorders>
              <w:top w:val="single" w:sz="8" w:color="auto"/>
            </w:tcBorders>
            <w:shd w:val="clear" w:color="auto" w:fill="CCEEFF"/>
          </w:tcPr>
          <w:p>
            <w:pPr>
              <w:jc w:val="right"/>
              <w:ind w:right="72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2"/>
              </w:rPr>
              <w:t>3,757,525</w:t>
            </w:r>
          </w:p>
        </w:tc>
        <w:tc>
          <w:tcPr>
            <w:tcW w:w="54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CCEEFF"/>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63.4%</w:t>
            </w:r>
          </w:p>
        </w:tc>
      </w:tr>
      <w:tr>
        <w:trPr>
          <w:trHeight w:val="230"/>
        </w:trPr>
        <w:tc>
          <w:tcPr>
            <w:tcW w:w="4400" w:type="dxa"/>
            <w:vAlign w:val="bottom"/>
          </w:tcPr>
          <w:p>
            <w:pPr>
              <w:spacing w:after="0"/>
              <w:rPr>
                <w:sz w:val="20"/>
                <w:szCs w:val="20"/>
                <w:color w:val="auto"/>
              </w:rPr>
            </w:pPr>
            <w:r>
              <w:rPr>
                <w:rFonts w:ascii="Arial" w:cs="Arial" w:eastAsia="Arial" w:hAnsi="Arial"/>
                <w:sz w:val="20"/>
                <w:szCs w:val="20"/>
                <w:color w:val="auto"/>
              </w:rPr>
              <w:t>Ohio</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492,956</w:t>
            </w:r>
          </w:p>
        </w:tc>
        <w:tc>
          <w:tcPr>
            <w:tcW w:w="5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20"/>
                <w:szCs w:val="20"/>
                <w:color w:val="auto"/>
              </w:rPr>
              <w:t>Illinois</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439,524</w:t>
            </w:r>
          </w:p>
        </w:tc>
        <w:tc>
          <w:tcPr>
            <w:tcW w:w="5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4400" w:type="dxa"/>
            <w:vAlign w:val="bottom"/>
          </w:tcPr>
          <w:p>
            <w:pPr>
              <w:spacing w:after="0"/>
              <w:rPr>
                <w:sz w:val="20"/>
                <w:szCs w:val="20"/>
                <w:color w:val="auto"/>
              </w:rPr>
            </w:pPr>
            <w:r>
              <w:rPr>
                <w:rFonts w:ascii="Arial" w:cs="Arial" w:eastAsia="Arial" w:hAnsi="Arial"/>
                <w:sz w:val="20"/>
                <w:szCs w:val="20"/>
                <w:color w:val="auto"/>
              </w:rPr>
              <w:t>North Carolina</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375,134</w:t>
            </w:r>
          </w:p>
        </w:tc>
        <w:tc>
          <w:tcPr>
            <w:tcW w:w="5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20"/>
                <w:szCs w:val="20"/>
                <w:color w:val="auto"/>
              </w:rPr>
              <w:t>Texas</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332,580</w:t>
            </w:r>
          </w:p>
        </w:tc>
        <w:tc>
          <w:tcPr>
            <w:tcW w:w="5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w:t>
            </w:r>
          </w:p>
        </w:tc>
      </w:tr>
      <w:tr>
        <w:trPr>
          <w:trHeight w:val="230"/>
        </w:trPr>
        <w:tc>
          <w:tcPr>
            <w:tcW w:w="44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(1)</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532,607</w:t>
            </w:r>
          </w:p>
        </w:tc>
        <w:tc>
          <w:tcPr>
            <w:tcW w:w="54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w:t>
            </w:r>
          </w:p>
        </w:tc>
      </w:tr>
      <w:tr>
        <w:trPr>
          <w:trHeight w:val="230"/>
        </w:trPr>
        <w:tc>
          <w:tcPr>
            <w:tcW w:w="44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Consolidated</w:t>
            </w:r>
          </w:p>
        </w:tc>
        <w:tc>
          <w:tcPr>
            <w:tcW w:w="1260" w:type="dxa"/>
            <w:vAlign w:val="bottom"/>
            <w:tcBorders>
              <w:bottom w:val="single" w:sz="8" w:color="auto"/>
            </w:tcBorders>
            <w:shd w:val="clear" w:color="auto" w:fill="CCEEFF"/>
          </w:tcPr>
          <w:p>
            <w:pPr>
              <w:jc w:val="right"/>
              <w:ind w:right="72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2"/>
              </w:rPr>
              <w:t>5,930,326</w:t>
            </w:r>
          </w:p>
        </w:tc>
        <w:tc>
          <w:tcPr>
            <w:tcW w:w="54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100.0%</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(1) Consists primarily of our operating subsidiaries in the following states: New Jersey, Indiana, and Virginia.</w:t>
      </w:r>
    </w:p>
    <w:p>
      <w:pPr>
        <w:spacing w:after="0" w:line="108"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We believe that our properties are generally maintained in good condition and in accordance with current standards of good water and wastewater industry practice. We believe that our facilities are adequate and suitable for the conduct of our business and to meet customer requirements under normal circumstances.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Our corporate offices are leased from our subsidiary, Aqua Pennsylvania, and are located in Bryn Mawr, Pennsylvania.</w:t>
      </w:r>
    </w:p>
    <w:p>
      <w:pPr>
        <w:spacing w:after="0" w:line="268"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6"/>
          <w:szCs w:val="16"/>
          <w:i w:val="1"/>
          <w:iCs w:val="1"/>
          <w:color w:val="auto"/>
        </w:rPr>
        <w:t>Legal Proceedings</w:t>
      </w:r>
    </w:p>
    <w:p>
      <w:pPr>
        <w:spacing w:after="0" w:line="229"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There are various legal proceedings in which we are involved. Although the results of legal proceedings cannot be predicted with certainty, there are no pending legal proceedings to which we or any of our subsidiaries is a party or to which any of our properties is the subject that we believe are material or are expected to materially harm our business, operating results or financial condition.</w:t>
      </w:r>
    </w:p>
    <w:p>
      <w:pPr>
        <w:spacing w:after="0" w:line="246"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6"/>
          <w:szCs w:val="16"/>
          <w:i w:val="1"/>
          <w:iCs w:val="1"/>
          <w:color w:val="auto"/>
        </w:rPr>
        <w:t>Mine Safety Disclosures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26" w:name="page27"/>
    <w:bookmarkEnd w:id="26"/>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left="4724"/>
        <w:spacing w:after="0"/>
        <w:rPr>
          <w:sz w:val="20"/>
          <w:szCs w:val="20"/>
          <w:color w:val="auto"/>
        </w:rPr>
      </w:pPr>
      <w:r>
        <w:rPr>
          <w:rFonts w:ascii="Arial" w:cs="Arial" w:eastAsia="Arial" w:hAnsi="Arial"/>
          <w:sz w:val="20"/>
          <w:szCs w:val="20"/>
          <w:color w:val="auto"/>
        </w:rPr>
        <w:t>PART II</w:t>
      </w:r>
    </w:p>
    <w:p>
      <w:pPr>
        <w:spacing w:after="0" w:line="121" w:lineRule="exact"/>
        <w:rPr>
          <w:sz w:val="20"/>
          <w:szCs w:val="20"/>
          <w:color w:val="auto"/>
        </w:rPr>
      </w:pPr>
    </w:p>
    <w:p>
      <w:pPr>
        <w:ind w:left="4"/>
        <w:spacing w:after="0"/>
        <w:tabs>
          <w:tab w:leader="none" w:pos="903"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i w:val="1"/>
          <w:iCs w:val="1"/>
          <w:color w:val="auto"/>
        </w:rPr>
        <w:t>Market for the Registrant's Common Stock, Related Stockholder Matters and Purchases of Equity Securities</w:t>
      </w:r>
    </w:p>
    <w:p>
      <w:pPr>
        <w:spacing w:after="0" w:line="189" w:lineRule="exact"/>
        <w:rPr>
          <w:sz w:val="20"/>
          <w:szCs w:val="20"/>
          <w:color w:val="auto"/>
        </w:rPr>
      </w:pPr>
    </w:p>
    <w:p>
      <w:pPr>
        <w:ind w:left="4" w:right="120"/>
        <w:spacing w:after="0" w:line="260" w:lineRule="auto"/>
        <w:rPr>
          <w:sz w:val="20"/>
          <w:szCs w:val="20"/>
          <w:color w:val="auto"/>
        </w:rPr>
      </w:pPr>
      <w:r>
        <w:rPr>
          <w:rFonts w:ascii="Arial" w:cs="Arial" w:eastAsia="Arial" w:hAnsi="Arial"/>
          <w:sz w:val="20"/>
          <w:szCs w:val="20"/>
          <w:color w:val="auto"/>
        </w:rPr>
        <w:t>Our common stock is traded on the New York Stock Exchange under the ticker symbol WTR. As of February 12, 2019, there were approximately 23,446 holders of record of our common stock.</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20"/>
          <w:szCs w:val="20"/>
          <w:color w:val="auto"/>
        </w:rPr>
        <w:t>The following table shows the cash dividends paid per share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246"/>
        </w:trPr>
        <w:tc>
          <w:tcPr>
            <w:tcW w:w="3540" w:type="dxa"/>
            <w:vAlign w:val="bottom"/>
            <w:vMerge w:val="restart"/>
          </w:tcPr>
          <w:p>
            <w:pPr>
              <w:spacing w:after="0"/>
              <w:rPr>
                <w:sz w:val="20"/>
                <w:szCs w:val="20"/>
                <w:color w:val="auto"/>
              </w:rPr>
            </w:pPr>
            <w:r>
              <w:rPr>
                <w:rFonts w:ascii="Arial" w:cs="Arial" w:eastAsia="Arial" w:hAnsi="Arial"/>
                <w:sz w:val="20"/>
                <w:szCs w:val="20"/>
                <w:color w:val="auto"/>
              </w:rPr>
              <w:t>2018</w:t>
            </w: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First Quarter</w:t>
            </w: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color w:val="auto"/>
                <w:w w:val="96"/>
              </w:rPr>
              <w:t>Second Quarter</w:t>
            </w:r>
          </w:p>
        </w:tc>
        <w:tc>
          <w:tcPr>
            <w:tcW w:w="14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20"/>
                <w:szCs w:val="20"/>
                <w:color w:val="auto"/>
              </w:rPr>
              <w:t>Third Quarter</w:t>
            </w: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w w:val="99"/>
              </w:rPr>
              <w:t>Fourth Quarter</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94"/>
              </w:rPr>
              <w:t>Year</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Dividend paid per common share</w:t>
            </w:r>
          </w:p>
        </w:tc>
        <w:tc>
          <w:tcPr>
            <w:tcW w:w="420" w:type="dxa"/>
            <w:vAlign w:val="bottom"/>
            <w:shd w:val="clear" w:color="auto" w:fill="CCEEFF"/>
          </w:tcPr>
          <w:p>
            <w:pPr>
              <w:ind w:left="120"/>
              <w:spacing w:after="0" w:line="223" w:lineRule="exact"/>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0.2047</w:t>
            </w:r>
          </w:p>
        </w:tc>
        <w:tc>
          <w:tcPr>
            <w:tcW w:w="520" w:type="dxa"/>
            <w:vAlign w:val="bottom"/>
            <w:shd w:val="clear" w:color="auto" w:fill="CCEEFF"/>
          </w:tcPr>
          <w:p>
            <w:pPr>
              <w:ind w:left="80"/>
              <w:spacing w:after="0" w:line="223" w:lineRule="exact"/>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0.2047</w:t>
            </w:r>
          </w:p>
        </w:tc>
        <w:tc>
          <w:tcPr>
            <w:tcW w:w="480" w:type="dxa"/>
            <w:vAlign w:val="bottom"/>
            <w:shd w:val="clear" w:color="auto" w:fill="CCEEFF"/>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0.2190</w:t>
            </w:r>
          </w:p>
        </w:tc>
        <w:tc>
          <w:tcPr>
            <w:tcW w:w="500" w:type="dxa"/>
            <w:vAlign w:val="bottom"/>
            <w:shd w:val="clear" w:color="auto" w:fill="CCEEFF"/>
          </w:tcPr>
          <w:p>
            <w:pPr>
              <w:ind w:left="80"/>
              <w:spacing w:after="0" w:line="22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0.2190</w:t>
            </w:r>
          </w:p>
        </w:tc>
        <w:tc>
          <w:tcPr>
            <w:tcW w:w="2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0.8474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20"/>
                <w:szCs w:val="20"/>
                <w:color w:val="auto"/>
              </w:rPr>
              <w:t>Dividend declared per common share</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0.2047</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0.2047</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0.2190</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0.2190</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0.8474</w:t>
            </w:r>
          </w:p>
        </w:tc>
        <w:tc>
          <w:tcPr>
            <w:tcW w:w="0" w:type="dxa"/>
            <w:vAlign w:val="bottom"/>
          </w:tcPr>
          <w:p>
            <w:pPr>
              <w:spacing w:after="0"/>
              <w:rPr>
                <w:sz w:val="1"/>
                <w:szCs w:val="1"/>
                <w:color w:val="auto"/>
              </w:rPr>
            </w:pPr>
          </w:p>
        </w:tc>
      </w:tr>
      <w:tr>
        <w:trPr>
          <w:trHeight w:val="438"/>
        </w:trPr>
        <w:tc>
          <w:tcPr>
            <w:tcW w:w="3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2017</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Dividend paid per common share</w:t>
            </w:r>
          </w:p>
        </w:tc>
        <w:tc>
          <w:tcPr>
            <w:tcW w:w="420" w:type="dxa"/>
            <w:vAlign w:val="bottom"/>
            <w:shd w:val="clear" w:color="auto" w:fill="CCEEFF"/>
          </w:tcPr>
          <w:p>
            <w:pPr>
              <w:ind w:left="120"/>
              <w:spacing w:after="0" w:line="223" w:lineRule="exact"/>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0.1913</w:t>
            </w:r>
          </w:p>
        </w:tc>
        <w:tc>
          <w:tcPr>
            <w:tcW w:w="520" w:type="dxa"/>
            <w:vAlign w:val="bottom"/>
            <w:shd w:val="clear" w:color="auto" w:fill="CCEEFF"/>
          </w:tcPr>
          <w:p>
            <w:pPr>
              <w:ind w:left="80"/>
              <w:spacing w:after="0" w:line="223" w:lineRule="exact"/>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0.1913</w:t>
            </w:r>
          </w:p>
        </w:tc>
        <w:tc>
          <w:tcPr>
            <w:tcW w:w="480" w:type="dxa"/>
            <w:vAlign w:val="bottom"/>
            <w:shd w:val="clear" w:color="auto" w:fill="CCEEFF"/>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0.2047</w:t>
            </w:r>
          </w:p>
        </w:tc>
        <w:tc>
          <w:tcPr>
            <w:tcW w:w="500" w:type="dxa"/>
            <w:vAlign w:val="bottom"/>
            <w:shd w:val="clear" w:color="auto" w:fill="CCEEFF"/>
          </w:tcPr>
          <w:p>
            <w:pPr>
              <w:ind w:left="80"/>
              <w:spacing w:after="0" w:line="22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0.2047</w:t>
            </w:r>
          </w:p>
        </w:tc>
        <w:tc>
          <w:tcPr>
            <w:tcW w:w="2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0.7920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20"/>
                <w:szCs w:val="20"/>
                <w:color w:val="auto"/>
              </w:rPr>
              <w:t>Dividend declared per common share</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0.1913</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0.1913</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0.2047</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0.2047</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0.7920</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 w:right="140"/>
        <w:spacing w:after="0" w:line="257" w:lineRule="auto"/>
        <w:rPr>
          <w:sz w:val="20"/>
          <w:szCs w:val="20"/>
          <w:color w:val="auto"/>
        </w:rPr>
      </w:pPr>
      <w:r>
        <w:rPr>
          <w:rFonts w:ascii="Arial" w:cs="Arial" w:eastAsia="Arial" w:hAnsi="Arial"/>
          <w:sz w:val="19"/>
          <w:szCs w:val="19"/>
          <w:color w:val="auto"/>
        </w:rPr>
        <w:t>We have paid dividends consecutively for 74 years. On July 20, 2018, our Board of Directors authorized an increase of 7.0% in the September 1, 2018 quarterly dividend over the dividend Aqua America paid in the previous quarter. As a result of this authorization, beginning with the dividend payment in September 2018, the annualized dividend rate increased to $0.876 per share. This is the 28</w:t>
      </w:r>
      <w:r>
        <w:rPr>
          <w:rFonts w:ascii="Arial" w:cs="Arial" w:eastAsia="Arial" w:hAnsi="Arial"/>
          <w:sz w:val="19"/>
          <w:szCs w:val="19"/>
          <w:color w:val="auto"/>
          <w:vertAlign w:val="superscript"/>
        </w:rPr>
        <w:t>th</w:t>
      </w:r>
      <w:r>
        <w:rPr>
          <w:rFonts w:ascii="Arial" w:cs="Arial" w:eastAsia="Arial" w:hAnsi="Arial"/>
          <w:sz w:val="19"/>
          <w:szCs w:val="19"/>
          <w:color w:val="auto"/>
        </w:rPr>
        <w:t xml:space="preserve"> dividend increase in the past 27 years and the 20</w:t>
      </w:r>
      <w:r>
        <w:rPr>
          <w:rFonts w:ascii="Arial" w:cs="Arial" w:eastAsia="Arial" w:hAnsi="Arial"/>
          <w:sz w:val="19"/>
          <w:szCs w:val="19"/>
          <w:color w:val="auto"/>
          <w:vertAlign w:val="superscript"/>
        </w:rPr>
        <w:t>th</w:t>
      </w:r>
      <w:r>
        <w:rPr>
          <w:rFonts w:ascii="Arial" w:cs="Arial" w:eastAsia="Arial" w:hAnsi="Arial"/>
          <w:sz w:val="19"/>
          <w:szCs w:val="19"/>
          <w:color w:val="auto"/>
        </w:rPr>
        <w:t xml:space="preserve"> consecutive year that we have increased our dividend in excess of five percent. We presently intend to pay quarterly cash dividends in the future, on March 1, June 1, September 1, and December 1, subject to our earnings and financial condition, restrictions set forth in our debt instruments, regulatory requirements and such other factors as our Board of Directors may deem relevant. In 2018, our dividends paid represented 78.5% of net income.</w:t>
      </w:r>
    </w:p>
    <w:p>
      <w:pPr>
        <w:spacing w:after="0" w:line="195" w:lineRule="exact"/>
        <w:rPr>
          <w:sz w:val="20"/>
          <w:szCs w:val="20"/>
          <w:color w:val="auto"/>
        </w:rPr>
      </w:pPr>
    </w:p>
    <w:p>
      <w:pPr>
        <w:ind w:left="4" w:right="260"/>
        <w:spacing w:after="0" w:line="287" w:lineRule="auto"/>
        <w:rPr>
          <w:sz w:val="20"/>
          <w:szCs w:val="20"/>
          <w:color w:val="auto"/>
        </w:rPr>
      </w:pPr>
      <w:r>
        <w:rPr>
          <w:rFonts w:ascii="Arial" w:cs="Arial" w:eastAsia="Arial" w:hAnsi="Arial"/>
          <w:sz w:val="19"/>
          <w:szCs w:val="19"/>
          <w:color w:val="auto"/>
        </w:rPr>
        <w:t xml:space="preserve">Information with respect to restrictions set forth in our debt instruments is disclosed in Note 10 </w:t>
      </w:r>
      <w:r>
        <w:rPr>
          <w:rFonts w:ascii="Arial" w:cs="Arial" w:eastAsia="Arial" w:hAnsi="Arial"/>
          <w:sz w:val="19"/>
          <w:szCs w:val="19"/>
          <w:i w:val="1"/>
          <w:iCs w:val="1"/>
          <w:color w:val="auto"/>
        </w:rPr>
        <w:t>– Long-term Debt and Loans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Payable </w:t>
      </w:r>
      <w:r>
        <w:rPr>
          <w:rFonts w:ascii="Arial" w:cs="Arial" w:eastAsia="Arial" w:hAnsi="Arial"/>
          <w:sz w:val="19"/>
          <w:szCs w:val="19"/>
          <w:color w:val="auto"/>
        </w:rPr>
        <w:t>in the</w:t>
      </w:r>
      <w:r>
        <w:rPr>
          <w:rFonts w:ascii="Arial" w:cs="Arial" w:eastAsia="Arial" w:hAnsi="Arial"/>
          <w:sz w:val="19"/>
          <w:szCs w:val="19"/>
          <w:i w:val="1"/>
          <w:iCs w:val="1"/>
          <w:color w:val="auto"/>
        </w:rPr>
        <w:t xml:space="preserve"> Notes to Consolidated Financial Statements </w:t>
      </w:r>
      <w:r>
        <w:rPr>
          <w:rFonts w:ascii="Arial" w:cs="Arial" w:eastAsia="Arial" w:hAnsi="Arial"/>
          <w:sz w:val="19"/>
          <w:szCs w:val="19"/>
          <w:color w:val="auto"/>
        </w:rPr>
        <w:t>which is contained in Item 8 of this Annual Report.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summarizes the Company’s purchases of its common stock for the quarter ending December 31, 2018:</w:t>
      </w:r>
    </w:p>
    <w:p>
      <w:pPr>
        <w:spacing w:after="0" w:line="296"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80" w:type="dxa"/>
            <w:vAlign w:val="bottom"/>
            <w:gridSpan w:val="6"/>
          </w:tcPr>
          <w:p>
            <w:pPr>
              <w:spacing w:after="0"/>
              <w:rPr>
                <w:sz w:val="20"/>
                <w:szCs w:val="20"/>
                <w:color w:val="auto"/>
              </w:rPr>
            </w:pPr>
            <w:r>
              <w:rPr>
                <w:rFonts w:ascii="Arial" w:cs="Arial" w:eastAsia="Arial" w:hAnsi="Arial"/>
                <w:sz w:val="20"/>
                <w:szCs w:val="20"/>
                <w:color w:val="auto"/>
                <w:w w:val="92"/>
              </w:rPr>
              <w:t>Issuer Purchases of Equity Securities</w:t>
            </w:r>
          </w:p>
        </w:tc>
        <w:tc>
          <w:tcPr>
            <w:tcW w:w="172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Total Number of</w:t>
            </w:r>
          </w:p>
        </w:tc>
        <w:tc>
          <w:tcPr>
            <w:tcW w:w="176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Maximum Number</w:t>
            </w:r>
          </w:p>
        </w:tc>
        <w:tc>
          <w:tcPr>
            <w:tcW w:w="0" w:type="dxa"/>
            <w:vAlign w:val="bottom"/>
          </w:tcPr>
          <w:p>
            <w:pPr>
              <w:spacing w:after="0"/>
              <w:rPr>
                <w:sz w:val="1"/>
                <w:szCs w:val="1"/>
                <w:color w:val="auto"/>
              </w:rPr>
            </w:pPr>
          </w:p>
        </w:tc>
      </w:tr>
      <w:tr>
        <w:trPr>
          <w:trHeight w:val="233"/>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20"/>
                <w:szCs w:val="20"/>
                <w:color w:val="auto"/>
                <w:w w:val="89"/>
              </w:rPr>
              <w:t>Shares Purchased</w:t>
            </w:r>
          </w:p>
        </w:tc>
        <w:tc>
          <w:tcPr>
            <w:tcW w:w="1760" w:type="dxa"/>
            <w:vAlign w:val="bottom"/>
            <w:gridSpan w:val="2"/>
          </w:tcPr>
          <w:p>
            <w:pPr>
              <w:jc w:val="right"/>
              <w:ind w:right="20"/>
              <w:spacing w:after="0"/>
              <w:rPr>
                <w:sz w:val="20"/>
                <w:szCs w:val="20"/>
                <w:color w:val="auto"/>
              </w:rPr>
            </w:pPr>
            <w:r>
              <w:rPr>
                <w:rFonts w:ascii="Arial" w:cs="Arial" w:eastAsia="Arial" w:hAnsi="Arial"/>
                <w:sz w:val="20"/>
                <w:szCs w:val="20"/>
                <w:color w:val="auto"/>
              </w:rPr>
              <w:t>of Shares that May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20"/>
                <w:szCs w:val="20"/>
                <w:color w:val="auto"/>
                <w:w w:val="92"/>
              </w:rPr>
              <w:t>as Part of Publicly</w:t>
            </w:r>
          </w:p>
        </w:tc>
        <w:tc>
          <w:tcPr>
            <w:tcW w:w="1760" w:type="dxa"/>
            <w:vAlign w:val="bottom"/>
            <w:gridSpan w:val="2"/>
          </w:tcPr>
          <w:p>
            <w:pPr>
              <w:jc w:val="right"/>
              <w:ind w:right="20"/>
              <w:spacing w:after="0"/>
              <w:rPr>
                <w:sz w:val="20"/>
                <w:szCs w:val="20"/>
                <w:color w:val="auto"/>
              </w:rPr>
            </w:pPr>
            <w:r>
              <w:rPr>
                <w:rFonts w:ascii="Arial" w:cs="Arial" w:eastAsia="Arial" w:hAnsi="Arial"/>
                <w:sz w:val="20"/>
                <w:szCs w:val="20"/>
                <w:color w:val="auto"/>
              </w:rPr>
              <w:t>Yet Be Purchased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20" w:type="dxa"/>
            <w:vAlign w:val="bottom"/>
            <w:gridSpan w:val="3"/>
          </w:tcPr>
          <w:p>
            <w:pPr>
              <w:jc w:val="right"/>
              <w:ind w:right="220"/>
              <w:spacing w:after="0"/>
              <w:rPr>
                <w:sz w:val="20"/>
                <w:szCs w:val="20"/>
                <w:color w:val="auto"/>
              </w:rPr>
            </w:pPr>
            <w:r>
              <w:rPr>
                <w:rFonts w:ascii="Arial" w:cs="Arial" w:eastAsia="Arial" w:hAnsi="Arial"/>
                <w:sz w:val="20"/>
                <w:szCs w:val="20"/>
                <w:color w:val="auto"/>
              </w:rPr>
              <w:t>Total Number of</w:t>
            </w:r>
          </w:p>
        </w:tc>
        <w:tc>
          <w:tcPr>
            <w:tcW w:w="1860" w:type="dxa"/>
            <w:vAlign w:val="bottom"/>
            <w:gridSpan w:val="4"/>
          </w:tcPr>
          <w:p>
            <w:pPr>
              <w:jc w:val="center"/>
              <w:ind w:right="220"/>
              <w:spacing w:after="0"/>
              <w:rPr>
                <w:sz w:val="20"/>
                <w:szCs w:val="20"/>
                <w:color w:val="auto"/>
              </w:rPr>
            </w:pPr>
            <w:r>
              <w:rPr>
                <w:rFonts w:ascii="Arial" w:cs="Arial" w:eastAsia="Arial" w:hAnsi="Arial"/>
                <w:sz w:val="20"/>
                <w:szCs w:val="20"/>
                <w:color w:val="auto"/>
                <w:w w:val="88"/>
              </w:rPr>
              <w:t>Average Price Paid</w:t>
            </w:r>
          </w:p>
        </w:tc>
        <w:tc>
          <w:tcPr>
            <w:tcW w:w="1720" w:type="dxa"/>
            <w:vAlign w:val="bottom"/>
            <w:gridSpan w:val="2"/>
          </w:tcPr>
          <w:p>
            <w:pPr>
              <w:jc w:val="right"/>
              <w:ind w:right="220"/>
              <w:spacing w:after="0"/>
              <w:rPr>
                <w:sz w:val="20"/>
                <w:szCs w:val="20"/>
                <w:color w:val="auto"/>
              </w:rPr>
            </w:pPr>
            <w:r>
              <w:rPr>
                <w:rFonts w:ascii="Arial" w:cs="Arial" w:eastAsia="Arial" w:hAnsi="Arial"/>
                <w:sz w:val="20"/>
                <w:szCs w:val="20"/>
                <w:color w:val="auto"/>
                <w:w w:val="94"/>
              </w:rPr>
              <w:t>Announced Plans</w:t>
            </w:r>
          </w:p>
        </w:tc>
        <w:tc>
          <w:tcPr>
            <w:tcW w:w="1760" w:type="dxa"/>
            <w:vAlign w:val="bottom"/>
            <w:gridSpan w:val="2"/>
          </w:tcPr>
          <w:p>
            <w:pPr>
              <w:jc w:val="right"/>
              <w:ind w:right="20"/>
              <w:spacing w:after="0"/>
              <w:rPr>
                <w:sz w:val="20"/>
                <w:szCs w:val="20"/>
                <w:color w:val="auto"/>
              </w:rPr>
            </w:pPr>
            <w:r>
              <w:rPr>
                <w:rFonts w:ascii="Arial" w:cs="Arial" w:eastAsia="Arial" w:hAnsi="Arial"/>
                <w:sz w:val="20"/>
                <w:szCs w:val="20"/>
                <w:color w:val="auto"/>
              </w:rPr>
              <w:t>Under the Plan or</w:t>
            </w:r>
          </w:p>
        </w:tc>
        <w:tc>
          <w:tcPr>
            <w:tcW w:w="0" w:type="dxa"/>
            <w:vAlign w:val="bottom"/>
          </w:tcPr>
          <w:p>
            <w:pPr>
              <w:spacing w:after="0"/>
              <w:rPr>
                <w:sz w:val="1"/>
                <w:szCs w:val="1"/>
                <w:color w:val="auto"/>
              </w:rPr>
            </w:pPr>
          </w:p>
        </w:tc>
      </w:tr>
      <w:tr>
        <w:trPr>
          <w:trHeight w:val="206"/>
        </w:trPr>
        <w:tc>
          <w:tcPr>
            <w:tcW w:w="2780" w:type="dxa"/>
            <w:vAlign w:val="bottom"/>
            <w:gridSpan w:val="2"/>
          </w:tcPr>
          <w:p>
            <w:pPr>
              <w:spacing w:after="0" w:line="206" w:lineRule="exact"/>
              <w:rPr>
                <w:sz w:val="20"/>
                <w:szCs w:val="20"/>
                <w:color w:val="auto"/>
              </w:rPr>
            </w:pPr>
            <w:r>
              <w:rPr>
                <w:rFonts w:ascii="Arial" w:cs="Arial" w:eastAsia="Arial" w:hAnsi="Arial"/>
                <w:sz w:val="20"/>
                <w:szCs w:val="20"/>
                <w:color w:val="auto"/>
              </w:rPr>
              <w:t>Period</w:t>
            </w:r>
          </w:p>
        </w:tc>
        <w:tc>
          <w:tcPr>
            <w:tcW w:w="2020" w:type="dxa"/>
            <w:vAlign w:val="bottom"/>
            <w:gridSpan w:val="3"/>
          </w:tcPr>
          <w:p>
            <w:pPr>
              <w:jc w:val="right"/>
              <w:ind w:right="220"/>
              <w:spacing w:after="0" w:line="206" w:lineRule="exact"/>
              <w:rPr>
                <w:sz w:val="20"/>
                <w:szCs w:val="20"/>
                <w:color w:val="auto"/>
              </w:rPr>
            </w:pPr>
            <w:r>
              <w:rPr>
                <w:rFonts w:ascii="Arial" w:cs="Arial" w:eastAsia="Arial" w:hAnsi="Arial"/>
                <w:sz w:val="20"/>
                <w:szCs w:val="20"/>
                <w:color w:val="auto"/>
                <w:w w:val="91"/>
              </w:rPr>
              <w:t>Shares Purchased (1)</w:t>
            </w:r>
          </w:p>
        </w:tc>
        <w:tc>
          <w:tcPr>
            <w:tcW w:w="360" w:type="dxa"/>
            <w:vAlign w:val="bottom"/>
          </w:tcPr>
          <w:p>
            <w:pPr>
              <w:spacing w:after="0"/>
              <w:rPr>
                <w:sz w:val="17"/>
                <w:szCs w:val="17"/>
                <w:color w:val="auto"/>
              </w:rPr>
            </w:pPr>
          </w:p>
        </w:tc>
        <w:tc>
          <w:tcPr>
            <w:tcW w:w="1500" w:type="dxa"/>
            <w:vAlign w:val="bottom"/>
            <w:gridSpan w:val="3"/>
          </w:tcPr>
          <w:p>
            <w:pPr>
              <w:jc w:val="center"/>
              <w:ind w:right="580"/>
              <w:spacing w:after="0" w:line="206" w:lineRule="exact"/>
              <w:rPr>
                <w:sz w:val="20"/>
                <w:szCs w:val="20"/>
                <w:color w:val="auto"/>
              </w:rPr>
            </w:pPr>
            <w:r>
              <w:rPr>
                <w:rFonts w:ascii="Arial" w:cs="Arial" w:eastAsia="Arial" w:hAnsi="Arial"/>
                <w:sz w:val="20"/>
                <w:szCs w:val="20"/>
                <w:color w:val="auto"/>
                <w:w w:val="86"/>
              </w:rPr>
              <w:t>per Share</w:t>
            </w:r>
          </w:p>
        </w:tc>
        <w:tc>
          <w:tcPr>
            <w:tcW w:w="1720" w:type="dxa"/>
            <w:vAlign w:val="bottom"/>
            <w:gridSpan w:val="2"/>
          </w:tcPr>
          <w:p>
            <w:pPr>
              <w:jc w:val="right"/>
              <w:ind w:right="220"/>
              <w:spacing w:after="0" w:line="206" w:lineRule="exact"/>
              <w:rPr>
                <w:sz w:val="20"/>
                <w:szCs w:val="20"/>
                <w:color w:val="auto"/>
              </w:rPr>
            </w:pPr>
            <w:r>
              <w:rPr>
                <w:rFonts w:ascii="Arial" w:cs="Arial" w:eastAsia="Arial" w:hAnsi="Arial"/>
                <w:sz w:val="20"/>
                <w:szCs w:val="20"/>
                <w:color w:val="auto"/>
              </w:rPr>
              <w:t>or Programs</w:t>
            </w:r>
          </w:p>
        </w:tc>
        <w:tc>
          <w:tcPr>
            <w:tcW w:w="1760" w:type="dxa"/>
            <w:vAlign w:val="bottom"/>
            <w:gridSpan w:val="2"/>
          </w:tcPr>
          <w:p>
            <w:pPr>
              <w:jc w:val="right"/>
              <w:ind w:right="20"/>
              <w:spacing w:after="0" w:line="206" w:lineRule="exact"/>
              <w:rPr>
                <w:sz w:val="20"/>
                <w:szCs w:val="20"/>
                <w:color w:val="auto"/>
              </w:rPr>
            </w:pPr>
            <w:r>
              <w:rPr>
                <w:rFonts w:ascii="Arial" w:cs="Arial" w:eastAsia="Arial" w:hAnsi="Arial"/>
                <w:sz w:val="20"/>
                <w:szCs w:val="20"/>
                <w:color w:val="auto"/>
              </w:rPr>
              <w:t>Programs</w:t>
            </w:r>
          </w:p>
        </w:tc>
        <w:tc>
          <w:tcPr>
            <w:tcW w:w="0" w:type="dxa"/>
            <w:vAlign w:val="bottom"/>
          </w:tcPr>
          <w:p>
            <w:pPr>
              <w:spacing w:after="0"/>
              <w:rPr>
                <w:sz w:val="1"/>
                <w:szCs w:val="1"/>
                <w:color w:val="auto"/>
              </w:rPr>
            </w:pPr>
          </w:p>
        </w:tc>
      </w:tr>
      <w:tr>
        <w:trPr>
          <w:trHeight w:val="21"/>
        </w:trPr>
        <w:tc>
          <w:tcPr>
            <w:tcW w:w="52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October 1-31, 2018</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80" w:type="dxa"/>
            <w:vAlign w:val="bottom"/>
            <w:gridSpan w:val="2"/>
          </w:tcPr>
          <w:p>
            <w:pPr>
              <w:spacing w:after="0"/>
              <w:rPr>
                <w:sz w:val="20"/>
                <w:szCs w:val="20"/>
                <w:color w:val="auto"/>
              </w:rPr>
            </w:pPr>
            <w:r>
              <w:rPr>
                <w:rFonts w:ascii="Arial" w:cs="Arial" w:eastAsia="Arial" w:hAnsi="Arial"/>
                <w:sz w:val="20"/>
                <w:szCs w:val="20"/>
                <w:color w:val="auto"/>
              </w:rPr>
              <w:t>November 1-30, 2018</w:t>
            </w: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1,933</w:t>
            </w:r>
          </w:p>
        </w:tc>
        <w:tc>
          <w:tcPr>
            <w:tcW w:w="220" w:type="dxa"/>
            <w:vAlign w:val="bottom"/>
          </w:tcPr>
          <w:p>
            <w:pPr>
              <w:spacing w:after="0"/>
              <w:rPr>
                <w:sz w:val="23"/>
                <w:szCs w:val="23"/>
                <w:color w:val="auto"/>
              </w:rPr>
            </w:pP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32.57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27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December 1-31, 2018</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780" w:type="dxa"/>
            <w:vAlign w:val="bottom"/>
            <w:gridSpan w:val="2"/>
          </w:tcPr>
          <w:p>
            <w:pPr>
              <w:spacing w:after="0"/>
              <w:rPr>
                <w:sz w:val="20"/>
                <w:szCs w:val="20"/>
                <w:color w:val="auto"/>
              </w:rPr>
            </w:pPr>
            <w:r>
              <w:rPr>
                <w:rFonts w:ascii="Arial" w:cs="Arial" w:eastAsia="Arial" w:hAnsi="Arial"/>
                <w:sz w:val="20"/>
                <w:szCs w:val="20"/>
                <w:color w:val="auto"/>
              </w:rPr>
              <w:t>Total</w:t>
            </w:r>
          </w:p>
        </w:tc>
        <w:tc>
          <w:tcPr>
            <w:tcW w:w="1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1,933</w:t>
            </w:r>
          </w:p>
        </w:tc>
        <w:tc>
          <w:tcPr>
            <w:tcW w:w="2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32.57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24" w:right="240" w:hanging="324"/>
        <w:spacing w:after="0" w:line="229" w:lineRule="auto"/>
        <w:tabs>
          <w:tab w:leader="none" w:pos="324"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These amounts consist of 1,933 shares we acquired from our employees associated with the withholding of shares to pay certain withholding taxes upon the vesting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27" w:name="page28"/>
    <w:bookmarkEnd w:id="2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4" w:lineRule="exact"/>
        <w:rPr>
          <w:sz w:val="20"/>
          <w:szCs w:val="20"/>
          <w:color w:val="auto"/>
        </w:rPr>
      </w:pPr>
    </w:p>
    <w:tbl>
      <w:tblPr>
        <w:tblLayout w:type="fixed"/>
        <w:tblInd w:w="4" w:type="dxa"/>
        <w:tblCellMar>
          <w:top w:w="0" w:type="dxa"/>
          <w:left w:w="0" w:type="dxa"/>
          <w:bottom w:w="0" w:type="dxa"/>
          <w:right w:w="0" w:type="dxa"/>
        </w:tblCellMar>
      </w:tblP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Item 6.</w:t>
            </w:r>
          </w:p>
        </w:tc>
        <w:tc>
          <w:tcPr>
            <w:tcW w:w="3840" w:type="dxa"/>
            <w:vAlign w:val="bottom"/>
            <w:gridSpan w:val="2"/>
          </w:tcPr>
          <w:p>
            <w:pPr>
              <w:ind w:left="60"/>
              <w:spacing w:after="0"/>
              <w:rPr>
                <w:sz w:val="20"/>
                <w:szCs w:val="20"/>
                <w:color w:val="auto"/>
              </w:rPr>
            </w:pPr>
            <w:r>
              <w:rPr>
                <w:rFonts w:ascii="Arial" w:cs="Arial" w:eastAsia="Arial" w:hAnsi="Arial"/>
                <w:sz w:val="20"/>
                <w:szCs w:val="20"/>
                <w:i w:val="1"/>
                <w:iCs w:val="1"/>
                <w:color w:val="auto"/>
              </w:rPr>
              <w:t>Selected Financial Data</w:t>
            </w: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74"/>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Summary of Selected Financial Data (Unaudited)</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3"/>
        </w:trPr>
        <w:tc>
          <w:tcPr>
            <w:tcW w:w="4720" w:type="dxa"/>
            <w:vAlign w:val="bottom"/>
            <w:gridSpan w:val="3"/>
          </w:tcPr>
          <w:p>
            <w:pPr>
              <w:spacing w:after="0"/>
              <w:rPr>
                <w:sz w:val="20"/>
                <w:szCs w:val="20"/>
                <w:color w:val="auto"/>
              </w:rPr>
            </w:pPr>
            <w:r>
              <w:rPr>
                <w:rFonts w:ascii="Arial" w:cs="Arial" w:eastAsia="Arial" w:hAnsi="Arial"/>
                <w:sz w:val="20"/>
                <w:szCs w:val="20"/>
                <w:color w:val="auto"/>
              </w:rPr>
              <w:t>Aqua America, Inc. and Subsidiaries</w:t>
            </w: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0"/>
        </w:trPr>
        <w:tc>
          <w:tcPr>
            <w:tcW w:w="4720" w:type="dxa"/>
            <w:vAlign w:val="bottom"/>
            <w:gridSpan w:val="3"/>
          </w:tcPr>
          <w:p>
            <w:pPr>
              <w:spacing w:after="0"/>
              <w:rPr>
                <w:sz w:val="20"/>
                <w:szCs w:val="20"/>
                <w:color w:val="auto"/>
              </w:rPr>
            </w:pPr>
            <w:r>
              <w:rPr>
                <w:rFonts w:ascii="Arial" w:cs="Arial" w:eastAsia="Arial" w:hAnsi="Arial"/>
                <w:sz w:val="20"/>
                <w:szCs w:val="20"/>
                <w:color w:val="auto"/>
              </w:rPr>
              <w:t>(In thousands of dollars, except per share amounts)</w:t>
            </w: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34"/>
        </w:trPr>
        <w:tc>
          <w:tcPr>
            <w:tcW w:w="392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83"/>
        </w:trPr>
        <w:tc>
          <w:tcPr>
            <w:tcW w:w="4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2014</w:t>
            </w:r>
          </w:p>
        </w:tc>
      </w:tr>
      <w:tr>
        <w:trPr>
          <w:trHeight w:val="238"/>
        </w:trPr>
        <w:tc>
          <w:tcPr>
            <w:tcW w:w="4720" w:type="dxa"/>
            <w:vAlign w:val="bottom"/>
            <w:gridSpan w:val="3"/>
          </w:tcPr>
          <w:p>
            <w:pPr>
              <w:spacing w:after="0"/>
              <w:rPr>
                <w:sz w:val="20"/>
                <w:szCs w:val="20"/>
                <w:color w:val="auto"/>
              </w:rPr>
            </w:pPr>
            <w:r>
              <w:rPr>
                <w:rFonts w:ascii="Arial" w:cs="Arial" w:eastAsia="Arial" w:hAnsi="Arial"/>
                <w:sz w:val="14"/>
                <w:szCs w:val="14"/>
                <w:color w:val="auto"/>
              </w:rPr>
              <w:t>PER COMMON SHARE:</w:t>
            </w: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88"/>
        </w:trPr>
        <w:tc>
          <w:tcPr>
            <w:tcW w:w="4720" w:type="dxa"/>
            <w:vAlign w:val="bottom"/>
            <w:gridSpan w:val="3"/>
          </w:tcPr>
          <w:p>
            <w:pPr>
              <w:ind w:left="100"/>
              <w:spacing w:after="0"/>
              <w:rPr>
                <w:sz w:val="20"/>
                <w:szCs w:val="20"/>
                <w:color w:val="auto"/>
              </w:rPr>
            </w:pPr>
            <w:r>
              <w:rPr>
                <w:rFonts w:ascii="Arial" w:cs="Arial" w:eastAsia="Arial" w:hAnsi="Arial"/>
                <w:sz w:val="14"/>
                <w:szCs w:val="14"/>
                <w:color w:val="auto"/>
              </w:rPr>
              <w:t>Income from continuing operations:</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3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245"/>
        </w:trPr>
        <w:tc>
          <w:tcPr>
            <w:tcW w:w="880" w:type="dxa"/>
            <w:vAlign w:val="bottom"/>
          </w:tcPr>
          <w:p>
            <w:pPr>
              <w:ind w:left="220"/>
              <w:spacing w:after="0"/>
              <w:rPr>
                <w:sz w:val="20"/>
                <w:szCs w:val="20"/>
                <w:color w:val="auto"/>
              </w:rPr>
            </w:pPr>
            <w:r>
              <w:rPr>
                <w:rFonts w:ascii="Arial" w:cs="Arial" w:eastAsia="Arial" w:hAnsi="Arial"/>
                <w:sz w:val="14"/>
                <w:szCs w:val="14"/>
                <w:color w:val="auto"/>
              </w:rPr>
              <w:t>Diluted</w:t>
            </w:r>
          </w:p>
        </w:tc>
        <w:tc>
          <w:tcPr>
            <w:tcW w:w="3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15"/>
        </w:trPr>
        <w:tc>
          <w:tcPr>
            <w:tcW w:w="4720" w:type="dxa"/>
            <w:vAlign w:val="bottom"/>
            <w:gridSpan w:val="3"/>
          </w:tcPr>
          <w:p>
            <w:pPr>
              <w:ind w:left="100"/>
              <w:spacing w:after="0"/>
              <w:rPr>
                <w:sz w:val="20"/>
                <w:szCs w:val="20"/>
                <w:color w:val="auto"/>
              </w:rPr>
            </w:pPr>
            <w:r>
              <w:rPr>
                <w:rFonts w:ascii="Arial" w:cs="Arial" w:eastAsia="Arial" w:hAnsi="Arial"/>
                <w:sz w:val="14"/>
                <w:szCs w:val="14"/>
                <w:color w:val="auto"/>
              </w:rPr>
              <w:t>Income from discontinued operations: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3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r>
      <w:tr>
        <w:trPr>
          <w:trHeight w:val="245"/>
        </w:trPr>
        <w:tc>
          <w:tcPr>
            <w:tcW w:w="880" w:type="dxa"/>
            <w:vAlign w:val="bottom"/>
          </w:tcPr>
          <w:p>
            <w:pPr>
              <w:ind w:left="220"/>
              <w:spacing w:after="0"/>
              <w:rPr>
                <w:sz w:val="20"/>
                <w:szCs w:val="20"/>
                <w:color w:val="auto"/>
              </w:rPr>
            </w:pPr>
            <w:r>
              <w:rPr>
                <w:rFonts w:ascii="Arial" w:cs="Arial" w:eastAsia="Arial" w:hAnsi="Arial"/>
                <w:sz w:val="14"/>
                <w:szCs w:val="14"/>
                <w:color w:val="auto"/>
              </w:rPr>
              <w:t>Diluted</w:t>
            </w:r>
          </w:p>
        </w:tc>
        <w:tc>
          <w:tcPr>
            <w:tcW w:w="3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0.11</w:t>
            </w:r>
          </w:p>
        </w:tc>
      </w:tr>
      <w:tr>
        <w:trPr>
          <w:trHeight w:val="215"/>
        </w:trPr>
        <w:tc>
          <w:tcPr>
            <w:tcW w:w="88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3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230"/>
        </w:trPr>
        <w:tc>
          <w:tcPr>
            <w:tcW w:w="880" w:type="dxa"/>
            <w:vAlign w:val="bottom"/>
          </w:tcPr>
          <w:p>
            <w:pPr>
              <w:ind w:left="220"/>
              <w:spacing w:after="0"/>
              <w:rPr>
                <w:sz w:val="20"/>
                <w:szCs w:val="20"/>
                <w:color w:val="auto"/>
              </w:rPr>
            </w:pPr>
            <w:r>
              <w:rPr>
                <w:rFonts w:ascii="Arial" w:cs="Arial" w:eastAsia="Arial" w:hAnsi="Arial"/>
                <w:sz w:val="14"/>
                <w:szCs w:val="14"/>
                <w:color w:val="auto"/>
              </w:rPr>
              <w:t>Diluted</w:t>
            </w:r>
          </w:p>
        </w:tc>
        <w:tc>
          <w:tcPr>
            <w:tcW w:w="3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30"/>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Cash dividends declared and paid</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0.8474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0.7920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0.7386</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0.6860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0.6340</w:t>
            </w:r>
          </w:p>
        </w:tc>
      </w:tr>
      <w:tr>
        <w:trPr>
          <w:trHeight w:val="230"/>
        </w:trPr>
        <w:tc>
          <w:tcPr>
            <w:tcW w:w="4720" w:type="dxa"/>
            <w:vAlign w:val="bottom"/>
            <w:gridSpan w:val="3"/>
          </w:tcPr>
          <w:p>
            <w:pPr>
              <w:ind w:left="100"/>
              <w:spacing w:after="0"/>
              <w:rPr>
                <w:sz w:val="20"/>
                <w:szCs w:val="20"/>
                <w:color w:val="auto"/>
              </w:rPr>
            </w:pPr>
            <w:r>
              <w:rPr>
                <w:rFonts w:ascii="Arial" w:cs="Arial" w:eastAsia="Arial" w:hAnsi="Arial"/>
                <w:sz w:val="14"/>
                <w:szCs w:val="14"/>
                <w:color w:val="auto"/>
              </w:rPr>
              <w:t>Return on Aqua America stockholders' equity</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30"/>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Book value at year end</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r>
      <w:tr>
        <w:trPr>
          <w:trHeight w:val="230"/>
        </w:trPr>
        <w:tc>
          <w:tcPr>
            <w:tcW w:w="47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Market value at year end</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34.19</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30.04</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26.70</w:t>
            </w:r>
          </w:p>
        </w:tc>
      </w:tr>
      <w:tr>
        <w:trPr>
          <w:trHeight w:val="210"/>
        </w:trPr>
        <w:tc>
          <w:tcPr>
            <w:tcW w:w="4720" w:type="dxa"/>
            <w:vAlign w:val="bottom"/>
            <w:gridSpan w:val="3"/>
          </w:tcPr>
          <w:p>
            <w:pPr>
              <w:spacing w:after="0"/>
              <w:rPr>
                <w:sz w:val="20"/>
                <w:szCs w:val="20"/>
                <w:color w:val="auto"/>
              </w:rPr>
            </w:pPr>
            <w:r>
              <w:rPr>
                <w:rFonts w:ascii="Arial" w:cs="Arial" w:eastAsia="Arial" w:hAnsi="Arial"/>
                <w:sz w:val="14"/>
                <w:szCs w:val="14"/>
                <w:color w:val="auto"/>
              </w:rPr>
              <w:t>INCOME STATEMENT HIGHLIGHTS: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Operating revenues</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838,091</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809,525</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819,875</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814,204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779,903</w:t>
            </w:r>
          </w:p>
        </w:tc>
      </w:tr>
      <w:tr>
        <w:trPr>
          <w:trHeight w:val="230"/>
        </w:trPr>
        <w:tc>
          <w:tcPr>
            <w:tcW w:w="4720" w:type="dxa"/>
            <w:vAlign w:val="bottom"/>
            <w:gridSpan w:val="3"/>
          </w:tcPr>
          <w:p>
            <w:pPr>
              <w:ind w:left="10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146,673</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136,724</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133,008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128,737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126,535</w:t>
            </w:r>
          </w:p>
        </w:tc>
      </w:tr>
      <w:tr>
        <w:trPr>
          <w:trHeight w:val="230"/>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Interest expense, net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98,902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88,341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80,594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76,536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76,397</w:t>
            </w:r>
          </w:p>
        </w:tc>
      </w:tr>
      <w:tr>
        <w:trPr>
          <w:trHeight w:val="230"/>
        </w:trPr>
        <w:tc>
          <w:tcPr>
            <w:tcW w:w="4720" w:type="dxa"/>
            <w:vAlign w:val="bottom"/>
            <w:gridSpan w:val="3"/>
          </w:tcPr>
          <w:p>
            <w:pPr>
              <w:ind w:left="100"/>
              <w:spacing w:after="0"/>
              <w:rPr>
                <w:sz w:val="20"/>
                <w:szCs w:val="20"/>
                <w:color w:val="auto"/>
              </w:rPr>
            </w:pPr>
            <w:r>
              <w:rPr>
                <w:rFonts w:ascii="Arial" w:cs="Arial" w:eastAsia="Arial" w:hAnsi="Arial"/>
                <w:sz w:val="14"/>
                <w:szCs w:val="14"/>
                <w:color w:val="auto"/>
              </w:rPr>
              <w:t>Income from continuing operations before income taxes (1) (2)</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178,319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256,652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255,160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216,752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239,103</w:t>
            </w:r>
          </w:p>
        </w:tc>
      </w:tr>
      <w:tr>
        <w:trPr>
          <w:trHeight w:val="230"/>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Provision for income taxes (benefit)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20,978</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25,219</w:t>
            </w:r>
          </w:p>
        </w:tc>
      </w:tr>
      <w:tr>
        <w:trPr>
          <w:trHeight w:val="230"/>
        </w:trPr>
        <w:tc>
          <w:tcPr>
            <w:tcW w:w="4720" w:type="dxa"/>
            <w:vAlign w:val="bottom"/>
            <w:gridSpan w:val="3"/>
          </w:tcPr>
          <w:p>
            <w:pPr>
              <w:ind w:left="100"/>
              <w:spacing w:after="0"/>
              <w:rPr>
                <w:sz w:val="20"/>
                <w:szCs w:val="20"/>
                <w:color w:val="auto"/>
              </w:rPr>
            </w:pPr>
            <w:r>
              <w:rPr>
                <w:rFonts w:ascii="Arial" w:cs="Arial" w:eastAsia="Arial" w:hAnsi="Arial"/>
                <w:sz w:val="14"/>
                <w:szCs w:val="14"/>
                <w:color w:val="auto"/>
              </w:rPr>
              <w:t>Income from continuing operations (1) (2)</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191,988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239,738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234,182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201,790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213,884</w:t>
            </w:r>
          </w:p>
        </w:tc>
      </w:tr>
      <w:tr>
        <w:trPr>
          <w:trHeight w:val="230"/>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Income from discontinued operations</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19,355</w:t>
            </w:r>
          </w:p>
        </w:tc>
      </w:tr>
      <w:tr>
        <w:trPr>
          <w:trHeight w:val="230"/>
        </w:trPr>
        <w:tc>
          <w:tcPr>
            <w:tcW w:w="47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Net income (1) (2)</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191,988</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239,738</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234,182</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201,790</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233,239</w:t>
            </w:r>
          </w:p>
        </w:tc>
      </w:tr>
      <w:tr>
        <w:trPr>
          <w:trHeight w:val="210"/>
        </w:trPr>
        <w:tc>
          <w:tcPr>
            <w:tcW w:w="4720" w:type="dxa"/>
            <w:vAlign w:val="bottom"/>
            <w:gridSpan w:val="3"/>
          </w:tcPr>
          <w:p>
            <w:pPr>
              <w:spacing w:after="0"/>
              <w:rPr>
                <w:sz w:val="20"/>
                <w:szCs w:val="20"/>
                <w:color w:val="auto"/>
              </w:rPr>
            </w:pPr>
            <w:r>
              <w:rPr>
                <w:rFonts w:ascii="Arial" w:cs="Arial" w:eastAsia="Arial" w:hAnsi="Arial"/>
                <w:sz w:val="14"/>
                <w:szCs w:val="14"/>
                <w:color w:val="auto"/>
              </w:rPr>
              <w:t>BALANCE SHEET HIGHLIGHTS: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assets</w:t>
            </w:r>
          </w:p>
        </w:tc>
        <w:tc>
          <w:tcPr>
            <w:tcW w:w="3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6,964,496</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6,332,463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6,158,991</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5,717,873</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5,383,243</w:t>
            </w:r>
          </w:p>
        </w:tc>
      </w:tr>
      <w:tr>
        <w:trPr>
          <w:trHeight w:val="230"/>
        </w:trPr>
        <w:tc>
          <w:tcPr>
            <w:tcW w:w="4720" w:type="dxa"/>
            <w:vAlign w:val="bottom"/>
            <w:gridSpan w:val="3"/>
          </w:tcPr>
          <w:p>
            <w:pPr>
              <w:ind w:left="100"/>
              <w:spacing w:after="0"/>
              <w:rPr>
                <w:sz w:val="20"/>
                <w:szCs w:val="20"/>
                <w:color w:val="auto"/>
              </w:rPr>
            </w:pPr>
            <w:r>
              <w:rPr>
                <w:rFonts w:ascii="Arial" w:cs="Arial" w:eastAsia="Arial" w:hAnsi="Arial"/>
                <w:sz w:val="14"/>
                <w:szCs w:val="14"/>
                <w:color w:val="auto"/>
              </w:rPr>
              <w:t>Property, plant and equipment, net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5,930,326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5,399,860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5,001,615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4,688,925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4,401,990</w:t>
            </w:r>
          </w:p>
        </w:tc>
      </w:tr>
      <w:tr>
        <w:trPr>
          <w:trHeight w:val="230"/>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Aqua America stockholders' equity</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2,009,364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1,957,621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1,850,068</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1,725,930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1,655,343</w:t>
            </w:r>
          </w:p>
        </w:tc>
      </w:tr>
      <w:tr>
        <w:trPr>
          <w:trHeight w:val="203"/>
        </w:trPr>
        <w:tc>
          <w:tcPr>
            <w:tcW w:w="4720" w:type="dxa"/>
            <w:vAlign w:val="bottom"/>
            <w:gridSpan w:val="3"/>
          </w:tcPr>
          <w:p>
            <w:pPr>
              <w:ind w:left="100"/>
              <w:spacing w:after="0"/>
              <w:rPr>
                <w:sz w:val="20"/>
                <w:szCs w:val="20"/>
                <w:color w:val="auto"/>
              </w:rPr>
            </w:pPr>
            <w:r>
              <w:rPr>
                <w:rFonts w:ascii="Arial" w:cs="Arial" w:eastAsia="Arial" w:hAnsi="Arial"/>
                <w:sz w:val="14"/>
                <w:szCs w:val="14"/>
                <w:color w:val="auto"/>
                <w:w w:val="98"/>
              </w:rPr>
              <w:t>Long-term debt, including current portion, excluding debt issuance costs (3)</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2,563,660</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2,143,127</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1,910,633</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1,779,205</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1,619,270</w:t>
            </w:r>
          </w:p>
        </w:tc>
      </w:tr>
      <w:tr>
        <w:trPr>
          <w:trHeight w:val="230"/>
        </w:trPr>
        <w:tc>
          <w:tcPr>
            <w:tcW w:w="472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Total debt, excluding debt issuance costs (3)</w:t>
            </w: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2,579,109</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2,146,777</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1,917,168</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1,795,926</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1,637,668</w:t>
            </w:r>
          </w:p>
        </w:tc>
      </w:tr>
      <w:tr>
        <w:trPr>
          <w:trHeight w:val="210"/>
        </w:trPr>
        <w:tc>
          <w:tcPr>
            <w:tcW w:w="4720" w:type="dxa"/>
            <w:vAlign w:val="bottom"/>
            <w:gridSpan w:val="3"/>
          </w:tcPr>
          <w:p>
            <w:pPr>
              <w:spacing w:after="0"/>
              <w:rPr>
                <w:sz w:val="20"/>
                <w:szCs w:val="20"/>
                <w:color w:val="auto"/>
              </w:rPr>
            </w:pPr>
            <w:r>
              <w:rPr>
                <w:rFonts w:ascii="Arial" w:cs="Arial" w:eastAsia="Arial" w:hAnsi="Arial"/>
                <w:sz w:val="14"/>
                <w:szCs w:val="14"/>
                <w:color w:val="auto"/>
              </w:rPr>
              <w:t>ADDITIONAL INFORMATION:</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Operating cash flows from continuing operations</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368,522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381,318</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396,163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370,794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364,888</w:t>
            </w:r>
          </w:p>
        </w:tc>
      </w:tr>
      <w:tr>
        <w:trPr>
          <w:trHeight w:val="230"/>
        </w:trPr>
        <w:tc>
          <w:tcPr>
            <w:tcW w:w="4720" w:type="dxa"/>
            <w:vAlign w:val="bottom"/>
            <w:gridSpan w:val="3"/>
          </w:tcPr>
          <w:p>
            <w:pPr>
              <w:ind w:left="100"/>
              <w:spacing w:after="0"/>
              <w:rPr>
                <w:sz w:val="20"/>
                <w:szCs w:val="20"/>
                <w:color w:val="auto"/>
              </w:rPr>
            </w:pPr>
            <w:r>
              <w:rPr>
                <w:rFonts w:ascii="Arial" w:cs="Arial" w:eastAsia="Arial" w:hAnsi="Arial"/>
                <w:sz w:val="14"/>
                <w:szCs w:val="14"/>
                <w:color w:val="auto"/>
              </w:rPr>
              <w:t>Capital expenditures</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495,737</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478,089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382,996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364,689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328,605</w:t>
            </w:r>
          </w:p>
        </w:tc>
      </w:tr>
      <w:tr>
        <w:trPr>
          <w:trHeight w:val="203"/>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Net cash expended for acquisitions of utility systems and other</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145,693</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5,860</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28,989</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14,616</w:t>
            </w:r>
          </w:p>
        </w:tc>
      </w:tr>
      <w:tr>
        <w:trPr>
          <w:trHeight w:val="230"/>
        </w:trPr>
        <w:tc>
          <w:tcPr>
            <w:tcW w:w="4720" w:type="dxa"/>
            <w:vAlign w:val="bottom"/>
            <w:gridSpan w:val="3"/>
          </w:tcPr>
          <w:p>
            <w:pPr>
              <w:ind w:left="100"/>
              <w:spacing w:after="0"/>
              <w:rPr>
                <w:sz w:val="20"/>
                <w:szCs w:val="20"/>
                <w:color w:val="auto"/>
              </w:rPr>
            </w:pPr>
            <w:r>
              <w:rPr>
                <w:rFonts w:ascii="Arial" w:cs="Arial" w:eastAsia="Arial" w:hAnsi="Arial"/>
                <w:sz w:val="14"/>
                <w:szCs w:val="14"/>
                <w:color w:val="auto"/>
              </w:rPr>
              <w:t>Dividends on common stock</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150,736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140,660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130,923</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121,248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112,106</w:t>
            </w:r>
          </w:p>
        </w:tc>
      </w:tr>
      <w:tr>
        <w:trPr>
          <w:trHeight w:val="230"/>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Number of utility customers served</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1,005,590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982,849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972,265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957,866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940,119</w:t>
            </w:r>
          </w:p>
        </w:tc>
      </w:tr>
      <w:tr>
        <w:trPr>
          <w:trHeight w:val="230"/>
        </w:trPr>
        <w:tc>
          <w:tcPr>
            <w:tcW w:w="4720" w:type="dxa"/>
            <w:vAlign w:val="bottom"/>
            <w:gridSpan w:val="3"/>
          </w:tcPr>
          <w:p>
            <w:pPr>
              <w:ind w:left="100"/>
              <w:spacing w:after="0"/>
              <w:rPr>
                <w:sz w:val="20"/>
                <w:szCs w:val="20"/>
                <w:color w:val="auto"/>
              </w:rPr>
            </w:pPr>
            <w:r>
              <w:rPr>
                <w:rFonts w:ascii="Arial" w:cs="Arial" w:eastAsia="Arial" w:hAnsi="Arial"/>
                <w:sz w:val="14"/>
                <w:szCs w:val="14"/>
                <w:color w:val="auto"/>
              </w:rPr>
              <w:t>Number of shareholders of common stock</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23,476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23,511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24,750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25,269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25,780</w:t>
            </w:r>
          </w:p>
        </w:tc>
      </w:tr>
      <w:tr>
        <w:trPr>
          <w:trHeight w:val="230"/>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Common shares outstanding (000)</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178,092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177,714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177,394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176,544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176,753</w:t>
            </w:r>
          </w:p>
        </w:tc>
      </w:tr>
      <w:tr>
        <w:trPr>
          <w:trHeight w:val="230"/>
        </w:trPr>
        <w:tc>
          <w:tcPr>
            <w:tcW w:w="47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Employees (full-time)</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w:t>
            </w:r>
          </w:p>
        </w:tc>
      </w:tr>
    </w:tbl>
    <w:p>
      <w:pPr>
        <w:spacing w:after="0" w:line="213" w:lineRule="exact"/>
        <w:rPr>
          <w:sz w:val="20"/>
          <w:szCs w:val="20"/>
          <w:color w:val="auto"/>
        </w:rPr>
      </w:pPr>
    </w:p>
    <w:p>
      <w:pPr>
        <w:ind w:left="324" w:right="580" w:hanging="324"/>
        <w:spacing w:after="0" w:line="245" w:lineRule="auto"/>
        <w:tabs>
          <w:tab w:leader="none" w:pos="324" w:val="left"/>
        </w:tabs>
        <w:numPr>
          <w:ilvl w:val="0"/>
          <w:numId w:val="23"/>
        </w:numPr>
        <w:rPr>
          <w:rFonts w:ascii="Arial" w:cs="Arial" w:eastAsia="Arial" w:hAnsi="Arial"/>
          <w:sz w:val="20"/>
          <w:szCs w:val="20"/>
          <w:color w:val="auto"/>
        </w:rPr>
      </w:pPr>
      <w:r>
        <w:rPr>
          <w:rFonts w:ascii="Arial" w:cs="Arial" w:eastAsia="Arial" w:hAnsi="Arial"/>
          <w:sz w:val="20"/>
          <w:szCs w:val="20"/>
          <w:color w:val="auto"/>
        </w:rPr>
        <w:t>2018 results include mark-to-market fair value adjustment expense of $47,225 ($59,779 pre-tax) associated with our interest rate swap agreements that were entered into to mitigate interest rate risk associated with our future debt issuances to fund a portion of the Peoples Gas Acquisition</w:t>
      </w:r>
    </w:p>
    <w:p>
      <w:pPr>
        <w:ind w:left="324" w:hanging="324"/>
        <w:spacing w:after="0"/>
        <w:tabs>
          <w:tab w:leader="none" w:pos="324" w:val="left"/>
        </w:tabs>
        <w:numPr>
          <w:ilvl w:val="0"/>
          <w:numId w:val="23"/>
        </w:numPr>
        <w:rPr>
          <w:rFonts w:ascii="Arial" w:cs="Arial" w:eastAsia="Arial" w:hAnsi="Arial"/>
          <w:sz w:val="20"/>
          <w:szCs w:val="20"/>
          <w:color w:val="auto"/>
        </w:rPr>
      </w:pPr>
      <w:r>
        <w:rPr>
          <w:rFonts w:ascii="Arial" w:cs="Arial" w:eastAsia="Arial" w:hAnsi="Arial"/>
          <w:sz w:val="20"/>
          <w:szCs w:val="20"/>
          <w:color w:val="auto"/>
        </w:rPr>
        <w:t>2015 results include Aqua America's share of a joint venture impairment charge of $21,433 ($32,975 pre-tax)</w:t>
      </w:r>
    </w:p>
    <w:p>
      <w:pPr>
        <w:ind w:left="364" w:hanging="364"/>
        <w:spacing w:after="0" w:line="244" w:lineRule="auto"/>
        <w:tabs>
          <w:tab w:leader="none" w:pos="314"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Debt issuance costs for the years ended December 31, 2018, 2017, 2016, 2015, and 2014 were $20,651, $21,605, $22,357, $23,165, and $23,509, respectively</w:t>
      </w: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4"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18"/>
          <w:szCs w:val="18"/>
          <w:i w:val="1"/>
          <w:iCs w:val="1"/>
          <w:color w:val="auto"/>
        </w:rPr>
        <w:t>Management's Discussion and Analysis of Financial Condition and Results of Operations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Consolidated Financial Statements and related Notes included in this Annual Report. This discussion contains forward-looking statements that are based on management’s current expectations, estimates and projections about our business, operations and financial performance. All dollar amounts are in thousands of dollars, except per share amounts.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The Company</w:t>
      </w:r>
    </w:p>
    <w:p>
      <w:pPr>
        <w:spacing w:after="0" w:line="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Aqua America, Inc., (referred to as “Aqua America”, the “Company”, “we”, “us”, or “our”), a Pennsylvania corporation, is the holding company for regulated utilities providing water or wastewater services to an estimated three million people in Pennsylvania, Ohio, Texas, Illinois, North Carolina, New Jersey, Indiana, and Virginia. Our largest operating subsidiary is Aqua Pennsylvania, Inc., which accounted for approximately 53% of our operating revenues and approximately 71% of our Regulated segment’s income for 2018. As of December 31, 2018, Aqua Pennsylvania provided water or wastewater services to approximately one-half of the total number of people we serve. Aqua Pennsylvania’s service territory is located in the suburban areas in counties north and west of the City of Philadelphia and in 27 other counties in Pennsylvania. Our other regulated utility subsidiaries provide similar services in seven other states. In addition, the Company’s market-based activities are conducted through Aqua Infrastructure, LLC and Aqua Resources, Inc. Aqua Infrastructure provides non-utility raw water supply services for firms in the natural gas drilling industry. Aqua Resources provides water service through operating and maintenance contracts with a municipal authority and another party close to our utility companies’ service territory; and offers, through a third-party, water and sewer line protection solutions and repair services to households. In 2017, we completed the sale of business units that were reported within the Company’s market-based subsidiary, Aqua Resources, one which installed and tested devices that prevent the contamination of potable water and another that constructed, maintained, and repaired water and wastewater systems. During 2016 we completed the sale of business units within Aqua Resources, which were reported as assets held for sale in the Company’s consolidated balance sheets, which provided liquid waste hauling and disposal services, and inspection, and cleaning and repair of storm and sanitary wastewater lines.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Industry Mission</w:t>
      </w:r>
    </w:p>
    <w:p>
      <w:pPr>
        <w:spacing w:after="0" w:line="22" w:lineRule="exact"/>
        <w:rPr>
          <w:sz w:val="20"/>
          <w:szCs w:val="20"/>
          <w:color w:val="auto"/>
        </w:rPr>
      </w:pPr>
    </w:p>
    <w:p>
      <w:pPr>
        <w:ind w:right="700"/>
        <w:spacing w:after="0" w:line="298" w:lineRule="auto"/>
        <w:rPr>
          <w:sz w:val="20"/>
          <w:szCs w:val="20"/>
          <w:color w:val="auto"/>
        </w:rPr>
      </w:pPr>
      <w:r>
        <w:rPr>
          <w:rFonts w:ascii="Arial" w:cs="Arial" w:eastAsia="Arial" w:hAnsi="Arial"/>
          <w:sz w:val="18"/>
          <w:szCs w:val="18"/>
          <w:color w:val="auto"/>
        </w:rPr>
        <w:t>The mission of the regulated water utility industry is to provide quality and reliable water service at reasonable rates to customers, while earning a fair return for shareholders. A number of challenges face the industry, including:</w:t>
      </w:r>
    </w:p>
    <w:p>
      <w:pPr>
        <w:spacing w:after="0" w:line="159" w:lineRule="exact"/>
        <w:rPr>
          <w:sz w:val="20"/>
          <w:szCs w:val="20"/>
          <w:color w:val="auto"/>
        </w:rPr>
      </w:pPr>
    </w:p>
    <w:p>
      <w:pPr>
        <w:ind w:left="500" w:hanging="180"/>
        <w:spacing w:after="0"/>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strict environmental, health and safety standards;</w:t>
      </w:r>
    </w:p>
    <w:p>
      <w:pPr>
        <w:spacing w:after="0" w:line="15" w:lineRule="exact"/>
        <w:rPr>
          <w:rFonts w:ascii="Arial" w:cs="Arial" w:eastAsia="Arial" w:hAnsi="Arial"/>
          <w:sz w:val="20"/>
          <w:szCs w:val="20"/>
          <w:color w:val="auto"/>
        </w:rPr>
      </w:pPr>
    </w:p>
    <w:p>
      <w:pPr>
        <w:ind w:left="500" w:hanging="180"/>
        <w:spacing w:after="0"/>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aging utility infrastructure and the need for substantial capital investment;</w:t>
      </w:r>
    </w:p>
    <w:p>
      <w:pPr>
        <w:ind w:left="500" w:hanging="180"/>
        <w:spacing w:after="0"/>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economic regulation by state, and/or, in some cases, local government;</w:t>
      </w:r>
    </w:p>
    <w:p>
      <w:pPr>
        <w:ind w:left="500" w:hanging="180"/>
        <w:spacing w:after="0"/>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declining consumption per customer as a result of conservation;</w:t>
      </w:r>
    </w:p>
    <w:p>
      <w:pPr>
        <w:ind w:left="500" w:hanging="180"/>
        <w:spacing w:after="0"/>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lawsuits and the need for insurance; and</w:t>
      </w:r>
    </w:p>
    <w:p>
      <w:pPr>
        <w:ind w:left="500" w:hanging="180"/>
        <w:spacing w:after="0"/>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impact of weather and sporadic drought conditions on water sales demand.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Economic Regulation</w:t>
      </w:r>
    </w:p>
    <w:p>
      <w:pPr>
        <w:spacing w:after="0" w:line="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Most of our water and wastewater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generally establish uniform systems of accounts and approve the terms of contracts with affiliates and customers, business combinations with other utility systems, and loans and other financings. The policies of the utility commissions often differ from state to state and may change over time. A small number of our operations are subject to rate regulation by county or city government. Over time, the regulatory party in a particular state may change, as was the case for our Texas operations where, in 2014, economic regulation changed from the Texas Commission on Environmental Quality to the Public Utility Commission of Texas. The profitability of our utility operations is influenced to a great extent by the timeliness and adequacy of rate allowances in the various states in which we operate. One consideration we may undertake in evaluating which states to focus our growth and investment strategy is whether a state provides for consolidated rates, a surcharge for replacing and rehabilitating infrastructure, fair value treatment of acquired utility systems, and other regulatory policies that promote infrastructure investment and efficiency in processing rate cases.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 xml:space="preserve">Rate Case Management Capability – </w:t>
      </w:r>
      <w:r>
        <w:rPr>
          <w:rFonts w:ascii="Arial" w:cs="Arial" w:eastAsia="Arial" w:hAnsi="Arial"/>
          <w:sz w:val="18"/>
          <w:szCs w:val="18"/>
          <w:color w:val="auto"/>
        </w:rPr>
        <w:t>We strive to achieve the industry’s mission by effective planning, efficient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productive use of our resources. We maintain a rate case management capability to pursue timely and adequate returns on the capital investments that we make in improving our distribution system, treatment plants, information technology systems, and other infrastructure. This capital investment creates assets that are used and useful in providing utility service and is commonly referred to as rate base. Timely and adequate rate relief is important to our continued profitability and in providing a fair return to our shareholders; thus, providing access to capital markets to help fund these investments. Accordingly, the objective of our rate case management strategy is to provide that the rates of our utility operations reflect, to the extent practicable, the timely recovery of increases in costs of operations (primarily labor and employee benefits, electricity, chemicals, transportation, maintenance expenses, insurance and claims costs, and costs to comply with environmental regulations), capital, and taxes. In pursuing our rate case strategy, we consider the amount of net utility plant additions and replacements made since the previous rate decision, the changes in the cost of capital, changes in our capital structure, and changes in operating and other costs. Based on these assessments, our utility operations periodically file rate increase requests with their respective state utility commissions or local regulatory authorities. In general, as a regulated enterprise, our water and wastewater rates are established to provide full recovery of utility operating costs, taxes, interest on debt used to finance capital investments, and a return on equity used to finance capital investments. Our ability to recover our expenses in a timely manner and earn a return on equity employed in the business helps determine the profitability of the Company. As of December 31, 2018, the Company’s rate base is estimated to be $4,500,000, which is comprised of:</w:t>
      </w:r>
    </w:p>
    <w:p>
      <w:pPr>
        <w:spacing w:after="0" w:line="189" w:lineRule="exact"/>
        <w:rPr>
          <w:sz w:val="20"/>
          <w:szCs w:val="20"/>
          <w:color w:val="auto"/>
        </w:rPr>
      </w:pPr>
    </w:p>
    <w:p>
      <w:pPr>
        <w:ind w:left="640" w:hanging="320"/>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$4,278,000 filed with respective state utility commissions or local regulatory authorities; and</w:t>
      </w:r>
    </w:p>
    <w:p>
      <w:pPr>
        <w:spacing w:after="0" w:line="15" w:lineRule="exact"/>
        <w:rPr>
          <w:rFonts w:ascii="Arial" w:cs="Arial" w:eastAsia="Arial" w:hAnsi="Arial"/>
          <w:sz w:val="20"/>
          <w:szCs w:val="20"/>
          <w:color w:val="auto"/>
        </w:rPr>
      </w:pPr>
    </w:p>
    <w:p>
      <w:pPr>
        <w:ind w:left="640" w:hanging="320"/>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$222,000 not yet filed with respective state utility commissions or local regulatory authorities.</w:t>
      </w:r>
    </w:p>
    <w:p>
      <w:pPr>
        <w:spacing w:after="0" w:line="213" w:lineRule="exact"/>
        <w:rPr>
          <w:sz w:val="20"/>
          <w:szCs w:val="20"/>
          <w:color w:val="auto"/>
        </w:rPr>
      </w:pPr>
    </w:p>
    <w:p>
      <w:pPr>
        <w:ind w:right="240"/>
        <w:spacing w:after="0" w:line="259" w:lineRule="auto"/>
        <w:rPr>
          <w:sz w:val="20"/>
          <w:szCs w:val="20"/>
          <w:color w:val="auto"/>
        </w:rPr>
      </w:pPr>
      <w:r>
        <w:rPr>
          <w:rFonts w:ascii="Arial" w:cs="Arial" w:eastAsia="Arial" w:hAnsi="Arial"/>
          <w:sz w:val="19"/>
          <w:szCs w:val="19"/>
          <w:color w:val="auto"/>
        </w:rPr>
        <w:t>Our water and wastewater operations are composed of 44 rate divisions, each of which requires a separate rate filing for the evaluation of the cost of service and recovery of investments in connection with the establishment of tariff rates for that rate division. When feasible and beneficial to our utility customers, we have sought approval from the applicable state utility commission to consolidate rate divisions to achieve a more even distribution of costs over a larger customer base. All of the eight states in which we operate currently permit us to file a revenue requirement using some form of consolidated rates for some or all of the rate divisions in that state.</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 xml:space="preserve">Revenue Surcharges – </w:t>
      </w:r>
      <w:r>
        <w:rPr>
          <w:rFonts w:ascii="Arial" w:cs="Arial" w:eastAsia="Arial" w:hAnsi="Arial"/>
          <w:sz w:val="18"/>
          <w:szCs w:val="18"/>
          <w:color w:val="auto"/>
        </w:rPr>
        <w:t>Seven states in which we operate water utilities, and six states in which we operate wastewater utilities,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 us to add an infrastructure rehabilitation surcharge to their respective bills to offset the additional depreciation and capital costs associated with capital expenditures related to replacing and rehabilitating infrastructure systems. In our other states, water and wastewater utilities absorb all of the depreciation and capital costs of these projects between base rate increases without the benefit of additional revenues. The gap between the time that a capital project is completed and the recovery of its costs in rates is known as regulatory lag. This surcharge is intended to substantially reduce regulatory lag, which often acts as a disincentive to water and wastewater utilities to rehabilitate their infrastructure. In addition, some states permit our subsidiaries to use a surcharge or credit on their bills to reflect allowable changes in costs, such as changes in state tax rates, other taxes and purchased water costs, until such time as the new costs are fully incorporated in base rates.</w:t>
      </w:r>
    </w:p>
    <w:p>
      <w:pPr>
        <w:spacing w:after="0" w:line="185"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b w:val="1"/>
          <w:bCs w:val="1"/>
          <w:i w:val="1"/>
          <w:iCs w:val="1"/>
          <w:color w:val="auto"/>
        </w:rPr>
        <w:t xml:space="preserve">Effects of Inflation – </w:t>
      </w:r>
      <w:r>
        <w:rPr>
          <w:rFonts w:ascii="Arial" w:cs="Arial" w:eastAsia="Arial" w:hAnsi="Arial"/>
          <w:sz w:val="19"/>
          <w:szCs w:val="19"/>
          <w:color w:val="auto"/>
        </w:rPr>
        <w:t>Recovery of the effects of inflation through higher water and wastewater rates is dependent upon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receiving adequate and timely rate increases. However, rate increases are not retroactive and often lag increases in costs caused by inflation. On occasion, our regulated utility companies may enter into rate settlement agreements, which require us to wait for a period of time to file the next base rate increase request. These agreements may result in regulatory lag whereby inflationary increases in expenses may not yet be reflected in rates, or a gap may exist between when a capital project is completed and the start of its recovery in rates. Even during periods of moderate inflation, the effects of inflation can have a negative impact on our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Growth-Through-Acquisition Strategy</w:t>
      </w:r>
    </w:p>
    <w:p>
      <w:pPr>
        <w:spacing w:after="0" w:line="22"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Part of our strategy to meet the industry challenges is to actively explore opportunities to expand our utility operations through acquisitions of water and wastewater and other utilities either in areas adjacent to our existing service areas or in new service areas, and to explore acquiring market-based businesses that are complementary to our regulated water and wastewater operations. To complement our growth strategy, we routinely evaluate the operating performance of our individual utility systems, and in instances where limited economic growth opportunities exist or where we are unable to</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5" w:right="9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achieve favorable operating results or a return on equity that we consider acceptable, we will seek to sell the utility system and reinvest the proceeds in other utility systems. Consistent with this strategy, we are focusing our acquisitions and resources in states where we have critical mass of operations in an effort to achieve economies of scale and increased efficiency. Our growth-through-acquisition strategy allows us to operate more efficiently by sharing operating expenses over more utility customers and provides new locations for future earnings growth through capital investment. Another element of our growth strategy is the consideration of opportunities to expand by acquiring other utilities, including those that may be in a new state if they provide promising economic growth opportunities and a return on equity that we consider acceptable. Our ability to successfully execute this strategy historically and to meet the industry challenges has largely been due to our core competencies, financial position, and our qualified and trained workforce, which we strive to retain by treating employees fairly and providing our employees with development and growth opportunities.</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On October 22, 2018, we entered into a purchase agreement to acquire, from LDC Funding LLC, the parent company of PNG Companies, a natural gas distribution company consisting of Peoples Natural Gas Company LLC, Peoples Gas Company LLC, Peoples Gas West Virginia, Inc., Peoples Gas Kentucky, Inc., and Delta Natural Gas Company Inc. (“Peoples”) expanding the Company’s regulated utility business to include natural gas distribution. Peoples serves approximately 740,000 gas utility customers in western Pennsylvania, West Virginia, and Kentucky. The Peoples Gas Acquisition, once consummated, will expand our regulated utility business to include natural gas distribution. At the closing of the Peoples Gas Acquisition, the Company will pay $4,275,000 in cash, subject to adjustments for working capital, certain capital expenditures, transaction expenses and closing indebtedness as set forth in the acquisition agreement. The Company expects to assume approximately $1,300,000 of Peoples’ indebtedness upon the closing of the Peoples Gas Acquisition, which would reduce the cash purchase by approximately $1,300,000. The acquisition is subject to regulatory approvals and other customary closing conditions set forth in the acquisition agreement, and is expected to close in mid-2019.</w:t>
      </w:r>
    </w:p>
    <w:p>
      <w:pPr>
        <w:spacing w:after="0" w:line="184"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During 2018, we completed nine acquisitions, which along with the organic growth in our existing systems, represents 22,741 new customers. During 2017, we completed four acquisitions, which along with the organic growth in our existing systems, represents 10,584 new customers. During 2016, we completed nineteen acquisitions, which along with the organic growth in our existing systems, represents 15,282 new customers.</w:t>
      </w:r>
    </w:p>
    <w:p>
      <w:pPr>
        <w:spacing w:after="0" w:line="205"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We believe that utility acquisitions, organic growth, and a potential expansion of our market-based business will continue to be the primary sources of growth for us. With approximately 50,000 community water systems in the U.S., 81% of which serve less than 3,300 customers, the water industry is the most fragmented of the major utility industries (telephone, natural gas, electric, water, and wastewater). In the states where we operate regulated utilities, we believe there are approximately 14,000 community water systems of widely-varying size, with the majority of the population being served by government-owned water systems.</w:t>
      </w:r>
    </w:p>
    <w:p>
      <w:pPr>
        <w:spacing w:after="0" w:line="21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Although not as fragmented as the water industry, the wastewater industry in the U.S. also presents opportunities for consolidation. According to the U.S. Environmental Protection Agency’s (“EPA”) most recent survey of wastewater treatment facilities (which includes both government-owned facilities and regulated utility systems) in 2012, there were approximately 15,000 such facilities in the nation serving approximately 76% of the U.S. population. The remaining population represents individual homeowners with their own treatment facilities; for example, community on-lot disposal systems and septic tank systems. The vast majority of wastewater facilities are government-owned rather than regulated utilities. The EPA survey also indicated that, in 2012, there were approximately 4,000 wastewater facilities in operation in the states where we operate regulated utilities.</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the fragmented nature of the water and wastewater utility industries, we believe that there are many potential water and wastewater system acquisition candidates throughout the United States. We believe the factors driving the consolidation of these systems are:</w:t>
      </w:r>
    </w:p>
    <w:p>
      <w:pPr>
        <w:spacing w:after="0" w:line="200" w:lineRule="exact"/>
        <w:rPr>
          <w:sz w:val="20"/>
          <w:szCs w:val="20"/>
          <w:color w:val="auto"/>
        </w:rPr>
      </w:pPr>
    </w:p>
    <w:p>
      <w:pPr>
        <w:ind w:left="500" w:hanging="180"/>
        <w:spacing w:after="0"/>
        <w:tabs>
          <w:tab w:leader="none" w:pos="5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benefits of economies of scale;</w:t>
      </w:r>
    </w:p>
    <w:p>
      <w:pPr>
        <w:spacing w:after="0" w:line="15" w:lineRule="exact"/>
        <w:rPr>
          <w:rFonts w:ascii="Arial" w:cs="Arial" w:eastAsia="Arial" w:hAnsi="Arial"/>
          <w:sz w:val="20"/>
          <w:szCs w:val="20"/>
          <w:color w:val="auto"/>
        </w:rPr>
      </w:pPr>
    </w:p>
    <w:p>
      <w:pPr>
        <w:ind w:left="500" w:hanging="180"/>
        <w:spacing w:after="0"/>
        <w:tabs>
          <w:tab w:leader="none" w:pos="5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increasing cost and complexity of environmental regulations;</w:t>
      </w:r>
    </w:p>
    <w:p>
      <w:pPr>
        <w:ind w:left="500" w:hanging="180"/>
        <w:spacing w:after="0"/>
        <w:tabs>
          <w:tab w:leader="none" w:pos="5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need for substantial capital investment;</w:t>
      </w:r>
    </w:p>
    <w:p>
      <w:pPr>
        <w:ind w:left="500" w:hanging="180"/>
        <w:spacing w:after="0"/>
        <w:tabs>
          <w:tab w:leader="none" w:pos="5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need for technological and managerial expertise;</w:t>
      </w:r>
    </w:p>
    <w:p>
      <w:pPr>
        <w:ind w:left="500" w:hanging="180"/>
        <w:spacing w:after="0"/>
        <w:tabs>
          <w:tab w:leader="none" w:pos="5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desire to improve water quality and service;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left="500" w:hanging="180"/>
        <w:spacing w:after="0"/>
        <w:tabs>
          <w:tab w:leader="none" w:pos="5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limited access to cost-effective financing;</w:t>
      </w:r>
    </w:p>
    <w:p>
      <w:pPr>
        <w:spacing w:after="0" w:line="15" w:lineRule="exact"/>
        <w:rPr>
          <w:rFonts w:ascii="Arial" w:cs="Arial" w:eastAsia="Arial" w:hAnsi="Arial"/>
          <w:sz w:val="20"/>
          <w:szCs w:val="20"/>
          <w:color w:val="auto"/>
        </w:rPr>
      </w:pPr>
    </w:p>
    <w:p>
      <w:pPr>
        <w:ind w:left="500" w:hanging="180"/>
        <w:spacing w:after="0"/>
        <w:tabs>
          <w:tab w:leader="none" w:pos="5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monetizing of public assets to support, in some cases, the declining financial condition of municipalities; and</w:t>
      </w:r>
    </w:p>
    <w:p>
      <w:pPr>
        <w:spacing w:after="0" w:line="11" w:lineRule="exact"/>
        <w:rPr>
          <w:rFonts w:ascii="Arial" w:cs="Arial" w:eastAsia="Arial" w:hAnsi="Arial"/>
          <w:sz w:val="19"/>
          <w:szCs w:val="19"/>
          <w:color w:val="auto"/>
        </w:rPr>
      </w:pPr>
    </w:p>
    <w:p>
      <w:pPr>
        <w:ind w:left="500" w:hanging="180"/>
        <w:spacing w:after="0"/>
        <w:tabs>
          <w:tab w:leader="none" w:pos="5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use of system sale proceeds by a municipality to accomplish other public purposes.</w:t>
      </w:r>
    </w:p>
    <w:p>
      <w:pPr>
        <w:spacing w:after="0" w:line="213"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We are actively exploring opportunities to expand our water and wastewater utility operations through regulated utility acquisitions or otherwise, including the management of publicly-owned facilities in a public-private partnership. We intend to continue to pursue acquisitions of government-owned and regulated water and wastewater utility systems that provide services in areas near our existing service territories or in new service areas. It is our intention to focus on growth opportunities in states where we have critical mass, which allows us to improve economies of scale through spreading our fixed costs over more customers – this cost efficiency should enable us to reduce the size of future rate increases. Currently, the Company seeks to acquire businesses in the U.S. regulated sector, which includes water and wastewater utilities and other regulated utilities, and to pursue growth ventures in market-based activities, by acquiring businesses that provide water and wastewater or other utility-related services and investing in infrastructure projects.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Sendout</w:t>
      </w:r>
    </w:p>
    <w:p>
      <w:pPr>
        <w:spacing w:after="0" w:line="2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Sendout represents the quantity of treated water delivered to our distribution systems. We use sendout as an indicator of customer demand. Weather conditions tend to impact water consumption, particularly during the late spring, summer, and early fall when discretionary and recreational use of water is at its highest. Consequently, a higher proportion of annual operating revenues are realized in the second and third quarters. In general, during this period, an extended period of hot and dry weather increases water consumption, while above-average rainfall and cool weather decreases water</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consumption. Conservation efforts, construction codes that require the use of low-flow plumbing fixtures, as well as mandated water use restrictions in response to drought conditions can reduce water consumption. We believe an increase in conservation awareness by our customers, including the increased use of more efficient plumbing fixtures and appliances, may continue to result in a long-term structural trend of declining water usage per customer. These gradual long-term changes are normally taken into account by the utility commissions in setting rates, whereas significant short-term changes in water usage, resulting from drought warnings, water use restrictions, or extreme weather conditions, may not be fully reflected in the rates we charge between rate proceedings. In Illinois, our operating subsidiary has adopted a revenue stability mechanism which allows us to recognize state PUC-authorized revenue for a period which is not based upon the volume of water sold during that period, and effectively lessens the impact of weather and consumption variability.</w:t>
      </w:r>
    </w:p>
    <w:p>
      <w:pPr>
        <w:spacing w:after="0" w:line="184"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On occasion, drought warnings and water use restrictions are issued by governmental authorities for portions of our service territories in response to extended periods of dry weather conditions, regardless of our ability to meet unrestricted customer water demands. The timing and duration of the warnings and restrictions can have an impact on our water revenues and net income. In general, water consumption in the summer months is affected by drought warnings and restrictions to a higher degree because discretionary and recreational use of water is highest during the summer months, particularly in our northern service territories. At other times of the year, warnings and restrictions generally have less of an effect on water consumption. Currently, portions of our northern and central Texas service areas have conservation water restrictions. Drought warnings and watches result in the public being asked to voluntarily reduce water consumption.</w:t>
      </w:r>
    </w:p>
    <w:p>
      <w:pPr>
        <w:spacing w:after="0" w:line="183"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geographic diversity of our utility customer base reduces the effect of our exposure to extreme or unusual weather conditions in any one area of the country. During the year ended December 31, 2018, our operating revenues were derived principally from the following states: approximately 53% in Pennsylvania, 13% in Ohio, 9% in Texas, 9% in Illinois, and 6% in North Carolina.</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Performance Measures Considered by Management</w:t>
      </w:r>
    </w:p>
    <w:p>
      <w:pPr>
        <w:spacing w:after="0" w:line="22" w:lineRule="exact"/>
        <w:rPr>
          <w:sz w:val="20"/>
          <w:szCs w:val="20"/>
          <w:color w:val="auto"/>
        </w:rPr>
      </w:pPr>
    </w:p>
    <w:p>
      <w:pPr>
        <w:ind w:right="760"/>
        <w:spacing w:after="0" w:line="244" w:lineRule="auto"/>
        <w:rPr>
          <w:sz w:val="20"/>
          <w:szCs w:val="20"/>
          <w:color w:val="auto"/>
        </w:rPr>
      </w:pPr>
      <w:r>
        <w:rPr>
          <w:rFonts w:ascii="Arial" w:cs="Arial" w:eastAsia="Arial" w:hAnsi="Arial"/>
          <w:sz w:val="20"/>
          <w:szCs w:val="20"/>
          <w:color w:val="auto"/>
        </w:rPr>
        <w:t>We consider the following financial measures (and the period to period changes in these financial measures) to be the fundamental basis by which we evaluate our operating results:</w:t>
      </w:r>
    </w:p>
    <w:p>
      <w:pPr>
        <w:spacing w:after="0" w:line="205" w:lineRule="exact"/>
        <w:rPr>
          <w:sz w:val="20"/>
          <w:szCs w:val="20"/>
          <w:color w:val="auto"/>
        </w:rPr>
      </w:pPr>
    </w:p>
    <w:p>
      <w:pPr>
        <w:ind w:left="640" w:hanging="320"/>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15" w:lineRule="exact"/>
        <w:rPr>
          <w:rFonts w:ascii="Arial" w:cs="Arial" w:eastAsia="Arial" w:hAnsi="Arial"/>
          <w:sz w:val="20"/>
          <w:szCs w:val="20"/>
          <w:color w:val="auto"/>
        </w:rPr>
      </w:pPr>
    </w:p>
    <w:p>
      <w:pPr>
        <w:ind w:left="640" w:hanging="320"/>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operating revenues;</w:t>
      </w:r>
    </w:p>
    <w:p>
      <w:pPr>
        <w:ind w:left="640" w:hanging="320"/>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income from continuing operations;</w:t>
      </w:r>
    </w:p>
    <w:p>
      <w:pPr>
        <w:ind w:left="640" w:hanging="320"/>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earnings before interest, taxes, and depreciation (“EBITD”);</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5" w:right="9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left="640" w:hanging="320"/>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earnings before income taxes as compared to our operating budget;</w:t>
      </w:r>
    </w:p>
    <w:p>
      <w:pPr>
        <w:spacing w:after="0" w:line="15" w:lineRule="exact"/>
        <w:rPr>
          <w:rFonts w:ascii="Arial" w:cs="Arial" w:eastAsia="Arial" w:hAnsi="Arial"/>
          <w:sz w:val="20"/>
          <w:szCs w:val="20"/>
          <w:color w:val="auto"/>
        </w:rPr>
      </w:pPr>
    </w:p>
    <w:p>
      <w:pPr>
        <w:ind w:left="640" w:hanging="320"/>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net income; and</w:t>
      </w:r>
    </w:p>
    <w:p>
      <w:pPr>
        <w:ind w:left="640" w:hanging="320"/>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dividend rate on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consider other key measures in evaluating our utility business performance within our Regulated segment:</w:t>
      </w:r>
    </w:p>
    <w:p>
      <w:pPr>
        <w:spacing w:after="0" w:line="252" w:lineRule="exact"/>
        <w:rPr>
          <w:sz w:val="20"/>
          <w:szCs w:val="20"/>
          <w:color w:val="auto"/>
        </w:rPr>
      </w:pPr>
    </w:p>
    <w:p>
      <w:pPr>
        <w:ind w:left="640" w:hanging="320"/>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number of utility customers;</w:t>
      </w:r>
    </w:p>
    <w:p>
      <w:pPr>
        <w:spacing w:after="0" w:line="15" w:lineRule="exact"/>
        <w:rPr>
          <w:rFonts w:ascii="Arial" w:cs="Arial" w:eastAsia="Arial" w:hAnsi="Arial"/>
          <w:sz w:val="20"/>
          <w:szCs w:val="20"/>
          <w:color w:val="auto"/>
        </w:rPr>
      </w:pPr>
    </w:p>
    <w:p>
      <w:pPr>
        <w:ind w:left="640" w:right="80" w:hanging="320"/>
        <w:spacing w:after="0" w:line="239" w:lineRule="auto"/>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ratio of operations and maintenance expense compared to operating revenues (this percentage is termed “operating expense ratio”);</w:t>
      </w:r>
    </w:p>
    <w:p>
      <w:pPr>
        <w:spacing w:after="0" w:line="1" w:lineRule="exact"/>
        <w:rPr>
          <w:rFonts w:ascii="Arial" w:cs="Arial" w:eastAsia="Arial" w:hAnsi="Arial"/>
          <w:sz w:val="20"/>
          <w:szCs w:val="20"/>
          <w:color w:val="auto"/>
        </w:rPr>
      </w:pPr>
    </w:p>
    <w:p>
      <w:pPr>
        <w:ind w:left="640" w:hanging="320"/>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return on revenues (income from continuing operations divided by operating revenues);</w:t>
      </w:r>
    </w:p>
    <w:p>
      <w:pPr>
        <w:ind w:left="640" w:hanging="320"/>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rate base growth;</w:t>
      </w:r>
    </w:p>
    <w:p>
      <w:pPr>
        <w:ind w:left="640" w:hanging="320"/>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return on equity (net income divided by stockholders’ equity); and</w:t>
      </w:r>
    </w:p>
    <w:p>
      <w:pPr>
        <w:ind w:left="640" w:hanging="320"/>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ratio of capital expenditures to depreciation expense.</w:t>
      </w:r>
    </w:p>
    <w:p>
      <w:pPr>
        <w:spacing w:after="0" w:line="21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 xml:space="preserve">Some of these measures, like EBITD, are non-GAAP financial measures. The Company believes that the non-GAAP financial measures provide management the ability to measure the Company’s financial operating performance across periods and as contrasted to historical financial results, which are more indicative of the Company’s ongoing performance and more comparable to measures reported by other companies. When the Company discloses such non-GAAP financial measures, we believe they are useful to investors as a more meaningful way to compare the Company’s operating performance against its historical financial results. We believe EBITD from continuing operations is a relevant and useful indicator of operating performance, as we measure it for management purposes because it provides a better understanding of our results of operations by highlighting our operations and the underlying profitability of our core business. Furthermore, we review the measure of earnings before unusual items that are not directly related to our core business, such as the measure of adjusted earnings to remove the Peoples Gas Acquisition expenses, such as transaction expenses and the change in fair value of interest rate swap agreements, which were recognized in 2018, as well as the joint venture impairment charge (noncash), which was recognized in 2015. Refer to Note 10 – </w:t>
      </w:r>
      <w:r>
        <w:rPr>
          <w:rFonts w:ascii="Arial" w:cs="Arial" w:eastAsia="Arial" w:hAnsi="Arial"/>
          <w:sz w:val="18"/>
          <w:szCs w:val="18"/>
          <w:i w:val="1"/>
          <w:iCs w:val="1"/>
          <w:color w:val="auto"/>
        </w:rPr>
        <w:t>Long-term Debt and Loans Payable</w:t>
      </w:r>
      <w:r>
        <w:rPr>
          <w:rFonts w:ascii="Arial" w:cs="Arial" w:eastAsia="Arial" w:hAnsi="Arial"/>
          <w:sz w:val="18"/>
          <w:szCs w:val="18"/>
          <w:color w:val="auto"/>
        </w:rPr>
        <w:t xml:space="preserve"> in this Annual Report for information regarding the interest rate swap agreements and “Management’s Discussion and Analysis of Financial Condition and Results of Operations – </w:t>
      </w:r>
      <w:r>
        <w:rPr>
          <w:rFonts w:ascii="Arial" w:cs="Arial" w:eastAsia="Arial" w:hAnsi="Arial"/>
          <w:sz w:val="18"/>
          <w:szCs w:val="18"/>
          <w:i w:val="1"/>
          <w:iCs w:val="1"/>
          <w:color w:val="auto"/>
        </w:rPr>
        <w:t xml:space="preserve">Liquidity and Capital Resources – Joint Venture” </w:t>
      </w:r>
      <w:r>
        <w:rPr>
          <w:rFonts w:ascii="Arial" w:cs="Arial" w:eastAsia="Arial" w:hAnsi="Arial"/>
          <w:sz w:val="18"/>
          <w:szCs w:val="18"/>
          <w:color w:val="auto"/>
        </w:rPr>
        <w:t>in this Annual Report for information regarding the impairment charge. We</w:t>
      </w:r>
      <w:r>
        <w:rPr>
          <w:rFonts w:ascii="Arial" w:cs="Arial" w:eastAsia="Arial" w:hAnsi="Arial"/>
          <w:sz w:val="18"/>
          <w:szCs w:val="18"/>
          <w:i w:val="1"/>
          <w:iCs w:val="1"/>
          <w:color w:val="auto"/>
        </w:rPr>
        <w:t xml:space="preserve"> </w:t>
      </w:r>
      <w:r>
        <w:rPr>
          <w:rFonts w:ascii="Arial" w:cs="Arial" w:eastAsia="Arial" w:hAnsi="Arial"/>
          <w:sz w:val="18"/>
          <w:szCs w:val="18"/>
          <w:color w:val="auto"/>
        </w:rPr>
        <w:t>review these measurements regularly and compare them to historical periods, to our operating budget as approved by our Board of Directors, and to other publicly-traded water utilities.</w:t>
      </w:r>
    </w:p>
    <w:p>
      <w:pPr>
        <w:spacing w:after="0" w:line="191"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Our operating expense ratio is one measure that we use to evaluate our operating efficiency and management effectiveness of our regulated operations. Our operating expense ratio is affected by a number of factors, including the following:</w:t>
      </w:r>
    </w:p>
    <w:p>
      <w:pPr>
        <w:spacing w:after="0" w:line="144" w:lineRule="exact"/>
        <w:rPr>
          <w:sz w:val="20"/>
          <w:szCs w:val="20"/>
          <w:color w:val="auto"/>
        </w:rPr>
      </w:pPr>
    </w:p>
    <w:p>
      <w:pPr>
        <w:ind w:left="500" w:hanging="180"/>
        <w:spacing w:after="0" w:line="307"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Regulatory lag – </w:t>
      </w:r>
      <w:r>
        <w:rPr>
          <w:rFonts w:ascii="Arial" w:cs="Arial" w:eastAsia="Arial" w:hAnsi="Arial"/>
          <w:sz w:val="16"/>
          <w:szCs w:val="16"/>
          <w:color w:val="auto"/>
        </w:rPr>
        <w:t>Our rate filings are designed to provide for the recovery of increases in costs of operations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labor and employee benefits, electricity, chemicals, transportation, maintenance expenses, insurance and claim costs, and costs to comply with environmental regulations), capital, and taxes. The revenue portion of the operating expense ratio can be impacted by the timeliness of recovery of, and the return on capital investments. The operating expense ratio is further influenced by regulatory lag (increases in operations and maintenance expenses not yet recovered in rates or a gap between the time that a capital project is completed and the start of its cost recovery in rates). The operating expense ratio is also influenced by decreases in operating revenues without a commensurate decrease in operations and maintenance expense, such as changes in customer water consumption as impacted by adverse weather conditions, or conservation trends. Commencing in 2012, as a result of utility rates incorporating the effects of income tax benefits derived from deducting qualifying utility asset improvements for tax purposes that are capitalized for book purposes in Aqua Pennsylvania and consequently forgoing operating revenue increases until its next rate case becomes effective in May 2019. During periods of inflation, our operations and maintenance expenses may increase, impacting the operating expense ratio, as a result of regulatory lag, since our rate cases may not be filed timely and are not retroactive.</w:t>
      </w:r>
    </w:p>
    <w:p>
      <w:pPr>
        <w:spacing w:after="0" w:line="390" w:lineRule="exact"/>
        <w:rPr>
          <w:rFonts w:ascii="Arial" w:cs="Arial" w:eastAsia="Arial" w:hAnsi="Arial"/>
          <w:sz w:val="16"/>
          <w:szCs w:val="16"/>
          <w:color w:val="auto"/>
        </w:rPr>
      </w:pPr>
    </w:p>
    <w:p>
      <w:pPr>
        <w:ind w:left="500" w:right="40" w:hanging="180"/>
        <w:spacing w:after="0" w:line="282"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Acquisitions – </w:t>
      </w:r>
      <w:r>
        <w:rPr>
          <w:rFonts w:ascii="Arial" w:cs="Arial" w:eastAsia="Arial" w:hAnsi="Arial"/>
          <w:sz w:val="18"/>
          <w:szCs w:val="18"/>
          <w:color w:val="auto"/>
        </w:rPr>
        <w:t>In general, acquisitions of smaller undercapitalized utility systems in some areas may initially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operating expense ratio if the operating revenues generated by these operations do not reflect the true cost of service and are accompanied by a higher ratio of operations and maintenance expenses as compared to other operational areas of the company that are more densely populated and have integrated operations. In these cases,</w:t>
      </w:r>
    </w:p>
    <w:p>
      <w:pPr>
        <w:spacing w:after="0" w:line="38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acquired operations are characterized as having relatively higher operating costs to fixed capital costs, in contrast to the majority of our operations, which generally consist of larger, interconnected systems, with higher fixed capital costs (utility plant investment) and lower operating costs per customer. For larger acquisitions, such as the Peoples Gas Acquisition, we may incur significant transaction expenses, which increase operations and maintenance expenses in periods prior to and in the period of the closing of the acquisition. In addition, we operate market-based subsidiary companies, Aqua Resources and Aqua Infrastructure. The cost-structure of these market-based companies differs from our utility companies in that, although they may generate free cash flow, these companies have a higher ratio of operations and maintenance expenses to operating revenues and a lower capital investment and, consequently, a lower ratio of fixed capital costs versus operating revenues in contrast to our regulated operations. As a result, the operating expense ratio is not comparable between the businesses. These market-based subsidiary companies are not a component of our Regulated segment.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We continue to evaluate initiatives to help control operating costs and improve efficiencies.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34" w:name="page35"/>
    <w:bookmarkEnd w:id="3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ind w:left="4"/>
        <w:spacing w:after="0"/>
        <w:rPr>
          <w:sz w:val="20"/>
          <w:szCs w:val="20"/>
          <w:color w:val="auto"/>
        </w:rPr>
      </w:pPr>
      <w:r>
        <w:rPr>
          <w:rFonts w:ascii="Arial" w:cs="Arial" w:eastAsia="Arial" w:hAnsi="Arial"/>
          <w:sz w:val="20"/>
          <w:szCs w:val="20"/>
          <w:b w:val="1"/>
          <w:bCs w:val="1"/>
          <w:u w:val="single" w:color="auto"/>
          <w:color w:val="auto"/>
        </w:rPr>
        <w:t>Consolidated Selected Financial and Operating Statistics</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20"/>
          <w:szCs w:val="20"/>
          <w:color w:val="auto"/>
        </w:rPr>
        <w:t>Our selected five-year consolidated financial and operating statistics follow:</w:t>
      </w:r>
    </w:p>
    <w:p>
      <w:pPr>
        <w:spacing w:after="0" w:line="35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Years ended December 31,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2017</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2016</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2015</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2014</w:t>
            </w: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Utility customers: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Residential water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815,663</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807,872</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801,190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791,404</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779,665</w:t>
            </w:r>
          </w:p>
        </w:tc>
      </w:tr>
      <w:tr>
        <w:trPr>
          <w:trHeight w:val="230"/>
        </w:trPr>
        <w:tc>
          <w:tcPr>
            <w:tcW w:w="5220" w:type="dxa"/>
            <w:vAlign w:val="bottom"/>
          </w:tcPr>
          <w:p>
            <w:pPr>
              <w:ind w:left="100"/>
              <w:spacing w:after="0"/>
              <w:rPr>
                <w:sz w:val="20"/>
                <w:szCs w:val="20"/>
                <w:color w:val="auto"/>
              </w:rPr>
            </w:pPr>
            <w:r>
              <w:rPr>
                <w:rFonts w:ascii="Arial" w:cs="Arial" w:eastAsia="Arial" w:hAnsi="Arial"/>
                <w:sz w:val="18"/>
                <w:szCs w:val="18"/>
                <w:color w:val="auto"/>
              </w:rPr>
              <w:t>Commercial water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41,532</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40,956</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40,582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40,151</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39,614</w:t>
            </w:r>
          </w:p>
        </w:tc>
      </w:tr>
      <w:tr>
        <w:trPr>
          <w:trHeight w:val="23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Industrial water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230"/>
        </w:trPr>
        <w:tc>
          <w:tcPr>
            <w:tcW w:w="5220" w:type="dxa"/>
            <w:vAlign w:val="bottom"/>
          </w:tcPr>
          <w:p>
            <w:pPr>
              <w:ind w:left="100"/>
              <w:spacing w:after="0"/>
              <w:rPr>
                <w:sz w:val="20"/>
                <w:szCs w:val="20"/>
                <w:color w:val="auto"/>
              </w:rPr>
            </w:pPr>
            <w:r>
              <w:rPr>
                <w:rFonts w:ascii="Arial" w:cs="Arial" w:eastAsia="Arial" w:hAnsi="Arial"/>
                <w:sz w:val="18"/>
                <w:szCs w:val="18"/>
                <w:color w:val="auto"/>
              </w:rPr>
              <w:t>Other water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19,273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19,430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19,036</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17,420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17,412</w:t>
            </w:r>
          </w:p>
        </w:tc>
      </w:tr>
      <w:tr>
        <w:trPr>
          <w:trHeight w:val="23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Wastewater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127,782</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113,253</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110,108</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107,538</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102,071</w:t>
            </w:r>
          </w:p>
        </w:tc>
      </w:tr>
      <w:tr>
        <w:trPr>
          <w:trHeight w:val="217"/>
        </w:trPr>
        <w:tc>
          <w:tcPr>
            <w:tcW w:w="5220" w:type="dxa"/>
            <w:vAlign w:val="bottom"/>
          </w:tcPr>
          <w:p>
            <w:pPr>
              <w:ind w:left="100"/>
              <w:spacing w:after="0"/>
              <w:rPr>
                <w:sz w:val="20"/>
                <w:szCs w:val="20"/>
                <w:color w:val="auto"/>
              </w:rPr>
            </w:pPr>
            <w:r>
              <w:rPr>
                <w:rFonts w:ascii="Arial" w:cs="Arial" w:eastAsia="Arial" w:hAnsi="Arial"/>
                <w:sz w:val="18"/>
                <w:szCs w:val="18"/>
                <w:color w:val="auto"/>
              </w:rPr>
              <w:t>Total utility customers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1,005,590</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982,849</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972,265</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957,866</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940,119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Operating revenues: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Residential water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460,013</w:t>
            </w:r>
          </w:p>
        </w:tc>
      </w:tr>
      <w:tr>
        <w:trPr>
          <w:trHeight w:val="230"/>
        </w:trPr>
        <w:tc>
          <w:tcPr>
            <w:tcW w:w="5220" w:type="dxa"/>
            <w:vAlign w:val="bottom"/>
          </w:tcPr>
          <w:p>
            <w:pPr>
              <w:ind w:left="100"/>
              <w:spacing w:after="0"/>
              <w:rPr>
                <w:sz w:val="20"/>
                <w:szCs w:val="20"/>
                <w:color w:val="auto"/>
              </w:rPr>
            </w:pPr>
            <w:r>
              <w:rPr>
                <w:rFonts w:ascii="Arial" w:cs="Arial" w:eastAsia="Arial" w:hAnsi="Arial"/>
                <w:sz w:val="18"/>
                <w:szCs w:val="18"/>
                <w:color w:val="auto"/>
              </w:rPr>
              <w:t>Commercial water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133,753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130,373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131,170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126,677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122,795</w:t>
            </w:r>
          </w:p>
        </w:tc>
      </w:tr>
      <w:tr>
        <w:trPr>
          <w:trHeight w:val="23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Industrial water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27,916</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w:t>
            </w:r>
          </w:p>
        </w:tc>
      </w:tr>
      <w:tr>
        <w:trPr>
          <w:trHeight w:val="230"/>
        </w:trPr>
        <w:tc>
          <w:tcPr>
            <w:tcW w:w="5220" w:type="dxa"/>
            <w:vAlign w:val="bottom"/>
          </w:tcPr>
          <w:p>
            <w:pPr>
              <w:ind w:left="100"/>
              <w:spacing w:after="0"/>
              <w:rPr>
                <w:sz w:val="20"/>
                <w:szCs w:val="20"/>
                <w:color w:val="auto"/>
              </w:rPr>
            </w:pPr>
            <w:r>
              <w:rPr>
                <w:rFonts w:ascii="Arial" w:cs="Arial" w:eastAsia="Arial" w:hAnsi="Arial"/>
                <w:sz w:val="18"/>
                <w:szCs w:val="18"/>
                <w:color w:val="auto"/>
              </w:rPr>
              <w:t>Other water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85,894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65,324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62,983</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56,997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59,474</w:t>
            </w:r>
          </w:p>
        </w:tc>
      </w:tr>
      <w:tr>
        <w:trPr>
          <w:trHeight w:val="23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Wastewater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79,399</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76,472</w:t>
            </w:r>
          </w:p>
        </w:tc>
      </w:tr>
      <w:tr>
        <w:trPr>
          <w:trHeight w:val="230"/>
        </w:trPr>
        <w:tc>
          <w:tcPr>
            <w:tcW w:w="5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utility</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9,027</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9,903</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10,746</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Regulated segment total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834,638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804,905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800,107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779,613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756,057</w:t>
            </w:r>
          </w:p>
        </w:tc>
      </w:tr>
      <w:tr>
        <w:trPr>
          <w:trHeight w:val="230"/>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and eliminations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19,768</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34,591</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23,846</w:t>
            </w:r>
          </w:p>
        </w:tc>
      </w:tr>
      <w:tr>
        <w:trPr>
          <w:trHeight w:val="230"/>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operating revenues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779,903</w:t>
            </w:r>
          </w:p>
        </w:tc>
      </w:tr>
      <w:tr>
        <w:trPr>
          <w:trHeight w:val="210"/>
        </w:trPr>
        <w:tc>
          <w:tcPr>
            <w:tcW w:w="5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Operations and maintenance expense</w:t>
            </w:r>
          </w:p>
        </w:tc>
        <w:tc>
          <w:tcPr>
            <w:tcW w:w="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308,478</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282,253</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297,184</w:t>
            </w:r>
          </w:p>
        </w:tc>
        <w:tc>
          <w:tcPr>
            <w:tcW w:w="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308,416</w:t>
            </w:r>
          </w:p>
        </w:tc>
        <w:tc>
          <w:tcPr>
            <w:tcW w:w="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289,244</w:t>
            </w:r>
          </w:p>
        </w:tc>
      </w:tr>
      <w:tr>
        <w:trPr>
          <w:trHeight w:val="236"/>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interest rate swap agreements (1)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Joint venture impairment charge (2)</w:t>
            </w:r>
          </w:p>
        </w:tc>
        <w:tc>
          <w:tcPr>
            <w:tcW w:w="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21,433</w:t>
            </w:r>
          </w:p>
        </w:tc>
        <w:tc>
          <w:tcPr>
            <w:tcW w:w="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36"/>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213,884</w:t>
            </w:r>
          </w:p>
        </w:tc>
      </w:tr>
      <w:tr>
        <w:trPr>
          <w:trHeight w:val="210"/>
        </w:trPr>
        <w:tc>
          <w:tcPr>
            <w:tcW w:w="5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191,988</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239,738</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234,182</w:t>
            </w:r>
          </w:p>
        </w:tc>
        <w:tc>
          <w:tcPr>
            <w:tcW w:w="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201,790</w:t>
            </w:r>
          </w:p>
        </w:tc>
        <w:tc>
          <w:tcPr>
            <w:tcW w:w="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233,239</w:t>
            </w:r>
          </w:p>
        </w:tc>
      </w:tr>
      <w:tr>
        <w:trPr>
          <w:trHeight w:val="236"/>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328,605</w:t>
            </w:r>
          </w:p>
        </w:tc>
      </w:tr>
      <w:tr>
        <w:trPr>
          <w:trHeight w:val="202"/>
        </w:trPr>
        <w:tc>
          <w:tcPr>
            <w:tcW w:w="522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Statistics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w w:val="98"/>
              </w:rPr>
              <w:t>Selected operating results as a percentage of operating revenues: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Operations and maintenance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34.9%</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36.2%</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37.9%</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37.1%</w:t>
            </w:r>
          </w:p>
        </w:tc>
      </w:tr>
      <w:tr>
        <w:trPr>
          <w:trHeight w:val="230"/>
        </w:trPr>
        <w:tc>
          <w:tcPr>
            <w:tcW w:w="52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16.2%</w:t>
            </w:r>
          </w:p>
        </w:tc>
        <w:tc>
          <w:tcPr>
            <w:tcW w:w="2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15.8%</w:t>
            </w:r>
          </w:p>
        </w:tc>
        <w:tc>
          <w:tcPr>
            <w:tcW w:w="2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16.2%</w:t>
            </w:r>
          </w:p>
        </w:tc>
      </w:tr>
      <w:tr>
        <w:trPr>
          <w:trHeight w:val="23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 other than income taxes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6.9%</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6.8%</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6.5%</w:t>
            </w:r>
          </w:p>
        </w:tc>
      </w:tr>
      <w:tr>
        <w:trPr>
          <w:trHeight w:val="230"/>
        </w:trPr>
        <w:tc>
          <w:tcPr>
            <w:tcW w:w="522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11.8%</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10.9%</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9.8%</w:t>
            </w:r>
          </w:p>
        </w:tc>
        <w:tc>
          <w:tcPr>
            <w:tcW w:w="2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9.4%</w:t>
            </w:r>
          </w:p>
        </w:tc>
        <w:tc>
          <w:tcPr>
            <w:tcW w:w="2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9.8%</w:t>
            </w:r>
          </w:p>
        </w:tc>
      </w:tr>
      <w:tr>
        <w:trPr>
          <w:trHeight w:val="236"/>
        </w:trPr>
        <w:tc>
          <w:tcPr>
            <w:tcW w:w="5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22.9%</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29.6%</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28.6%</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24.8%</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27.4%</w:t>
            </w:r>
          </w:p>
        </w:tc>
      </w:tr>
      <w:tr>
        <w:trPr>
          <w:trHeight w:val="210"/>
        </w:trPr>
        <w:tc>
          <w:tcPr>
            <w:tcW w:w="5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Return on Aqua America stockholders' equity</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9.6%</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12.2%</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12.7%</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11.7%</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14.1%</w:t>
            </w:r>
          </w:p>
        </w:tc>
      </w:tr>
      <w:tr>
        <w:trPr>
          <w:trHeight w:val="236"/>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capital expenditures to depreciation expense</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2.7</w:t>
            </w:r>
          </w:p>
        </w:tc>
      </w:tr>
      <w:tr>
        <w:trPr>
          <w:trHeight w:val="210"/>
        </w:trPr>
        <w:tc>
          <w:tcPr>
            <w:tcW w:w="5220" w:type="dxa"/>
            <w:vAlign w:val="bottom"/>
          </w:tcPr>
          <w:p>
            <w:pPr>
              <w:spacing w:after="0" w:line="203" w:lineRule="exact"/>
              <w:rPr>
                <w:sz w:val="20"/>
                <w:szCs w:val="20"/>
                <w:color w:val="auto"/>
              </w:rPr>
            </w:pPr>
            <w:r>
              <w:rPr>
                <w:rFonts w:ascii="Arial" w:cs="Arial" w:eastAsia="Arial" w:hAnsi="Arial"/>
                <w:sz w:val="18"/>
                <w:szCs w:val="18"/>
                <w:color w:val="auto"/>
              </w:rPr>
              <w:t>Effective tax rate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4"/>
              </w:rPr>
              <w:t>(7.7%)</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6.6%</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8.2%</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6.9%</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10.5%</w:t>
            </w:r>
          </w:p>
        </w:tc>
      </w:tr>
    </w:tbl>
    <w:p>
      <w:pPr>
        <w:spacing w:after="0" w:line="213" w:lineRule="exact"/>
        <w:rPr>
          <w:sz w:val="20"/>
          <w:szCs w:val="20"/>
          <w:color w:val="auto"/>
        </w:rPr>
      </w:pPr>
    </w:p>
    <w:p>
      <w:pPr>
        <w:ind w:left="324" w:right="40" w:hanging="324"/>
        <w:spacing w:after="0" w:line="245" w:lineRule="auto"/>
        <w:tabs>
          <w:tab w:leader="none" w:pos="324" w:val="left"/>
        </w:tabs>
        <w:numPr>
          <w:ilvl w:val="0"/>
          <w:numId w:val="32"/>
        </w:numPr>
        <w:rPr>
          <w:rFonts w:ascii="Arial" w:cs="Arial" w:eastAsia="Arial" w:hAnsi="Arial"/>
          <w:sz w:val="18"/>
          <w:szCs w:val="18"/>
          <w:color w:val="auto"/>
        </w:rPr>
      </w:pPr>
      <w:r>
        <w:rPr>
          <w:rFonts w:ascii="Arial" w:cs="Arial" w:eastAsia="Arial" w:hAnsi="Arial"/>
          <w:sz w:val="20"/>
          <w:szCs w:val="20"/>
          <w:color w:val="auto"/>
        </w:rPr>
        <w:t>Represents a mark-to-market fair value adjustment expense of $47,225 ($59,779 pre-tax) associated with our interest rate swap agreements that were entered into to mitigate interest rate risk associated with our planned issuance of long-term debt to fund a portion of the Peoples Gas Acquisition.</w:t>
      </w:r>
    </w:p>
    <w:p>
      <w:pPr>
        <w:ind w:left="324" w:right="20" w:hanging="324"/>
        <w:spacing w:after="0" w:line="241" w:lineRule="auto"/>
        <w:tabs>
          <w:tab w:leader="none" w:pos="324" w:val="left"/>
        </w:tabs>
        <w:numPr>
          <w:ilvl w:val="0"/>
          <w:numId w:val="32"/>
        </w:numPr>
        <w:rPr>
          <w:rFonts w:ascii="Arial" w:cs="Arial" w:eastAsia="Arial" w:hAnsi="Arial"/>
          <w:sz w:val="18"/>
          <w:szCs w:val="18"/>
          <w:color w:val="auto"/>
        </w:rPr>
      </w:pPr>
      <w:r>
        <w:rPr>
          <w:rFonts w:ascii="Arial" w:cs="Arial" w:eastAsia="Arial" w:hAnsi="Arial"/>
          <w:sz w:val="20"/>
          <w:szCs w:val="20"/>
          <w:color w:val="auto"/>
        </w:rPr>
        <w:t>Represents a $21,433 ($32,975 pre-tax) joint venture impairment charge. This amount represents our share of the impairment charge recognized by our joint venture that operates a private pipeline to supply raw water to firms with natural gas well drilling operations.</w:t>
      </w:r>
    </w:p>
    <w:p>
      <w:pPr>
        <w:spacing w:after="0" w:line="200" w:lineRule="exact"/>
        <w:rPr>
          <w:sz w:val="20"/>
          <w:szCs w:val="20"/>
          <w:color w:val="auto"/>
        </w:rPr>
      </w:pPr>
    </w:p>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Net income varies over time as a result of increases in operating income, timing of transaction expenses for acquisitions, including fluctuations in fair value adjustments for interest rate swap agreements entered into in connection with planned acquisitions, and other factors described below. During the past five years, our operating revenues grew at a compound rate of 1.9% and operating expenses grew at a compound rate of 2.3%. Operating revenues have not increased over the past five years at the same levels historically experienced due to two factors. The Company’s Pennsylvania operating subsidiary, Aqua Pennsylvania, has not filed a base rate case for an increase since 2011. It filed a base rate case in August 2018, and new customer rates are expected to be implemented in May 2019. Also, the Tax Cuts and Jobs Act of 2017 (“TCJA”) reduced income tax expense as a result of a reduction in the corporate federal income tax rate. Operating revenues for 2018 were reduced by income tax savings in our Regulated segment, so as to provide our utility customers with the benefits of the lower income tax expense.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Segments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We have identified ten operating segments and we have one reportable segment based on the following:</w:t>
      </w:r>
    </w:p>
    <w:p>
      <w:pPr>
        <w:spacing w:after="0" w:line="213" w:lineRule="exact"/>
        <w:rPr>
          <w:sz w:val="20"/>
          <w:szCs w:val="20"/>
          <w:color w:val="auto"/>
        </w:rPr>
      </w:pPr>
    </w:p>
    <w:p>
      <w:pPr>
        <w:ind w:left="500" w:right="140" w:hanging="180"/>
        <w:spacing w:after="0" w:line="244" w:lineRule="auto"/>
        <w:tabs>
          <w:tab w:leader="none" w:pos="5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Eight segments are composed of our water and wastewater regulated utility operations in the eight states where we provide these services. These operating segments are aggregated into one reportable segment since each of these operating segments has the following similarities: economic characteristics, nature of services, production processes, customers, water distribution and/or wastewater collection methods, and the nature of the regulatory environment. Our single reportable segment is named the Regulated segment.</w:t>
      </w:r>
    </w:p>
    <w:p>
      <w:pPr>
        <w:spacing w:after="0" w:line="208" w:lineRule="exact"/>
        <w:rPr>
          <w:rFonts w:ascii="Arial" w:cs="Arial" w:eastAsia="Arial" w:hAnsi="Arial"/>
          <w:sz w:val="20"/>
          <w:szCs w:val="20"/>
          <w:color w:val="auto"/>
        </w:rPr>
      </w:pPr>
    </w:p>
    <w:p>
      <w:pPr>
        <w:ind w:left="500" w:right="20" w:hanging="180"/>
        <w:spacing w:after="0" w:line="282"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Two segments are not quantitatively significant to be reportable and are composed of Aqua Resources and Aqua Infrastructure. These segments are included as a component of “Other,” in addition to corporate costs that have not been allocated to the Regulated segment, because they would not be recoverable as a cost of utility service, and intersegment eliminations. Corporate costs include general and administrative expenses, and interest expense.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5" w:right="9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The following table provides the Regulated segment and consolidated information for the years ended December 31, 2018, 2017, and 2016:</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23"/>
        </w:trPr>
        <w:tc>
          <w:tcPr>
            <w:tcW w:w="4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3"/>
          </w:tcPr>
          <w:p>
            <w:pPr>
              <w:ind w:left="160"/>
              <w:spacing w:after="0" w:line="123" w:lineRule="exact"/>
              <w:rPr>
                <w:sz w:val="20"/>
                <w:szCs w:val="20"/>
                <w:color w:val="auto"/>
              </w:rPr>
            </w:pPr>
            <w:r>
              <w:rPr>
                <w:rFonts w:ascii="Arial" w:cs="Arial" w:eastAsia="Arial" w:hAnsi="Arial"/>
                <w:sz w:val="14"/>
                <w:szCs w:val="14"/>
                <w:color w:val="auto"/>
              </w:rPr>
              <w:t>Other and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jc w:val="right"/>
              <w:ind w:right="108"/>
              <w:spacing w:after="0" w:line="123" w:lineRule="exact"/>
              <w:rPr>
                <w:sz w:val="20"/>
                <w:szCs w:val="20"/>
                <w:color w:val="auto"/>
              </w:rPr>
            </w:pPr>
            <w:r>
              <w:rPr>
                <w:rFonts w:ascii="Arial" w:cs="Arial" w:eastAsia="Arial" w:hAnsi="Arial"/>
                <w:sz w:val="14"/>
                <w:szCs w:val="14"/>
                <w:color w:val="auto"/>
              </w:rPr>
              <w:t>Other and</w:t>
            </w: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67"/>
        </w:trPr>
        <w:tc>
          <w:tcPr>
            <w:tcW w:w="430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4"/>
                <w:szCs w:val="14"/>
                <w:color w:val="auto"/>
              </w:rPr>
              <w:t>Regulated</w:t>
            </w:r>
          </w:p>
        </w:tc>
        <w:tc>
          <w:tcPr>
            <w:tcW w:w="980" w:type="dxa"/>
            <w:vAlign w:val="bottom"/>
            <w:gridSpan w:val="3"/>
          </w:tcPr>
          <w:p>
            <w:pPr>
              <w:ind w:left="80"/>
              <w:spacing w:after="0"/>
              <w:rPr>
                <w:sz w:val="20"/>
                <w:szCs w:val="20"/>
                <w:color w:val="auto"/>
              </w:rPr>
            </w:pPr>
            <w:r>
              <w:rPr>
                <w:rFonts w:ascii="Arial" w:cs="Arial" w:eastAsia="Arial" w:hAnsi="Arial"/>
                <w:sz w:val="14"/>
                <w:szCs w:val="14"/>
                <w:color w:val="auto"/>
              </w:rPr>
              <w:t>Eliminations</w:t>
            </w:r>
          </w:p>
        </w:tc>
        <w:tc>
          <w:tcPr>
            <w:tcW w:w="1160" w:type="dxa"/>
            <w:vAlign w:val="bottom"/>
            <w:gridSpan w:val="3"/>
          </w:tcPr>
          <w:p>
            <w:pPr>
              <w:jc w:val="right"/>
              <w:ind w:right="340"/>
              <w:spacing w:after="0"/>
              <w:rPr>
                <w:sz w:val="20"/>
                <w:szCs w:val="20"/>
                <w:color w:val="auto"/>
              </w:rPr>
            </w:pPr>
            <w:r>
              <w:rPr>
                <w:rFonts w:ascii="Arial" w:cs="Arial" w:eastAsia="Arial" w:hAnsi="Arial"/>
                <w:sz w:val="14"/>
                <w:szCs w:val="14"/>
                <w:color w:val="auto"/>
                <w:w w:val="97"/>
              </w:rPr>
              <w:t>Consolidated</w:t>
            </w:r>
          </w:p>
        </w:tc>
        <w:tc>
          <w:tcPr>
            <w:tcW w:w="900" w:type="dxa"/>
            <w:vAlign w:val="bottom"/>
            <w:gridSpan w:val="2"/>
          </w:tcPr>
          <w:p>
            <w:pPr>
              <w:jc w:val="right"/>
              <w:ind w:right="108"/>
              <w:spacing w:after="0"/>
              <w:rPr>
                <w:sz w:val="20"/>
                <w:szCs w:val="20"/>
                <w:color w:val="auto"/>
              </w:rPr>
            </w:pPr>
            <w:r>
              <w:rPr>
                <w:rFonts w:ascii="Arial" w:cs="Arial" w:eastAsia="Arial" w:hAnsi="Arial"/>
                <w:sz w:val="14"/>
                <w:szCs w:val="14"/>
                <w:color w:val="auto"/>
              </w:rPr>
              <w:t>Regulated</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Eliminations</w:t>
            </w: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Consolidated</w:t>
            </w:r>
          </w:p>
        </w:tc>
      </w:tr>
      <w:tr>
        <w:trPr>
          <w:trHeight w:val="183"/>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834,638</w:t>
            </w:r>
          </w:p>
        </w:tc>
        <w:tc>
          <w:tcPr>
            <w:tcW w:w="3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838,091</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804,905</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4,620</w:t>
            </w:r>
          </w:p>
        </w:tc>
        <w:tc>
          <w:tcPr>
            <w:tcW w:w="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809,525</w:t>
            </w:r>
          </w:p>
        </w:tc>
      </w:tr>
      <w:tr>
        <w:trPr>
          <w:trHeight w:val="203"/>
        </w:trPr>
        <w:tc>
          <w:tcPr>
            <w:tcW w:w="430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292,232</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16,246</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308,478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282,009</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244</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282,253</w:t>
            </w: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Taxes other than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57,140</w:t>
            </w:r>
          </w:p>
        </w:tc>
        <w:tc>
          <w:tcPr>
            <w:tcW w:w="3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59,762</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54,524</w:t>
            </w: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56,628</w:t>
            </w:r>
          </w:p>
        </w:tc>
      </w:tr>
      <w:tr>
        <w:trPr>
          <w:trHeight w:val="176"/>
        </w:trPr>
        <w:tc>
          <w:tcPr>
            <w:tcW w:w="4300" w:type="dxa"/>
            <w:vAlign w:val="bottom"/>
          </w:tcPr>
          <w:p>
            <w:pPr>
              <w:spacing w:after="0"/>
              <w:rPr>
                <w:sz w:val="20"/>
                <w:szCs w:val="20"/>
                <w:color w:val="auto"/>
              </w:rPr>
            </w:pPr>
            <w:r>
              <w:rPr>
                <w:rFonts w:ascii="Arial" w:cs="Arial" w:eastAsia="Arial" w:hAnsi="Arial"/>
                <w:sz w:val="14"/>
                <w:szCs w:val="14"/>
                <w:color w:val="auto"/>
              </w:rPr>
              <w:t>Earnings (loss) before interest, taxes, depreciation and amortization</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485,266</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(15,415)</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469,851</w:t>
            </w:r>
          </w:p>
        </w:tc>
        <w:tc>
          <w:tcPr>
            <w:tcW w:w="200" w:type="dxa"/>
            <w:vAlign w:val="bottom"/>
          </w:tcPr>
          <w:p>
            <w:pPr>
              <w:spacing w:after="0"/>
              <w:rPr>
                <w:sz w:val="15"/>
                <w:szCs w:val="15"/>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468,372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2,272</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470,644</w:t>
            </w:r>
          </w:p>
        </w:tc>
      </w:tr>
      <w:tr>
        <w:trPr>
          <w:trHeight w:val="18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auto"/>
            </w:tcBorders>
            <w:shd w:val="clear" w:color="auto" w:fill="CCEEFF"/>
          </w:tcPr>
          <w:p>
            <w:pPr>
              <w:spacing w:after="0"/>
              <w:rPr>
                <w:sz w:val="16"/>
                <w:szCs w:val="16"/>
                <w:color w:val="auto"/>
              </w:rPr>
            </w:pPr>
          </w:p>
        </w:tc>
        <w:tc>
          <w:tcPr>
            <w:tcW w:w="340" w:type="dxa"/>
            <w:vAlign w:val="bottom"/>
            <w:tcBorders>
              <w:top w:val="single" w:sz="8" w:color="CCEEFF"/>
              <w:bottom w:val="single" w:sz="8" w:color="auto"/>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146,673</w:t>
            </w: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bottom w:val="single" w:sz="8" w:color="auto"/>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136,724</w:t>
            </w:r>
          </w:p>
        </w:tc>
      </w:tr>
      <w:tr>
        <w:trPr>
          <w:trHeight w:val="183"/>
        </w:trPr>
        <w:tc>
          <w:tcPr>
            <w:tcW w:w="4300" w:type="dxa"/>
            <w:vAlign w:val="bottom"/>
          </w:tcPr>
          <w:p>
            <w:pPr>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323,178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333,920</w:t>
            </w: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4300" w:type="dxa"/>
            <w:vAlign w:val="bottom"/>
          </w:tcPr>
          <w:p>
            <w:pPr>
              <w:ind w:left="10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98,902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88,341</w:t>
            </w:r>
          </w:p>
        </w:tc>
      </w:tr>
      <w:tr>
        <w:trPr>
          <w:trHeight w:val="203"/>
        </w:trPr>
        <w:tc>
          <w:tcPr>
            <w:tcW w:w="4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Allowance for funds used during construction</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(13,023)</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(15,211)</w:t>
            </w:r>
          </w:p>
        </w:tc>
      </w:tr>
      <w:tr>
        <w:trPr>
          <w:trHeight w:val="203"/>
        </w:trPr>
        <w:tc>
          <w:tcPr>
            <w:tcW w:w="4300" w:type="dxa"/>
            <w:vAlign w:val="bottom"/>
          </w:tcPr>
          <w:p>
            <w:pPr>
              <w:ind w:left="100"/>
              <w:spacing w:after="0"/>
              <w:rPr>
                <w:sz w:val="20"/>
                <w:szCs w:val="20"/>
                <w:color w:val="auto"/>
              </w:rPr>
            </w:pPr>
            <w:r>
              <w:rPr>
                <w:rFonts w:ascii="Arial" w:cs="Arial" w:eastAsia="Arial" w:hAnsi="Arial"/>
                <w:sz w:val="14"/>
                <w:szCs w:val="14"/>
                <w:color w:val="auto"/>
              </w:rPr>
              <w:t>Change in fair value of interest rate swap agreements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59,779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on sale of other assets</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(714)</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r>
      <w:tr>
        <w:trPr>
          <w:trHeight w:val="203"/>
        </w:trPr>
        <w:tc>
          <w:tcPr>
            <w:tcW w:w="4300" w:type="dxa"/>
            <w:vAlign w:val="bottom"/>
          </w:tcPr>
          <w:p>
            <w:pPr>
              <w:ind w:left="100"/>
              <w:spacing w:after="0"/>
              <w:rPr>
                <w:sz w:val="20"/>
                <w:szCs w:val="20"/>
                <w:color w:val="auto"/>
              </w:rPr>
            </w:pPr>
            <w:r>
              <w:rPr>
                <w:rFonts w:ascii="Arial" w:cs="Arial" w:eastAsia="Arial" w:hAnsi="Arial"/>
                <w:sz w:val="14"/>
                <w:szCs w:val="14"/>
                <w:color w:val="auto"/>
              </w:rPr>
              <w:t>Equity earnings in joint venture</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(2,081)</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(331)</w:t>
            </w:r>
          </w:p>
        </w:tc>
      </w:tr>
      <w:tr>
        <w:trPr>
          <w:trHeight w:val="203"/>
        </w:trPr>
        <w:tc>
          <w:tcPr>
            <w:tcW w:w="4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4,953</w:t>
            </w:r>
          </w:p>
        </w:tc>
      </w:tr>
      <w:tr>
        <w:trPr>
          <w:trHeight w:val="203"/>
        </w:trPr>
        <w:tc>
          <w:tcPr>
            <w:tcW w:w="4300" w:type="dxa"/>
            <w:vAlign w:val="bottom"/>
          </w:tcPr>
          <w:p>
            <w:pPr>
              <w:ind w:left="100"/>
              <w:spacing w:after="0"/>
              <w:rPr>
                <w:sz w:val="20"/>
                <w:szCs w:val="20"/>
                <w:color w:val="auto"/>
              </w:rPr>
            </w:pPr>
            <w:r>
              <w:rPr>
                <w:rFonts w:ascii="Arial" w:cs="Arial" w:eastAsia="Arial" w:hAnsi="Arial"/>
                <w:sz w:val="14"/>
                <w:szCs w:val="14"/>
                <w:color w:val="auto"/>
              </w:rPr>
              <w:t>Provision for income taxes (benefit)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(13,669)</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16,914</w:t>
            </w:r>
          </w:p>
        </w:tc>
      </w:tr>
      <w:tr>
        <w:trPr>
          <w:trHeight w:val="189"/>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191,988</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239,738</w:t>
            </w:r>
          </w:p>
        </w:tc>
      </w:tr>
      <w:tr>
        <w:trPr>
          <w:trHeight w:val="379"/>
        </w:trPr>
        <w:tc>
          <w:tcPr>
            <w:tcW w:w="4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23"/>
        </w:trPr>
        <w:tc>
          <w:tcPr>
            <w:tcW w:w="4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3"/>
          </w:tcPr>
          <w:p>
            <w:pPr>
              <w:ind w:left="160"/>
              <w:spacing w:after="0" w:line="123" w:lineRule="exact"/>
              <w:rPr>
                <w:sz w:val="20"/>
                <w:szCs w:val="20"/>
                <w:color w:val="auto"/>
              </w:rPr>
            </w:pPr>
            <w:r>
              <w:rPr>
                <w:rFonts w:ascii="Arial" w:cs="Arial" w:eastAsia="Arial" w:hAnsi="Arial"/>
                <w:sz w:val="14"/>
                <w:szCs w:val="14"/>
                <w:color w:val="auto"/>
              </w:rPr>
              <w:t>Other and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67"/>
        </w:trPr>
        <w:tc>
          <w:tcPr>
            <w:tcW w:w="430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4"/>
                <w:szCs w:val="14"/>
                <w:color w:val="auto"/>
              </w:rPr>
              <w:t>Regulated</w:t>
            </w:r>
          </w:p>
        </w:tc>
        <w:tc>
          <w:tcPr>
            <w:tcW w:w="980" w:type="dxa"/>
            <w:vAlign w:val="bottom"/>
            <w:gridSpan w:val="3"/>
          </w:tcPr>
          <w:p>
            <w:pPr>
              <w:ind w:left="80"/>
              <w:spacing w:after="0"/>
              <w:rPr>
                <w:sz w:val="20"/>
                <w:szCs w:val="20"/>
                <w:color w:val="auto"/>
              </w:rPr>
            </w:pPr>
            <w:r>
              <w:rPr>
                <w:rFonts w:ascii="Arial" w:cs="Arial" w:eastAsia="Arial" w:hAnsi="Arial"/>
                <w:sz w:val="14"/>
                <w:szCs w:val="14"/>
                <w:color w:val="auto"/>
              </w:rPr>
              <w:t>Eliminations</w:t>
            </w:r>
          </w:p>
        </w:tc>
        <w:tc>
          <w:tcPr>
            <w:tcW w:w="1160" w:type="dxa"/>
            <w:vAlign w:val="bottom"/>
            <w:gridSpan w:val="3"/>
          </w:tcPr>
          <w:p>
            <w:pPr>
              <w:jc w:val="right"/>
              <w:ind w:right="340"/>
              <w:spacing w:after="0"/>
              <w:rPr>
                <w:sz w:val="20"/>
                <w:szCs w:val="20"/>
                <w:color w:val="auto"/>
              </w:rPr>
            </w:pPr>
            <w:r>
              <w:rPr>
                <w:rFonts w:ascii="Arial" w:cs="Arial" w:eastAsia="Arial" w:hAnsi="Arial"/>
                <w:sz w:val="14"/>
                <w:szCs w:val="14"/>
                <w:color w:val="auto"/>
                <w:w w:val="97"/>
              </w:rPr>
              <w:t>Consolidated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3"/>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800,107</w:t>
            </w:r>
          </w:p>
        </w:tc>
        <w:tc>
          <w:tcPr>
            <w:tcW w:w="3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19,768</w:t>
            </w:r>
          </w:p>
        </w:tc>
        <w:tc>
          <w:tcPr>
            <w:tcW w:w="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819,875</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277,634</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19,550</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297,184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Taxes other than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53,916</w:t>
            </w:r>
          </w:p>
        </w:tc>
        <w:tc>
          <w:tcPr>
            <w:tcW w:w="3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56,385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76"/>
        </w:trPr>
        <w:tc>
          <w:tcPr>
            <w:tcW w:w="4300" w:type="dxa"/>
            <w:vAlign w:val="bottom"/>
          </w:tcPr>
          <w:p>
            <w:pPr>
              <w:spacing w:after="0"/>
              <w:rPr>
                <w:sz w:val="20"/>
                <w:szCs w:val="20"/>
                <w:color w:val="auto"/>
              </w:rPr>
            </w:pPr>
            <w:r>
              <w:rPr>
                <w:rFonts w:ascii="Arial" w:cs="Arial" w:eastAsia="Arial" w:hAnsi="Arial"/>
                <w:sz w:val="14"/>
                <w:szCs w:val="14"/>
                <w:color w:val="auto"/>
              </w:rPr>
              <w:t>Earnings before interest, taxes, depreciation and amortization</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468,557</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(2,251)</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466,306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auto"/>
            </w:tcBorders>
            <w:shd w:val="clear" w:color="auto" w:fill="CCEEFF"/>
          </w:tcPr>
          <w:p>
            <w:pPr>
              <w:spacing w:after="0"/>
              <w:rPr>
                <w:sz w:val="16"/>
                <w:szCs w:val="16"/>
                <w:color w:val="auto"/>
              </w:rPr>
            </w:pPr>
          </w:p>
        </w:tc>
        <w:tc>
          <w:tcPr>
            <w:tcW w:w="340" w:type="dxa"/>
            <w:vAlign w:val="bottom"/>
            <w:tcBorders>
              <w:top w:val="single" w:sz="8" w:color="CCEEFF"/>
              <w:bottom w:val="single" w:sz="8" w:color="auto"/>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133,008</w:t>
            </w: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r>
      <w:tr>
        <w:trPr>
          <w:trHeight w:val="183"/>
        </w:trPr>
        <w:tc>
          <w:tcPr>
            <w:tcW w:w="4300" w:type="dxa"/>
            <w:vAlign w:val="bottom"/>
          </w:tcPr>
          <w:p>
            <w:pPr>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333,298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4300" w:type="dxa"/>
            <w:vAlign w:val="bottom"/>
          </w:tcPr>
          <w:p>
            <w:pPr>
              <w:ind w:left="10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80,594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Allowance for funds used during construction</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(8,815)</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4300" w:type="dxa"/>
            <w:vAlign w:val="bottom"/>
          </w:tcPr>
          <w:p>
            <w:pPr>
              <w:ind w:left="100"/>
              <w:spacing w:after="0"/>
              <w:rPr>
                <w:sz w:val="20"/>
                <w:szCs w:val="20"/>
                <w:color w:val="auto"/>
              </w:rPr>
            </w:pPr>
            <w:r>
              <w:rPr>
                <w:rFonts w:ascii="Arial" w:cs="Arial" w:eastAsia="Arial" w:hAnsi="Arial"/>
                <w:sz w:val="14"/>
                <w:szCs w:val="14"/>
                <w:color w:val="auto"/>
              </w:rPr>
              <w:t>Gain on sale of other assets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(378)</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 earnings in joint venture</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(976)</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4300" w:type="dxa"/>
            <w:vAlign w:val="bottom"/>
          </w:tcPr>
          <w:p>
            <w:pPr>
              <w:ind w:left="10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7,713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20,978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76"/>
        </w:trPr>
        <w:tc>
          <w:tcPr>
            <w:tcW w:w="4300" w:type="dxa"/>
            <w:vAlign w:val="bottom"/>
          </w:tcPr>
          <w:p>
            <w:pPr>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234,182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Consolidated Results</w:t>
      </w:r>
    </w:p>
    <w:p>
      <w:pPr>
        <w:spacing w:after="0" w:line="23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 xml:space="preserve">Operating Revenues – </w:t>
      </w:r>
      <w:r>
        <w:rPr>
          <w:rFonts w:ascii="Arial" w:cs="Arial" w:eastAsia="Arial" w:hAnsi="Arial"/>
          <w:sz w:val="18"/>
          <w:szCs w:val="18"/>
          <w:color w:val="auto"/>
        </w:rPr>
        <w:t>Operating revenues totaled $838,091 in 2018, $809,525 in 2017, and $819,875 in 2016. Our Regulated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segment’s revenues totaled $834,638 in 2018, $804,905 in 2017, and $800,107 in 2016. The growth in our Regulated segment’s revenues over the past three years is a result of increases in our water and wastewater rates and our customer base. Rate increases implemented during the past three years have provided additional operating revenues of $8,362 in 2018, $6,143 in 2017, and $4,319 in 2016. Additionally, in 2018 our wastewater revenues increased by $2,909 primarily due to an increase in the volume of treated wastewater flows from the City of Ft. Wayne, Indiana at our Indiana wastewater treatment plant. In 2018, revenues were negatively impacted due to the reduction in the corporate income tax rate from 35% to 21% due to the TCJA. As a result, revenues were reduced by $5,123 for amounts refundable to utility customers associated with the TCJA. Negatively impacting revenues in 2017 was a decrease in customer water consumption primarily due to unfavorable weather conditions during the year. The number of customers increased at an annual compound rate of 1.7% over the past three years due to acquisitions and organic growth, adjusted to exclude customers associated with utility system dispositions. Acquisitions in our Regulated segment have provided additional water and wastewater revenues of $3,877, in 2018, $1,695 in 2017, and $8,201 in 2016.</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On June 7, 2012, Aqua Pennsylvania reached a settlement agreement in its rate filing with the Pennsylvania Public Utility Commission, which in addition to a water rate increase, provided for a reduction in current income tax expense as a result of the recognition of qualifying income tax benefits upon Aqua Pennsylvania changing its tax accounting method to permit the expensing of qualifying utility asset improvement costs that historically had been capitalized and depreciated for book and tax purposes. In December 2012, Aqua Pennsylvania implemented this change which provides for the flow-through of income tax benefits that resulted in a substantial reduction in income tax expense and greater net income and cash flow. As a result, Aqua Pennsylvania was able to suspend its water Distribution System Improvement Charges from January 1, 2013 to September 30, 2017, when it resumed the use of a water Distribution System Improvement Charge on October 1, 2017. Aqua Pennsylvania was able to lengthen the amount of time until its next base rate case, which was filed in August 2018. During 2018, 2017, and 2016, the income tax accounting change resulted in income tax benefits of $64,183, $84,766, and $78,530 that reduced the Company’s current income tax expense and increased net income. The Company recognized a tax deduction on its 2012 Federal tax return of $380,000 for qualifying capital expenditures made prior to 2012. Based on the 2012 settlement agreement, beginning in 2013, the Company began to amortize 1/10</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of these expenditures, or $38,000 annually, which reduced income tax expense and increased the Company’s net income by $16,734, which is included in the income tax benefits noted previously. In accordance with the 2012 settlement agreement, this amortization is expected to reduce income tax expense during periods when qualifying parameters are met. In August 2018, Aqua Pennsylvania filed for a base rate increase in water and wastewater rates for its customers. In February 2019, Aqua Pennsylvania filed a settlement for this base rate case. Rates from this settlement for approximately $47,000 are expected to go into effect in May 2019. This settlement agreement is subject to approval by the administrative law judge and the Pennsylvania Public Utilities Commission.</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operating subsidiaries received rate increases representing estimated annualized revenues of $11,558 in 2018 resulting from five base rate decisions, $7,558 in 2017 resulting from five base rate decisions, and $3,434 in 2016 resulting from six rate decisions. Revenues from these increases realized in the year of grant were $7,270 in 2018, $6,343 in 2017, and $1,788 in 2016. As of December 31, 2018, our operating subsidiaries have filed two rate requests, which are being reviewed by the state utility commissions, proposing an aggregate increase of $78,971 in annual revenues, which includes our August 2018 rate case filing in Pennsylvania. In February 2019, Aqua Pennsylvania filed a settlement for this base rate case. Rates from this settlement for approximately $47,000 are expected to go into effect in May 2019. This settlement agreement is subject to approval by the administrative law judge and the Pennsylvania Public Utilities Commission. During 2019, we intend to file five additional rate requests proposing an aggregate of approximately $696 of increased annual revenues; the timing and extent to which our rate increase requests may be granted will vary by state.</w:t>
      </w:r>
    </w:p>
    <w:p>
      <w:pPr>
        <w:spacing w:after="0" w:line="188"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Currently, New Jersey allows for an infrastructure rehabilitation surcharge for water utilities, while Pennsylvania, Illinois, Ohio, Indiana, and North Carolina allow for the use of an infrastructure rehabilitation surcharge for both water and wastewater utility systems, and Aqua Virginia is piloting an infrastructure rehabilitation surcharge for its water and wastewater utilities to be implemented in 2019, pursuant to the final order issued in Aqua Virginia’s 2018 rate case. The rate increases under this surcharge typically adjust periodically based on additional qualified capital expenditures completed or anticipated in a future period. This surcharge is capped as a percentage of base rates, generally at 5% to 12.75% of base rates, and is reset to zero when new base rates that reflect the costs of those additions become effective or</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5" w:right="9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when a utility’s earnings exceed a regulatory benchmark. These surcharges provided revenues of $31,836 in 2018, $10,255 in 2017, and $7,379 in 2016.</w:t>
      </w:r>
    </w:p>
    <w:p>
      <w:pPr>
        <w:spacing w:after="0" w:line="190"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Our Regulated segment also includes operating revenues of $9,427 in 2018, $9,903 in 2017, and $10,357 in 2016 associated with contract operations that are integrated into the regulated utility business and operations. These amounts vary over time according to the level of activity associated with the utility contract operations.</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addition to the Regulated segment operating revenues, we recognized market-based revenues that are associated with Aqua Resources and Aqua Infrastructure of $3,590 in 2018, $4,798 in 2017, and $20,091 in 2016. The decrease in revenues in 2018 and 2017 is due to the disposition of business units within Aqua Resources.</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i w:val="1"/>
          <w:iCs w:val="1"/>
          <w:color w:val="auto"/>
        </w:rPr>
        <w:t xml:space="preserve">Operations and Maintenance Expenses – </w:t>
      </w:r>
      <w:r>
        <w:rPr>
          <w:rFonts w:ascii="Arial" w:cs="Arial" w:eastAsia="Arial" w:hAnsi="Arial"/>
          <w:sz w:val="18"/>
          <w:szCs w:val="18"/>
          <w:color w:val="auto"/>
        </w:rPr>
        <w:t>Operations and maintenance expenses totaled $308,478 in 2018, $282,253 in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$297,184 in 2016. Most elements of operating costs are subject to the effects of inflation and changes in the number of customers served. Several elements are subject to the effects of changes in water consumption, weather, and the degree of water treatment required due to variations in the quality of the raw water. The principal elements of operating costs are labor and employee benefits, electricity, chemicals, transportation, maintenance expenses, insurance and claims costs, and costs to comply with environmental regulations. Electricity and chemical expenses vary in relationship to water consumption, raw water quality, and price changes. Maintenance expenses are sensitive to extremely cold weather, which can cause water mains to rupture, resulting in additional costs to repair the affected main.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Operations and maintenance expenses increased in 2018, as compared to 2017, by $26,225 or 9.3%, primarily due to:</w:t>
      </w:r>
    </w:p>
    <w:p>
      <w:pPr>
        <w:spacing w:after="0" w:line="241" w:lineRule="exact"/>
        <w:rPr>
          <w:sz w:val="20"/>
          <w:szCs w:val="20"/>
          <w:color w:val="auto"/>
        </w:rPr>
      </w:pPr>
    </w:p>
    <w:p>
      <w:pPr>
        <w:ind w:left="640" w:right="80" w:hanging="320"/>
        <w:spacing w:after="0" w:line="275"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transaction expenses of $14,184 for our planned Peoples Gas Acquisition, primarily representing expenses associated with obtaining regulatory approvals, investment banking fees, legal expenses, and integration planning;</w:t>
      </w:r>
    </w:p>
    <w:p>
      <w:pPr>
        <w:ind w:left="640" w:right="440" w:hanging="320"/>
        <w:spacing w:after="0" w:line="239" w:lineRule="auto"/>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 increase in labor and benefits expenses of $8,301, primarily due to additional overtime expenses for increased maintenance activities and wage increases;</w:t>
      </w:r>
    </w:p>
    <w:p>
      <w:pPr>
        <w:spacing w:after="0" w:line="1" w:lineRule="exact"/>
        <w:rPr>
          <w:rFonts w:ascii="Arial" w:cs="Arial" w:eastAsia="Arial" w:hAnsi="Arial"/>
          <w:sz w:val="20"/>
          <w:szCs w:val="20"/>
          <w:color w:val="auto"/>
        </w:rPr>
      </w:pPr>
    </w:p>
    <w:p>
      <w:pPr>
        <w:ind w:left="640" w:hanging="320"/>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additional operating costs associated with acquired utility systems of $1,363;</w:t>
      </w:r>
    </w:p>
    <w:p>
      <w:pPr>
        <w:ind w:left="640" w:hanging="320"/>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prior year effect of a favorable settlement for a disputed contract of $1,062; and</w:t>
      </w:r>
    </w:p>
    <w:p>
      <w:pPr>
        <w:ind w:left="640" w:right="20" w:hanging="320"/>
        <w:spacing w:after="0" w:line="239" w:lineRule="auto"/>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prior year effect of the favorable treatment of a regulatory asset of $1,000 due to a rate proceeding that occurred in 2017;</w:t>
      </w:r>
    </w:p>
    <w:p>
      <w:pPr>
        <w:spacing w:after="0" w:line="1" w:lineRule="exact"/>
        <w:rPr>
          <w:rFonts w:ascii="Arial" w:cs="Arial" w:eastAsia="Arial" w:hAnsi="Arial"/>
          <w:sz w:val="20"/>
          <w:szCs w:val="20"/>
          <w:color w:val="auto"/>
        </w:rPr>
      </w:pPr>
    </w:p>
    <w:p>
      <w:pPr>
        <w:ind w:left="640" w:right="360" w:hanging="320"/>
        <w:spacing w:after="0" w:line="266"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offset by a reduction in operating expenses for our market-based activities of $2,441 primarily associated with the completion of the disposition of business units within Aqua Resources, which was finalized in June 2017; and</w:t>
      </w:r>
    </w:p>
    <w:p>
      <w:pPr>
        <w:ind w:left="640" w:hanging="320"/>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favorable net change in regulatory assets and liabilities of $615 resulting from rate proceedings in 2018.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maintenance expenses decreased in 2017, as compared to 2016, by $14,931 or 5.0%, primarily due to:</w:t>
      </w:r>
    </w:p>
    <w:p>
      <w:pPr>
        <w:spacing w:after="0" w:line="252" w:lineRule="exact"/>
        <w:rPr>
          <w:sz w:val="20"/>
          <w:szCs w:val="20"/>
          <w:color w:val="auto"/>
        </w:rPr>
      </w:pPr>
    </w:p>
    <w:p>
      <w:pPr>
        <w:ind w:left="640" w:right="720" w:hanging="320"/>
        <w:spacing w:after="0" w:line="247" w:lineRule="auto"/>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decreases in market-based activities expenses of $15,933 due to the disposition of business units within Aqua Resources;</w:t>
      </w:r>
    </w:p>
    <w:p>
      <w:pPr>
        <w:spacing w:after="0" w:line="1" w:lineRule="exact"/>
        <w:rPr>
          <w:rFonts w:ascii="Arial" w:cs="Arial" w:eastAsia="Arial" w:hAnsi="Arial"/>
          <w:sz w:val="20"/>
          <w:szCs w:val="20"/>
          <w:color w:val="auto"/>
        </w:rPr>
      </w:pPr>
    </w:p>
    <w:p>
      <w:pPr>
        <w:ind w:left="640" w:right="60" w:hanging="320"/>
        <w:spacing w:after="0" w:line="239" w:lineRule="auto"/>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decrease in water production costs of $6,301 primarily due to a reduction in purchased water expense of $4,794 due to replacing a purchased water supply with the Company’s own water supply source; and</w:t>
      </w:r>
    </w:p>
    <w:p>
      <w:pPr>
        <w:spacing w:after="0" w:line="1" w:lineRule="exact"/>
        <w:rPr>
          <w:rFonts w:ascii="Arial" w:cs="Arial" w:eastAsia="Arial" w:hAnsi="Arial"/>
          <w:sz w:val="20"/>
          <w:szCs w:val="20"/>
          <w:color w:val="auto"/>
        </w:rPr>
      </w:pPr>
    </w:p>
    <w:p>
      <w:pPr>
        <w:ind w:left="640" w:hanging="320"/>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decrease in the Company’s self-insured employee medical benefit program expense of $4,838;</w:t>
      </w:r>
    </w:p>
    <w:p>
      <w:pPr>
        <w:ind w:left="640" w:right="320" w:hanging="320"/>
        <w:spacing w:after="0" w:line="244" w:lineRule="auto"/>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offset by $4,102 for the timing of expenses incurred for the maintenance of our utility systems and the purchase of supplies, as well as other increases in operations and maintenance expenses.</w:t>
      </w:r>
    </w:p>
    <w:p>
      <w:pPr>
        <w:spacing w:after="0" w:line="205"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b w:val="1"/>
          <w:bCs w:val="1"/>
          <w:i w:val="1"/>
          <w:iCs w:val="1"/>
          <w:color w:val="auto"/>
        </w:rPr>
        <w:t xml:space="preserve">Depreciation and Amortization Expenses – </w:t>
      </w:r>
      <w:r>
        <w:rPr>
          <w:rFonts w:ascii="Arial" w:cs="Arial" w:eastAsia="Arial" w:hAnsi="Arial"/>
          <w:sz w:val="20"/>
          <w:szCs w:val="20"/>
          <w:color w:val="auto"/>
        </w:rPr>
        <w:t>Depreciation expense was $146,032 in 2018, $136,302 in 2017, and $130,987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2016, and has increased principally as a result of the significant capital expenditures made to expand and improve our utility facilities, and our acquisitions of new utility systems.</w:t>
      </w:r>
    </w:p>
    <w:p>
      <w:pPr>
        <w:spacing w:after="0" w:line="200"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Amortization expense was $641 in 2018, $422 in 2017, and $2,021 in 2016, and decreased in 2017 primarily due to the completion of the recovery of our costs associated with various rate filings. Expenses associated with filing rate cases are deferred and amortized over periods that generally range from one to three years.</w:t>
      </w:r>
    </w:p>
    <w:p>
      <w:pPr>
        <w:spacing w:after="0" w:line="200" w:lineRule="exact"/>
        <w:rPr>
          <w:sz w:val="20"/>
          <w:szCs w:val="20"/>
          <w:color w:val="auto"/>
        </w:rPr>
      </w:pPr>
    </w:p>
    <w:p>
      <w:pPr>
        <w:ind w:right="240"/>
        <w:spacing w:after="0" w:line="386" w:lineRule="auto"/>
        <w:rPr>
          <w:sz w:val="20"/>
          <w:szCs w:val="20"/>
          <w:color w:val="auto"/>
        </w:rPr>
      </w:pPr>
      <w:r>
        <w:rPr>
          <w:rFonts w:ascii="Arial" w:cs="Arial" w:eastAsia="Arial" w:hAnsi="Arial"/>
          <w:sz w:val="16"/>
          <w:szCs w:val="16"/>
          <w:b w:val="1"/>
          <w:bCs w:val="1"/>
          <w:i w:val="1"/>
          <w:iCs w:val="1"/>
          <w:color w:val="auto"/>
        </w:rPr>
        <w:t xml:space="preserve">Taxes Other than Income Taxes – </w:t>
      </w:r>
      <w:r>
        <w:rPr>
          <w:rFonts w:ascii="Arial" w:cs="Arial" w:eastAsia="Arial" w:hAnsi="Arial"/>
          <w:sz w:val="16"/>
          <w:szCs w:val="16"/>
          <w:color w:val="auto"/>
        </w:rPr>
        <w:t>Taxes other than income taxes totaled $59,762 in 2018, $56,628 in 2017, and $56,385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The increase in 2018 was primarily due to an increase in property taxes of $1,659 primarily resulting from the</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20"/>
          </w:cols>
          <w:pgMar w:left="900" w:top="125" w:right="9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prior year effect of the reversal of a reserve due to a favorable property tax appeal in Ohio, and an increase in gross receipts, excise and franchise taxes of $1,063. The increase in 2017 was primarily due to an increase in gross receipts, excise and franchise taxes of $949, and an increase in taxes assessed resulting from the pumping of ground water in Texas of $486 due to higher water production volume and rates, offset by a $978 decrease in property taxes primarily due to a favorable ruling on a property tax appeal in Ohio.</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b w:val="1"/>
          <w:bCs w:val="1"/>
          <w:i w:val="1"/>
          <w:iCs w:val="1"/>
          <w:color w:val="auto"/>
        </w:rPr>
        <w:t xml:space="preserve">Interest Expense, net – </w:t>
      </w:r>
      <w:r>
        <w:rPr>
          <w:rFonts w:ascii="Arial" w:cs="Arial" w:eastAsia="Arial" w:hAnsi="Arial"/>
          <w:sz w:val="19"/>
          <w:szCs w:val="19"/>
          <w:color w:val="auto"/>
        </w:rPr>
        <w:t>Net interest expense was $98,902 in 2018, $88,341 in 2017, and $80,594 in 2016. Interest income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$152 in 2018, $202 in 2017, and $217 in 2016 was netted against interest expense. Net interest expense increased in 2018 due to an increase in average borrowings of $335,028 and an increase in short-term and long-term interest rates. Net interest expense increased in 2017 due to an increase in average borrowings of $157,768 and an increase in short-term and long-term interest rates. Interest income decreased in 2018 and 2017 due to lower investment rates. The weighted average cost of fixed rate long-term debt was 4.31% at December 31, 2018, 4.35% at December 31, 2017, and 4.26% at December 31, 2016. The weighted average cost of fixed and variable rate long-term debt was 4.23% at December 31, 2018, 4.29% at December 31, 2017, and 4.23% at December 31, 2016.</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Allowance for Funds Used During Construction – </w:t>
      </w:r>
      <w:r>
        <w:rPr>
          <w:rFonts w:ascii="Arial" w:cs="Arial" w:eastAsia="Arial" w:hAnsi="Arial"/>
          <w:sz w:val="19"/>
          <w:szCs w:val="19"/>
          <w:color w:val="auto"/>
        </w:rPr>
        <w:t>The allowance for funds used during construction (“AFUDC”) was</w:t>
      </w:r>
    </w:p>
    <w:p>
      <w:pPr>
        <w:spacing w:after="0" w:line="27"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$13,023 in 2018, $15,211 in 2017, and $8,815 in 2016, and varies as a result of changes in the average balance of utility plant construction work in progress, to which AFUDC is applied, changes in the AFUDC rate which is based predominantly on short-term interest rates, changes in the balance of short-debt, and changes in the amount of AFUDC related to equity. The decrease in 2018 is primarily due to a decrease in the AFUDC rate as a result of a decrease in the amount of AFUDC related to equity and a decrease in the average balance of utility plant construction work in progress, to which AFUDC is applied. The increase in 2017 is primarily due to an increase in the AFUDC rate as a result of an increase in the amount of AFUDC related to equity, and an increase in the average balance of utility plant construction work in progress, to which AFUDC is applied. The amount of AFUDC related to equity was $9,691 in 2018, $11,633 in 2017, and $6,561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Change in Fair Value of Interest Rate Swap Agreements – </w:t>
      </w:r>
      <w:r>
        <w:rPr>
          <w:rFonts w:ascii="Arial" w:cs="Arial" w:eastAsia="Arial" w:hAnsi="Arial"/>
          <w:sz w:val="18"/>
          <w:szCs w:val="18"/>
          <w:color w:val="auto"/>
        </w:rPr>
        <w:t>The change in fair value of interest rate swap agreements of</w:t>
      </w:r>
    </w:p>
    <w:p>
      <w:pPr>
        <w:spacing w:after="0" w:line="39"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$59,779 represents the mark-to-market adjustment of our interest rate swap agreements that were entered into on October 23, 2018 to mitigate interest rate risk associated with an anticipated $850,000 of future debt issaunces to fund a portion of the Peoples Gas Acquisition. The interest rate swap agreements do not qualify for hedge accounting, and any changes in the fair value of the swaps are included in earnings.</w:t>
      </w:r>
    </w:p>
    <w:p>
      <w:pPr>
        <w:spacing w:after="0" w:line="20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b w:val="1"/>
          <w:bCs w:val="1"/>
          <w:i w:val="1"/>
          <w:iCs w:val="1"/>
          <w:color w:val="auto"/>
        </w:rPr>
        <w:t xml:space="preserve">Gain on Sale of Other Assets – </w:t>
      </w:r>
      <w:r>
        <w:rPr>
          <w:rFonts w:ascii="Arial" w:cs="Arial" w:eastAsia="Arial" w:hAnsi="Arial"/>
          <w:sz w:val="20"/>
          <w:szCs w:val="20"/>
          <w:color w:val="auto"/>
        </w:rPr>
        <w:t>Gain on sale of other assets totaled $714 in 2018, $484 in 2017, and $378 in 2016, and consists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sales of property, plant and equipment and marketable securities.</w:t>
      </w:r>
    </w:p>
    <w:p>
      <w:pPr>
        <w:spacing w:after="0" w:line="19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i w:val="1"/>
          <w:iCs w:val="1"/>
          <w:color w:val="auto"/>
        </w:rPr>
        <w:t xml:space="preserve">Equity Earnings in Joint Venture – </w:t>
      </w:r>
      <w:r>
        <w:rPr>
          <w:rFonts w:ascii="Arial" w:cs="Arial" w:eastAsia="Arial" w:hAnsi="Arial"/>
          <w:sz w:val="20"/>
          <w:szCs w:val="20"/>
          <w:color w:val="auto"/>
        </w:rPr>
        <w:t>Equity earnings in joint venture totaled $2,081 in 2018, $331 in 2017, and $976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2016. The equity earnings in 2018 and 2017 primarily resulted from the sale of raw water to firms in the natural gas drilling industry. The equity earnings in 2016 resulted from the recognition of a connection fee earned by the joint venture in 2016 for which our share was $1,831, which did not recur in 2017 or 2018.</w:t>
      </w:r>
    </w:p>
    <w:p>
      <w:pPr>
        <w:spacing w:after="0" w:line="205"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b w:val="1"/>
          <w:bCs w:val="1"/>
          <w:i w:val="1"/>
          <w:iCs w:val="1"/>
          <w:color w:val="auto"/>
        </w:rPr>
        <w:t xml:space="preserve">Other </w:t>
      </w:r>
      <w:r>
        <w:rPr>
          <w:rFonts w:ascii="Arial" w:cs="Arial" w:eastAsia="Arial" w:hAnsi="Arial"/>
          <w:sz w:val="20"/>
          <w:szCs w:val="20"/>
          <w:color w:val="auto"/>
        </w:rPr>
        <w:t>– Other totaled $1,996 in 2018, $4,953 in 2017, and $7,713 in 2016, and represents our net periodic pension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postretirement benefit costs and, commencing in 2018, the change in fair value of our equity investments in the non-qualified pension plan. The decrease in 2018 and 2017 is primarily due to a decrease in the non-service cost components of our net benefit cost for pension and postretirement benefits. On January 1, 2018 the Company adopted the FASB’s updated accounting guidance on the presentation of net periodic pension and postretirement benefit cost and the FASB’s updated accounting guidance on the recognition and measurement of financial assets and financial liabilities. Refer to </w:t>
      </w:r>
      <w:r>
        <w:rPr>
          <w:rFonts w:ascii="Arial" w:cs="Arial" w:eastAsia="Arial" w:hAnsi="Arial"/>
          <w:sz w:val="20"/>
          <w:szCs w:val="20"/>
          <w:i w:val="1"/>
          <w:iCs w:val="1"/>
          <w:color w:val="auto"/>
        </w:rPr>
        <w:t>Note 1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Summary of Significant Accounting Policies – Recent Accounting Pronouncements </w:t>
      </w:r>
      <w:r>
        <w:rPr>
          <w:rFonts w:ascii="Arial" w:cs="Arial" w:eastAsia="Arial" w:hAnsi="Arial"/>
          <w:sz w:val="20"/>
          <w:szCs w:val="20"/>
          <w:color w:val="auto"/>
        </w:rPr>
        <w:t>for further information on our adoption of</w:t>
      </w:r>
      <w:r>
        <w:rPr>
          <w:rFonts w:ascii="Arial" w:cs="Arial" w:eastAsia="Arial" w:hAnsi="Arial"/>
          <w:sz w:val="20"/>
          <w:szCs w:val="20"/>
          <w:i w:val="1"/>
          <w:iCs w:val="1"/>
          <w:color w:val="auto"/>
        </w:rPr>
        <w:t xml:space="preserve"> </w:t>
      </w:r>
      <w:r>
        <w:rPr>
          <w:rFonts w:ascii="Arial" w:cs="Arial" w:eastAsia="Arial" w:hAnsi="Arial"/>
          <w:sz w:val="20"/>
          <w:szCs w:val="20"/>
          <w:color w:val="auto"/>
        </w:rPr>
        <w:t>these updates.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 xml:space="preserve">Income Taxes – </w:t>
      </w:r>
      <w:r>
        <w:rPr>
          <w:rFonts w:ascii="Arial" w:cs="Arial" w:eastAsia="Arial" w:hAnsi="Arial"/>
          <w:sz w:val="18"/>
          <w:szCs w:val="18"/>
          <w:color w:val="auto"/>
        </w:rPr>
        <w:t>Our effective income tax rate was (7.7)% in 2018, 6.6% in 2017, and 8.2% in 2016. The effective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for 2018, 2017, and 2016 was affected by the 2012 income tax accounting change for qualifying utility asset improvements at Aqua Pennsylvania which resulted in a $64,183, $84,766, and $78,530 net reduction to the Company’s 2018, 2017, and</w:t>
      </w:r>
    </w:p>
    <w:p>
      <w:pPr>
        <w:spacing w:after="0" w:line="1"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2016 Federal and state income tax expense, respectively. As of December 31, 2018, the Company has an unrecognized tax benefit related to the Company’s change in its tax accounting method for qualifying utility asset improvement costs, of which up to $26,990 of these tax benefits would further reduce the Company’s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effective income tax rate in the event the Company does sustain all, or a portion, of its tax position in the period this information is determined. Offsetting this reduction was the effect of the revaluation, in 2017, of our deferred income tax assets and liabilities, triggered by the TCJA, which resulted in the recognition of additional income tax expense of $3,141 to the extent revalued deferred income taxes are not believed to be recoverable in utility customer rates. Additionally, the decrease in our income before income taxes of $78,333 for 2018, as compared to the prior year, which results primarily from the change in fair value of interest rate swap agreements and transaction expenses for our planned acquisition of Peoples discussed above resulted in a decrease in our effective income tax rate for 2018 as compared to the prior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120" w:type="dxa"/>
            <w:vAlign w:val="bottom"/>
          </w:tcPr>
          <w:p>
            <w:pPr>
              <w:spacing w:after="0"/>
              <w:rPr>
                <w:sz w:val="20"/>
                <w:szCs w:val="20"/>
                <w:color w:val="auto"/>
              </w:rPr>
            </w:pPr>
            <w:r>
              <w:rPr>
                <w:rFonts w:ascii="Arial" w:cs="Arial" w:eastAsia="Arial" w:hAnsi="Arial"/>
                <w:sz w:val="20"/>
                <w:szCs w:val="20"/>
                <w:b w:val="1"/>
                <w:bCs w:val="1"/>
                <w:i w:val="1"/>
                <w:iCs w:val="1"/>
                <w:color w:val="auto"/>
              </w:rPr>
              <w:t>Summary –</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509"/>
        </w:trPr>
        <w:tc>
          <w:tcPr>
            <w:tcW w:w="6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Years ended December 31,</w:t>
            </w:r>
          </w:p>
        </w:tc>
        <w:tc>
          <w:tcPr>
            <w:tcW w:w="920" w:type="dxa"/>
            <w:vAlign w:val="bottom"/>
            <w:tcBorders>
              <w:bottom w:val="single" w:sz="8" w:color="auto"/>
            </w:tcBorders>
          </w:tcPr>
          <w:p>
            <w:pPr>
              <w:spacing w:after="0"/>
              <w:rPr>
                <w:sz w:val="24"/>
                <w:szCs w:val="24"/>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2017</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94"/>
              </w:rPr>
              <w:t>2016</w:t>
            </w:r>
          </w:p>
        </w:tc>
      </w:tr>
      <w:tr>
        <w:trPr>
          <w:trHeight w:val="223"/>
        </w:trPr>
        <w:tc>
          <w:tcPr>
            <w:tcW w:w="612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Operating income</w:t>
            </w:r>
          </w:p>
        </w:tc>
        <w:tc>
          <w:tcPr>
            <w:tcW w:w="34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323,178</w:t>
            </w:r>
          </w:p>
        </w:tc>
        <w:tc>
          <w:tcPr>
            <w:tcW w:w="30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333,920</w:t>
            </w:r>
          </w:p>
        </w:tc>
        <w:tc>
          <w:tcPr>
            <w:tcW w:w="400" w:type="dxa"/>
            <w:vAlign w:val="bottom"/>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333,298</w:t>
            </w:r>
          </w:p>
        </w:tc>
      </w:tr>
      <w:tr>
        <w:trPr>
          <w:trHeight w:val="243"/>
        </w:trPr>
        <w:tc>
          <w:tcPr>
            <w:tcW w:w="6120" w:type="dxa"/>
            <w:vAlign w:val="bottom"/>
          </w:tcPr>
          <w:p>
            <w:pPr>
              <w:spacing w:after="0"/>
              <w:rPr>
                <w:sz w:val="20"/>
                <w:szCs w:val="20"/>
                <w:color w:val="auto"/>
              </w:rPr>
            </w:pPr>
            <w:r>
              <w:rPr>
                <w:rFonts w:ascii="Arial" w:cs="Arial" w:eastAsia="Arial" w:hAnsi="Arial"/>
                <w:sz w:val="20"/>
                <w:szCs w:val="20"/>
                <w:color w:val="auto"/>
              </w:rPr>
              <w:t>Net income</w:t>
            </w:r>
          </w:p>
        </w:tc>
        <w:tc>
          <w:tcPr>
            <w:tcW w:w="34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191,988</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239,738</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234,182</w:t>
            </w:r>
          </w:p>
        </w:tc>
      </w:tr>
      <w:tr>
        <w:trPr>
          <w:trHeight w:val="243"/>
        </w:trPr>
        <w:tc>
          <w:tcPr>
            <w:tcW w:w="6120" w:type="dxa"/>
            <w:vAlign w:val="bottom"/>
            <w:shd w:val="clear" w:color="auto" w:fill="CCEEFF"/>
          </w:tcPr>
          <w:p>
            <w:pPr>
              <w:spacing w:after="0"/>
              <w:rPr>
                <w:sz w:val="20"/>
                <w:szCs w:val="20"/>
                <w:color w:val="auto"/>
              </w:rPr>
            </w:pPr>
            <w:r>
              <w:rPr>
                <w:rFonts w:ascii="Arial" w:cs="Arial" w:eastAsia="Arial" w:hAnsi="Arial"/>
                <w:sz w:val="20"/>
                <w:szCs w:val="20"/>
                <w:color w:val="auto"/>
              </w:rPr>
              <w:t>Diluted net income per share</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1.08</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w:t>
            </w:r>
          </w:p>
        </w:tc>
      </w:tr>
    </w:tbl>
    <w:p>
      <w:pPr>
        <w:spacing w:after="0" w:line="213" w:lineRule="exact"/>
        <w:rPr>
          <w:sz w:val="20"/>
          <w:szCs w:val="20"/>
          <w:color w:val="auto"/>
        </w:rPr>
      </w:pPr>
    </w:p>
    <w:p>
      <w:pPr>
        <w:ind w:right="760"/>
        <w:spacing w:after="0" w:line="260" w:lineRule="auto"/>
        <w:rPr>
          <w:sz w:val="20"/>
          <w:szCs w:val="20"/>
          <w:color w:val="auto"/>
        </w:rPr>
      </w:pPr>
      <w:r>
        <w:rPr>
          <w:rFonts w:ascii="Arial" w:cs="Arial" w:eastAsia="Arial" w:hAnsi="Arial"/>
          <w:sz w:val="20"/>
          <w:szCs w:val="20"/>
          <w:color w:val="auto"/>
        </w:rPr>
        <w:t>The changes in diluted net income per share in 2018 and 2017 over the previous years were due to the aforementioned changes.</w:t>
      </w:r>
    </w:p>
    <w:p>
      <w:pPr>
        <w:spacing w:after="0" w:line="190"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While the importance to the future realization of improved profitability relies on continued adequate rate increases reflecting increased operating costs and new capital improvements, other factors such as transaction expenses for acquisitions will likely cause changes in operating income, net income and diluted net income per share.</w:t>
      </w:r>
    </w:p>
    <w:p>
      <w:pPr>
        <w:spacing w:after="0" w:line="35" w:lineRule="exact"/>
        <w:rPr>
          <w:sz w:val="20"/>
          <w:szCs w:val="20"/>
          <w:color w:val="auto"/>
        </w:rPr>
      </w:pPr>
    </w:p>
    <w:p>
      <w:pPr>
        <w:ind w:right="480"/>
        <w:spacing w:after="0" w:line="316" w:lineRule="auto"/>
        <w:rPr>
          <w:sz w:val="20"/>
          <w:szCs w:val="20"/>
          <w:color w:val="auto"/>
        </w:rPr>
      </w:pPr>
      <w:r>
        <w:rPr>
          <w:rFonts w:ascii="Arial" w:cs="Arial" w:eastAsia="Arial" w:hAnsi="Arial"/>
          <w:sz w:val="18"/>
          <w:szCs w:val="18"/>
          <w:color w:val="auto"/>
        </w:rPr>
        <w:t>Although we have experienced increased income in the recent past, continued adequate rate increases reflecting increased operating costs and new capital investments, are important to the future realization of improved profitability.</w:t>
      </w:r>
    </w:p>
    <w:p>
      <w:pPr>
        <w:sectPr>
          <w:pgSz w:w="11900" w:h="16838" w:orient="portrait"/>
          <w:cols w:equalWidth="0" w:num="1">
            <w:col w:w="10120"/>
          </w:cols>
          <w:pgMar w:left="900" w:top="125" w:right="87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Fourth Quarter Results – </w:t>
      </w:r>
      <w:r>
        <w:rPr>
          <w:rFonts w:ascii="Arial" w:cs="Arial" w:eastAsia="Arial" w:hAnsi="Arial"/>
          <w:sz w:val="18"/>
          <w:szCs w:val="18"/>
          <w:color w:val="auto"/>
        </w:rPr>
        <w:t>The following table provides our fourth quarter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42302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23025" cy="15430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Operations and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42302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23025" cy="1543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42302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23025" cy="1543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Amortization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42302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23025" cy="15430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42302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23025" cy="1543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Other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42302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23025" cy="1543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20"/>
          <w:szCs w:val="20"/>
          <w:color w:val="auto"/>
        </w:rPr>
        <w:t>Interest expense, net</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Allowance for funds used during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642302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23025" cy="17145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Change in fair value of interest rate swap agreements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Gain on sale of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42302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23025" cy="1543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20"/>
          <w:szCs w:val="20"/>
          <w:color w:val="auto"/>
        </w:rPr>
        <w:t>Equity (earnings) loss in joint venture</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Three Months Ended</w:t>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0</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140"/>
        <w:spacing w:after="0"/>
        <w:tabs>
          <w:tab w:leader="none" w:pos="1320" w:val="left"/>
        </w:tabs>
        <w:rPr>
          <w:sz w:val="20"/>
          <w:szCs w:val="20"/>
          <w:color w:val="auto"/>
        </w:rPr>
      </w:pPr>
      <w:r>
        <w:rPr>
          <w:rFonts w:ascii="Arial" w:cs="Arial" w:eastAsia="Arial" w:hAnsi="Arial"/>
          <w:sz w:val="20"/>
          <w:szCs w:val="20"/>
          <w:color w:val="auto"/>
        </w:rPr>
        <w:t>2018</w:t>
      </w:r>
      <w:r>
        <w:rPr>
          <w:sz w:val="20"/>
          <w:szCs w:val="20"/>
          <w:color w:val="auto"/>
        </w:rPr>
        <w:tab/>
      </w:r>
      <w:r>
        <w:rPr>
          <w:rFonts w:ascii="Arial" w:cs="Arial" w:eastAsia="Arial" w:hAnsi="Arial"/>
          <w:sz w:val="20"/>
          <w:szCs w:val="20"/>
          <w:color w:val="auto"/>
        </w:rPr>
        <w:t>2017</w:t>
      </w:r>
    </w:p>
    <w:p>
      <w:pPr>
        <w:spacing w:after="0" w:line="13" w:lineRule="exact"/>
        <w:rPr>
          <w:sz w:val="20"/>
          <w:szCs w:val="20"/>
          <w:color w:val="auto"/>
        </w:rPr>
      </w:pPr>
    </w:p>
    <w:p>
      <w:pPr>
        <w:spacing w:after="0"/>
        <w:tabs>
          <w:tab w:leader="none" w:pos="240" w:val="left"/>
          <w:tab w:leader="none" w:pos="1160" w:val="left"/>
          <w:tab w:leader="none" w:pos="1420" w:val="left"/>
        </w:tabs>
        <w:rPr>
          <w:sz w:val="20"/>
          <w:szCs w:val="20"/>
          <w:color w:val="auto"/>
        </w:rPr>
      </w:pPr>
      <w:r>
        <w:rPr>
          <w:rFonts w:ascii="Arial" w:cs="Arial" w:eastAsia="Arial" w:hAnsi="Arial"/>
          <w:sz w:val="20"/>
          <w:szCs w:val="20"/>
          <w:color w:val="auto"/>
        </w:rPr>
        <w:t>$</w:t>
        <w:tab/>
        <w:t>205,747</w:t>
        <w:tab/>
        <w:t>$</w:t>
      </w:r>
      <w:r>
        <w:rPr>
          <w:sz w:val="20"/>
          <w:szCs w:val="20"/>
          <w:color w:val="auto"/>
        </w:rPr>
        <w:tab/>
      </w:r>
      <w:r>
        <w:rPr>
          <w:rFonts w:ascii="Arial" w:cs="Arial" w:eastAsia="Arial" w:hAnsi="Arial"/>
          <w:sz w:val="16"/>
          <w:szCs w:val="16"/>
          <w:color w:val="auto"/>
        </w:rPr>
        <w:t>203,312</w:t>
      </w:r>
    </w:p>
    <w:p>
      <w:pPr>
        <w:spacing w:after="0" w:line="141" w:lineRule="exact"/>
        <w:rPr>
          <w:sz w:val="20"/>
          <w:szCs w:val="20"/>
          <w:color w:val="auto"/>
        </w:rPr>
      </w:pPr>
    </w:p>
    <w:p>
      <w:pPr>
        <w:ind w:left="340"/>
        <w:spacing w:after="0"/>
        <w:tabs>
          <w:tab w:leader="none" w:pos="1520" w:val="left"/>
        </w:tabs>
        <w:rPr>
          <w:sz w:val="20"/>
          <w:szCs w:val="20"/>
          <w:color w:val="auto"/>
        </w:rPr>
      </w:pPr>
      <w:r>
        <w:rPr>
          <w:rFonts w:ascii="Arial" w:cs="Arial" w:eastAsia="Arial" w:hAnsi="Arial"/>
          <w:sz w:val="19"/>
          <w:szCs w:val="19"/>
          <w:color w:val="auto"/>
        </w:rPr>
        <w:t>92,393</w:t>
      </w:r>
      <w:r>
        <w:rPr>
          <w:sz w:val="20"/>
          <w:szCs w:val="20"/>
          <w:color w:val="auto"/>
        </w:rPr>
        <w:tab/>
      </w:r>
      <w:r>
        <w:rPr>
          <w:rFonts w:ascii="Arial" w:cs="Arial" w:eastAsia="Arial" w:hAnsi="Arial"/>
          <w:sz w:val="19"/>
          <w:szCs w:val="19"/>
          <w:color w:val="auto"/>
        </w:rPr>
        <w:t>78,004</w:t>
      </w:r>
    </w:p>
    <w:p>
      <w:pPr>
        <w:spacing w:after="0" w:line="32" w:lineRule="exact"/>
        <w:rPr>
          <w:sz w:val="20"/>
          <w:szCs w:val="20"/>
          <w:color w:val="auto"/>
        </w:rPr>
      </w:pPr>
    </w:p>
    <w:p>
      <w:pPr>
        <w:ind w:left="340"/>
        <w:spacing w:after="0"/>
        <w:tabs>
          <w:tab w:leader="none" w:pos="1520" w:val="left"/>
        </w:tabs>
        <w:rPr>
          <w:sz w:val="20"/>
          <w:szCs w:val="20"/>
          <w:color w:val="auto"/>
        </w:rPr>
      </w:pPr>
      <w:r>
        <w:rPr>
          <w:rFonts w:ascii="Arial" w:cs="Arial" w:eastAsia="Arial" w:hAnsi="Arial"/>
          <w:sz w:val="19"/>
          <w:szCs w:val="19"/>
          <w:color w:val="auto"/>
        </w:rPr>
        <w:t>35,995</w:t>
      </w:r>
      <w:r>
        <w:rPr>
          <w:sz w:val="20"/>
          <w:szCs w:val="20"/>
          <w:color w:val="auto"/>
        </w:rPr>
        <w:tab/>
      </w:r>
      <w:r>
        <w:rPr>
          <w:rFonts w:ascii="Arial" w:cs="Arial" w:eastAsia="Arial" w:hAnsi="Arial"/>
          <w:sz w:val="19"/>
          <w:szCs w:val="19"/>
          <w:color w:val="auto"/>
        </w:rPr>
        <w:t>34,794</w:t>
      </w:r>
    </w:p>
    <w:p>
      <w:pPr>
        <w:spacing w:after="0" w:line="25" w:lineRule="exact"/>
        <w:rPr>
          <w:sz w:val="20"/>
          <w:szCs w:val="20"/>
          <w:color w:val="auto"/>
        </w:rPr>
      </w:pPr>
    </w:p>
    <w:p>
      <w:pPr>
        <w:ind w:left="1880" w:hanging="1283"/>
        <w:spacing w:after="0"/>
        <w:tabs>
          <w:tab w:leader="none" w:pos="1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64</w:t>
      </w:r>
    </w:p>
    <w:p>
      <w:pPr>
        <w:spacing w:after="0" w:line="13" w:lineRule="exact"/>
        <w:rPr>
          <w:rFonts w:ascii="Arial" w:cs="Arial" w:eastAsia="Arial" w:hAnsi="Arial"/>
          <w:sz w:val="20"/>
          <w:szCs w:val="20"/>
          <w:color w:val="auto"/>
        </w:rPr>
      </w:pPr>
    </w:p>
    <w:p>
      <w:pPr>
        <w:ind w:left="340"/>
        <w:spacing w:after="0"/>
        <w:rPr>
          <w:rFonts w:ascii="Arial" w:cs="Arial" w:eastAsia="Arial" w:hAnsi="Arial"/>
          <w:sz w:val="20"/>
          <w:szCs w:val="20"/>
          <w:color w:val="auto"/>
        </w:rPr>
      </w:pPr>
      <w:r>
        <w:rPr>
          <w:rFonts w:ascii="Arial" w:cs="Arial" w:eastAsia="Arial" w:hAnsi="Arial"/>
          <w:sz w:val="20"/>
          <w:szCs w:val="20"/>
          <w:color w:val="auto"/>
        </w:rPr>
        <w:t>14,402</w:t>
      </w:r>
      <w:r>
        <w:rPr>
          <w:rFonts w:ascii="Arial" w:cs="Arial" w:eastAsia="Arial" w:hAnsi="Arial"/>
          <w:sz w:val="16"/>
          <w:szCs w:val="16"/>
          <w:color w:val="auto"/>
        </w:rPr>
        <w:t>12,238</w:t>
      </w:r>
    </w:p>
    <w:p>
      <w:pPr>
        <w:spacing w:after="0" w:line="13" w:lineRule="exact"/>
        <w:rPr>
          <w:sz w:val="20"/>
          <w:szCs w:val="20"/>
          <w:color w:val="auto"/>
        </w:rPr>
      </w:pPr>
    </w:p>
    <w:p>
      <w:pPr>
        <w:ind w:left="260"/>
        <w:spacing w:after="0"/>
        <w:tabs>
          <w:tab w:leader="none" w:pos="1420" w:val="left"/>
        </w:tabs>
        <w:rPr>
          <w:sz w:val="20"/>
          <w:szCs w:val="20"/>
          <w:color w:val="auto"/>
        </w:rPr>
      </w:pPr>
      <w:r>
        <w:rPr>
          <w:rFonts w:ascii="Arial" w:cs="Arial" w:eastAsia="Arial" w:hAnsi="Arial"/>
          <w:sz w:val="19"/>
          <w:szCs w:val="19"/>
          <w:color w:val="auto"/>
        </w:rPr>
        <w:t>142,953</w:t>
      </w:r>
      <w:r>
        <w:rPr>
          <w:sz w:val="20"/>
          <w:szCs w:val="20"/>
          <w:color w:val="auto"/>
        </w:rPr>
        <w:tab/>
      </w:r>
      <w:r>
        <w:rPr>
          <w:rFonts w:ascii="Arial" w:cs="Arial" w:eastAsia="Arial" w:hAnsi="Arial"/>
          <w:sz w:val="19"/>
          <w:szCs w:val="19"/>
          <w:color w:val="auto"/>
        </w:rPr>
        <w:t>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13335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2" w:lineRule="exact"/>
        <w:rPr>
          <w:sz w:val="20"/>
          <w:szCs w:val="20"/>
          <w:color w:val="auto"/>
        </w:rPr>
      </w:pPr>
    </w:p>
    <w:p>
      <w:pPr>
        <w:ind w:left="340"/>
        <w:spacing w:after="0"/>
        <w:tabs>
          <w:tab w:leader="none" w:pos="1520" w:val="left"/>
        </w:tabs>
        <w:rPr>
          <w:sz w:val="20"/>
          <w:szCs w:val="20"/>
          <w:color w:val="auto"/>
        </w:rPr>
      </w:pPr>
      <w:r>
        <w:rPr>
          <w:rFonts w:ascii="Arial" w:cs="Arial" w:eastAsia="Arial" w:hAnsi="Arial"/>
          <w:sz w:val="19"/>
          <w:szCs w:val="19"/>
          <w:color w:val="auto"/>
        </w:rPr>
        <w:t>62,794</w:t>
      </w:r>
      <w:r>
        <w:rPr>
          <w:sz w:val="20"/>
          <w:szCs w:val="20"/>
          <w:color w:val="auto"/>
        </w:rPr>
        <w:tab/>
      </w:r>
      <w:r>
        <w:rPr>
          <w:rFonts w:ascii="Arial" w:cs="Arial" w:eastAsia="Arial" w:hAnsi="Arial"/>
          <w:sz w:val="19"/>
          <w:szCs w:val="19"/>
          <w:color w:val="auto"/>
        </w:rPr>
        <w:t>78,212</w:t>
      </w:r>
    </w:p>
    <w:p>
      <w:pPr>
        <w:spacing w:after="0" w:line="268" w:lineRule="exact"/>
        <w:rPr>
          <w:sz w:val="20"/>
          <w:szCs w:val="20"/>
          <w:color w:val="auto"/>
        </w:rPr>
      </w:pPr>
    </w:p>
    <w:p>
      <w:pPr>
        <w:ind w:left="340"/>
        <w:spacing w:after="0"/>
        <w:tabs>
          <w:tab w:leader="none" w:pos="1520" w:val="left"/>
        </w:tabs>
        <w:rPr>
          <w:sz w:val="20"/>
          <w:szCs w:val="20"/>
          <w:color w:val="auto"/>
        </w:rPr>
      </w:pPr>
      <w:r>
        <w:rPr>
          <w:rFonts w:ascii="Arial" w:cs="Arial" w:eastAsia="Arial" w:hAnsi="Arial"/>
          <w:sz w:val="19"/>
          <w:szCs w:val="19"/>
          <w:color w:val="auto"/>
        </w:rPr>
        <w:t>26,349</w:t>
      </w:r>
      <w:r>
        <w:rPr>
          <w:sz w:val="20"/>
          <w:szCs w:val="20"/>
          <w:color w:val="auto"/>
        </w:rPr>
        <w:tab/>
      </w:r>
      <w:r>
        <w:rPr>
          <w:rFonts w:ascii="Arial" w:cs="Arial" w:eastAsia="Arial" w:hAnsi="Arial"/>
          <w:sz w:val="19"/>
          <w:szCs w:val="19"/>
          <w:color w:val="auto"/>
        </w:rPr>
        <w:t>23,217</w:t>
      </w:r>
    </w:p>
    <w:p>
      <w:pPr>
        <w:spacing w:after="0" w:line="52"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(4,513)</w:t>
      </w:r>
      <w:r>
        <w:rPr>
          <w:sz w:val="20"/>
          <w:szCs w:val="20"/>
          <w:color w:val="auto"/>
        </w:rPr>
        <w:tab/>
      </w:r>
      <w:r>
        <w:rPr>
          <w:rFonts w:ascii="Arial" w:cs="Arial" w:eastAsia="Arial" w:hAnsi="Arial"/>
          <w:sz w:val="18"/>
          <w:szCs w:val="18"/>
          <w:color w:val="auto"/>
        </w:rPr>
        <w:t>(4,641)</w:t>
      </w:r>
    </w:p>
    <w:p>
      <w:pPr>
        <w:spacing w:after="0" w:line="63" w:lineRule="exact"/>
        <w:rPr>
          <w:sz w:val="20"/>
          <w:szCs w:val="20"/>
          <w:color w:val="auto"/>
        </w:rPr>
      </w:pPr>
    </w:p>
    <w:p>
      <w:pPr>
        <w:jc w:val="both"/>
        <w:ind w:left="340"/>
        <w:spacing w:after="0"/>
        <w:tabs>
          <w:tab w:leader="none" w:pos="2040" w:val="left"/>
        </w:tabs>
        <w:rPr>
          <w:sz w:val="20"/>
          <w:szCs w:val="20"/>
          <w:color w:val="auto"/>
        </w:rPr>
      </w:pPr>
      <w:r>
        <w:rPr>
          <w:rFonts w:ascii="Arial" w:cs="Arial" w:eastAsia="Arial" w:hAnsi="Arial"/>
          <w:sz w:val="20"/>
          <w:szCs w:val="20"/>
          <w:color w:val="auto"/>
        </w:rPr>
        <w:t>59,779</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p>
    <w:p>
      <w:pPr>
        <w:ind w:left="1700" w:hanging="1178"/>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(162)</w:t>
      </w:r>
    </w:p>
    <w:p>
      <w:pPr>
        <w:spacing w:after="0" w:line="36" w:lineRule="exact"/>
        <w:rPr>
          <w:sz w:val="20"/>
          <w:szCs w:val="20"/>
          <w:color w:val="auto"/>
        </w:rPr>
      </w:pPr>
    </w:p>
    <w:p>
      <w:pPr>
        <w:ind w:left="1880" w:hanging="1365"/>
        <w:spacing w:after="0"/>
        <w:tabs>
          <w:tab w:leader="none" w:pos="1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71</w:t>
      </w:r>
    </w:p>
    <w:p>
      <w:pPr>
        <w:spacing w:after="0" w:line="13"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631</w:t>
      </w:r>
      <w:r>
        <w:rPr>
          <w:rFonts w:ascii="Arial" w:cs="Arial" w:eastAsia="Arial" w:hAnsi="Arial"/>
          <w:sz w:val="16"/>
          <w:szCs w:val="16"/>
          <w:color w:val="auto"/>
        </w:rPr>
        <w:t>1,239</w:t>
      </w:r>
    </w:p>
    <w:p>
      <w:pPr>
        <w:spacing w:after="0" w:line="7" w:lineRule="exact"/>
        <w:rPr>
          <w:sz w:val="20"/>
          <w:szCs w:val="20"/>
          <w:color w:val="auto"/>
        </w:rPr>
      </w:pPr>
    </w:p>
    <w:p>
      <w:pPr>
        <w:sectPr>
          <w:pgSz w:w="11900" w:h="16838" w:orient="portrait"/>
          <w:cols w:equalWidth="0" w:num="2">
            <w:col w:w="7260" w:space="720"/>
            <w:col w:w="2140"/>
          </w:cols>
          <w:pgMar w:left="900" w:top="125" w:right="87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720" w:type="dxa"/>
            <w:vAlign w:val="bottom"/>
            <w:tcBorders>
              <w:top w:val="single" w:sz="8" w:color="CCEEFF"/>
            </w:tcBorders>
            <w:shd w:val="clear" w:color="auto" w:fill="CCEEFF"/>
          </w:tcPr>
          <w:p>
            <w:pPr>
              <w:spacing w:after="0" w:line="225" w:lineRule="exact"/>
              <w:rPr>
                <w:sz w:val="20"/>
                <w:szCs w:val="20"/>
                <w:color w:val="auto"/>
              </w:rPr>
            </w:pPr>
            <w:r>
              <w:rPr>
                <w:rFonts w:ascii="Arial" w:cs="Arial" w:eastAsia="Arial" w:hAnsi="Arial"/>
                <w:sz w:val="20"/>
                <w:szCs w:val="20"/>
                <w:color w:val="auto"/>
              </w:rPr>
              <w:t>(Loss) income before income taxes</w:t>
            </w:r>
          </w:p>
        </w:tc>
        <w:tc>
          <w:tcPr>
            <w:tcW w:w="1320" w:type="dxa"/>
            <w:vAlign w:val="bottom"/>
            <w:tcBorders>
              <w:top w:val="single" w:sz="8" w:color="auto"/>
            </w:tcBorders>
            <w:shd w:val="clear" w:color="auto" w:fill="CCEEFF"/>
          </w:tcPr>
          <w:p>
            <w:pPr>
              <w:jc w:val="right"/>
              <w:ind w:right="21"/>
              <w:spacing w:after="0" w:line="225" w:lineRule="exact"/>
              <w:rPr>
                <w:sz w:val="20"/>
                <w:szCs w:val="20"/>
                <w:color w:val="auto"/>
              </w:rPr>
            </w:pPr>
            <w:r>
              <w:rPr>
                <w:rFonts w:ascii="Arial" w:cs="Arial" w:eastAsia="Arial" w:hAnsi="Arial"/>
                <w:sz w:val="20"/>
                <w:szCs w:val="20"/>
                <w:color w:val="auto"/>
              </w:rPr>
              <w:t>(18,763)</w:t>
            </w:r>
          </w:p>
        </w:tc>
        <w:tc>
          <w:tcPr>
            <w:tcW w:w="3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line="225" w:lineRule="exact"/>
              <w:rPr>
                <w:sz w:val="20"/>
                <w:szCs w:val="20"/>
                <w:color w:val="auto"/>
              </w:rPr>
            </w:pPr>
            <w:r>
              <w:rPr>
                <w:rFonts w:ascii="Arial" w:cs="Arial" w:eastAsia="Arial" w:hAnsi="Arial"/>
                <w:sz w:val="20"/>
                <w:szCs w:val="20"/>
                <w:color w:val="auto"/>
              </w:rPr>
              <w:t>58,488</w:t>
            </w:r>
          </w:p>
        </w:tc>
      </w:tr>
      <w:tr>
        <w:trPr>
          <w:trHeight w:val="243"/>
        </w:trPr>
        <w:tc>
          <w:tcPr>
            <w:tcW w:w="77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Provision for income taxes (benefit)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(15,106)</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5,015</w:t>
            </w:r>
          </w:p>
        </w:tc>
      </w:tr>
      <w:tr>
        <w:trPr>
          <w:trHeight w:val="230"/>
        </w:trPr>
        <w:tc>
          <w:tcPr>
            <w:tcW w:w="772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(loss) income</w:t>
            </w:r>
          </w:p>
        </w:tc>
        <w:tc>
          <w:tcPr>
            <w:tcW w:w="132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   (3,657)</w:t>
            </w:r>
          </w:p>
        </w:tc>
        <w:tc>
          <w:tcPr>
            <w:tcW w:w="34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53,473</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increase in operating revenues of $2,435 was primarily due to:</w:t>
      </w:r>
    </w:p>
    <w:p>
      <w:pPr>
        <w:spacing w:after="0" w:line="108" w:lineRule="exact"/>
        <w:rPr>
          <w:sz w:val="20"/>
          <w:szCs w:val="20"/>
          <w:color w:val="auto"/>
        </w:rPr>
      </w:pPr>
    </w:p>
    <w:p>
      <w:pPr>
        <w:ind w:left="640" w:hanging="320"/>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net increase in water and wastewater rates and infrastructure rehabilitation surcharges of $4,660;</w:t>
      </w: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ind w:left="4960"/>
        <w:spacing w:after="0"/>
        <w:rPr>
          <w:rFonts w:ascii="Arial" w:cs="Arial" w:eastAsia="Arial" w:hAnsi="Arial"/>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left="640" w:hanging="320"/>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additional revenues of $1,928 associated with a larger customer base due to utility acquisitions; and</w:t>
      </w:r>
    </w:p>
    <w:p>
      <w:pPr>
        <w:spacing w:after="0" w:line="2" w:lineRule="exact"/>
        <w:rPr>
          <w:rFonts w:ascii="Arial" w:cs="Arial" w:eastAsia="Arial" w:hAnsi="Arial"/>
          <w:sz w:val="20"/>
          <w:szCs w:val="20"/>
          <w:color w:val="auto"/>
        </w:rPr>
      </w:pPr>
    </w:p>
    <w:p>
      <w:pPr>
        <w:ind w:left="640" w:right="40" w:hanging="320"/>
        <w:spacing w:after="0" w:line="225" w:lineRule="auto"/>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 increase in sewer revenues of $826 primarily due to an increase in the volume of treated wastewater flows from the City of Ft. Wayne, Indiana at our Indiana wastewater treatment plant;</w:t>
      </w:r>
    </w:p>
    <w:p>
      <w:pPr>
        <w:ind w:left="640" w:hanging="320"/>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offset by a decrease in customer water consumption.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increase in operations and maintenance expense of $14,389 was primarily due to:</w:t>
      </w:r>
    </w:p>
    <w:p>
      <w:pPr>
        <w:spacing w:after="0" w:line="108" w:lineRule="exact"/>
        <w:rPr>
          <w:sz w:val="20"/>
          <w:szCs w:val="20"/>
          <w:color w:val="auto"/>
        </w:rPr>
      </w:pPr>
    </w:p>
    <w:p>
      <w:pPr>
        <w:ind w:left="640" w:right="120" w:hanging="320"/>
        <w:spacing w:after="0" w:line="259"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transaction expenses of $14,184 for our planned Peoples Gas Acquisition, primarily representing expenses associated with obtaining regulatory approvals, investment banking fees, legal expenses, and integration planning;</w:t>
      </w:r>
    </w:p>
    <w:p>
      <w:pPr>
        <w:spacing w:after="0" w:line="1" w:lineRule="exact"/>
        <w:rPr>
          <w:rFonts w:ascii="Arial" w:cs="Arial" w:eastAsia="Arial" w:hAnsi="Arial"/>
          <w:sz w:val="18"/>
          <w:szCs w:val="18"/>
          <w:color w:val="auto"/>
        </w:rPr>
      </w:pPr>
    </w:p>
    <w:p>
      <w:pPr>
        <w:ind w:left="640" w:hanging="320"/>
        <w:spacing w:after="0" w:line="225" w:lineRule="auto"/>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write-off of $3,284 of regulatory assets resulting from rate proceedings; and</w:t>
      </w:r>
    </w:p>
    <w:p>
      <w:pPr>
        <w:ind w:left="640" w:hanging="320"/>
        <w:spacing w:after="0" w:line="225" w:lineRule="auto"/>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additional operating costs associated with acquired utility systems of $622;</w:t>
      </w:r>
    </w:p>
    <w:p>
      <w:pPr>
        <w:ind w:left="640" w:right="560" w:hanging="320"/>
        <w:spacing w:after="0" w:line="282"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offset by a decrease in maintenance expenses of $1,762 due to the effect of work performed in the prior year for dredging, clearing, and disposal services performed at some of our Pennsylvania water treatment facilities.</w:t>
      </w:r>
    </w:p>
    <w:p>
      <w:pPr>
        <w:spacing w:after="0" w:line="254"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Depreciation expense increased by $1,201 primarily due to the utility plant placed in service since December 31, 2017, offset by a decrease in the depreciation rates for our Illinois subsidiary due to a deprecation study that was performed.</w:t>
      </w:r>
    </w:p>
    <w:p>
      <w:pPr>
        <w:spacing w:after="0" w:line="14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increase in other taxes of $2,164 is primarily due to an increase in property taxes of $1,724 primarily resulting from the prior year effect of the reversal of a reserve due to a favorable property tax appeal in Ohio, and an increase in gross receipts, excise and franchise taxes of $576, offset by a decrease in taxes assessed resulting from the pumping of ground water in Texas of $273 due to lower water production volume associated with unfavorable weather conditions.</w:t>
      </w:r>
    </w:p>
    <w:p>
      <w:pPr>
        <w:spacing w:after="0" w:line="175"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Interest expense increased by $3,132 due to an increase in the average outstanding debt balance, offset by a decrease in our effective interest rate.</w:t>
      </w:r>
    </w:p>
    <w:p>
      <w:pPr>
        <w:spacing w:after="0" w:line="190"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change in fair value of interest rate swap agreements of $59,779 represents the mark-to-market of our interest rate swap agreements that were entered into on October 23, 2018 to mitigate interest rate risk associated with our future debt issuances to fund a portion of the Peoples Gas Acquisition. The interest rate swap agreements do not qualify for hedge accounting and any changes in the fair value of the swaps are included in earnings.</w:t>
      </w:r>
    </w:p>
    <w:p>
      <w:pPr>
        <w:spacing w:after="0" w:line="190"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Equity (earnings) loss in joint venture totaled $(573) for the fourth quarter of 2018 and $71 for the fourth quarter of 2017. The increase in equity earnings of $644 is due to an increase in the sale of raw water to firms in the natural gas drilling industry.</w:t>
      </w:r>
    </w:p>
    <w:p>
      <w:pPr>
        <w:spacing w:after="0" w:line="144"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Other decreased by $608 primarily due to a decrease in the non-service costs components of our net benefit cost for pension and postretirement benefits.</w:t>
      </w:r>
    </w:p>
    <w:p>
      <w:pPr>
        <w:spacing w:after="0" w:line="19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provision for income taxes decreased by $20,121 primarily as a result of our loss in income before income taxes, and additional tax deductions recognized in the fourth quarter of 2018 for certain qualifying infrastructure improvements for Aqua Pennsylvania.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5" w:right="9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Cash Flow and Capital Expenditures</w:t>
      </w:r>
    </w:p>
    <w:p>
      <w:pPr>
        <w:spacing w:after="0" w:line="22"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Net operating cash flows from continuing operations, dividends paid on common stock, capital expenditures used in continuing operations, including allowances for funds used during construction, and expenditures for acquiring water and wastewater systems for our continuing operations for the five years ended December 31, 2018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800" w:type="dxa"/>
            <w:vAlign w:val="bottom"/>
          </w:tcPr>
          <w:p>
            <w:pPr>
              <w:spacing w:after="0"/>
              <w:rPr>
                <w:sz w:val="19"/>
                <w:szCs w:val="19"/>
                <w:color w:val="auto"/>
              </w:rPr>
            </w:pPr>
          </w:p>
        </w:tc>
        <w:tc>
          <w:tcPr>
            <w:tcW w:w="2240" w:type="dxa"/>
            <w:vAlign w:val="bottom"/>
            <w:tcBorders>
              <w:top w:val="single" w:sz="8" w:color="auto"/>
            </w:tcBorders>
            <w:gridSpan w:val="2"/>
          </w:tcPr>
          <w:p>
            <w:pPr>
              <w:ind w:left="240"/>
              <w:spacing w:after="0" w:line="227" w:lineRule="exact"/>
              <w:rPr>
                <w:sz w:val="20"/>
                <w:szCs w:val="20"/>
                <w:color w:val="auto"/>
              </w:rPr>
            </w:pPr>
            <w:r>
              <w:rPr>
                <w:rFonts w:ascii="Arial" w:cs="Arial" w:eastAsia="Arial" w:hAnsi="Arial"/>
                <w:sz w:val="20"/>
                <w:szCs w:val="20"/>
                <w:color w:val="auto"/>
              </w:rPr>
              <w:t>Net Operating Cash</w:t>
            </w:r>
          </w:p>
        </w:tc>
        <w:tc>
          <w:tcPr>
            <w:tcW w:w="3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46"/>
        </w:trPr>
        <w:tc>
          <w:tcPr>
            <w:tcW w:w="18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881"/>
              <w:spacing w:after="0"/>
              <w:rPr>
                <w:sz w:val="20"/>
                <w:szCs w:val="20"/>
                <w:color w:val="auto"/>
              </w:rPr>
            </w:pPr>
            <w:r>
              <w:rPr>
                <w:rFonts w:ascii="Arial" w:cs="Arial" w:eastAsia="Arial" w:hAnsi="Arial"/>
                <w:sz w:val="20"/>
                <w:szCs w:val="20"/>
                <w:color w:val="auto"/>
              </w:rPr>
              <w:t>Flows</w:t>
            </w:r>
          </w:p>
        </w:tc>
        <w:tc>
          <w:tcPr>
            <w:tcW w:w="3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w w:val="93"/>
              </w:rPr>
              <w:t>Dividends</w:t>
            </w:r>
          </w:p>
        </w:tc>
        <w:tc>
          <w:tcPr>
            <w:tcW w:w="234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20"/>
                <w:szCs w:val="20"/>
                <w:color w:val="auto"/>
                <w:w w:val="98"/>
              </w:rPr>
              <w:t>Capital Expenditures</w:t>
            </w:r>
          </w:p>
        </w:tc>
        <w:tc>
          <w:tcPr>
            <w:tcW w:w="180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20"/>
                <w:szCs w:val="20"/>
                <w:color w:val="auto"/>
              </w:rPr>
              <w:t>Acquisitions</w:t>
            </w:r>
          </w:p>
        </w:tc>
      </w:tr>
      <w:tr>
        <w:trPr>
          <w:trHeight w:val="223"/>
        </w:trPr>
        <w:tc>
          <w:tcPr>
            <w:tcW w:w="1800" w:type="dxa"/>
            <w:vAlign w:val="bottom"/>
            <w:shd w:val="clear" w:color="auto" w:fill="CCEEFF"/>
          </w:tcPr>
          <w:p>
            <w:pPr>
              <w:jc w:val="right"/>
              <w:ind w:right="601"/>
              <w:spacing w:after="0" w:line="223" w:lineRule="exact"/>
              <w:rPr>
                <w:sz w:val="20"/>
                <w:szCs w:val="20"/>
                <w:color w:val="auto"/>
              </w:rPr>
            </w:pPr>
            <w:r>
              <w:rPr>
                <w:rFonts w:ascii="Arial" w:cs="Arial" w:eastAsia="Arial" w:hAnsi="Arial"/>
                <w:sz w:val="20"/>
                <w:szCs w:val="20"/>
                <w:color w:val="auto"/>
              </w:rPr>
              <w:t>2014</w:t>
            </w:r>
          </w:p>
        </w:tc>
        <w:tc>
          <w:tcPr>
            <w:tcW w:w="560" w:type="dxa"/>
            <w:vAlign w:val="bottom"/>
            <w:shd w:val="clear" w:color="auto" w:fill="CCEEFF"/>
          </w:tcPr>
          <w:p>
            <w:pPr>
              <w:ind w:left="240"/>
              <w:spacing w:after="0" w:line="223" w:lineRule="exact"/>
              <w:rPr>
                <w:sz w:val="20"/>
                <w:szCs w:val="20"/>
                <w:color w:val="auto"/>
              </w:rPr>
            </w:pPr>
            <w:r>
              <w:rPr>
                <w:rFonts w:ascii="Arial" w:cs="Arial" w:eastAsia="Arial" w:hAnsi="Arial"/>
                <w:sz w:val="20"/>
                <w:szCs w:val="20"/>
                <w:color w:val="auto"/>
              </w:rPr>
              <w:t>$</w:t>
            </w:r>
          </w:p>
        </w:tc>
        <w:tc>
          <w:tcPr>
            <w:tcW w:w="1680" w:type="dxa"/>
            <w:vAlign w:val="bottom"/>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364,888</w:t>
            </w:r>
          </w:p>
        </w:tc>
        <w:tc>
          <w:tcPr>
            <w:tcW w:w="3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112,106</w:t>
            </w:r>
          </w:p>
        </w:tc>
        <w:tc>
          <w:tcPr>
            <w:tcW w:w="880" w:type="dxa"/>
            <w:vAlign w:val="bottom"/>
            <w:shd w:val="clear" w:color="auto" w:fill="CCEEFF"/>
          </w:tcPr>
          <w:p>
            <w:pPr>
              <w:jc w:val="right"/>
              <w:ind w:right="321"/>
              <w:spacing w:after="0" w:line="223" w:lineRule="exact"/>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328,605</w:t>
            </w:r>
          </w:p>
        </w:tc>
        <w:tc>
          <w:tcPr>
            <w:tcW w:w="720" w:type="dxa"/>
            <w:vAlign w:val="bottom"/>
            <w:shd w:val="clear" w:color="auto" w:fill="CCEEFF"/>
          </w:tcPr>
          <w:p>
            <w:pPr>
              <w:jc w:val="right"/>
              <w:ind w:right="261"/>
              <w:spacing w:after="0" w:line="223" w:lineRule="exact"/>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14,616</w:t>
            </w:r>
          </w:p>
        </w:tc>
      </w:tr>
      <w:tr>
        <w:trPr>
          <w:trHeight w:val="243"/>
        </w:trPr>
        <w:tc>
          <w:tcPr>
            <w:tcW w:w="1800" w:type="dxa"/>
            <w:vAlign w:val="bottom"/>
          </w:tcPr>
          <w:p>
            <w:pPr>
              <w:jc w:val="right"/>
              <w:ind w:right="601"/>
              <w:spacing w:after="0"/>
              <w:rPr>
                <w:sz w:val="20"/>
                <w:szCs w:val="20"/>
                <w:color w:val="auto"/>
              </w:rPr>
            </w:pPr>
            <w:r>
              <w:rPr>
                <w:rFonts w:ascii="Arial" w:cs="Arial" w:eastAsia="Arial" w:hAnsi="Arial"/>
                <w:sz w:val="20"/>
                <w:szCs w:val="20"/>
                <w:color w:val="auto"/>
              </w:rPr>
              <w:t>2015</w:t>
            </w:r>
          </w:p>
        </w:tc>
        <w:tc>
          <w:tcPr>
            <w:tcW w:w="560" w:type="dxa"/>
            <w:vAlign w:val="bottom"/>
          </w:tcPr>
          <w:p>
            <w:pPr>
              <w:spacing w:after="0"/>
              <w:rPr>
                <w:sz w:val="21"/>
                <w:szCs w:val="21"/>
                <w:color w:val="auto"/>
              </w:rPr>
            </w:pPr>
          </w:p>
        </w:tc>
        <w:tc>
          <w:tcPr>
            <w:tcW w:w="1680" w:type="dxa"/>
            <w:vAlign w:val="bottom"/>
          </w:tcPr>
          <w:p>
            <w:pPr>
              <w:jc w:val="right"/>
              <w:ind w:right="161"/>
              <w:spacing w:after="0"/>
              <w:rPr>
                <w:sz w:val="20"/>
                <w:szCs w:val="20"/>
                <w:color w:val="auto"/>
              </w:rPr>
            </w:pPr>
            <w:r>
              <w:rPr>
                <w:rFonts w:ascii="Arial" w:cs="Arial" w:eastAsia="Arial" w:hAnsi="Arial"/>
                <w:sz w:val="20"/>
                <w:szCs w:val="20"/>
                <w:color w:val="auto"/>
              </w:rPr>
              <w:t>370,794</w:t>
            </w:r>
          </w:p>
        </w:tc>
        <w:tc>
          <w:tcPr>
            <w:tcW w:w="380" w:type="dxa"/>
            <w:vAlign w:val="bottom"/>
          </w:tcPr>
          <w:p>
            <w:pPr>
              <w:spacing w:after="0"/>
              <w:rPr>
                <w:sz w:val="21"/>
                <w:szCs w:val="21"/>
                <w:color w:val="auto"/>
              </w:rPr>
            </w:pPr>
          </w:p>
        </w:tc>
        <w:tc>
          <w:tcPr>
            <w:tcW w:w="1560" w:type="dxa"/>
            <w:vAlign w:val="bottom"/>
          </w:tcPr>
          <w:p>
            <w:pPr>
              <w:jc w:val="right"/>
              <w:ind w:right="81"/>
              <w:spacing w:after="0"/>
              <w:rPr>
                <w:sz w:val="20"/>
                <w:szCs w:val="20"/>
                <w:color w:val="auto"/>
              </w:rPr>
            </w:pPr>
            <w:r>
              <w:rPr>
                <w:rFonts w:ascii="Arial" w:cs="Arial" w:eastAsia="Arial" w:hAnsi="Arial"/>
                <w:sz w:val="20"/>
                <w:szCs w:val="20"/>
                <w:color w:val="auto"/>
              </w:rPr>
              <w:t>121,248</w:t>
            </w:r>
          </w:p>
        </w:tc>
        <w:tc>
          <w:tcPr>
            <w:tcW w:w="880" w:type="dxa"/>
            <w:vAlign w:val="bottom"/>
          </w:tcPr>
          <w:p>
            <w:pPr>
              <w:spacing w:after="0"/>
              <w:rPr>
                <w:sz w:val="21"/>
                <w:szCs w:val="21"/>
                <w:color w:val="auto"/>
              </w:rPr>
            </w:pPr>
          </w:p>
        </w:tc>
        <w:tc>
          <w:tcPr>
            <w:tcW w:w="1460" w:type="dxa"/>
            <w:vAlign w:val="bottom"/>
          </w:tcPr>
          <w:p>
            <w:pPr>
              <w:jc w:val="right"/>
              <w:ind w:right="161"/>
              <w:spacing w:after="0"/>
              <w:rPr>
                <w:sz w:val="20"/>
                <w:szCs w:val="20"/>
                <w:color w:val="auto"/>
              </w:rPr>
            </w:pPr>
            <w:r>
              <w:rPr>
                <w:rFonts w:ascii="Arial" w:cs="Arial" w:eastAsia="Arial" w:hAnsi="Arial"/>
                <w:sz w:val="20"/>
                <w:szCs w:val="20"/>
                <w:color w:val="auto"/>
              </w:rPr>
              <w:t>364,689</w:t>
            </w:r>
          </w:p>
        </w:tc>
        <w:tc>
          <w:tcPr>
            <w:tcW w:w="7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28,989</w:t>
            </w:r>
          </w:p>
        </w:tc>
      </w:tr>
      <w:tr>
        <w:trPr>
          <w:trHeight w:val="270"/>
        </w:trPr>
        <w:tc>
          <w:tcPr>
            <w:tcW w:w="1800" w:type="dxa"/>
            <w:vAlign w:val="bottom"/>
            <w:shd w:val="clear" w:color="auto" w:fill="CCEEFF"/>
          </w:tcPr>
          <w:p>
            <w:pPr>
              <w:jc w:val="right"/>
              <w:ind w:right="601"/>
              <w:spacing w:after="0"/>
              <w:rPr>
                <w:sz w:val="20"/>
                <w:szCs w:val="20"/>
                <w:color w:val="auto"/>
              </w:rPr>
            </w:pPr>
            <w:r>
              <w:rPr>
                <w:rFonts w:ascii="Arial" w:cs="Arial" w:eastAsia="Arial" w:hAnsi="Arial"/>
                <w:sz w:val="20"/>
                <w:szCs w:val="20"/>
                <w:color w:val="auto"/>
              </w:rPr>
              <w:t>2016</w:t>
            </w: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396,163</w:t>
            </w:r>
          </w:p>
        </w:tc>
        <w:tc>
          <w:tcPr>
            <w:tcW w:w="3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130,923</w:t>
            </w:r>
          </w:p>
        </w:tc>
        <w:tc>
          <w:tcPr>
            <w:tcW w:w="8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382,996</w:t>
            </w:r>
          </w:p>
        </w:tc>
        <w:tc>
          <w:tcPr>
            <w:tcW w:w="7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9,423</w:t>
            </w:r>
          </w:p>
        </w:tc>
      </w:tr>
      <w:tr>
        <w:trPr>
          <w:trHeight w:val="270"/>
        </w:trPr>
        <w:tc>
          <w:tcPr>
            <w:tcW w:w="1800" w:type="dxa"/>
            <w:vAlign w:val="bottom"/>
          </w:tcPr>
          <w:p>
            <w:pPr>
              <w:jc w:val="right"/>
              <w:ind w:right="601"/>
              <w:spacing w:after="0"/>
              <w:rPr>
                <w:sz w:val="20"/>
                <w:szCs w:val="20"/>
                <w:color w:val="auto"/>
              </w:rPr>
            </w:pPr>
            <w:r>
              <w:rPr>
                <w:rFonts w:ascii="Arial" w:cs="Arial" w:eastAsia="Arial" w:hAnsi="Arial"/>
                <w:sz w:val="20"/>
                <w:szCs w:val="20"/>
                <w:color w:val="auto"/>
              </w:rPr>
              <w:t>2017</w:t>
            </w:r>
          </w:p>
        </w:tc>
        <w:tc>
          <w:tcPr>
            <w:tcW w:w="560" w:type="dxa"/>
            <w:vAlign w:val="bottom"/>
          </w:tcPr>
          <w:p>
            <w:pPr>
              <w:spacing w:after="0"/>
              <w:rPr>
                <w:sz w:val="23"/>
                <w:szCs w:val="23"/>
                <w:color w:val="auto"/>
              </w:rPr>
            </w:pPr>
          </w:p>
        </w:tc>
        <w:tc>
          <w:tcPr>
            <w:tcW w:w="1680" w:type="dxa"/>
            <w:vAlign w:val="bottom"/>
          </w:tcPr>
          <w:p>
            <w:pPr>
              <w:jc w:val="right"/>
              <w:ind w:right="161"/>
              <w:spacing w:after="0"/>
              <w:rPr>
                <w:sz w:val="20"/>
                <w:szCs w:val="20"/>
                <w:color w:val="auto"/>
              </w:rPr>
            </w:pPr>
            <w:r>
              <w:rPr>
                <w:rFonts w:ascii="Arial" w:cs="Arial" w:eastAsia="Arial" w:hAnsi="Arial"/>
                <w:sz w:val="20"/>
                <w:szCs w:val="20"/>
                <w:color w:val="auto"/>
              </w:rPr>
              <w:t>381,318</w:t>
            </w:r>
          </w:p>
        </w:tc>
        <w:tc>
          <w:tcPr>
            <w:tcW w:w="380" w:type="dxa"/>
            <w:vAlign w:val="bottom"/>
          </w:tcPr>
          <w:p>
            <w:pPr>
              <w:spacing w:after="0"/>
              <w:rPr>
                <w:sz w:val="23"/>
                <w:szCs w:val="23"/>
                <w:color w:val="auto"/>
              </w:rPr>
            </w:pPr>
          </w:p>
        </w:tc>
        <w:tc>
          <w:tcPr>
            <w:tcW w:w="1560" w:type="dxa"/>
            <w:vAlign w:val="bottom"/>
          </w:tcPr>
          <w:p>
            <w:pPr>
              <w:jc w:val="right"/>
              <w:ind w:right="81"/>
              <w:spacing w:after="0"/>
              <w:rPr>
                <w:sz w:val="20"/>
                <w:szCs w:val="20"/>
                <w:color w:val="auto"/>
              </w:rPr>
            </w:pPr>
            <w:r>
              <w:rPr>
                <w:rFonts w:ascii="Arial" w:cs="Arial" w:eastAsia="Arial" w:hAnsi="Arial"/>
                <w:sz w:val="20"/>
                <w:szCs w:val="20"/>
                <w:color w:val="auto"/>
              </w:rPr>
              <w:t>140,660</w:t>
            </w:r>
          </w:p>
        </w:tc>
        <w:tc>
          <w:tcPr>
            <w:tcW w:w="880" w:type="dxa"/>
            <w:vAlign w:val="bottom"/>
          </w:tcPr>
          <w:p>
            <w:pPr>
              <w:spacing w:after="0"/>
              <w:rPr>
                <w:sz w:val="23"/>
                <w:szCs w:val="23"/>
                <w:color w:val="auto"/>
              </w:rPr>
            </w:pPr>
          </w:p>
        </w:tc>
        <w:tc>
          <w:tcPr>
            <w:tcW w:w="1460" w:type="dxa"/>
            <w:vAlign w:val="bottom"/>
          </w:tcPr>
          <w:p>
            <w:pPr>
              <w:jc w:val="right"/>
              <w:ind w:right="161"/>
              <w:spacing w:after="0"/>
              <w:rPr>
                <w:sz w:val="20"/>
                <w:szCs w:val="20"/>
                <w:color w:val="auto"/>
              </w:rPr>
            </w:pPr>
            <w:r>
              <w:rPr>
                <w:rFonts w:ascii="Arial" w:cs="Arial" w:eastAsia="Arial" w:hAnsi="Arial"/>
                <w:sz w:val="20"/>
                <w:szCs w:val="20"/>
                <w:color w:val="auto"/>
              </w:rPr>
              <w:t>478,089</w:t>
            </w:r>
          </w:p>
        </w:tc>
        <w:tc>
          <w:tcPr>
            <w:tcW w:w="7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5,860</w:t>
            </w:r>
          </w:p>
        </w:tc>
      </w:tr>
      <w:tr>
        <w:trPr>
          <w:trHeight w:val="270"/>
        </w:trPr>
        <w:tc>
          <w:tcPr>
            <w:tcW w:w="1800" w:type="dxa"/>
            <w:vAlign w:val="bottom"/>
            <w:shd w:val="clear" w:color="auto" w:fill="CCEEFF"/>
          </w:tcPr>
          <w:p>
            <w:pPr>
              <w:jc w:val="right"/>
              <w:ind w:right="601"/>
              <w:spacing w:after="0"/>
              <w:rPr>
                <w:sz w:val="20"/>
                <w:szCs w:val="20"/>
                <w:color w:val="auto"/>
              </w:rPr>
            </w:pPr>
            <w:r>
              <w:rPr>
                <w:rFonts w:ascii="Arial" w:cs="Arial" w:eastAsia="Arial" w:hAnsi="Arial"/>
                <w:sz w:val="20"/>
                <w:szCs w:val="20"/>
                <w:color w:val="auto"/>
              </w:rPr>
              <w:t>2018</w:t>
            </w:r>
          </w:p>
        </w:tc>
        <w:tc>
          <w:tcPr>
            <w:tcW w:w="5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368,522</w:t>
            </w:r>
          </w:p>
        </w:tc>
        <w:tc>
          <w:tcPr>
            <w:tcW w:w="3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150,736</w:t>
            </w:r>
          </w:p>
        </w:tc>
        <w:tc>
          <w:tcPr>
            <w:tcW w:w="8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495,737</w:t>
            </w:r>
          </w:p>
        </w:tc>
        <w:tc>
          <w:tcPr>
            <w:tcW w:w="7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145,693</w:t>
            </w:r>
          </w:p>
        </w:tc>
      </w:tr>
      <w:tr>
        <w:trPr>
          <w:trHeight w:val="244"/>
        </w:trPr>
        <w:tc>
          <w:tcPr>
            <w:tcW w:w="1800" w:type="dxa"/>
            <w:vAlign w:val="bottom"/>
          </w:tcPr>
          <w:p>
            <w:pPr>
              <w:spacing w:after="0"/>
              <w:rPr>
                <w:sz w:val="21"/>
                <w:szCs w:val="21"/>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w:t>
            </w:r>
          </w:p>
        </w:tc>
        <w:tc>
          <w:tcPr>
            <w:tcW w:w="16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1,881,685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655,673</w:t>
            </w: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2,050,116</w:t>
            </w:r>
          </w:p>
        </w:tc>
        <w:tc>
          <w:tcPr>
            <w:tcW w:w="72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204,581</w:t>
            </w:r>
          </w:p>
        </w:tc>
      </w:tr>
    </w:tbl>
    <w:p>
      <w:pPr>
        <w:spacing w:after="0" w:line="213"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Net cash flows from operating activities decreased from 2017 to 2018 primarily due to a reduction in deferred income taxes and a change in working capital. Net income in 2018 was comparable to 2017, when excluding the after-tax effect of the change in the fair value of the interest rate swap agreements. Net cash flows from operating activities decreased from 2016 to 2017 due to an increase in pension and other postretirement benefits contributions, changes in deferred income taxes and an increase in the amount of AFUDC related to equity funds of $5,072 in 2017 compared to 2016. Net cash flows from operating activities increased from 2015 to 2016 primarily due to an increase in net income, a change in working capital, and a decrease in pension and other postretirement benefits contributions. Net cash flows from operating activities increased from 2014 to 2015 primarily due to a change in working capital.</w:t>
      </w:r>
    </w:p>
    <w:p>
      <w:pPr>
        <w:spacing w:after="0" w:line="195"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Included in capital expenditures for the five-year period are: expenditures for the rehabilitation of existing water and wastewater systems, the expansion of our water and wastewater systems, modernization and replacement of existing treatment facilities, water meters, office facilities, information technology, vehicles, and equipment. During this five-year period, we received $34,001 of customer advances and contributions in aid of construction to finance new water mains and related facilities that are not included in the capital expenditures presented in the above table. In addition, during this period, we have made repayments of debt of $886,464 and have refunded $24,521 of customers’ advances for construction. Dividends increased during the past five years as a result of annual increases in the dividends declared and paid and increases in the number of shares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Our planned 2019 capital program, excluding the costs of new mains financed by advances and contributions in aid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construction, and excluding planned capital expenditures by Peoples after a mid-2019 closing, is estimated to be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$550,000 in infrastructure improvements for the communities we serve. The 2019 capital program is expected to include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$231,800 for infrastructure rehabilitation surcharge qualified projects. On January 1, 2013, Aqua Pennsylvania reset its water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infrastructure rehabilitation surcharge to zero resulting from the change in its tax method of accounting for qualifying utility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asset improvements as described below. Although we were not eligible to use an infrastructure rehabilitation surcharge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Aqua Pennsylvania water customers from January 1, 2013 to September 30, 2017, we were able to use the income tax</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savings derived from the qualifying utility asset improvements to maintain Aqua Pennsylvania’s capital investment</w:t>
      </w:r>
    </w:p>
    <w:p>
      <w:pPr>
        <w:spacing w:after="0"/>
        <w:rPr>
          <w:sz w:val="20"/>
          <w:szCs w:val="20"/>
          <w:color w:val="auto"/>
        </w:rPr>
      </w:pPr>
      <w:r>
        <w:rPr>
          <w:rFonts w:ascii="Arial" w:cs="Arial" w:eastAsia="Arial" w:hAnsi="Arial"/>
          <w:sz w:val="18"/>
          <w:szCs w:val="18"/>
          <w:color w:val="auto"/>
        </w:rPr>
        <w:t>program. Our planned 2019 capital program in Pennsylvania is estimated to be approximately $323,000, a portion of which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eligible as a deduction for qualifying utility asset improvements for Federal income tax purposes. Our overall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2019 capital program, excluding the Peoples Gas Acquisition, along with $144,545 of debt repayments and $242,020 of other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contractual cash obligations, as reported in the section captioned “Management’s Discussion and Analysis of Financial</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Condition and Results of Operations – </w:t>
      </w:r>
      <w:r>
        <w:rPr>
          <w:rFonts w:ascii="Arial" w:cs="Arial" w:eastAsia="Arial" w:hAnsi="Arial"/>
          <w:sz w:val="18"/>
          <w:szCs w:val="18"/>
          <w:i w:val="1"/>
          <w:iCs w:val="1"/>
          <w:color w:val="auto"/>
        </w:rPr>
        <w:t>Contractual Obligations</w:t>
      </w:r>
      <w:r>
        <w:rPr>
          <w:rFonts w:ascii="Arial" w:cs="Arial" w:eastAsia="Arial" w:hAnsi="Arial"/>
          <w:sz w:val="18"/>
          <w:szCs w:val="18"/>
          <w:color w:val="auto"/>
        </w:rPr>
        <w:t>”, has been, or is expected to be, financed through internally-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generated funds, our revolving credit facilities, and the issuance of long-term debt.</w:t>
      </w:r>
    </w:p>
    <w:p>
      <w:pPr>
        <w:spacing w:after="0" w:line="213"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Future utility construction in the period 2020 through 2021, including recurring programs, such as the ongoing replacement or rehabilitation of water meters and water mains, water treatment plant upgrades, storage facility renovations, and additional transmission mains to meet customer demands, excluding the costs of new mains financed by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auto"/>
        </w:rPr>
        <w:t>advances and contributions in aid of construction, is estimated to require aggregate expenditures of approximately</w:t>
      </w:r>
    </w:p>
    <w:p>
      <w:pPr>
        <w:spacing w:after="0" w:line="16"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$883,000. We anticipate that approximately one-half of these expenditures will require external financing. We expect to refinance $131,319 of long-term debt during this period as they become due with new issues of long-term debt, internally-generated funds, and our revolving credit facilities. The estimates discussed above do not include any amounts for possible future acquisitions of water and wastewater systems or the financing necessary to support them.</w:t>
      </w:r>
    </w:p>
    <w:p>
      <w:pPr>
        <w:spacing w:after="0" w:line="18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Our primary sources of liquidity are cash flows from operations (including the allowed deferral of Federal income tax payments), borrowings under various short-term lines of credit and other credit facilities, and customer advances and contributions in aid of construction. Our cash flow from operations, or internally-generated funds, is impacted by the timing of rate relief, water consumption, and changes in Federal tax laws with respect to the reduction in the corporate income tax rate, and accelerated tax depreciation or deductions for utility construction projects. We fund our capital and typical acquisitions through internally-generated funds, supplemented by short-term lines of credit. Over time, we partially repay or pay-down our short-term lines of credit with long-term debt. We expect to finance the Peoples Gas Acquisition purchase price, and to refinance certain debt of the Company, with a mix of common equity, equity-linked securities, and debt financing, which could include senior notes issued in capital markets transactions, term loans or other credit facilities or any combination thereof. On October 22, 2018, we obtained a commitment (the “Bridge Commitment”) from certain banks to provide senior unsecured bridge loans, which backstops the Peoples Gas Acquisition purchase price, and the refinancing of certain debt of the Company. See “Acquisitions” for a discussion of the Bridge Commitment. The ability to finance our future construction programs, as well as our acquisition activities, depends on our ability to attract the necessary external financing and maintain internally-generated funds. Timely rate orders permitting compensatory rates of return on invested capital will be required by our operating subsidiaries to achieve an adequate level of earnings and cash flow to enable them to secure the capital they will need to operate and to maintain satisfactory debt coverage ratios.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2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Company’s growth strategy, on October 22, 2018, the Company entered into a purchase agreement to acquire, from LDC Funding LLC, the parent company of PNG Companies, a natural gas distribution company headquartered in Pittsburgh, Pennsylvania, serving approximately 740,000 gas utility customers in western Pennsylvania, West Virginia, and Kentucky. At the closing of the Peoples Gas Acquisition, the Company will pay $4,275,000 in cash, subject to adjustments for working capital, certain capital expenditures, transaction expenses and closing indebtedness as set forth in the acquisition agreement. The Company expects to assume approximately $1,300,000 of Peoples’ indebtedness upon closing of the Peoples Gas Acquisition, which would reduce the cash purchase price by approximately $1,300,000. The Company expects to finance this acquisition with a mix of common equity, equity-linked securities, and debt financing, which could include senior notes issued in capital markets transactions, term loans or other credit facilities or any combination thereof. On October 22, 2018, the Company obtained the Bridge Commitment from certain banks to provide senior unsecured bridge loans in an aggregate amount of up to $5,100,000 to, among other things, backstop the Peoples Gas Acquisition purchase price and the refinancing of certain debt of the Company and of Peoples. As of December 31, 2018, we had terminated approximately $1,633,000 of commitments under the Bridge Commitment in connection with, among other things, the replacement of our unsecured revolving credit facility and the expected maintenance of certain Peoples’ indebtedness. The obligations of the lenders to fund the remaining amount under the Bridge Commitment are subject to the satisfaction of customary closing conditions. On October 23, 2018, the Company entered into interest rate swap agreements to mitigate interest rate risk associated with our planned issuance of long-term debt to fund a portion of the Peoples Gas Acquisition. The interest rate swaps will be settled upon issuance of the debt to be used to finance a portion of the purchase price of this acquisition. The interest rate swap agreements do not qualify for hedge accounting and any changes in the fair value of the swaps is included in our earnings.</w:t>
      </w:r>
    </w:p>
    <w:p>
      <w:pPr>
        <w:spacing w:after="0" w:line="3" w:lineRule="exact"/>
        <w:rPr>
          <w:sz w:val="20"/>
          <w:szCs w:val="20"/>
          <w:color w:val="auto"/>
        </w:rPr>
      </w:pPr>
    </w:p>
    <w:p>
      <w:pPr>
        <w:ind w:right="40" w:firstLine="49"/>
        <w:spacing w:after="0" w:line="270" w:lineRule="auto"/>
        <w:rPr>
          <w:sz w:val="20"/>
          <w:szCs w:val="20"/>
          <w:color w:val="auto"/>
        </w:rPr>
      </w:pPr>
      <w:r>
        <w:rPr>
          <w:rFonts w:ascii="Arial" w:cs="Arial" w:eastAsia="Arial" w:hAnsi="Arial"/>
          <w:sz w:val="18"/>
          <w:szCs w:val="18"/>
          <w:color w:val="auto"/>
        </w:rPr>
        <w:t>The Peoples Gas Acquisition is subject to regulatory approvals, including by the public utility commissions in Pennsylvania, Kentucky, and West Virginia, and other customary closing conditions set forth in the acquisition agreement. This acquisition is expected to close in mid-2019, once regulatory approvals are obtained, and it is anticipated that this transaction will result in the recording of goodwill. The acquisition agreement may be terminated at any time prior to the closing of the Peoples Gas Acquisition by mutual written consent of the Company and Seller, or by either party in the event the acquisition is not completed by October 22, 2019, subject to extension to April 22, 2020 to obtain necessary regulatory approvals, and in other customary circumstances. In the event that this acquisition is terminated due to certain breaches by the Company, a fee of $120,000 would be payable to the Seller as liquidated damages.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During the past five years, we have expended cash of $204,581 and issued 439,943 shares of common stock, valued at $12,845 at the time of acquisition, related to the acquisition of both water and wastewater utility systems.</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July 2018, the Company acquired the wastewater utility system assets of Limerick Township, Pennsylvania which serves 5,497 customers. The total cash purchase price for the utility system was $74,836. The purchase price allocation for this acquisition consisted primarily of acquired property, plant and equipment of $64,759 and goodwill of $10,790. Additionally, during 2018, we completed seven acquisitions of water and wastewater utility systems for $42,519 in cash in three of the states in which we operate, adding 8,661 customers. Further, in December 2018, the Company acquired the Valley Creek Trunk Sewer System, serving area municipalities in Pennsylvania, from the Tredyffrin Township Municipal Authority for</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$28,300. The system receives untreated wastewater from area municipalities, which is conveyed to the Valley Forge Treatment Plan. The system consists of 49,000 linear feet of gravity sewers, pump stations, and force mains.</w:t>
      </w:r>
    </w:p>
    <w:p>
      <w:pPr>
        <w:spacing w:after="0" w:line="183" w:lineRule="exact"/>
        <w:rPr>
          <w:sz w:val="20"/>
          <w:szCs w:val="20"/>
          <w:color w:val="auto"/>
        </w:rPr>
      </w:pPr>
    </w:p>
    <w:p>
      <w:pPr>
        <w:ind w:right="400"/>
        <w:spacing w:after="0" w:line="246" w:lineRule="auto"/>
        <w:rPr>
          <w:sz w:val="20"/>
          <w:szCs w:val="20"/>
          <w:color w:val="auto"/>
        </w:rPr>
      </w:pPr>
      <w:r>
        <w:rPr>
          <w:rFonts w:ascii="Arial" w:cs="Arial" w:eastAsia="Arial" w:hAnsi="Arial"/>
          <w:sz w:val="20"/>
          <w:szCs w:val="20"/>
          <w:color w:val="auto"/>
        </w:rPr>
        <w:t>In November 2018, the Company entered into a purchase agreement to acquire the wastewater utility system assets of East Norriton Township, Pennsylvania, which serves approximately 4,950 customers for $21,000. The purchase price for this pending acquisition is subject to certain adjustments at closing, and is subject to regulatory approval, including the final determination of the fair value of the rate base acquired.</w:t>
      </w:r>
    </w:p>
    <w:p>
      <w:pPr>
        <w:spacing w:after="0" w:line="205"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In July 2018, the Company entered into a purchase agreement to acquire the wastewater utility system assets of Cheltenham Township, Pennsylvania, which serves approximately 10,500 customers for $50,250. The purchase price for this pending acquisition is subject to certain adjustments at closing, and is subject to regulatory approval, including the final determination of the fair value of the rate base acquired.</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In addition to the Company’s pending acquisitions in East Norriton and Cheltenham Townships, Pennsylvania, as part of the Company’s growth-through-acquisition strategy, the Company has entered into purchase agreements to acquire the water or wastewater utility system assets of four municipalities for a total combined purchase price in cash of $38,950. The purchase price for these pending acquisitions is subject to certain adjustments at closing, and the pending acquisitions are subject to regulatory approvals, including the final determination of the fair value of the rate base acquired. Closings for these acquisitions are expected to occur by the end of 2019, which is subject to the timing of the regulatory approval process. These acquisitions are expected to add approximately 4,000 customers in two of the states in which the Company operates. We intend to fund these pending acquisitions by the issuance of long-term debt.</w:t>
      </w:r>
    </w:p>
    <w:p>
      <w:pPr>
        <w:spacing w:after="0" w:line="195"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In 2017, we completed four acquisitions of water and wastewater utility systems for $5,860 in cash in two of the states in which we operate, adding 1,003 customers.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we acquired the water utility system assets of Superior Water Company, Inc., which provided public water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service to 4,108 customers in portions of Berks, Chester, and Montgomery counties in Pennsylvania. The total purchase price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utility system was $16,750, which consisted of the issuance of 439,943 shares of the Company’s common stock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$3,905 in cash. Additionally, during 2016, we completed 18 acquisitions of water and wastewater utility systems for $5,518 in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cash in eight of the states in which we operate, adding 2,469 customers.</w:t>
      </w:r>
    </w:p>
    <w:p>
      <w:pPr>
        <w:spacing w:after="0" w:line="213"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In April 2015, we acquired the water and wastewater utility system assets of North Maine Utilities, located in the Village of Glenview, Illinois serving 7,409 customers. The total purchase price consisted of $23,079 in cash. Additionally, during 2015, we completed 14 acquisitions of water and wastewater utility systems for $5,210 in cash in six of the states in which we operate, adding 3,170 customers.</w:t>
      </w:r>
    </w:p>
    <w:p>
      <w:pPr>
        <w:spacing w:after="0" w:line="20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During 2014, we completed 16 acquisitions of water and wastewater utility systems for $10,530 in cash in seven of the states in which we operate, adding 6,148 customers. Further, in 2014, we acquired two market-based businesses that specialized in inspecting, cleaning and repairing storm and sanitary sewer lines, as well as providing water distribution system services and training to waterworks operators. The total purchase price in aggregate was $4,810 and both these businesses were subsequently sold in November 2016 and January 2017.</w:t>
      </w:r>
    </w:p>
    <w:p>
      <w:pPr>
        <w:spacing w:after="0" w:line="20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We continue to pursue the acquisition of water and wastewater utility systems and explore other utility acquisitions that may be in a new state. Our typical acquisitions are expected to be financed with short-term debt with subsequent repayment from the proceeds of long-term debt, retained earnings, or equity issuances.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 Venture</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 xml:space="preserve">Aqua Infrastructure, LLC is a partner in a joint venture with a firm that operates natural gas pipelines and processing plants for the operation of a private pipeline system to supply raw water to natural gas well drilling operations in the Marcellus Shale in north-central Pennsylvania (the “Joint Venture”). We own 49% of the Joint Venture. The 56 mile pipeline construction and permitted intake on the Susquehanna River cost $109,000. As of December 31, 2018, our capital contributions since inception in 2011 totaled $53,643 in cash. This investment has been financed through the issuance of long-term debt. Our 49% investment in the Joint Venture is an unconsolidated affiliate and is accounted for under the equity method of accounting. Our initial investment is carried at cost. Subsequently, the carrying amount of our investment is adjusted to reflect capital contributions or distributions, our equity in earnings and losses since the commencement of the system’s operations, and a decline in the fair value of our investment. In 2015, an impairment charge was recognized by the joint venture on its long-lived assets, of which the Company’s share totaled $32,975 ($21,433 after-tax), representing our share of the noncash impairment charge as further described in Note 1 – </w:t>
      </w:r>
      <w:r>
        <w:rPr>
          <w:rFonts w:ascii="Arial" w:cs="Arial" w:eastAsia="Arial" w:hAnsi="Arial"/>
          <w:sz w:val="19"/>
          <w:szCs w:val="19"/>
          <w:i w:val="1"/>
          <w:iCs w:val="1"/>
          <w:color w:val="auto"/>
        </w:rPr>
        <w:t>Summary of Significant Accounting Policies – Investment in Joint Venture</w:t>
      </w:r>
      <w:r>
        <w:rPr>
          <w:rFonts w:ascii="Arial" w:cs="Arial" w:eastAsia="Arial" w:hAnsi="Arial"/>
          <w:sz w:val="19"/>
          <w:szCs w:val="19"/>
          <w:color w:val="auto"/>
        </w:rPr>
        <w:t xml:space="preserve"> in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Dispositions</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We routinely review and evaluate areas of our business and operating divisions and, over time, may sell utility systems or portions of systems. In 2017, the Company sold two business units within Aqua Resources, which resulted in total proceeds of $867, and recognized a net loss of $324. In 2016, the Company sold two business units within Aqua Resources, which resulted in total proceeds of $4,459, and recognized a net loss of $543.</w:t>
      </w:r>
    </w:p>
    <w:p>
      <w:pPr>
        <w:spacing w:after="0" w:line="208"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In December 2014, we completed the sale of our water utility system in southwest Allen County Indiana to the City of Fort Wayne, Indiana for $67,011, which is comprised of $50,100 in addition to $16,911 the city initially paid the Company towards its water and wastewater system assets in the northern part of Fort Wayne in 2008. We recognized a gain on sale of $29,210 ($17,611 after-tax) in 2014. In addition, as a result of this transaction, Aqua Indiana expanded its sewer customer base by accepting new wastewater flows from the City. Additionally, in March 2014, we completed the sale of our wastewater treatment facility in Georgia.</w:t>
      </w:r>
    </w:p>
    <w:p>
      <w:pPr>
        <w:spacing w:after="0" w:line="21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Despite these transactions, one of our primary strategies continues to be to acquire additional utility systems, to maintain our existing systems where there is a strategic business benefit, and to actively oppose unilateral efforts by municipal governments to acquire any of our operations.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Capital</w:t>
      </w:r>
    </w:p>
    <w:p>
      <w:pPr>
        <w:spacing w:after="0" w:line="2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Since net operating cash flow plus advances and contributions in aid of construction have not been sufficient to fully fund our cash requirements including capital expenditures and our growth through acquisitions program, we issued $2,089,206 of long-term debt and obtained other short-term borrowings during the past five years. At December 31, 2018, we have a $550,000 long-term revolving credit facility that expires in December 2023, of which $20,825 was designated for letter of credit usage, $159,175 was available for borrowing, and $370,000 of borrowings were outstanding at December 31, 2018. Additionally, the facility expands by $150,000 of capacity upon closing of the Peoples Gas Acquisition, which amount will be available to repay certain outstanding indebtedness and fees to close an existing credit facility of Peoples and for general corporate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purposes. Further, the Company may request to expand the facility by an additional amount of up to $300,000 upon the closing of the Peoples Gas Acquisition. In addition, we have short-term lines of credit of $135,500, of which $120,051 was available as of December 31, 2018. These short-term lines of credit are subject to renewal on an annual basis. Although we believe we will be able to renew these facilities, there is no assurance that they will be renewed, or what the terms of any such renewal will be.</w:t>
      </w:r>
    </w:p>
    <w:p>
      <w:pPr>
        <w:spacing w:after="0" w:line="21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In October 2018, we entered into a $5,100,000 syndicated, committed bridge facility to support our agreement to acquire Peoples. Subsequently, $1,633,000 has been terminated as no longer required, and we expect to terminate portions of the bridge facility as a result of equity and debt issuances, including equity-linked financings, are entered into to fund our acquisition. The bridge facility expires the earlier of closing of the acquisition or October 2019.</w:t>
      </w:r>
    </w:p>
    <w:p>
      <w:pPr>
        <w:spacing w:after="0" w:line="175" w:lineRule="exact"/>
        <w:rPr>
          <w:sz w:val="20"/>
          <w:szCs w:val="20"/>
          <w:color w:val="auto"/>
        </w:rPr>
      </w:pPr>
    </w:p>
    <w:p>
      <w:pPr>
        <w:jc w:val="both"/>
        <w:ind w:right="160"/>
        <w:spacing w:after="0" w:line="269" w:lineRule="auto"/>
        <w:rPr>
          <w:sz w:val="20"/>
          <w:szCs w:val="20"/>
          <w:color w:val="auto"/>
        </w:rPr>
      </w:pPr>
      <w:r>
        <w:rPr>
          <w:rFonts w:ascii="Arial" w:cs="Arial" w:eastAsia="Arial" w:hAnsi="Arial"/>
          <w:sz w:val="19"/>
          <w:szCs w:val="19"/>
          <w:color w:val="auto"/>
        </w:rPr>
        <w:t>We expect to finance our pending acquisition of Peoples and refinance certain debt with a mix of common equity, mandatory convertible equity units, debt financing, which could include senior notes issued in capital markets transactions, term loans or other credit facilities or any combination thereof. The purchase price for this acquisition is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1100"/>
        <w:spacing w:after="0" w:line="260" w:lineRule="auto"/>
        <w:rPr>
          <w:sz w:val="20"/>
          <w:szCs w:val="20"/>
          <w:color w:val="auto"/>
        </w:rPr>
      </w:pPr>
      <w:r>
        <w:rPr>
          <w:rFonts w:ascii="Arial" w:cs="Arial" w:eastAsia="Arial" w:hAnsi="Arial"/>
          <w:sz w:val="20"/>
          <w:szCs w:val="20"/>
          <w:color w:val="auto"/>
        </w:rPr>
        <w:t>$4,275,000, which will be reduced by the amount of outstanding indebtedness at closing, which is estimated to be approximately $1,300,000.</w:t>
      </w:r>
    </w:p>
    <w:p>
      <w:pPr>
        <w:spacing w:after="0" w:line="190"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Our consolidated balance sheet historically has had a negative working capital position, whereby routinely our current liabilities exceed our current assets. Management believes that internally-generated funds along with existing credit facilities and the proceeds from the issuance of long-term debt will be adequate to provide sufficient working capital to maintain normal operations and to meet our financing requirements for at least the next twelve months.</w:t>
      </w:r>
    </w:p>
    <w:p>
      <w:pPr>
        <w:spacing w:after="0" w:line="190" w:lineRule="exact"/>
        <w:rPr>
          <w:sz w:val="20"/>
          <w:szCs w:val="20"/>
          <w:color w:val="auto"/>
        </w:rPr>
      </w:pPr>
    </w:p>
    <w:p>
      <w:pPr>
        <w:ind w:right="460"/>
        <w:spacing w:after="0" w:line="259" w:lineRule="auto"/>
        <w:rPr>
          <w:sz w:val="20"/>
          <w:szCs w:val="20"/>
          <w:color w:val="auto"/>
        </w:rPr>
      </w:pPr>
      <w:r>
        <w:rPr>
          <w:rFonts w:ascii="Arial" w:cs="Arial" w:eastAsia="Arial" w:hAnsi="Arial"/>
          <w:sz w:val="19"/>
          <w:szCs w:val="19"/>
          <w:color w:val="auto"/>
        </w:rPr>
        <w:t>Our loan and debt agreements require us to comply with certain financial covenants, which among other things, subject to specific exceptions, limit the Company’s ratio of consolidated total indebtedness to consolidated total capitalization, and require a minimum level of earnings coverage over interest expense. During 2018, we were in compliance with our debt covenants under our credit facilities. Failure to comply with our debt covenants could result in an event of default, which could result in us being required to repay or refinance our borrowings before their due date, possibly limiting our future borrowings, and increasing our borrowing costs.</w:t>
      </w:r>
    </w:p>
    <w:p>
      <w:pPr>
        <w:spacing w:after="0" w:line="19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 Company has a universal “pay as you go” shelf registration statement, filed with the SEC in February 2018, which allows for the potential future offer and sale by us, from time to time, in one or more public offerings, of an indeterminate amount of our common stock, preferred stock, debt securities, and other securities specified therein at indeterminate prices. The Company has not issued any securities to date under this universal shelf registration statement.</w:t>
      </w:r>
    </w:p>
    <w:p>
      <w:pPr>
        <w:spacing w:after="0" w:line="17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In addition, we have an acquisition shelf registration statement, which was filed with the SEC on February 27, 2015, to permit the offering from time to time of an aggregate of $500,000 of our common stock and shares of preferred stock in connection with acquisitions. During 2016, we issued 439,943 shares of common stock totaling $12,845 to acquire a water system. The balance remaining available for use under the acquisition shelf registration as of December 31, 2018 is $487,155.</w:t>
      </w:r>
    </w:p>
    <w:p>
      <w:pPr>
        <w:spacing w:after="0" w:line="175" w:lineRule="exact"/>
        <w:rPr>
          <w:sz w:val="20"/>
          <w:szCs w:val="20"/>
          <w:color w:val="auto"/>
        </w:rPr>
      </w:pPr>
    </w:p>
    <w:p>
      <w:pPr>
        <w:ind w:right="820"/>
        <w:spacing w:after="0" w:line="260" w:lineRule="auto"/>
        <w:rPr>
          <w:sz w:val="20"/>
          <w:szCs w:val="20"/>
          <w:color w:val="auto"/>
        </w:rPr>
      </w:pPr>
      <w:r>
        <w:rPr>
          <w:rFonts w:ascii="Arial" w:cs="Arial" w:eastAsia="Arial" w:hAnsi="Arial"/>
          <w:sz w:val="20"/>
          <w:szCs w:val="20"/>
          <w:color w:val="auto"/>
        </w:rPr>
        <w:t>We will determine the form and terms of any securities issued under the universal shelf registration statement and the acquisition shelf registration statement at the time of issuance.</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We offer a Dividend Reinvestment and Direct Stock Purchase Plan (the “Plan”) that provides a convenient and economical way to purchase shares of the Company. Under the direct stock purchase portion of the Plan, shares are issued throughout the year. The dividend reinvestment portion of the Plan offers a five percent discount on the purchase of shares of common stock with reinvested dividends. As of the December 2018 dividend payment, holders of 9.4% of the common shares outstanding participated in the dividend reinvestment portion of the Plan. The shares issued under the Plan are either original issue shares or shares purchased by the Company’s transfer agent in the open-market. During the past five years, we have sold 277,099 original issue shares of common stock for net proceeds of $8,681 through the dividend reinvestment portion of the Plan, and we used the proceeds to invest in our operating subsidiaries, to repay short-term debt, and for general corporate purposes. In 2018, 2017, and 2016, 321,585, 447,753, and 484,645 shares of common stock were purchased under the dividend reinvestment portion of the Plan by the Company’s transfer agent in the open-market for $11,343, $15,168, and $14,916, respectively.</w:t>
      </w:r>
    </w:p>
    <w:p>
      <w:pPr>
        <w:spacing w:after="0" w:line="202"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The Company’s Board of Directors had authorized us to repurchase our common stock, from time to time, in the open market or through privately negotiated transactions. In 2014, we repurchased 560,000 shares of our common stock in the open market for $13,280. In December 2014, the Company’s Board of Directors authorized a share buyback program of up to 1,000,000 shares to minimize share dilution through timely and orderly share repurchases. In December 2015, the Company’s Board of Directors added 400,000 shares to this program. In 2015, we repurchased 805,000 shares of our common stock in the open market for $20,502. In 2016, we did not repurchase any shares of our common stock in the open market under this program. This program expired on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Financing Arrangements</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 xml:space="preserve">We do not engage in any off-balance sheet financing arrangements. We do not have any interest in entities referred to as variable interest entities, which includes special purpose entities and other structured finance entities. For risk management purposes, the Company uses interest rate swap agreements. Refer to </w:t>
      </w:r>
      <w:r>
        <w:rPr>
          <w:rFonts w:ascii="Arial" w:cs="Arial" w:eastAsia="Arial" w:hAnsi="Arial"/>
          <w:sz w:val="20"/>
          <w:szCs w:val="20"/>
          <w:i w:val="1"/>
          <w:iCs w:val="1"/>
          <w:color w:val="auto"/>
        </w:rPr>
        <w:t>Note 10</w:t>
      </w:r>
      <w:r>
        <w:rPr>
          <w:rFonts w:ascii="Arial" w:cs="Arial" w:eastAsia="Arial" w:hAnsi="Arial"/>
          <w:sz w:val="20"/>
          <w:szCs w:val="20"/>
          <w:color w:val="auto"/>
        </w:rPr>
        <w:t xml:space="preserve"> – </w:t>
      </w:r>
      <w:r>
        <w:rPr>
          <w:rFonts w:ascii="Arial" w:cs="Arial" w:eastAsia="Arial" w:hAnsi="Arial"/>
          <w:sz w:val="20"/>
          <w:szCs w:val="20"/>
          <w:i w:val="1"/>
          <w:iCs w:val="1"/>
          <w:color w:val="auto"/>
        </w:rPr>
        <w:t>Long-term Debt and Loans Payable</w:t>
      </w:r>
      <w:r>
        <w:rPr>
          <w:rFonts w:ascii="Arial" w:cs="Arial" w:eastAsia="Arial" w:hAnsi="Arial"/>
          <w:sz w:val="20"/>
          <w:szCs w:val="20"/>
          <w:color w:val="auto"/>
        </w:rPr>
        <w:t xml:space="preserve"> for further information regarding these agreements.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47" w:name="page48"/>
    <w:bookmarkEnd w:id="4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Contractual Obligations</w:t>
      </w:r>
    </w:p>
    <w:p>
      <w:pPr>
        <w:spacing w:after="0" w:line="22" w:lineRule="exact"/>
        <w:rPr>
          <w:sz w:val="20"/>
          <w:szCs w:val="20"/>
          <w:color w:val="auto"/>
        </w:rPr>
      </w:pPr>
    </w:p>
    <w:p>
      <w:pPr>
        <w:ind w:left="4"/>
        <w:spacing w:after="0"/>
        <w:rPr>
          <w:sz w:val="20"/>
          <w:szCs w:val="20"/>
          <w:color w:val="auto"/>
        </w:rPr>
      </w:pPr>
      <w:r>
        <w:rPr>
          <w:rFonts w:ascii="Arial" w:cs="Arial" w:eastAsia="Arial" w:hAnsi="Arial"/>
          <w:sz w:val="20"/>
          <w:szCs w:val="20"/>
          <w:color w:val="auto"/>
        </w:rPr>
        <w:t>The following table summarizes our contractual cash obligations as of December 31, 2018:</w:t>
      </w:r>
    </w:p>
    <w:p>
      <w:pPr>
        <w:spacing w:after="0" w:line="267" w:lineRule="exact"/>
        <w:rPr>
          <w:sz w:val="20"/>
          <w:szCs w:val="20"/>
          <w:color w:val="auto"/>
        </w:rPr>
      </w:pPr>
    </w:p>
    <w:tbl>
      <w:tblPr>
        <w:tblLayout w:type="fixed"/>
        <w:tblInd w:w="4" w:type="dxa"/>
        <w:tblCellMar>
          <w:top w:w="0" w:type="dxa"/>
          <w:left w:w="0" w:type="dxa"/>
          <w:bottom w:w="0" w:type="dxa"/>
          <w:right w:w="0" w:type="dxa"/>
        </w:tblCellMar>
      </w:tblPr>
      <w:tr>
        <w:trPr>
          <w:trHeight w:val="246"/>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w w:val="93"/>
              </w:rPr>
              <w:t>Payments Due By Period</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6"/>
        </w:trPr>
        <w:tc>
          <w:tcPr>
            <w:tcW w:w="4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2"/>
          </w:tcPr>
          <w:p>
            <w:pPr>
              <w:ind w:left="100"/>
              <w:spacing w:after="0" w:line="207" w:lineRule="exact"/>
              <w:rPr>
                <w:sz w:val="20"/>
                <w:szCs w:val="20"/>
                <w:color w:val="auto"/>
              </w:rPr>
            </w:pPr>
            <w:r>
              <w:rPr>
                <w:rFonts w:ascii="Arial" w:cs="Arial" w:eastAsia="Arial" w:hAnsi="Arial"/>
                <w:sz w:val="20"/>
                <w:szCs w:val="20"/>
                <w:color w:val="auto"/>
                <w:w w:val="94"/>
              </w:rPr>
              <w:t>Less than 1</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2"/>
          </w:tcPr>
          <w:p>
            <w:pPr>
              <w:jc w:val="center"/>
              <w:spacing w:after="0" w:line="207" w:lineRule="exact"/>
              <w:rPr>
                <w:sz w:val="20"/>
                <w:szCs w:val="20"/>
                <w:color w:val="auto"/>
              </w:rPr>
            </w:pPr>
            <w:r>
              <w:rPr>
                <w:rFonts w:ascii="Arial" w:cs="Arial" w:eastAsia="Arial" w:hAnsi="Arial"/>
                <w:sz w:val="20"/>
                <w:szCs w:val="20"/>
                <w:color w:val="auto"/>
                <w:w w:val="91"/>
              </w:rPr>
              <w:t>More than 5</w:t>
            </w:r>
          </w:p>
        </w:tc>
        <w:tc>
          <w:tcPr>
            <w:tcW w:w="20" w:type="dxa"/>
            <w:vAlign w:val="bottom"/>
          </w:tcPr>
          <w:p>
            <w:pPr>
              <w:spacing w:after="0"/>
              <w:rPr>
                <w:sz w:val="17"/>
                <w:szCs w:val="17"/>
                <w:color w:val="auto"/>
              </w:rPr>
            </w:pPr>
          </w:p>
        </w:tc>
      </w:tr>
      <w:tr>
        <w:trPr>
          <w:trHeight w:val="246"/>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01"/>
              <w:spacing w:after="0"/>
              <w:rPr>
                <w:sz w:val="20"/>
                <w:szCs w:val="20"/>
                <w:color w:val="auto"/>
              </w:rPr>
            </w:pPr>
            <w:r>
              <w:rPr>
                <w:rFonts w:ascii="Arial" w:cs="Arial" w:eastAsia="Arial" w:hAnsi="Arial"/>
                <w:sz w:val="20"/>
                <w:szCs w:val="20"/>
                <w:color w:val="auto"/>
              </w:rPr>
              <w:t>Total</w:t>
            </w:r>
          </w:p>
        </w:tc>
        <w:tc>
          <w:tcPr>
            <w:tcW w:w="280" w:type="dxa"/>
            <w:vAlign w:val="bottom"/>
          </w:tcPr>
          <w:p>
            <w:pPr>
              <w:spacing w:after="0"/>
              <w:rPr>
                <w:sz w:val="21"/>
                <w:szCs w:val="21"/>
                <w:color w:val="auto"/>
              </w:rPr>
            </w:pPr>
          </w:p>
        </w:tc>
        <w:tc>
          <w:tcPr>
            <w:tcW w:w="820" w:type="dxa"/>
            <w:vAlign w:val="bottom"/>
          </w:tcPr>
          <w:p>
            <w:pPr>
              <w:jc w:val="right"/>
              <w:ind w:right="281"/>
              <w:spacing w:after="0"/>
              <w:rPr>
                <w:sz w:val="20"/>
                <w:szCs w:val="20"/>
                <w:color w:val="auto"/>
              </w:rPr>
            </w:pPr>
            <w:r>
              <w:rPr>
                <w:rFonts w:ascii="Arial" w:cs="Arial" w:eastAsia="Arial" w:hAnsi="Arial"/>
                <w:sz w:val="20"/>
                <w:szCs w:val="20"/>
                <w:color w:val="auto"/>
              </w:rPr>
              <w:t>year</w:t>
            </w:r>
          </w:p>
        </w:tc>
        <w:tc>
          <w:tcPr>
            <w:tcW w:w="1080" w:type="dxa"/>
            <w:vAlign w:val="bottom"/>
            <w:gridSpan w:val="2"/>
          </w:tcPr>
          <w:p>
            <w:pPr>
              <w:jc w:val="right"/>
              <w:ind w:right="61"/>
              <w:spacing w:after="0"/>
              <w:rPr>
                <w:sz w:val="20"/>
                <w:szCs w:val="20"/>
                <w:color w:val="auto"/>
              </w:rPr>
            </w:pPr>
            <w:r>
              <w:rPr>
                <w:rFonts w:ascii="Arial" w:cs="Arial" w:eastAsia="Arial" w:hAnsi="Arial"/>
                <w:sz w:val="20"/>
                <w:szCs w:val="20"/>
                <w:color w:val="auto"/>
                <w:w w:val="95"/>
              </w:rPr>
              <w:t>1 - 3 years</w:t>
            </w:r>
          </w:p>
        </w:tc>
        <w:tc>
          <w:tcPr>
            <w:tcW w:w="1080" w:type="dxa"/>
            <w:vAlign w:val="bottom"/>
            <w:gridSpan w:val="2"/>
          </w:tcPr>
          <w:p>
            <w:pPr>
              <w:jc w:val="right"/>
              <w:ind w:right="61"/>
              <w:spacing w:after="0"/>
              <w:rPr>
                <w:sz w:val="20"/>
                <w:szCs w:val="20"/>
                <w:color w:val="auto"/>
              </w:rPr>
            </w:pPr>
            <w:r>
              <w:rPr>
                <w:rFonts w:ascii="Arial" w:cs="Arial" w:eastAsia="Arial" w:hAnsi="Arial"/>
                <w:sz w:val="20"/>
                <w:szCs w:val="20"/>
                <w:color w:val="auto"/>
                <w:w w:val="95"/>
              </w:rPr>
              <w:t>3 - 5 years</w:t>
            </w:r>
          </w:p>
        </w:tc>
        <w:tc>
          <w:tcPr>
            <w:tcW w:w="240" w:type="dxa"/>
            <w:vAlign w:val="bottom"/>
          </w:tcPr>
          <w:p>
            <w:pPr>
              <w:spacing w:after="0"/>
              <w:rPr>
                <w:sz w:val="21"/>
                <w:szCs w:val="21"/>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20"/>
                <w:szCs w:val="20"/>
                <w:color w:val="auto"/>
                <w:w w:val="85"/>
              </w:rPr>
              <w:t>years</w:t>
            </w:r>
          </w:p>
        </w:tc>
      </w:tr>
      <w:tr>
        <w:trPr>
          <w:trHeight w:val="25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Long-term debt</w:t>
            </w:r>
          </w:p>
        </w:tc>
        <w:tc>
          <w:tcPr>
            <w:tcW w:w="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2,563,660</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9"/>
              </w:rPr>
              <w:t>144,545</w:t>
            </w:r>
          </w:p>
        </w:tc>
        <w:tc>
          <w:tcPr>
            <w:tcW w:w="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9"/>
              </w:rPr>
              <w:t>131,319</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99"/>
              </w:rPr>
              <w:t>423,010</w:t>
            </w:r>
          </w:p>
        </w:tc>
        <w:tc>
          <w:tcPr>
            <w:tcW w:w="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8"/>
              </w:rPr>
              <w:t>1,864,786</w:t>
            </w:r>
          </w:p>
        </w:tc>
        <w:tc>
          <w:tcPr>
            <w:tcW w:w="20" w:type="dxa"/>
            <w:vAlign w:val="bottom"/>
          </w:tcPr>
          <w:p>
            <w:pPr>
              <w:spacing w:after="0"/>
              <w:rPr>
                <w:sz w:val="21"/>
                <w:szCs w:val="2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0"/>
                <w:szCs w:val="20"/>
                <w:color w:val="auto"/>
              </w:rPr>
              <w:t>Interest on fixed-rate, long-term debt (1)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6"/>
              </w:rPr>
              <w:t>1,305,866</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84,428</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138,371</w:t>
            </w:r>
          </w:p>
        </w:tc>
        <w:tc>
          <w:tcPr>
            <w:tcW w:w="240" w:type="dxa"/>
            <w:vAlign w:val="bottom"/>
          </w:tcPr>
          <w:p>
            <w:pPr>
              <w:spacing w:after="0"/>
              <w:rPr>
                <w:sz w:val="23"/>
                <w:szCs w:val="23"/>
                <w:color w:val="auto"/>
              </w:rPr>
            </w:pPr>
          </w:p>
        </w:tc>
        <w:tc>
          <w:tcPr>
            <w:tcW w:w="840" w:type="dxa"/>
            <w:vAlign w:val="bottom"/>
          </w:tcPr>
          <w:p>
            <w:pPr>
              <w:jc w:val="right"/>
              <w:ind w:right="1"/>
              <w:spacing w:after="0"/>
              <w:rPr>
                <w:sz w:val="20"/>
                <w:szCs w:val="20"/>
                <w:color w:val="auto"/>
              </w:rPr>
            </w:pPr>
            <w:r>
              <w:rPr>
                <w:rFonts w:ascii="Arial" w:cs="Arial" w:eastAsia="Arial" w:hAnsi="Arial"/>
                <w:sz w:val="20"/>
                <w:szCs w:val="20"/>
                <w:color w:val="auto"/>
                <w:w w:val="99"/>
              </w:rPr>
              <w:t>126,252</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956,815</w:t>
            </w:r>
          </w:p>
        </w:tc>
        <w:tc>
          <w:tcPr>
            <w:tcW w:w="20" w:type="dxa"/>
            <w:vAlign w:val="bottom"/>
          </w:tcPr>
          <w:p>
            <w:pPr>
              <w:spacing w:after="0"/>
              <w:rPr>
                <w:sz w:val="23"/>
                <w:szCs w:val="23"/>
                <w:color w:val="auto"/>
              </w:rPr>
            </w:pPr>
          </w:p>
        </w:tc>
      </w:tr>
      <w:tr>
        <w:trPr>
          <w:trHeight w:val="270"/>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Operating leases (2)</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23,584</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2,224</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3,123</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2,067</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16,170</w:t>
            </w:r>
          </w:p>
        </w:tc>
        <w:tc>
          <w:tcPr>
            <w:tcW w:w="20" w:type="dxa"/>
            <w:vAlign w:val="bottom"/>
          </w:tcPr>
          <w:p>
            <w:pPr>
              <w:spacing w:after="0"/>
              <w:rPr>
                <w:sz w:val="23"/>
                <w:szCs w:val="23"/>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0"/>
                <w:szCs w:val="20"/>
                <w:color w:val="auto"/>
              </w:rPr>
              <w:t>Unconditional purchase obligations (3)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32,191</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5,506</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9,811</w:t>
            </w:r>
          </w:p>
        </w:tc>
        <w:tc>
          <w:tcPr>
            <w:tcW w:w="240" w:type="dxa"/>
            <w:vAlign w:val="bottom"/>
          </w:tcPr>
          <w:p>
            <w:pPr>
              <w:spacing w:after="0"/>
              <w:rPr>
                <w:sz w:val="23"/>
                <w:szCs w:val="23"/>
                <w:color w:val="auto"/>
              </w:rPr>
            </w:pP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8,802</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8,072</w:t>
            </w:r>
          </w:p>
        </w:tc>
        <w:tc>
          <w:tcPr>
            <w:tcW w:w="20" w:type="dxa"/>
            <w:vAlign w:val="bottom"/>
          </w:tcPr>
          <w:p>
            <w:pPr>
              <w:spacing w:after="0"/>
              <w:rPr>
                <w:sz w:val="23"/>
                <w:szCs w:val="23"/>
                <w:color w:val="auto"/>
              </w:rPr>
            </w:pPr>
          </w:p>
        </w:tc>
      </w:tr>
      <w:tr>
        <w:trPr>
          <w:trHeight w:val="270"/>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Other purchase obligations (4)</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140,634</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140,634</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0"/>
                <w:szCs w:val="20"/>
                <w:color w:val="auto"/>
              </w:rPr>
              <w:t>Pension plan obligation (5)</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8,222</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8,222</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r>
      <w:tr>
        <w:trPr>
          <w:trHeight w:val="270"/>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Other obligations (6)</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10,824</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1,006</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2,074</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2,147</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5,597</w:t>
            </w:r>
          </w:p>
        </w:tc>
        <w:tc>
          <w:tcPr>
            <w:tcW w:w="20" w:type="dxa"/>
            <w:vAlign w:val="bottom"/>
          </w:tcPr>
          <w:p>
            <w:pPr>
              <w:spacing w:after="0"/>
              <w:rPr>
                <w:sz w:val="23"/>
                <w:szCs w:val="23"/>
                <w:color w:val="auto"/>
              </w:rPr>
            </w:pPr>
          </w:p>
        </w:tc>
      </w:tr>
      <w:tr>
        <w:trPr>
          <w:trHeight w:val="230"/>
        </w:trPr>
        <w:tc>
          <w:tcPr>
            <w:tcW w:w="4460" w:type="dxa"/>
            <w:vAlign w:val="bottom"/>
          </w:tcPr>
          <w:p>
            <w:pPr>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6"/>
              </w:rPr>
              <w:t>4,084,981</w:t>
            </w:r>
          </w:p>
        </w:tc>
        <w:tc>
          <w:tcPr>
            <w:tcW w:w="28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9"/>
              </w:rPr>
              <w:t>386,565</w:t>
            </w:r>
          </w:p>
        </w:tc>
        <w:tc>
          <w:tcPr>
            <w:tcW w:w="2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9"/>
              </w:rPr>
              <w:t>284,698</w:t>
            </w: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99"/>
              </w:rPr>
              <w:t>562,278</w:t>
            </w:r>
          </w:p>
        </w:tc>
        <w:tc>
          <w:tcPr>
            <w:tcW w:w="2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8"/>
              </w:rPr>
              <w:t>2,851,440</w:t>
            </w:r>
          </w:p>
        </w:tc>
        <w:tc>
          <w:tcPr>
            <w:tcW w:w="20" w:type="dxa"/>
            <w:vAlign w:val="bottom"/>
          </w:tcPr>
          <w:p>
            <w:pPr>
              <w:spacing w:after="0"/>
              <w:rPr>
                <w:sz w:val="20"/>
                <w:szCs w:val="20"/>
                <w:color w:val="auto"/>
              </w:rPr>
            </w:pPr>
          </w:p>
        </w:tc>
      </w:tr>
    </w:tbl>
    <w:p>
      <w:pPr>
        <w:spacing w:after="0" w:line="213" w:lineRule="exact"/>
        <w:rPr>
          <w:sz w:val="20"/>
          <w:szCs w:val="20"/>
          <w:color w:val="auto"/>
        </w:rPr>
      </w:pPr>
    </w:p>
    <w:p>
      <w:pPr>
        <w:ind w:left="324" w:right="840" w:hanging="324"/>
        <w:spacing w:after="0" w:line="260" w:lineRule="auto"/>
        <w:tabs>
          <w:tab w:leader="none" w:pos="324"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Represents interest payable on fixed rate, long-term debt. Amounts reported may differ from actual due to future refinancing of debt.</w:t>
      </w:r>
    </w:p>
    <w:p>
      <w:pPr>
        <w:spacing w:after="0" w:line="190" w:lineRule="exact"/>
        <w:rPr>
          <w:rFonts w:ascii="Arial" w:cs="Arial" w:eastAsia="Arial" w:hAnsi="Arial"/>
          <w:sz w:val="20"/>
          <w:szCs w:val="20"/>
          <w:color w:val="auto"/>
        </w:rPr>
      </w:pPr>
    </w:p>
    <w:p>
      <w:pPr>
        <w:ind w:left="324" w:right="220" w:hanging="324"/>
        <w:spacing w:after="0" w:line="260" w:lineRule="auto"/>
        <w:tabs>
          <w:tab w:leader="none" w:pos="324"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Represents operating leases that are noncancelable, before expiration, for the lease of motor vehicles, buildings, land and other equipment.</w:t>
      </w:r>
    </w:p>
    <w:p>
      <w:pPr>
        <w:spacing w:after="0" w:line="190" w:lineRule="exact"/>
        <w:rPr>
          <w:rFonts w:ascii="Arial" w:cs="Arial" w:eastAsia="Arial" w:hAnsi="Arial"/>
          <w:sz w:val="20"/>
          <w:szCs w:val="20"/>
          <w:color w:val="auto"/>
        </w:rPr>
      </w:pPr>
    </w:p>
    <w:p>
      <w:pPr>
        <w:jc w:val="both"/>
        <w:ind w:left="324" w:right="740" w:hanging="324"/>
        <w:spacing w:after="0" w:line="269" w:lineRule="auto"/>
        <w:tabs>
          <w:tab w:leader="none" w:pos="324" w:val="left"/>
        </w:tabs>
        <w:numPr>
          <w:ilvl w:val="0"/>
          <w:numId w:val="42"/>
        </w:numPr>
        <w:rPr>
          <w:rFonts w:ascii="Arial" w:cs="Arial" w:eastAsia="Arial" w:hAnsi="Arial"/>
          <w:sz w:val="19"/>
          <w:szCs w:val="19"/>
          <w:color w:val="auto"/>
        </w:rPr>
      </w:pPr>
      <w:r>
        <w:rPr>
          <w:rFonts w:ascii="Arial" w:cs="Arial" w:eastAsia="Arial" w:hAnsi="Arial"/>
          <w:sz w:val="19"/>
          <w:szCs w:val="19"/>
          <w:color w:val="auto"/>
        </w:rPr>
        <w:t>Represents our commitment to purchase minimum quantities of water as stipulated in agreements with other water purveyors. We use purchased water to supplement our water supply, particularly during periods of peak customer demand. Our actual purchases may exceed the minimum required levels.</w:t>
      </w:r>
    </w:p>
    <w:p>
      <w:pPr>
        <w:spacing w:after="0" w:line="183" w:lineRule="exact"/>
        <w:rPr>
          <w:rFonts w:ascii="Arial" w:cs="Arial" w:eastAsia="Arial" w:hAnsi="Arial"/>
          <w:sz w:val="19"/>
          <w:szCs w:val="19"/>
          <w:color w:val="auto"/>
        </w:rPr>
      </w:pPr>
    </w:p>
    <w:p>
      <w:pPr>
        <w:ind w:left="324" w:right="580" w:hanging="324"/>
        <w:spacing w:after="0" w:line="260" w:lineRule="auto"/>
        <w:tabs>
          <w:tab w:leader="none" w:pos="324"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Represents an approximation of the open purchase orders for goods and services purchased in the ordinary course of business.</w:t>
      </w:r>
    </w:p>
    <w:p>
      <w:pPr>
        <w:spacing w:after="0" w:line="190" w:lineRule="exact"/>
        <w:rPr>
          <w:rFonts w:ascii="Arial" w:cs="Arial" w:eastAsia="Arial" w:hAnsi="Arial"/>
          <w:sz w:val="20"/>
          <w:szCs w:val="20"/>
          <w:color w:val="auto"/>
        </w:rPr>
      </w:pPr>
    </w:p>
    <w:p>
      <w:pPr>
        <w:ind w:left="324" w:hanging="324"/>
        <w:spacing w:after="0"/>
        <w:tabs>
          <w:tab w:leader="none" w:pos="324"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Represents contributions to be made to pension plan.</w:t>
      </w:r>
    </w:p>
    <w:p>
      <w:pPr>
        <w:spacing w:after="0" w:line="229" w:lineRule="exact"/>
        <w:rPr>
          <w:rFonts w:ascii="Arial" w:cs="Arial" w:eastAsia="Arial" w:hAnsi="Arial"/>
          <w:sz w:val="20"/>
          <w:szCs w:val="20"/>
          <w:color w:val="auto"/>
        </w:rPr>
      </w:pPr>
    </w:p>
    <w:p>
      <w:pPr>
        <w:ind w:left="324" w:hanging="324"/>
        <w:spacing w:after="0"/>
        <w:tabs>
          <w:tab w:leader="none" w:pos="324"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Represents expenditures estimated to be required under legal and binding contractual obligations.</w:t>
      </w:r>
    </w:p>
    <w:p>
      <w:pPr>
        <w:spacing w:after="0" w:line="229" w:lineRule="exact"/>
        <w:rPr>
          <w:sz w:val="20"/>
          <w:szCs w:val="20"/>
          <w:color w:val="auto"/>
        </w:rPr>
      </w:pPr>
    </w:p>
    <w:p>
      <w:pPr>
        <w:ind w:left="4" w:right="80"/>
        <w:spacing w:after="0" w:line="258" w:lineRule="auto"/>
        <w:rPr>
          <w:sz w:val="20"/>
          <w:szCs w:val="20"/>
          <w:color w:val="auto"/>
        </w:rPr>
      </w:pPr>
      <w:r>
        <w:rPr>
          <w:rFonts w:ascii="Arial" w:cs="Arial" w:eastAsia="Arial" w:hAnsi="Arial"/>
          <w:sz w:val="19"/>
          <w:szCs w:val="19"/>
          <w:color w:val="auto"/>
        </w:rPr>
        <w:t>In addition to these obligations, we pay refunds on customers’ advances for construction over a specific period of time based on operating revenues related to developer-installed water mains or as new customers are connected to and take service from such mains. After all refunds are paid, any remaining balance is transferred to contributions in aid of construction. The refund amounts are not included in the above table because the refund amounts and timing are dependent upon several variables, including new customer connections, customer consumption levels and future rate increases, which cannot be accurately estimated. Portions of these refund amounts are payable annually through 2028 and amounts not paid by the contract expiration dates become non-refundable.</w:t>
      </w:r>
    </w:p>
    <w:p>
      <w:pPr>
        <w:spacing w:after="0" w:line="193" w:lineRule="exact"/>
        <w:rPr>
          <w:sz w:val="20"/>
          <w:szCs w:val="20"/>
          <w:color w:val="auto"/>
        </w:rPr>
      </w:pPr>
    </w:p>
    <w:p>
      <w:pPr>
        <w:ind w:left="4" w:right="40"/>
        <w:spacing w:after="0" w:line="259" w:lineRule="auto"/>
        <w:rPr>
          <w:sz w:val="20"/>
          <w:szCs w:val="20"/>
          <w:color w:val="auto"/>
        </w:rPr>
      </w:pPr>
      <w:r>
        <w:rPr>
          <w:rFonts w:ascii="Arial" w:cs="Arial" w:eastAsia="Arial" w:hAnsi="Arial"/>
          <w:sz w:val="19"/>
          <w:szCs w:val="19"/>
          <w:color w:val="auto"/>
        </w:rPr>
        <w:t>Additionally, excluded from the table above, are the Company’s interest rate swap agreements to mitigate interest rate risk associated with an anticipated $850,000 of future debt issuances to fund a portion of the Peoples Gas Acquisition and refinance a portion of the Company’s borrowings. The interest rate swaps will be settled upon issuance of the debt to be used to finance a portion of the purchase price of this acquisition. The interest rate swap agreements do not qualify for hedge accounting and any changes in the fair value of the swaps is included in our earnings. In 2018, we recognized a mark-to-market adjustment liability of $59,779 for our interest rate swap agreements.</w:t>
      </w:r>
    </w:p>
    <w:p>
      <w:pPr>
        <w:spacing w:after="0" w:line="192" w:lineRule="exact"/>
        <w:rPr>
          <w:sz w:val="20"/>
          <w:szCs w:val="20"/>
          <w:color w:val="auto"/>
        </w:rPr>
      </w:pPr>
    </w:p>
    <w:p>
      <w:pPr>
        <w:ind w:left="4" w:right="180"/>
        <w:spacing w:after="0" w:line="278" w:lineRule="auto"/>
        <w:rPr>
          <w:sz w:val="20"/>
          <w:szCs w:val="20"/>
          <w:color w:val="auto"/>
        </w:rPr>
      </w:pPr>
      <w:r>
        <w:rPr>
          <w:rFonts w:ascii="Arial" w:cs="Arial" w:eastAsia="Arial" w:hAnsi="Arial"/>
          <w:sz w:val="18"/>
          <w:szCs w:val="18"/>
          <w:color w:val="auto"/>
        </w:rPr>
        <w:t xml:space="preserve">Lastly, in addition to the obligations disclosed in the contractual obligations table above, we have uncertain tax positions of $17,792. Although we believe our tax positions comply with applicable law, we have made judgments as to the sustainability of each uncertain tax position based on its technical merits. Due to the uncertainty of future cash outflows, if any, associated with our uncertain tax positions, we are unable to make a reasonable estimate of the timing or amounts that may be paid. See Note 7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this Annual Report for further information on our uncertain tax positions.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48" w:name="page49"/>
    <w:bookmarkEnd w:id="48"/>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will fund these contractual obligations with cash flows from operations and liquidity sources held by or available to us.</w:t>
      </w:r>
    </w:p>
    <w:p>
      <w:pPr>
        <w:spacing w:after="0" w:line="252" w:lineRule="exact"/>
        <w:rPr>
          <w:sz w:val="20"/>
          <w:szCs w:val="20"/>
          <w:color w:val="auto"/>
        </w:rPr>
      </w:pPr>
    </w:p>
    <w:p>
      <w:pPr>
        <w:ind w:left="4" w:right="40"/>
        <w:spacing w:after="0" w:line="259" w:lineRule="auto"/>
        <w:rPr>
          <w:sz w:val="20"/>
          <w:szCs w:val="20"/>
          <w:color w:val="auto"/>
        </w:rPr>
      </w:pPr>
      <w:r>
        <w:rPr>
          <w:rFonts w:ascii="Arial" w:cs="Arial" w:eastAsia="Arial" w:hAnsi="Arial"/>
          <w:sz w:val="19"/>
          <w:szCs w:val="19"/>
          <w:color w:val="auto"/>
        </w:rPr>
        <w:t xml:space="preserve">The Company is routinely involved in legal matters, including both asserted and unasserted legal claims, during the ordinary course of business. See Note 9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in this Annual Report for a discussion of the Company’s legal matters. It is not always possible for management to make a meaningful estimate of the potential loss or range of loss associated with such litigation. Also, unanticipated changes in circumstances and/or revisions to the assessed probability of the outcomes of legal matters could result in expenses being incurred in future periods as well as an increase in actual cash required to resolve the legal matter.</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Capitalization</w:t>
      </w:r>
    </w:p>
    <w:p>
      <w:pPr>
        <w:spacing w:after="0" w:line="22" w:lineRule="exact"/>
        <w:rPr>
          <w:sz w:val="20"/>
          <w:szCs w:val="20"/>
          <w:color w:val="auto"/>
        </w:rPr>
      </w:pPr>
    </w:p>
    <w:p>
      <w:pPr>
        <w:ind w:left="4"/>
        <w:spacing w:after="0"/>
        <w:rPr>
          <w:sz w:val="20"/>
          <w:szCs w:val="20"/>
          <w:color w:val="auto"/>
        </w:rPr>
      </w:pPr>
      <w:r>
        <w:rPr>
          <w:rFonts w:ascii="Arial" w:cs="Arial" w:eastAsia="Arial" w:hAnsi="Arial"/>
          <w:sz w:val="20"/>
          <w:szCs w:val="20"/>
          <w:color w:val="auto"/>
        </w:rPr>
        <w:t>The following table summarizes our capitalization during the past five years:</w:t>
      </w:r>
    </w:p>
    <w:p>
      <w:pPr>
        <w:spacing w:after="0" w:line="267" w:lineRule="exact"/>
        <w:rPr>
          <w:sz w:val="20"/>
          <w:szCs w:val="20"/>
          <w:color w:val="auto"/>
        </w:rPr>
      </w:pPr>
    </w:p>
    <w:tbl>
      <w:tblPr>
        <w:tblLayout w:type="fixed"/>
        <w:tblInd w:w="4" w:type="dxa"/>
        <w:tblCellMar>
          <w:top w:w="0" w:type="dxa"/>
          <w:left w:w="0" w:type="dxa"/>
          <w:bottom w:w="0" w:type="dxa"/>
          <w:right w:w="0" w:type="dxa"/>
        </w:tblCellMar>
      </w:tblPr>
      <w:tr>
        <w:trPr>
          <w:trHeight w:val="246"/>
        </w:trPr>
        <w:tc>
          <w:tcPr>
            <w:tcW w:w="3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w:t>
            </w:r>
          </w:p>
        </w:tc>
        <w:tc>
          <w:tcPr>
            <w:tcW w:w="2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2018</w:t>
            </w: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2017</w:t>
            </w: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2016</w:t>
            </w: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2015</w:t>
            </w: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2014</w:t>
            </w:r>
          </w:p>
        </w:tc>
      </w:tr>
      <w:tr>
        <w:trPr>
          <w:trHeight w:val="250"/>
        </w:trPr>
        <w:tc>
          <w:tcPr>
            <w:tcW w:w="3980" w:type="dxa"/>
            <w:vAlign w:val="bottom"/>
            <w:shd w:val="clear" w:color="auto" w:fill="CCEEFF"/>
          </w:tcPr>
          <w:p>
            <w:pPr>
              <w:spacing w:after="0"/>
              <w:rPr>
                <w:sz w:val="20"/>
                <w:szCs w:val="20"/>
                <w:color w:val="auto"/>
              </w:rPr>
            </w:pPr>
            <w:r>
              <w:rPr>
                <w:rFonts w:ascii="Arial" w:cs="Arial" w:eastAsia="Arial" w:hAnsi="Arial"/>
                <w:sz w:val="20"/>
                <w:szCs w:val="20"/>
                <w:color w:val="auto"/>
              </w:rPr>
              <w:t>Long-term debt (1)</w:t>
            </w:r>
          </w:p>
        </w:tc>
        <w:tc>
          <w:tcPr>
            <w:tcW w:w="21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56.1%</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52.3%</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50.8%</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50.8%</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49.4%</w:t>
            </w:r>
          </w:p>
        </w:tc>
      </w:tr>
      <w:tr>
        <w:trPr>
          <w:trHeight w:val="270"/>
        </w:trPr>
        <w:tc>
          <w:tcPr>
            <w:tcW w:w="3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Aqua America stockholders' equity</w:t>
            </w:r>
          </w:p>
        </w:tc>
        <w:tc>
          <w:tcPr>
            <w:tcW w:w="21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43.9%</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47.7%</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49.2%</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49.2%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50.6%</w:t>
            </w:r>
          </w:p>
        </w:tc>
      </w:tr>
      <w:tr>
        <w:trPr>
          <w:trHeight w:val="244"/>
        </w:trPr>
        <w:tc>
          <w:tcPr>
            <w:tcW w:w="398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100.0%</w:t>
            </w: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100.0%</w:t>
            </w: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100.0%</w:t>
            </w: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100.0%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w:t>
            </w:r>
          </w:p>
        </w:tc>
      </w:tr>
    </w:tbl>
    <w:p>
      <w:pPr>
        <w:spacing w:after="0" w:line="213" w:lineRule="exact"/>
        <w:rPr>
          <w:sz w:val="20"/>
          <w:szCs w:val="20"/>
          <w:color w:val="auto"/>
        </w:rPr>
      </w:pPr>
    </w:p>
    <w:p>
      <w:pPr>
        <w:ind w:left="324" w:right="900" w:hanging="324"/>
        <w:spacing w:after="0" w:line="250" w:lineRule="auto"/>
        <w:tabs>
          <w:tab w:leader="none" w:pos="324"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Includes current portion, as well as our borrowings under a variable rate revolving credit agreement of $370,000 at December 31, 2018, $60,000 at December 31, 2017, $25,000 at December 31, 2016, $60,000 at December 31, 2015, and $72,000 at December 31, 2014.</w:t>
      </w:r>
    </w:p>
    <w:p>
      <w:pPr>
        <w:spacing w:after="0" w:line="200" w:lineRule="exact"/>
        <w:rPr>
          <w:sz w:val="20"/>
          <w:szCs w:val="20"/>
          <w:color w:val="auto"/>
        </w:rPr>
      </w:pPr>
    </w:p>
    <w:p>
      <w:pPr>
        <w:jc w:val="both"/>
        <w:ind w:left="4" w:right="460"/>
        <w:spacing w:after="0" w:line="386" w:lineRule="auto"/>
        <w:rPr>
          <w:sz w:val="20"/>
          <w:szCs w:val="20"/>
          <w:color w:val="auto"/>
        </w:rPr>
      </w:pPr>
      <w:r>
        <w:rPr>
          <w:rFonts w:ascii="Arial" w:cs="Arial" w:eastAsia="Arial" w:hAnsi="Arial"/>
          <w:sz w:val="16"/>
          <w:szCs w:val="16"/>
          <w:color w:val="auto"/>
        </w:rPr>
        <w:t>Over the past five years, the changes in the capitalization ratios primarily resulted from the issuance of debt to finance our acquisitions and capital program, changes in net income, the issuance of common stock, and the declaration of dividends.</w:t>
      </w:r>
    </w:p>
    <w:p>
      <w:pPr>
        <w:spacing w:after="0" w:line="91"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INCOME TAX MATTERS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Tax Cuts and Jobs Act of 2017</w:t>
      </w:r>
    </w:p>
    <w:p>
      <w:pPr>
        <w:spacing w:after="0" w:line="22" w:lineRule="exact"/>
        <w:rPr>
          <w:sz w:val="20"/>
          <w:szCs w:val="20"/>
          <w:color w:val="auto"/>
        </w:rPr>
      </w:pPr>
    </w:p>
    <w:p>
      <w:pPr>
        <w:ind w:left="4" w:right="140"/>
        <w:spacing w:after="0" w:line="270" w:lineRule="auto"/>
        <w:rPr>
          <w:sz w:val="20"/>
          <w:szCs w:val="20"/>
          <w:color w:val="auto"/>
        </w:rPr>
      </w:pPr>
      <w:r>
        <w:rPr>
          <w:rFonts w:ascii="Arial" w:cs="Arial" w:eastAsia="Arial" w:hAnsi="Arial"/>
          <w:sz w:val="18"/>
          <w:szCs w:val="18"/>
          <w:color w:val="auto"/>
        </w:rPr>
        <w:t>On December 22, 2017, President Trump signed the TCJA into law. Substantially all of the provisions of the TCJA are effective for tax years beginning after December 31, 2017, except as noted below. The TCJA includes significant changes to the Code and the taxation of business entities, and includes specific provisions related to regulated public utilities. Significant changes include a reduction in the corporate federal income tax rate from 35% to 21%, and a limitation on the utilization of NOLs arising after December 31, 2017 to 80% of taxable income with an indefinite carryforward. The specific provisions related to regulated public utilities in the TCJA generally allow for the continued deductibility of interest expense, the elimination of full expensing for tax purposes of certain property acquired after September 27, 2017 and the continuation of certain rate normalization requirements for accelerated depreciation benefits. Our market-based companies still qualify for 100% deductibility of qualifying property acquired after September 27, 2017.</w:t>
      </w:r>
    </w:p>
    <w:p>
      <w:pPr>
        <w:spacing w:after="0" w:line="184" w:lineRule="exact"/>
        <w:rPr>
          <w:sz w:val="20"/>
          <w:szCs w:val="20"/>
          <w:color w:val="auto"/>
        </w:rPr>
      </w:pPr>
    </w:p>
    <w:p>
      <w:pPr>
        <w:ind w:left="4" w:right="20"/>
        <w:spacing w:after="0" w:line="269" w:lineRule="auto"/>
        <w:rPr>
          <w:sz w:val="20"/>
          <w:szCs w:val="20"/>
          <w:color w:val="auto"/>
        </w:rPr>
      </w:pPr>
      <w:r>
        <w:rPr>
          <w:rFonts w:ascii="Arial" w:cs="Arial" w:eastAsia="Arial" w:hAnsi="Arial"/>
          <w:sz w:val="18"/>
          <w:szCs w:val="18"/>
          <w:color w:val="auto"/>
        </w:rPr>
        <w:t>The Company’s regulated operations accounting for income taxes are impacted by the FASB’s accounting guidance for regulated operations. Reductions in accumulated deferred income tax balances due to the reduction in the corporate income tax rates to 21% under the provisions of the TCJA results in amounts previously collected from utility customers for these deferred taxes to be refundable to such customers, generally through reductions in future rates. The TCJA includes provisions that stipulate how these excess deferred taxes are to be passed back to customers for certain accelerated tax depreciation benefits. Potential refunds of other deferred taxes will be determined by our state regulators. The Company has reserved $4,593 for amounts expected to be refundable to utility customers. In 2018, Illinois, Virginia, Texas, New Jersey, and two operating divisions in Ohio which operate under locally-negotiated contractual rates with their respective counties, the Company’s base rates have been adjusted or surcredits have been added to customer bills to reflect the lower corporate income tax rate. In North Carolina, Indiana, and our regulated operations in Ohio, no surcredits have been added to customer bills to reflect the lower corporate income tax rate in 2018. These adjustments will be reflected in customer bills beginning January 1, 2019. In Pennsylvania, no procedural order has been received in 2018 but is expected to be received in 2019. In addition, through a reduction in base rates or surcredits, the Company has refunded approximately $9,600 to utility customers during 2018. The December 31, 2017 consolidated balance sheet reflects the impact of the TCJA on our regulatory assets and liabilities, which reduced our regulatory assets by $357,262 and increased our regulatory liabilities by $303,320. These adjustments had no impact on our 2017 cash flows.</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As of December 31, 2017, resulting from the TCJA enactment, our deferred income tax assets and liabilities were revalued based upon the new corporate income tax rate of 21%. The revaluation of our deferred income tax assets and liabilities resulted in the recognition of additional income tax expense of $3,141 in 2017 to the extent revalued deferred income taxes are not believed to be recoverable in utility customer rates.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0"/>
          </w:cols>
          <w:pgMar w:left="900" w:top="125" w:right="9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35"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Our financial condition and results of operations are impacted by the methods, assumptions, and estimates used in the application of critical accounting policies. The following accounting policies are particularly important to our financial condition or results of operations and require estimates or other judgments of matters of uncertainty. Changes in the estimates or other judgments included within these accounting policies could result in a significant change to the financial statements. We believe our most critical accounting policies include revenue recognition, the use of regulatory assets and liabilities, the valuation of our long-lived assets (which consist primarily of utility plant in service, regulatory assets, and goodwill) our accounting for post-retirement benefits, and our accounting for income taxes. We have discussed the selection and development of our critical accounting policies and estimates with the Audit Committee of the Board of Directors.</w:t>
      </w:r>
    </w:p>
    <w:p>
      <w:pPr>
        <w:spacing w:after="0" w:line="183"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Our utility revenues recognized in an accounting period include amounts billed to customers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cycle basis and unbilled amounts based on estimated usage from the last billing to the end of the accounting period. The estimated usage is based on our judgment and assumptions; our actual results could differ from these estimates, which would result in operating revenues being adjusted in the period that the revision to our estimates is determined.</w:t>
      </w:r>
    </w:p>
    <w:p>
      <w:pPr>
        <w:spacing w:after="0" w:line="3" w:lineRule="exact"/>
        <w:rPr>
          <w:sz w:val="20"/>
          <w:szCs w:val="20"/>
          <w:color w:val="auto"/>
        </w:rPr>
      </w:pPr>
    </w:p>
    <w:p>
      <w:pPr>
        <w:ind w:right="160"/>
        <w:spacing w:after="0"/>
        <w:rPr>
          <w:sz w:val="20"/>
          <w:szCs w:val="20"/>
          <w:color w:val="auto"/>
        </w:rPr>
      </w:pPr>
      <w:r>
        <w:rPr>
          <w:rFonts w:ascii="Arial" w:cs="Arial" w:eastAsia="Arial" w:hAnsi="Arial"/>
          <w:sz w:val="20"/>
          <w:szCs w:val="20"/>
          <w:color w:val="auto"/>
        </w:rPr>
        <w:t>In Virginia, we commence the billing of our utility customers, under new rates, upon authorization from the respective utility commission and before the final commission rate order is issued. The revenue recognized reflects an estimate based on our judgment of the final outcome of the commission’s ruling. We monitor the applicable facts and circumstances regularly and revise the estimate as required. The revenue billed and collected prior to the final ruling is subject to refund based on the commission’s final ruling.</w:t>
      </w:r>
    </w:p>
    <w:p>
      <w:pPr>
        <w:spacing w:after="0" w:line="212"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 xml:space="preserve">Regulatory Assets and Liabilities </w:t>
      </w:r>
      <w:r>
        <w:rPr>
          <w:rFonts w:ascii="Arial" w:cs="Arial" w:eastAsia="Arial" w:hAnsi="Arial"/>
          <w:sz w:val="18"/>
          <w:szCs w:val="18"/>
          <w:color w:val="auto"/>
        </w:rPr>
        <w:t>─ We defer costs and credits on the balance sheet as regulatory assets and liabilities when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probable that these costs and credits will be recognized in the rate-making process in a period different from when the costs and credits were incurred. These deferred amounts, both assets and liabilities, are then recognized in the income statement in the same period that they are reflected in our rates charged for water or wastewater service. In the event that our assessment as to the probability of the inclusion in the rate-making process is incorrect, the associated regulatory asset or liability would be adjusted to reflect the change in our assessment or change in regulatory approval.</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 xml:space="preserve">Valuation of Long-Lived Assets, Goodwill and Intangible Assets </w:t>
      </w:r>
      <w:r>
        <w:rPr>
          <w:rFonts w:ascii="Arial" w:cs="Arial" w:eastAsia="Arial" w:hAnsi="Arial"/>
          <w:sz w:val="18"/>
          <w:szCs w:val="18"/>
          <w:color w:val="auto"/>
        </w:rPr>
        <w:t>─ We review our long-lived assets for impairment,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utility plant in service and investment in joint venture. We also review regulatory assets for the continued application of the Financial Accounting Standards Board’s (“FASB”) accounting guidance for regulated operations. Our review determines whether there have been changes in circumstances or events, such as regulatory disallowances, or abandonments, that have occurred that require adjustments to the carrying value of these assets. Adjustments to the carrying value of these assets would be made in instances where their inclusion in the rate-making process is unlikely. For utility plant in service, we would recognize an impairment loss for any amount disallowed by the respective utility commission. For our equity method investment in joint venture, the Company evaluates whether it has experienced a decline in the value of its investment that is other than temporary in nature. We would recognize an impairment loss if the fair value of our investment is less than the carrying amount of the investment, and the decline in value is considered other than temporary. Additionally, the Company would recognize its share of an impairment loss if the joint venture determines that the carrying amount of the joint venture’s assets exceeds the sum of the joint venture’s undiscounted estimated cash flows.</w:t>
      </w:r>
    </w:p>
    <w:p>
      <w:pPr>
        <w:spacing w:after="0" w:line="190"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Our long-lived assets, which consist primarily of utility plant in service, regulatory assets and investment in joint venture, are reviewed for impairment when changes in circumstances or events occur. These circumstances or events could include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we determine whether it is more likely than not that the fair value of those assets is less than their carrying amount. If we determine that it is more likely than not (that is, the likelihood of more than 50 percent), we would recognize an impairment charge if it is determined that the carrying amount of an asset exceeds the sum of the undiscounted estimated cash flows. In this circumstance, we would recognize an impairment charge equal to the difference between the carrying amount and the fair value of the asset. Fair value is estimated to be the present value of future net cash flows associated with the asset, discounted using a discount rate commensurate with the risk and remaining life of the asset. This assessment requires significant management judgment and estimates that are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5" w:right="9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based on budgets, general strategic business plans, historical trends and other data and relevant factors. These estimates include significant inherent uncertainties, since they involve forecasting future events. If changes in circumstances or events occur, or estimates and assumptions that were used in this review are changed, we may be required to record an impairment charge on our long-lived assets.</w:t>
      </w:r>
    </w:p>
    <w:p>
      <w:pPr>
        <w:spacing w:after="0" w:line="20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 xml:space="preserve">We have an investment in a joint venture, for which we own 49%, and use the equity method of accounting to account for this joint venture. The joint venture operates a private pipeline system to supply raw water to natural gas well drilling operations in the Marcellus Shale in north central Pennsylvania. Refer to Note 1 </w:t>
      </w:r>
      <w:r>
        <w:rPr>
          <w:rFonts w:ascii="Arial" w:cs="Arial" w:eastAsia="Arial" w:hAnsi="Arial"/>
          <w:sz w:val="20"/>
          <w:szCs w:val="20"/>
          <w:i w:val="1"/>
          <w:iCs w:val="1"/>
          <w:color w:val="auto"/>
        </w:rPr>
        <w:t>– Summary of Significant Accounting Policies – Property,</w:t>
      </w:r>
      <w:r>
        <w:rPr>
          <w:rFonts w:ascii="Arial" w:cs="Arial" w:eastAsia="Arial" w:hAnsi="Arial"/>
          <w:sz w:val="20"/>
          <w:szCs w:val="20"/>
          <w:color w:val="auto"/>
        </w:rPr>
        <w:t xml:space="preserve"> </w:t>
      </w:r>
      <w:r>
        <w:rPr>
          <w:rFonts w:ascii="Arial" w:cs="Arial" w:eastAsia="Arial" w:hAnsi="Arial"/>
          <w:sz w:val="20"/>
          <w:szCs w:val="20"/>
          <w:i w:val="1"/>
          <w:iCs w:val="1"/>
          <w:color w:val="auto"/>
        </w:rPr>
        <w:t>Plant and Equipment and Depreciation</w:t>
      </w:r>
      <w:r>
        <w:rPr>
          <w:rFonts w:ascii="Arial" w:cs="Arial" w:eastAsia="Arial" w:hAnsi="Arial"/>
          <w:sz w:val="20"/>
          <w:szCs w:val="20"/>
          <w:color w:val="auto"/>
        </w:rPr>
        <w:t>, and</w:t>
      </w:r>
      <w:r>
        <w:rPr>
          <w:rFonts w:ascii="Arial" w:cs="Arial" w:eastAsia="Arial" w:hAnsi="Arial"/>
          <w:sz w:val="20"/>
          <w:szCs w:val="20"/>
          <w:i w:val="1"/>
          <w:iCs w:val="1"/>
          <w:color w:val="auto"/>
        </w:rPr>
        <w:t xml:space="preserve"> Investment in Joint Venture </w:t>
      </w:r>
      <w:r>
        <w:rPr>
          <w:rFonts w:ascii="Arial" w:cs="Arial" w:eastAsia="Arial" w:hAnsi="Arial"/>
          <w:sz w:val="20"/>
          <w:szCs w:val="20"/>
          <w:color w:val="auto"/>
        </w:rPr>
        <w:t>in this Annual Report for additional information</w:t>
      </w:r>
      <w:r>
        <w:rPr>
          <w:rFonts w:ascii="Arial" w:cs="Arial" w:eastAsia="Arial" w:hAnsi="Arial"/>
          <w:sz w:val="20"/>
          <w:szCs w:val="20"/>
          <w:i w:val="1"/>
          <w:iCs w:val="1"/>
          <w:color w:val="auto"/>
        </w:rPr>
        <w:t xml:space="preserve"> </w:t>
      </w:r>
      <w:r>
        <w:rPr>
          <w:rFonts w:ascii="Arial" w:cs="Arial" w:eastAsia="Arial" w:hAnsi="Arial"/>
          <w:sz w:val="20"/>
          <w:szCs w:val="20"/>
          <w:color w:val="auto"/>
        </w:rPr>
        <w:t>regarding the review of long-lived assets for impairment.</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 xml:space="preserve">We test the goodwill attributable for each of our reporting units for impairment at least annually on July 31, or more often, if circumstances indicate a possible impairment may exist. When testing goodwill for impairment, we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we may perform a quantitative goodwill impairment test by determining the fair value of a reporting unit based on a discounted cash flow analysis.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assessment requires significant management judgment and estimates that are based on budgets, general strategic business plans, historical trends and other data and relevant factors. If changes in circumstances or events occur, or estimates and assumptions that were used in our impairment test change, we may be required to record an impairment charge for goodwill. Refer to Note 1 – </w:t>
      </w:r>
      <w:r>
        <w:rPr>
          <w:rFonts w:ascii="Arial" w:cs="Arial" w:eastAsia="Arial" w:hAnsi="Arial"/>
          <w:sz w:val="18"/>
          <w:szCs w:val="18"/>
          <w:i w:val="1"/>
          <w:iCs w:val="1"/>
          <w:color w:val="auto"/>
        </w:rPr>
        <w:t>Summary of Significant Accounting Policies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w:t>
      </w:r>
      <w:r>
        <w:rPr>
          <w:rFonts w:ascii="Arial" w:cs="Arial" w:eastAsia="Arial" w:hAnsi="Arial"/>
          <w:sz w:val="18"/>
          <w:szCs w:val="18"/>
          <w:color w:val="auto"/>
        </w:rPr>
        <w:t>in this Annual Report for information regarding the results of our annual impairment test.</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b w:val="1"/>
          <w:bCs w:val="1"/>
          <w:i w:val="1"/>
          <w:iCs w:val="1"/>
          <w:color w:val="auto"/>
        </w:rPr>
        <w:t xml:space="preserve">Accounting for Post-Retirement Benefits </w:t>
      </w:r>
      <w:r>
        <w:rPr>
          <w:rFonts w:ascii="Arial" w:cs="Arial" w:eastAsia="Arial" w:hAnsi="Arial"/>
          <w:sz w:val="19"/>
          <w:szCs w:val="19"/>
          <w:color w:val="auto"/>
        </w:rPr>
        <w:t>─ We maintain a qualified and a non-qualified defined benefit pension plan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plans that provide for post-retirement benefits other than pensions. Accounting for pension and other post-retirement benefits requires an extensive use of assumptions about the discount rate, expected return on plan assets, the rate of future compensation increases received by our employees, mortality, turnover and medical costs. Each assumption is reviewed annually with assistance from our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benefits expense that we recognize.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Our discount rate assumption, which is used to calculate the present value of the projected benefit payments of our post-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retirement benefits, was determined by selecting a hypothetical portfolio of high quality corporate bonds appropriate to match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projected benefit payments of the plans. The selected bond portfolio was derived from a universe of Aa-graded corporate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bonds, all of which were noncallable (or callable with make-whole provisions) and have at least $50,000 in outstanding</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value. The discount rate was then developed as the rate that equates the market value of the bonds purchased to the discounted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value of the projected benefit payments of the plans. A decrease in the discount rate would increase our post-retirement</w:t>
      </w:r>
    </w:p>
    <w:p>
      <w:pPr>
        <w:spacing w:after="0" w:line="11" w:lineRule="exact"/>
        <w:rPr>
          <w:sz w:val="20"/>
          <w:szCs w:val="20"/>
          <w:color w:val="auto"/>
        </w:rPr>
      </w:pPr>
    </w:p>
    <w:p>
      <w:pPr>
        <w:ind w:right="160"/>
        <w:spacing w:after="0" w:line="255" w:lineRule="auto"/>
        <w:rPr>
          <w:sz w:val="20"/>
          <w:szCs w:val="20"/>
          <w:color w:val="auto"/>
        </w:rPr>
      </w:pPr>
      <w:r>
        <w:rPr>
          <w:rFonts w:ascii="Arial" w:cs="Arial" w:eastAsia="Arial" w:hAnsi="Arial"/>
          <w:sz w:val="19"/>
          <w:szCs w:val="19"/>
          <w:color w:val="auto"/>
        </w:rPr>
        <w:t>benefits expense and benefit obligation. After reviewing the hypothetical portfolio of bonds, we selected a discount rate of 4.30% for our pension plan and 4.34% for our other post-retirement benefit plans as of December 31, 2018, which represent a 64 and 61 basis-point increase as compared to the discount rates selected at December 31, 2017, respectively. Our post-retirement benefits expense under these plans is determined using the discount rate as of the beginning of the year, which was 3.66% for our pension plan and 3.73% for our other-postretirement benefit plans for 2018, and will be 4.30% for our pension plan and 4.34% for our other post-retirement benefit plans for 2019.</w:t>
      </w:r>
    </w:p>
    <w:p>
      <w:pPr>
        <w:spacing w:after="0" w:line="198"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Our expected return on plan assets is determined by evaluating the asset class return expectations with our advisors as well as actual, long-term, historical results of our asset returns. The Company’s market-related value of plan assets is equal to the fair value of the plans’ assets as of the last day of its fiscal year and is a determinant for the expected return on plan assets, which is a component of post-retirement benefits expense. The allocation of our plans’ assets impacts our expected return on plan assets. The expected return on plan assets is based on a targeted allocation of 50% to 70% return seeking assets and 30% to 50% liability hedging assets. Our post-retirement benefits expense increases as the expected return on plan assets decreases. We believe that our actual long-term asset allocations on average will approximate our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targeted allocations. Our targeted allocations are driven by our investment strategy to earn a reasonable rate of return while maintaining risk at acceptable levels through the diversification of investments across and within various asset categories. For 2018, we used a 6.75% expected return on plan assets assumption which will decrease to 6.50% for 2019.</w:t>
      </w:r>
    </w:p>
    <w:p>
      <w:pPr>
        <w:spacing w:after="0" w:line="165"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Funding requirements for qualified defined benefit pension plans are determined by government regulations and not by accounting pronouncements. In accordance with funding rules and our funding policy, during 2019 our pension contribution is expected to be $8,222. Future years’ contributions will be subject to economic conditions, plan participant data and the funding rules in effect at such time as the funding calculations are performed, though we expect future changes in the amount of contributions and expense recognized to be generally included in customer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Accounting for Income Taxes </w:t>
      </w:r>
      <w:r>
        <w:rPr>
          <w:rFonts w:ascii="Arial" w:cs="Arial" w:eastAsia="Arial" w:hAnsi="Arial"/>
          <w:sz w:val="18"/>
          <w:szCs w:val="18"/>
          <w:color w:val="auto"/>
        </w:rPr>
        <w:t>─ We estimate the amount of income tax payable or refundable for the current year and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liabilities and assets that results from estimating temporary differences resulting from the treatment of</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specific items, such as depreciation, for tax and financial statement reporting. Generally, these differences result in the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recognition of a deferred tax asset or liability on our consolidated balance sheet and require us to make judgments regarding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probability of the ultimate tax impact of the various transactions we enter into. Based on these judgments, we may record tax</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reserves or adjustments to valuation allowances on deferred tax assets to reflect the expected realization of future tax</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benefits. Actual income taxes could vary from these estimates and changes in these estimates can increase income tax expense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in the period that these changes in estimates occur.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determination of what qualifies as a capital cost versus a tax deduction, for qualifying utility asset improvements, as 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relates to our income tax accounting method change beginning in 2012, is subject to subsequent adjustment as well as IRS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audits, changes in income tax laws, including regulations regarding tax-basis depreciation as it applies to our capital</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expenditures, or qualifying utility asset improvements, the expiration of a statute of limitations, or other unforeseen matters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could impact the tax benefits that have already been recognized. We establish reserves for uncertain tax positions based upon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management’s judgment as to the sustainability of these positions. These accounting estimates related to the uncertain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position reserve require judgments to be made as to the sustainability of each uncertain tax position based on its technical</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merits. We believe our tax positions comply with applicable law and that we have adequately recorded reserves as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required. However, to the extent the final tax outcome of these matters is different than our estimates recorded, we would then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need to adjust our tax reserves which could result in additional income tax expense or benefits in the period that this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information is known.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IMPACT OF RECENT ACCOUNTING PRONOUNCEMENTS</w:t>
      </w:r>
    </w:p>
    <w:p>
      <w:pPr>
        <w:spacing w:after="0" w:line="235"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 xml:space="preserve">We describe the impact of recent accounting pronouncements in Note 1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xml:space="preserve"> in this Annual Report.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Item 7A.</w:t>
      </w:r>
      <w:r>
        <w:rPr>
          <w:sz w:val="20"/>
          <w:szCs w:val="20"/>
          <w:color w:val="auto"/>
        </w:rPr>
        <w:tab/>
      </w:r>
      <w:r>
        <w:rPr>
          <w:rFonts w:ascii="Arial" w:cs="Arial" w:eastAsia="Arial" w:hAnsi="Arial"/>
          <w:sz w:val="18"/>
          <w:szCs w:val="18"/>
          <w:i w:val="1"/>
          <w:iCs w:val="1"/>
          <w:color w:val="auto"/>
        </w:rPr>
        <w:t>Quantitative and Qualitative Disclosures About Market Risk</w:t>
      </w:r>
    </w:p>
    <w:p>
      <w:pPr>
        <w:spacing w:after="0" w:line="189"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We are subject to market risks in the normal course of business, including changes in interest rates and equity prices. The exposure to changes in interest rates is a result of financings through the issuance of fixed rate long-term debt. Such exposure is typically related to financings between utility rate increases, since generally our rate increases include a revenue level to allow recovery of our current cost of capital. Interest rate risk is managed through the use of a combination of long-term debt, which is at fixed interest rates; short-term debt, which is at floating interest rates; and interest rate swap agreements. As of December 31, 2018, the debt maturities by period, in thousands of dollars, and the weighted average interest rate for long-term debt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2019</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2020</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2021</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2022</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2023</w:t>
            </w:r>
          </w:p>
        </w:tc>
        <w:tc>
          <w:tcPr>
            <w:tcW w:w="10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Fair Value</w:t>
            </w:r>
          </w:p>
        </w:tc>
      </w:tr>
      <w:tr>
        <w:trPr>
          <w:trHeight w:val="210"/>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Fixed rate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144,545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1,864,786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2,193,660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2,218,086</w:t>
            </w:r>
          </w:p>
        </w:tc>
      </w:tr>
      <w:tr>
        <w:trPr>
          <w:trHeight w:val="230"/>
        </w:trPr>
        <w:tc>
          <w:tcPr>
            <w:tcW w:w="20" w:type="dxa"/>
            <w:vAlign w:val="bottom"/>
          </w:tcPr>
          <w:p>
            <w:pPr>
              <w:spacing w:after="0"/>
              <w:rPr>
                <w:sz w:val="19"/>
                <w:szCs w:val="19"/>
                <w:color w:val="auto"/>
              </w:rPr>
            </w:pPr>
          </w:p>
        </w:tc>
        <w:tc>
          <w:tcPr>
            <w:tcW w:w="2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Variable rate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370,000</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370,000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370,000</w:t>
            </w:r>
          </w:p>
        </w:tc>
      </w:tr>
      <w:tr>
        <w:trPr>
          <w:trHeight w:val="230"/>
        </w:trPr>
        <w:tc>
          <w:tcPr>
            <w:tcW w:w="20" w:type="dxa"/>
            <w:vAlign w:val="bottom"/>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144,545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397,800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1,864,786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2,563,660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2,588,086</w:t>
            </w:r>
          </w:p>
        </w:tc>
      </w:tr>
      <w:tr>
        <w:trPr>
          <w:trHeight w:val="217"/>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9"/>
              </w:rPr>
              <w:t>Weighted average interest rate*</w:t>
            </w:r>
          </w:p>
        </w:tc>
        <w:tc>
          <w:tcPr>
            <w:tcW w:w="2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*Weighted average interest rate of 2023 long-term debt maturity is as follows: fixed rate debt of 4.89% and variable rate debt of 3.74%.</w:t>
      </w:r>
    </w:p>
    <w:p>
      <w:pPr>
        <w:spacing w:after="0" w:line="190"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From time to time, we make investments in marketable equity securities. As a result, we are exposed to the risk of changes in equity prices for the marketable equity securities. As of December 31, 2018, we have assets of, in thousands of dollars, $20,388 to fund our deferred compensation and non-qualified pension plan liabilities. The market risk of the deferred compensation plan assets are borne by the participants in the deferred compensation plan.</w:t>
      </w:r>
    </w:p>
    <w:p>
      <w:pPr>
        <w:spacing w:after="0" w:line="190"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In October 2018, the Company entered into interest rate swap agreements to mitigate interest rate risk associated with our future debt issuances to fund a portion of the Peoples Gas Acquisition. The interest rate swaps will be settled upon issuance of the debt to be used to finance a portion of the purchase price of this acquisition. The interest rate swap agreements do not qualify for hedge accounting and any changes in the fair value of the swaps is included in our future earnings. The interest rate swap agreements are classified as financial derivatives used for non-trading activities. Other than the interest rate swap, the Company has no other derivative instruments.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7100" w:type="dxa"/>
            <w:vAlign w:val="bottom"/>
            <w:gridSpan w:val="8"/>
          </w:tcPr>
          <w:p>
            <w:pPr>
              <w:ind w:left="180"/>
              <w:spacing w:after="0"/>
              <w:rPr>
                <w:sz w:val="20"/>
                <w:szCs w:val="20"/>
                <w:color w:val="auto"/>
              </w:rPr>
            </w:pPr>
            <w:r>
              <w:rPr>
                <w:rFonts w:ascii="Arial" w:cs="Arial" w:eastAsia="Arial" w:hAnsi="Arial"/>
                <w:sz w:val="18"/>
                <w:szCs w:val="18"/>
                <w:i w:val="1"/>
                <w:iCs w:val="1"/>
                <w:color w:val="auto"/>
              </w:rPr>
              <w:t>Financial Statements and Supplementary Data</w:t>
            </w: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3"/>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00" w:type="dxa"/>
            <w:vAlign w:val="bottom"/>
            <w:gridSpan w:val="8"/>
          </w:tcPr>
          <w:p>
            <w:pPr>
              <w:jc w:val="center"/>
              <w:ind w:left="1527"/>
              <w:spacing w:after="0"/>
              <w:rPr>
                <w:sz w:val="20"/>
                <w:szCs w:val="20"/>
                <w:color w:val="auto"/>
              </w:rPr>
            </w:pPr>
            <w:r>
              <w:rPr>
                <w:rFonts w:ascii="Arial" w:cs="Arial" w:eastAsia="Arial" w:hAnsi="Arial"/>
                <w:sz w:val="20"/>
                <w:szCs w:val="20"/>
                <w:b w:val="1"/>
                <w:bCs w:val="1"/>
                <w:color w:val="auto"/>
                <w:w w:val="88"/>
              </w:rPr>
              <w:t>Index to Consolidated Financial Statements</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8"/>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20" w:type="dxa"/>
            <w:vAlign w:val="bottom"/>
            <w:gridSpan w:val="3"/>
          </w:tcPr>
          <w:p>
            <w:pPr>
              <w:jc w:val="center"/>
              <w:ind w:left="461"/>
              <w:spacing w:after="0"/>
              <w:rPr>
                <w:sz w:val="20"/>
                <w:szCs w:val="20"/>
                <w:color w:val="auto"/>
              </w:rPr>
            </w:pPr>
            <w:r>
              <w:rPr>
                <w:rFonts w:ascii="Arial" w:cs="Arial" w:eastAsia="Arial" w:hAnsi="Arial"/>
                <w:sz w:val="20"/>
                <w:szCs w:val="20"/>
                <w:color w:val="auto"/>
                <w:w w:val="87"/>
              </w:rPr>
              <w:t>Page Number</w:t>
            </w:r>
          </w:p>
        </w:tc>
        <w:tc>
          <w:tcPr>
            <w:tcW w:w="20" w:type="dxa"/>
            <w:vAlign w:val="bottom"/>
          </w:tcPr>
          <w:p>
            <w:pPr>
              <w:spacing w:after="0"/>
              <w:rPr>
                <w:sz w:val="24"/>
                <w:szCs w:val="24"/>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0000EE"/>
            </w:tcBorders>
            <w:gridSpan w:val="3"/>
            <w:shd w:val="clear" w:color="auto" w:fill="CCEEFF"/>
          </w:tcPr>
          <w:p>
            <w:pPr>
              <w:spacing w:after="0" w:line="189" w:lineRule="exact"/>
              <w:rPr>
                <w:rFonts w:ascii="Arial" w:cs="Arial" w:eastAsia="Arial" w:hAnsi="Arial"/>
                <w:sz w:val="20"/>
                <w:szCs w:val="20"/>
                <w:color w:val="0000EE"/>
                <w:w w:val="90"/>
              </w:rPr>
            </w:pPr>
            <w:hyperlink w:anchor="page56">
              <w:r>
                <w:rPr>
                  <w:rFonts w:ascii="Arial" w:cs="Arial" w:eastAsia="Arial" w:hAnsi="Arial"/>
                  <w:sz w:val="20"/>
                  <w:szCs w:val="20"/>
                  <w:color w:val="0000EE"/>
                  <w:w w:val="90"/>
                </w:rPr>
                <w:t>Report of Independent Registered Public Accounting Firm</w:t>
              </w:r>
            </w:hyperlink>
          </w:p>
        </w:tc>
        <w:tc>
          <w:tcPr>
            <w:tcW w:w="3040" w:type="dxa"/>
            <w:vAlign w:val="bottom"/>
            <w:tcBorders>
              <w:bottom w:val="single" w:sz="8" w:color="CCEEFF"/>
            </w:tcBorders>
            <w:gridSpan w:val="6"/>
            <w:shd w:val="clear" w:color="auto" w:fill="CCEEFF"/>
          </w:tcPr>
          <w:p>
            <w:pPr>
              <w:spacing w:after="0"/>
              <w:rPr>
                <w:sz w:val="18"/>
                <w:szCs w:val="18"/>
                <w:color w:val="auto"/>
              </w:rPr>
            </w:pPr>
          </w:p>
        </w:tc>
        <w:tc>
          <w:tcPr>
            <w:tcW w:w="1980" w:type="dxa"/>
            <w:vAlign w:val="bottom"/>
            <w:tcBorders>
              <w:bottom w:val="single" w:sz="8" w:color="CCEEFF"/>
            </w:tcBorders>
            <w:gridSpan w:val="2"/>
            <w:shd w:val="clear" w:color="auto" w:fill="CCEEFF"/>
          </w:tcPr>
          <w:p>
            <w:pPr>
              <w:jc w:val="center"/>
              <w:ind w:left="801"/>
              <w:spacing w:after="0" w:line="189" w:lineRule="exact"/>
              <w:rPr>
                <w:sz w:val="20"/>
                <w:szCs w:val="20"/>
                <w:color w:val="auto"/>
              </w:rPr>
            </w:pPr>
            <w:r>
              <w:rPr>
                <w:rFonts w:ascii="Arial" w:cs="Arial" w:eastAsia="Arial" w:hAnsi="Arial"/>
                <w:sz w:val="20"/>
                <w:szCs w:val="20"/>
                <w:color w:val="auto"/>
                <w:w w:val="89"/>
              </w:rPr>
              <w:t>55</w:t>
            </w: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120" w:type="dxa"/>
            <w:vAlign w:val="bottom"/>
          </w:tcPr>
          <w:p>
            <w:pPr>
              <w:spacing w:after="0"/>
              <w:rPr>
                <w:sz w:val="16"/>
                <w:szCs w:val="16"/>
                <w:color w:val="auto"/>
              </w:rPr>
            </w:pPr>
          </w:p>
        </w:tc>
        <w:tc>
          <w:tcPr>
            <w:tcW w:w="7680" w:type="dxa"/>
            <w:vAlign w:val="bottom"/>
            <w:gridSpan w:val="9"/>
          </w:tcPr>
          <w:p>
            <w:pPr>
              <w:spacing w:after="0" w:line="189" w:lineRule="exact"/>
              <w:rPr>
                <w:rFonts w:ascii="Arial" w:cs="Arial" w:eastAsia="Arial" w:hAnsi="Arial"/>
                <w:sz w:val="20"/>
                <w:szCs w:val="20"/>
                <w:color w:val="0000EE"/>
              </w:rPr>
            </w:pPr>
            <w:hyperlink w:anchor="page58">
              <w:r>
                <w:rPr>
                  <w:rFonts w:ascii="Arial" w:cs="Arial" w:eastAsia="Arial" w:hAnsi="Arial"/>
                  <w:sz w:val="20"/>
                  <w:szCs w:val="20"/>
                  <w:color w:val="0000EE"/>
                </w:rPr>
                <w:t>Consolidated Balance Sheets – December 31, 2018 and 2017</w:t>
              </w:r>
            </w:hyperlink>
          </w:p>
        </w:tc>
        <w:tc>
          <w:tcPr>
            <w:tcW w:w="1980" w:type="dxa"/>
            <w:vAlign w:val="bottom"/>
            <w:gridSpan w:val="2"/>
          </w:tcPr>
          <w:p>
            <w:pPr>
              <w:jc w:val="center"/>
              <w:ind w:left="801"/>
              <w:spacing w:after="0" w:line="189" w:lineRule="exact"/>
              <w:rPr>
                <w:sz w:val="20"/>
                <w:szCs w:val="20"/>
                <w:color w:val="auto"/>
              </w:rPr>
            </w:pPr>
            <w:r>
              <w:rPr>
                <w:rFonts w:ascii="Arial" w:cs="Arial" w:eastAsia="Arial" w:hAnsi="Arial"/>
                <w:sz w:val="20"/>
                <w:szCs w:val="20"/>
                <w:color w:val="auto"/>
                <w:w w:val="89"/>
              </w:rPr>
              <w:t>57</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 w:type="dxa"/>
            <w:vAlign w:val="bottom"/>
            <w:shd w:val="clear" w:color="auto" w:fill="CCEEFF"/>
          </w:tcPr>
          <w:p>
            <w:pPr>
              <w:spacing w:after="0"/>
              <w:rPr>
                <w:sz w:val="16"/>
                <w:szCs w:val="16"/>
                <w:color w:val="auto"/>
              </w:rPr>
            </w:pPr>
          </w:p>
        </w:tc>
        <w:tc>
          <w:tcPr>
            <w:tcW w:w="7680" w:type="dxa"/>
            <w:vAlign w:val="bottom"/>
            <w:gridSpan w:val="9"/>
            <w:shd w:val="clear" w:color="auto" w:fill="CCEEFF"/>
          </w:tcPr>
          <w:p>
            <w:pPr>
              <w:spacing w:after="0" w:line="189" w:lineRule="exact"/>
              <w:rPr>
                <w:rFonts w:ascii="Arial" w:cs="Arial" w:eastAsia="Arial" w:hAnsi="Arial"/>
                <w:sz w:val="20"/>
                <w:szCs w:val="20"/>
                <w:color w:val="0000EE"/>
              </w:rPr>
            </w:pPr>
            <w:hyperlink w:anchor="page59">
              <w:r>
                <w:rPr>
                  <w:rFonts w:ascii="Arial" w:cs="Arial" w:eastAsia="Arial" w:hAnsi="Arial"/>
                  <w:sz w:val="20"/>
                  <w:szCs w:val="20"/>
                  <w:color w:val="0000EE"/>
                </w:rPr>
                <w:t>Consolidated Statements of Net Income – 2018, 2017, and 2016</w:t>
              </w:r>
            </w:hyperlink>
          </w:p>
        </w:tc>
        <w:tc>
          <w:tcPr>
            <w:tcW w:w="1980" w:type="dxa"/>
            <w:vAlign w:val="bottom"/>
            <w:gridSpan w:val="2"/>
            <w:shd w:val="clear" w:color="auto" w:fill="CCEEFF"/>
          </w:tcPr>
          <w:p>
            <w:pPr>
              <w:jc w:val="center"/>
              <w:ind w:left="801"/>
              <w:spacing w:after="0" w:line="189" w:lineRule="exact"/>
              <w:rPr>
                <w:sz w:val="20"/>
                <w:szCs w:val="20"/>
                <w:color w:val="auto"/>
              </w:rPr>
            </w:pPr>
            <w:r>
              <w:rPr>
                <w:rFonts w:ascii="Arial" w:cs="Arial" w:eastAsia="Arial" w:hAnsi="Arial"/>
                <w:sz w:val="20"/>
                <w:szCs w:val="20"/>
                <w:color w:val="auto"/>
                <w:w w:val="89"/>
              </w:rPr>
              <w:t>58</w:t>
            </w:r>
          </w:p>
        </w:tc>
        <w:tc>
          <w:tcPr>
            <w:tcW w:w="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7680" w:type="dxa"/>
            <w:vAlign w:val="bottom"/>
            <w:gridSpan w:val="9"/>
          </w:tcPr>
          <w:p>
            <w:pPr>
              <w:spacing w:after="0" w:line="189" w:lineRule="exact"/>
              <w:rPr>
                <w:rFonts w:ascii="Arial" w:cs="Arial" w:eastAsia="Arial" w:hAnsi="Arial"/>
                <w:sz w:val="20"/>
                <w:szCs w:val="20"/>
                <w:color w:val="0000EE"/>
              </w:rPr>
            </w:pPr>
            <w:hyperlink w:anchor="page60">
              <w:r>
                <w:rPr>
                  <w:rFonts w:ascii="Arial" w:cs="Arial" w:eastAsia="Arial" w:hAnsi="Arial"/>
                  <w:sz w:val="20"/>
                  <w:szCs w:val="20"/>
                  <w:color w:val="0000EE"/>
                </w:rPr>
                <w:t>Consolidated Statements of Comprehensive Income – 2018, 2017, and 2016</w:t>
              </w:r>
            </w:hyperlink>
          </w:p>
        </w:tc>
        <w:tc>
          <w:tcPr>
            <w:tcW w:w="1980" w:type="dxa"/>
            <w:vAlign w:val="bottom"/>
            <w:gridSpan w:val="2"/>
          </w:tcPr>
          <w:p>
            <w:pPr>
              <w:jc w:val="center"/>
              <w:ind w:left="801"/>
              <w:spacing w:after="0" w:line="189" w:lineRule="exact"/>
              <w:rPr>
                <w:sz w:val="20"/>
                <w:szCs w:val="20"/>
                <w:color w:val="auto"/>
              </w:rPr>
            </w:pPr>
            <w:r>
              <w:rPr>
                <w:rFonts w:ascii="Arial" w:cs="Arial" w:eastAsia="Arial" w:hAnsi="Arial"/>
                <w:sz w:val="20"/>
                <w:szCs w:val="20"/>
                <w:color w:val="auto"/>
                <w:w w:val="89"/>
              </w:rPr>
              <w:t>59</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 w:type="dxa"/>
            <w:vAlign w:val="bottom"/>
            <w:shd w:val="clear" w:color="auto" w:fill="CCEEFF"/>
          </w:tcPr>
          <w:p>
            <w:pPr>
              <w:spacing w:after="0"/>
              <w:rPr>
                <w:sz w:val="18"/>
                <w:szCs w:val="18"/>
                <w:color w:val="auto"/>
              </w:rPr>
            </w:pPr>
          </w:p>
        </w:tc>
        <w:tc>
          <w:tcPr>
            <w:tcW w:w="7680" w:type="dxa"/>
            <w:vAlign w:val="bottom"/>
            <w:gridSpan w:val="9"/>
            <w:shd w:val="clear" w:color="auto" w:fill="CCEEFF"/>
          </w:tcPr>
          <w:p>
            <w:pPr>
              <w:spacing w:after="0" w:line="189" w:lineRule="exact"/>
              <w:rPr>
                <w:rFonts w:ascii="Arial" w:cs="Arial" w:eastAsia="Arial" w:hAnsi="Arial"/>
                <w:sz w:val="20"/>
                <w:szCs w:val="20"/>
                <w:color w:val="0000EE"/>
              </w:rPr>
            </w:pPr>
            <w:hyperlink w:anchor="page61">
              <w:r>
                <w:rPr>
                  <w:rFonts w:ascii="Arial" w:cs="Arial" w:eastAsia="Arial" w:hAnsi="Arial"/>
                  <w:sz w:val="20"/>
                  <w:szCs w:val="20"/>
                  <w:color w:val="0000EE"/>
                </w:rPr>
                <w:t>Consolidated Statements of Capitalization – December 31, 2018 and 2017</w:t>
              </w:r>
            </w:hyperlink>
          </w:p>
        </w:tc>
        <w:tc>
          <w:tcPr>
            <w:tcW w:w="1980" w:type="dxa"/>
            <w:vAlign w:val="bottom"/>
            <w:gridSpan w:val="2"/>
            <w:shd w:val="clear" w:color="auto" w:fill="CCEEFF"/>
          </w:tcPr>
          <w:p>
            <w:pPr>
              <w:jc w:val="center"/>
              <w:ind w:left="801"/>
              <w:spacing w:after="0" w:line="189" w:lineRule="exact"/>
              <w:rPr>
                <w:sz w:val="20"/>
                <w:szCs w:val="20"/>
                <w:color w:val="auto"/>
              </w:rPr>
            </w:pPr>
            <w:r>
              <w:rPr>
                <w:rFonts w:ascii="Arial" w:cs="Arial" w:eastAsia="Arial" w:hAnsi="Arial"/>
                <w:sz w:val="20"/>
                <w:szCs w:val="20"/>
                <w:color w:val="auto"/>
                <w:w w:val="89"/>
              </w:rPr>
              <w:t>60</w:t>
            </w: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120" w:type="dxa"/>
            <w:vAlign w:val="bottom"/>
            <w:tcBorders>
              <w:top w:val="single" w:sz="8" w:color="CCEEFF"/>
            </w:tcBorders>
          </w:tcPr>
          <w:p>
            <w:pPr>
              <w:spacing w:after="0"/>
              <w:rPr>
                <w:sz w:val="16"/>
                <w:szCs w:val="16"/>
                <w:color w:val="auto"/>
              </w:rPr>
            </w:pPr>
          </w:p>
        </w:tc>
        <w:tc>
          <w:tcPr>
            <w:tcW w:w="5860" w:type="dxa"/>
            <w:vAlign w:val="bottom"/>
            <w:tcBorders>
              <w:top w:val="single" w:sz="8" w:color="0000EE"/>
            </w:tcBorders>
            <w:gridSpan w:val="7"/>
          </w:tcPr>
          <w:p>
            <w:pPr>
              <w:spacing w:after="0" w:line="189" w:lineRule="exact"/>
              <w:rPr>
                <w:rFonts w:ascii="Arial" w:cs="Arial" w:eastAsia="Arial" w:hAnsi="Arial"/>
                <w:sz w:val="20"/>
                <w:szCs w:val="20"/>
                <w:color w:val="0000EE"/>
                <w:w w:val="89"/>
              </w:rPr>
            </w:pPr>
            <w:hyperlink w:anchor="page62">
              <w:r>
                <w:rPr>
                  <w:rFonts w:ascii="Arial" w:cs="Arial" w:eastAsia="Arial" w:hAnsi="Arial"/>
                  <w:sz w:val="20"/>
                  <w:szCs w:val="20"/>
                  <w:color w:val="0000EE"/>
                  <w:w w:val="89"/>
                </w:rPr>
                <w:t>Consolidated Statements of Equity – December 31, 2018, 2017, and 2016</w:t>
              </w:r>
            </w:hyperlink>
          </w:p>
        </w:tc>
        <w:tc>
          <w:tcPr>
            <w:tcW w:w="1820" w:type="dxa"/>
            <w:vAlign w:val="bottom"/>
            <w:tcBorders>
              <w:top w:val="single" w:sz="8" w:color="CCEEFF"/>
            </w:tcBorders>
            <w:gridSpan w:val="2"/>
          </w:tcPr>
          <w:p>
            <w:pPr>
              <w:spacing w:after="0"/>
              <w:rPr>
                <w:sz w:val="16"/>
                <w:szCs w:val="16"/>
                <w:color w:val="auto"/>
              </w:rPr>
            </w:pPr>
          </w:p>
        </w:tc>
        <w:tc>
          <w:tcPr>
            <w:tcW w:w="1980" w:type="dxa"/>
            <w:vAlign w:val="bottom"/>
            <w:tcBorders>
              <w:top w:val="single" w:sz="8" w:color="CCEEFF"/>
            </w:tcBorders>
            <w:gridSpan w:val="2"/>
          </w:tcPr>
          <w:p>
            <w:pPr>
              <w:jc w:val="center"/>
              <w:ind w:left="801"/>
              <w:spacing w:after="0" w:line="189" w:lineRule="exact"/>
              <w:rPr>
                <w:sz w:val="20"/>
                <w:szCs w:val="20"/>
                <w:color w:val="auto"/>
              </w:rPr>
            </w:pPr>
            <w:r>
              <w:rPr>
                <w:rFonts w:ascii="Arial" w:cs="Arial" w:eastAsia="Arial" w:hAnsi="Arial"/>
                <w:sz w:val="20"/>
                <w:szCs w:val="20"/>
                <w:color w:val="auto"/>
                <w:w w:val="89"/>
              </w:rPr>
              <w:t>61</w:t>
            </w:r>
          </w:p>
        </w:tc>
        <w:tc>
          <w:tcPr>
            <w:tcW w:w="3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 w:type="dxa"/>
            <w:vAlign w:val="bottom"/>
            <w:shd w:val="clear" w:color="auto" w:fill="CCEEFF"/>
          </w:tcPr>
          <w:p>
            <w:pPr>
              <w:spacing w:after="0"/>
              <w:rPr>
                <w:sz w:val="18"/>
                <w:szCs w:val="18"/>
                <w:color w:val="auto"/>
              </w:rPr>
            </w:pPr>
          </w:p>
        </w:tc>
        <w:tc>
          <w:tcPr>
            <w:tcW w:w="7680" w:type="dxa"/>
            <w:vAlign w:val="bottom"/>
            <w:gridSpan w:val="9"/>
            <w:shd w:val="clear" w:color="auto" w:fill="CCEEFF"/>
          </w:tcPr>
          <w:p>
            <w:pPr>
              <w:spacing w:after="0" w:line="189" w:lineRule="exact"/>
              <w:rPr>
                <w:rFonts w:ascii="Arial" w:cs="Arial" w:eastAsia="Arial" w:hAnsi="Arial"/>
                <w:sz w:val="20"/>
                <w:szCs w:val="20"/>
                <w:color w:val="0000EE"/>
              </w:rPr>
            </w:pPr>
            <w:hyperlink w:anchor="page63">
              <w:r>
                <w:rPr>
                  <w:rFonts w:ascii="Arial" w:cs="Arial" w:eastAsia="Arial" w:hAnsi="Arial"/>
                  <w:sz w:val="20"/>
                  <w:szCs w:val="20"/>
                  <w:color w:val="0000EE"/>
                </w:rPr>
                <w:t>Consolidated Statements of Cash Flows – 2018, 2017, and 2016</w:t>
              </w:r>
            </w:hyperlink>
          </w:p>
        </w:tc>
        <w:tc>
          <w:tcPr>
            <w:tcW w:w="1980" w:type="dxa"/>
            <w:vAlign w:val="bottom"/>
            <w:gridSpan w:val="2"/>
            <w:shd w:val="clear" w:color="auto" w:fill="CCEEFF"/>
          </w:tcPr>
          <w:p>
            <w:pPr>
              <w:jc w:val="center"/>
              <w:ind w:left="801"/>
              <w:spacing w:after="0" w:line="189" w:lineRule="exact"/>
              <w:rPr>
                <w:sz w:val="20"/>
                <w:szCs w:val="20"/>
                <w:color w:val="auto"/>
              </w:rPr>
            </w:pPr>
            <w:r>
              <w:rPr>
                <w:rFonts w:ascii="Arial" w:cs="Arial" w:eastAsia="Arial" w:hAnsi="Arial"/>
                <w:sz w:val="20"/>
                <w:szCs w:val="20"/>
                <w:color w:val="auto"/>
                <w:w w:val="89"/>
              </w:rPr>
              <w:t>62</w:t>
            </w: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120" w:type="dxa"/>
            <w:vAlign w:val="bottom"/>
            <w:tcBorders>
              <w:top w:val="single" w:sz="8" w:color="CCEEFF"/>
            </w:tcBorders>
          </w:tcPr>
          <w:p>
            <w:pPr>
              <w:spacing w:after="0"/>
              <w:rPr>
                <w:sz w:val="16"/>
                <w:szCs w:val="16"/>
                <w:color w:val="auto"/>
              </w:rPr>
            </w:pPr>
          </w:p>
        </w:tc>
        <w:tc>
          <w:tcPr>
            <w:tcW w:w="3460" w:type="dxa"/>
            <w:vAlign w:val="bottom"/>
            <w:tcBorders>
              <w:top w:val="single" w:sz="8" w:color="0000EE"/>
              <w:bottom w:val="single" w:sz="8" w:color="0000EE"/>
            </w:tcBorders>
            <w:gridSpan w:val="2"/>
          </w:tcPr>
          <w:p>
            <w:pPr>
              <w:spacing w:after="0" w:line="189" w:lineRule="exact"/>
              <w:rPr>
                <w:rFonts w:ascii="Arial" w:cs="Arial" w:eastAsia="Arial" w:hAnsi="Arial"/>
                <w:sz w:val="20"/>
                <w:szCs w:val="20"/>
                <w:color w:val="0000EE"/>
                <w:w w:val="88"/>
              </w:rPr>
            </w:pPr>
            <w:hyperlink w:anchor="page63">
              <w:r>
                <w:rPr>
                  <w:rFonts w:ascii="Arial" w:cs="Arial" w:eastAsia="Arial" w:hAnsi="Arial"/>
                  <w:sz w:val="20"/>
                  <w:szCs w:val="20"/>
                  <w:color w:val="0000EE"/>
                  <w:w w:val="88"/>
                </w:rPr>
                <w:t>Notes to Consolidated Financial Statements</w:t>
              </w:r>
            </w:hyperlink>
          </w:p>
        </w:tc>
        <w:tc>
          <w:tcPr>
            <w:tcW w:w="1600" w:type="dxa"/>
            <w:vAlign w:val="bottom"/>
            <w:tcBorders>
              <w:top w:val="single" w:sz="8" w:color="0000EE"/>
            </w:tcBorders>
            <w:gridSpan w:val="3"/>
          </w:tcPr>
          <w:p>
            <w:pPr>
              <w:spacing w:after="0"/>
              <w:rPr>
                <w:sz w:val="16"/>
                <w:szCs w:val="16"/>
                <w:color w:val="auto"/>
              </w:rPr>
            </w:pPr>
          </w:p>
        </w:tc>
        <w:tc>
          <w:tcPr>
            <w:tcW w:w="2620" w:type="dxa"/>
            <w:vAlign w:val="bottom"/>
            <w:tcBorders>
              <w:top w:val="single" w:sz="8" w:color="CCEEFF"/>
            </w:tcBorders>
            <w:gridSpan w:val="4"/>
          </w:tcPr>
          <w:p>
            <w:pPr>
              <w:spacing w:after="0"/>
              <w:rPr>
                <w:sz w:val="16"/>
                <w:szCs w:val="16"/>
                <w:color w:val="auto"/>
              </w:rPr>
            </w:pPr>
          </w:p>
        </w:tc>
        <w:tc>
          <w:tcPr>
            <w:tcW w:w="1980" w:type="dxa"/>
            <w:vAlign w:val="bottom"/>
            <w:tcBorders>
              <w:top w:val="single" w:sz="8" w:color="CCEEFF"/>
            </w:tcBorders>
            <w:gridSpan w:val="2"/>
          </w:tcPr>
          <w:p>
            <w:pPr>
              <w:jc w:val="center"/>
              <w:ind w:left="801"/>
              <w:spacing w:after="0" w:line="189" w:lineRule="exact"/>
              <w:rPr>
                <w:sz w:val="20"/>
                <w:szCs w:val="20"/>
                <w:color w:val="auto"/>
              </w:rPr>
            </w:pPr>
            <w:r>
              <w:rPr>
                <w:rFonts w:ascii="Arial" w:cs="Arial" w:eastAsia="Arial" w:hAnsi="Arial"/>
                <w:sz w:val="20"/>
                <w:szCs w:val="20"/>
                <w:color w:val="auto"/>
                <w:w w:val="89"/>
              </w:rPr>
              <w:t>63</w:t>
            </w:r>
          </w:p>
        </w:tc>
        <w:tc>
          <w:tcPr>
            <w:tcW w:w="3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885"/>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gridSpan w:val="4"/>
          </w:tcPr>
          <w:p>
            <w:pPr>
              <w:jc w:val="right"/>
              <w:ind w:right="40"/>
              <w:spacing w:after="0"/>
              <w:rPr>
                <w:sz w:val="20"/>
                <w:szCs w:val="20"/>
                <w:color w:val="auto"/>
              </w:rPr>
            </w:pPr>
            <w:r>
              <w:rPr>
                <w:rFonts w:ascii="Arial" w:cs="Arial" w:eastAsia="Arial" w:hAnsi="Arial"/>
                <w:sz w:val="18"/>
                <w:szCs w:val="18"/>
                <w:color w:val="auto"/>
              </w:rPr>
              <w:t>54</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88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Aqua America,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324"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We have audited the accompanying consolidated balance sheets and statements of capitalization of Aqua America, Inc. and its subsidiaries (the “Company”) as of December 31, 2018 and 2017, and the related consolidated statements of net income, comprehensive income, equity, and cash flows for each of the three years in the period ended December 31, 2018, including the related notes and schedule of condensed parent company financial statements (collectively referred to as the “consolidated financial statements”). We also have audited the Company's internal control over financial reporting as of December 31, 2018, based on criteria established in Internal Control - Integrated Framework (2013) issued by the Committee of Sponsoring Organizations of the Treadway Commission (COSO).</w:t>
      </w:r>
    </w:p>
    <w:p>
      <w:pPr>
        <w:spacing w:after="0" w:line="287"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20"/>
          <w:szCs w:val="20"/>
          <w:i w:val="1"/>
          <w:iCs w:val="1"/>
          <w:color w:val="auto"/>
        </w:rPr>
        <w:t>Internal Control - Integrated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Framework </w:t>
      </w:r>
      <w:r>
        <w:rPr>
          <w:rFonts w:ascii="Arial" w:cs="Arial" w:eastAsia="Arial" w:hAnsi="Arial"/>
          <w:sz w:val="20"/>
          <w:szCs w:val="20"/>
          <w:color w:val="auto"/>
        </w:rPr>
        <w:t>(2013) issued by the COSO.</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324"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7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86"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7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rPr>
          <w:sz w:val="20"/>
          <w:szCs w:val="20"/>
          <w:color w:val="auto"/>
        </w:rPr>
      </w:pPr>
      <w:r>
        <w:rPr>
          <w:rFonts w:ascii="Arial" w:cs="Arial" w:eastAsia="Arial" w:hAnsi="Arial"/>
          <w:sz w:val="20"/>
          <w:szCs w:val="20"/>
          <w:color w:val="auto"/>
        </w:rPr>
        <w:t>February 26, 2019</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60"/>
          </w:cols>
          <w:pgMar w:left="900" w:top="125" w:right="10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CONSOLIDATED BALANCE SHEETS</w:t>
      </w:r>
    </w:p>
    <w:p>
      <w:pPr>
        <w:spacing w:after="0" w:line="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thousands of dollars, except per 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620" w:type="dxa"/>
            <w:vAlign w:val="bottom"/>
            <w:tcBorders>
              <w:bottom w:val="single" w:sz="8" w:color="auto"/>
            </w:tcBorders>
          </w:tcPr>
          <w:p>
            <w:pPr>
              <w:spacing w:after="0"/>
              <w:rPr>
                <w:sz w:val="14"/>
                <w:szCs w:val="14"/>
                <w:color w:val="auto"/>
              </w:rPr>
            </w:pPr>
          </w:p>
        </w:tc>
      </w:tr>
      <w:tr>
        <w:trPr>
          <w:trHeight w:val="210"/>
        </w:trPr>
        <w:tc>
          <w:tcPr>
            <w:tcW w:w="316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2017</w:t>
            </w:r>
          </w:p>
        </w:tc>
      </w:tr>
      <w:tr>
        <w:trPr>
          <w:trHeight w:val="183"/>
        </w:trPr>
        <w:tc>
          <w:tcPr>
            <w:tcW w:w="3160" w:type="dxa"/>
            <w:vAlign w:val="bottom"/>
            <w:shd w:val="clear" w:color="auto" w:fill="CCEEFF"/>
          </w:tcPr>
          <w:p>
            <w:pPr>
              <w:spacing w:after="0"/>
              <w:rPr>
                <w:sz w:val="15"/>
                <w:szCs w:val="15"/>
                <w:color w:val="auto"/>
              </w:rPr>
            </w:pPr>
          </w:p>
        </w:tc>
        <w:tc>
          <w:tcPr>
            <w:tcW w:w="5360" w:type="dxa"/>
            <w:vAlign w:val="bottom"/>
            <w:gridSpan w:val="2"/>
            <w:shd w:val="clear" w:color="auto" w:fill="CCEEFF"/>
          </w:tcPr>
          <w:p>
            <w:pPr>
              <w:jc w:val="right"/>
              <w:ind w:right="4148"/>
              <w:spacing w:after="0"/>
              <w:rPr>
                <w:sz w:val="20"/>
                <w:szCs w:val="20"/>
                <w:color w:val="auto"/>
              </w:rPr>
            </w:pPr>
            <w:r>
              <w:rPr>
                <w:rFonts w:ascii="Arial" w:cs="Arial" w:eastAsia="Arial" w:hAnsi="Arial"/>
                <w:sz w:val="14"/>
                <w:szCs w:val="14"/>
                <w:color w:val="auto"/>
              </w:rPr>
              <w:t>Assets</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4"/>
                <w:szCs w:val="14"/>
                <w:color w:val="auto"/>
              </w:rPr>
              <w:t>Property, plant and equipment, at cost</w:t>
            </w:r>
          </w:p>
        </w:tc>
        <w:tc>
          <w:tcPr>
            <w:tcW w:w="5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7,648,469</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7,003,993</w:t>
            </w:r>
          </w:p>
        </w:tc>
      </w:tr>
      <w:tr>
        <w:trPr>
          <w:trHeight w:val="203"/>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50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1,718,143</w:t>
            </w: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1,604,133</w:t>
            </w:r>
          </w:p>
        </w:tc>
      </w:tr>
      <w:tr>
        <w:trPr>
          <w:trHeight w:val="183"/>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property, plant and equipment</w:t>
            </w:r>
          </w:p>
        </w:tc>
        <w:tc>
          <w:tcPr>
            <w:tcW w:w="50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5,930,326</w:t>
            </w: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5,399,860</w:t>
            </w:r>
          </w:p>
        </w:tc>
      </w:tr>
      <w:tr>
        <w:trPr>
          <w:trHeight w:val="183"/>
        </w:trPr>
        <w:tc>
          <w:tcPr>
            <w:tcW w:w="3160" w:type="dxa"/>
            <w:vAlign w:val="bottom"/>
            <w:shd w:val="clear" w:color="auto" w:fill="CCEEFF"/>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4"/>
                <w:szCs w:val="14"/>
                <w:color w:val="auto"/>
              </w:rPr>
              <w:t>Current assets:</w:t>
            </w:r>
          </w:p>
        </w:tc>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5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3,627</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4,204</w:t>
            </w:r>
          </w:p>
        </w:tc>
      </w:tr>
      <w:tr>
        <w:trPr>
          <w:trHeight w:val="203"/>
        </w:trPr>
        <w:tc>
          <w:tcPr>
            <w:tcW w:w="3160" w:type="dxa"/>
            <w:vAlign w:val="bottom"/>
          </w:tcPr>
          <w:p>
            <w:pPr>
              <w:ind w:left="100"/>
              <w:spacing w:after="0"/>
              <w:rPr>
                <w:sz w:val="20"/>
                <w:szCs w:val="20"/>
                <w:color w:val="auto"/>
              </w:rPr>
            </w:pPr>
            <w:r>
              <w:rPr>
                <w:rFonts w:ascii="Arial" w:cs="Arial" w:eastAsia="Arial" w:hAnsi="Arial"/>
                <w:sz w:val="14"/>
                <w:szCs w:val="14"/>
                <w:color w:val="auto"/>
              </w:rPr>
              <w:t>Accounts receivable and unbilled revenues, net</w:t>
            </w:r>
          </w:p>
        </w:tc>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101,225</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98,596</w:t>
            </w:r>
          </w:p>
        </w:tc>
      </w:tr>
      <w:tr>
        <w:trPr>
          <w:trHeight w:val="203"/>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Inventory, materials and supplies</w:t>
            </w:r>
          </w:p>
        </w:tc>
        <w:tc>
          <w:tcPr>
            <w:tcW w:w="5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15,844</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14,361</w:t>
            </w:r>
          </w:p>
        </w:tc>
      </w:tr>
      <w:tr>
        <w:trPr>
          <w:trHeight w:val="203"/>
        </w:trPr>
        <w:tc>
          <w:tcPr>
            <w:tcW w:w="3160" w:type="dxa"/>
            <w:vAlign w:val="bottom"/>
          </w:tcPr>
          <w:p>
            <w:pPr>
              <w:ind w:left="100"/>
              <w:spacing w:after="0"/>
              <w:rPr>
                <w:sz w:val="20"/>
                <w:szCs w:val="20"/>
                <w:color w:val="auto"/>
              </w:rPr>
            </w:pPr>
            <w:r>
              <w:rPr>
                <w:rFonts w:ascii="Arial" w:cs="Arial" w:eastAsia="Arial" w:hAnsi="Arial"/>
                <w:sz w:val="14"/>
                <w:szCs w:val="14"/>
                <w:color w:val="auto"/>
              </w:rPr>
              <w:t>Prepayments and other current assets</w:t>
            </w:r>
          </w:p>
        </w:tc>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23,337</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12,542</w:t>
            </w:r>
          </w:p>
        </w:tc>
      </w:tr>
      <w:tr>
        <w:trPr>
          <w:trHeight w:val="203"/>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Assets held for sale</w:t>
            </w:r>
          </w:p>
        </w:tc>
        <w:tc>
          <w:tcPr>
            <w:tcW w:w="50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3,139</w:t>
            </w: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w:t>
            </w:r>
          </w:p>
        </w:tc>
      </w:tr>
      <w:tr>
        <w:trPr>
          <w:trHeight w:val="183"/>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current assets</w:t>
            </w:r>
          </w:p>
        </w:tc>
        <w:tc>
          <w:tcPr>
            <w:tcW w:w="50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147,172</w:t>
            </w: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131,246</w:t>
            </w:r>
          </w:p>
        </w:tc>
      </w:tr>
      <w:tr>
        <w:trPr>
          <w:trHeight w:val="183"/>
        </w:trPr>
        <w:tc>
          <w:tcPr>
            <w:tcW w:w="3160" w:type="dxa"/>
            <w:vAlign w:val="bottom"/>
            <w:shd w:val="clear" w:color="auto" w:fill="CCEEFF"/>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4"/>
                <w:szCs w:val="14"/>
                <w:color w:val="auto"/>
              </w:rPr>
              <w:t>Regulatory assets</w:t>
            </w:r>
          </w:p>
        </w:tc>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788,076</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713,971</w:t>
            </w:r>
          </w:p>
        </w:tc>
      </w:tr>
      <w:tr>
        <w:trPr>
          <w:trHeight w:val="203"/>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Deferred charges and other assets, net</w:t>
            </w:r>
          </w:p>
        </w:tc>
        <w:tc>
          <w:tcPr>
            <w:tcW w:w="5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39,237</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38,485</w:t>
            </w:r>
          </w:p>
        </w:tc>
      </w:tr>
      <w:tr>
        <w:trPr>
          <w:trHeight w:val="203"/>
        </w:trPr>
        <w:tc>
          <w:tcPr>
            <w:tcW w:w="3160" w:type="dxa"/>
            <w:vAlign w:val="bottom"/>
          </w:tcPr>
          <w:p>
            <w:pPr>
              <w:spacing w:after="0"/>
              <w:rPr>
                <w:sz w:val="20"/>
                <w:szCs w:val="20"/>
                <w:color w:val="auto"/>
              </w:rPr>
            </w:pPr>
            <w:r>
              <w:rPr>
                <w:rFonts w:ascii="Arial" w:cs="Arial" w:eastAsia="Arial" w:hAnsi="Arial"/>
                <w:sz w:val="14"/>
                <w:szCs w:val="14"/>
                <w:color w:val="auto"/>
              </w:rPr>
              <w:t>Investment in joint venture</w:t>
            </w:r>
          </w:p>
        </w:tc>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6,959</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6,671</w:t>
            </w:r>
          </w:p>
        </w:tc>
      </w:tr>
      <w:tr>
        <w:trPr>
          <w:trHeight w:val="203"/>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50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52,726</w:t>
            </w: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42,230</w:t>
            </w:r>
          </w:p>
        </w:tc>
      </w:tr>
      <w:tr>
        <w:trPr>
          <w:trHeight w:val="176"/>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assets</w:t>
            </w:r>
          </w:p>
        </w:tc>
        <w:tc>
          <w:tcPr>
            <w:tcW w:w="50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6,964,496</w:t>
            </w: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6,332,463</w:t>
            </w:r>
          </w:p>
        </w:tc>
      </w:tr>
      <w:tr>
        <w:trPr>
          <w:trHeight w:val="189"/>
        </w:trPr>
        <w:tc>
          <w:tcPr>
            <w:tcW w:w="3160" w:type="dxa"/>
            <w:vAlign w:val="bottom"/>
            <w:shd w:val="clear" w:color="auto" w:fill="CCEEFF"/>
          </w:tcPr>
          <w:p>
            <w:pPr>
              <w:spacing w:after="0"/>
              <w:rPr>
                <w:sz w:val="16"/>
                <w:szCs w:val="16"/>
                <w:color w:val="auto"/>
              </w:rPr>
            </w:pPr>
          </w:p>
        </w:tc>
        <w:tc>
          <w:tcPr>
            <w:tcW w:w="5360" w:type="dxa"/>
            <w:vAlign w:val="bottom"/>
            <w:gridSpan w:val="2"/>
            <w:shd w:val="clear" w:color="auto" w:fill="CCEEFF"/>
          </w:tcPr>
          <w:p>
            <w:pPr>
              <w:jc w:val="right"/>
              <w:ind w:right="3708"/>
              <w:spacing w:after="0"/>
              <w:rPr>
                <w:sz w:val="20"/>
                <w:szCs w:val="20"/>
                <w:color w:val="auto"/>
              </w:rPr>
            </w:pPr>
            <w:r>
              <w:rPr>
                <w:rFonts w:ascii="Arial" w:cs="Arial" w:eastAsia="Arial" w:hAnsi="Arial"/>
                <w:sz w:val="14"/>
                <w:szCs w:val="14"/>
                <w:color w:val="auto"/>
              </w:rPr>
              <w:t>Liabilities and Equity</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bl>
    <w:p>
      <w:pPr>
        <w:spacing w:after="0" w:line="35" w:lineRule="exact"/>
        <w:rPr>
          <w:sz w:val="20"/>
          <w:szCs w:val="20"/>
          <w:color w:val="auto"/>
        </w:rPr>
      </w:pPr>
    </w:p>
    <w:p>
      <w:pPr>
        <w:sectPr>
          <w:pgSz w:w="11900" w:h="16838" w:orient="portrait"/>
          <w:cols w:equalWidth="0" w:num="1">
            <w:col w:w="10280"/>
          </w:cols>
          <w:pgMar w:left="900" w:top="125" w:right="719" w:bottom="1440" w:gutter="0" w:footer="0" w:header="0"/>
        </w:sectPr>
      </w:pPr>
    </w:p>
    <w:p>
      <w:pPr>
        <w:spacing w:after="0"/>
        <w:rPr>
          <w:sz w:val="20"/>
          <w:szCs w:val="20"/>
          <w:color w:val="auto"/>
        </w:rPr>
      </w:pPr>
      <w:r>
        <w:rPr>
          <w:rFonts w:ascii="Arial" w:cs="Arial" w:eastAsia="Arial" w:hAnsi="Arial"/>
          <w:sz w:val="14"/>
          <w:szCs w:val="14"/>
          <w:color w:val="auto"/>
        </w:rPr>
        <w:t>Aqua America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Common stock at $.50 par value, authorized 300,000,000 shares, issued 181,151,827 and 180,700,251 in 2018 and 2017</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Capital in excess of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Retained earnings</w:t>
      </w:r>
    </w:p>
    <w:p>
      <w:pPr>
        <w:spacing w:after="0" w:line="42" w:lineRule="exact"/>
        <w:rPr>
          <w:sz w:val="20"/>
          <w:szCs w:val="20"/>
          <w:color w:val="auto"/>
        </w:rPr>
      </w:pPr>
    </w:p>
    <w:p>
      <w:pPr>
        <w:ind w:left="100" w:right="3260"/>
        <w:spacing w:after="0" w:line="301" w:lineRule="auto"/>
        <w:rPr>
          <w:sz w:val="20"/>
          <w:szCs w:val="20"/>
          <w:color w:val="auto"/>
        </w:rPr>
      </w:pPr>
      <w:r>
        <w:rPr>
          <w:rFonts w:ascii="Arial" w:cs="Arial" w:eastAsia="Arial" w:hAnsi="Arial"/>
          <w:sz w:val="14"/>
          <w:szCs w:val="14"/>
          <w:color w:val="auto"/>
        </w:rPr>
        <w:t>Treasury stock, at cost, 3,060,206 and 2,986,308 shares in 2018 and 2017 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653478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Long-term debt, excluding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Less: debt issuance costs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Long-term debt, excluding current portion,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contingencies (See Note 9)</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Current portion of long-term debt</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Loans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Accounts payable</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Book overdraft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Accrued interest</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Interest rate swap agreements</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Total current liabilities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Deferred income taxes and investment tax credits</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Customers' advances for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53478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34785" cy="128905"/>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Regulatory liabilities</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90,576</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90,350</w:t>
            </w:r>
          </w:p>
        </w:tc>
      </w:tr>
      <w:tr>
        <w:trPr>
          <w:trHeight w:val="203"/>
        </w:trPr>
        <w:tc>
          <w:tcPr>
            <w:tcW w:w="2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820,378</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807,135</w:t>
            </w:r>
          </w:p>
        </w:tc>
      </w:tr>
      <w:tr>
        <w:trPr>
          <w:trHeight w:val="203"/>
        </w:trPr>
        <w:tc>
          <w:tcPr>
            <w:tcW w:w="2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1,174,245</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1,132,556</w:t>
            </w:r>
          </w:p>
        </w:tc>
      </w:tr>
      <w:tr>
        <w:trPr>
          <w:trHeight w:val="203"/>
        </w:trPr>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(75,835)</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(73,280)</w:t>
            </w:r>
          </w:p>
        </w:tc>
      </w:tr>
    </w:tbl>
    <w:p>
      <w:pPr>
        <w:spacing w:after="0" w:line="20" w:lineRule="exact"/>
        <w:rPr>
          <w:sz w:val="20"/>
          <w:szCs w:val="20"/>
          <w:color w:val="auto"/>
        </w:rPr>
      </w:pPr>
    </w:p>
    <w:p>
      <w:pPr>
        <w:ind w:left="1720" w:hanging="840"/>
        <w:spacing w:after="0"/>
        <w:tabs>
          <w:tab w:leader="none" w:pos="17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860</w:t>
      </w:r>
    </w:p>
    <w:p>
      <w:pPr>
        <w:spacing w:after="0" w:line="41"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2,009,364</w:t>
      </w:r>
      <w:r>
        <w:rPr>
          <w:rFonts w:ascii="Arial" w:cs="Arial" w:eastAsia="Arial" w:hAnsi="Arial"/>
          <w:sz w:val="13"/>
          <w:szCs w:val="13"/>
          <w:color w:val="auto"/>
        </w:rPr>
        <w:t>1,957,621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-123825</wp:posOffset>
            </wp:positionV>
            <wp:extent cx="13119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24" w:lineRule="exact"/>
        <w:rPr>
          <w:sz w:val="20"/>
          <w:szCs w:val="20"/>
          <w:color w:val="auto"/>
        </w:rPr>
      </w:pPr>
    </w:p>
    <w:p>
      <w:pPr>
        <w:ind w:left="320"/>
        <w:spacing w:after="0"/>
        <w:tabs>
          <w:tab w:leader="none" w:pos="1340" w:val="left"/>
        </w:tabs>
        <w:rPr>
          <w:sz w:val="20"/>
          <w:szCs w:val="20"/>
          <w:color w:val="auto"/>
        </w:rPr>
      </w:pPr>
      <w:r>
        <w:rPr>
          <w:rFonts w:ascii="Arial" w:cs="Arial" w:eastAsia="Arial" w:hAnsi="Arial"/>
          <w:sz w:val="13"/>
          <w:szCs w:val="13"/>
          <w:color w:val="auto"/>
        </w:rPr>
        <w:t>2,419,115</w:t>
      </w:r>
      <w:r>
        <w:rPr>
          <w:sz w:val="20"/>
          <w:szCs w:val="20"/>
          <w:color w:val="auto"/>
        </w:rPr>
        <w:tab/>
      </w:r>
      <w:r>
        <w:rPr>
          <w:rFonts w:ascii="Arial" w:cs="Arial" w:eastAsia="Arial" w:hAnsi="Arial"/>
          <w:sz w:val="13"/>
          <w:szCs w:val="13"/>
          <w:color w:val="auto"/>
        </w:rPr>
        <w:t>2,029,358</w:t>
      </w:r>
    </w:p>
    <w:p>
      <w:pPr>
        <w:spacing w:after="0" w:line="53" w:lineRule="exact"/>
        <w:rPr>
          <w:sz w:val="20"/>
          <w:szCs w:val="20"/>
          <w:color w:val="auto"/>
        </w:rPr>
      </w:pPr>
    </w:p>
    <w:p>
      <w:pPr>
        <w:ind w:left="500"/>
        <w:spacing w:after="0"/>
        <w:tabs>
          <w:tab w:leader="none" w:pos="1520" w:val="left"/>
        </w:tabs>
        <w:rPr>
          <w:sz w:val="20"/>
          <w:szCs w:val="20"/>
          <w:color w:val="auto"/>
        </w:rPr>
      </w:pPr>
      <w:r>
        <w:rPr>
          <w:rFonts w:ascii="Arial" w:cs="Arial" w:eastAsia="Arial" w:hAnsi="Arial"/>
          <w:sz w:val="13"/>
          <w:szCs w:val="13"/>
          <w:color w:val="auto"/>
        </w:rPr>
        <w:t>20,651</w:t>
      </w:r>
      <w:r>
        <w:rPr>
          <w:sz w:val="20"/>
          <w:szCs w:val="20"/>
          <w:color w:val="auto"/>
        </w:rPr>
        <w:tab/>
      </w:r>
      <w:r>
        <w:rPr>
          <w:rFonts w:ascii="Arial" w:cs="Arial" w:eastAsia="Arial" w:hAnsi="Arial"/>
          <w:sz w:val="13"/>
          <w:szCs w:val="13"/>
          <w:color w:val="auto"/>
        </w:rPr>
        <w:t>21,605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11430</wp:posOffset>
            </wp:positionV>
            <wp:extent cx="13119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3" w:lineRule="exact"/>
        <w:rPr>
          <w:sz w:val="20"/>
          <w:szCs w:val="20"/>
          <w:color w:val="auto"/>
        </w:rPr>
      </w:pPr>
    </w:p>
    <w:p>
      <w:pPr>
        <w:ind w:left="320"/>
        <w:spacing w:after="0"/>
        <w:tabs>
          <w:tab w:leader="none" w:pos="1340" w:val="left"/>
        </w:tabs>
        <w:rPr>
          <w:sz w:val="20"/>
          <w:szCs w:val="20"/>
          <w:color w:val="auto"/>
        </w:rPr>
      </w:pPr>
      <w:r>
        <w:rPr>
          <w:rFonts w:ascii="Arial" w:cs="Arial" w:eastAsia="Arial" w:hAnsi="Arial"/>
          <w:sz w:val="13"/>
          <w:szCs w:val="13"/>
          <w:color w:val="auto"/>
        </w:rPr>
        <w:t>2,398,464</w:t>
      </w:r>
      <w:r>
        <w:rPr>
          <w:sz w:val="20"/>
          <w:szCs w:val="20"/>
          <w:color w:val="auto"/>
        </w:rPr>
        <w:tab/>
      </w:r>
      <w:r>
        <w:rPr>
          <w:rFonts w:ascii="Arial" w:cs="Arial" w:eastAsia="Arial" w:hAnsi="Arial"/>
          <w:sz w:val="13"/>
          <w:szCs w:val="13"/>
          <w:color w:val="auto"/>
        </w:rPr>
        <w:t>2,007,753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0"/>
        <w:spacing w:after="0"/>
        <w:tabs>
          <w:tab w:leader="none" w:pos="1440" w:val="left"/>
        </w:tabs>
        <w:rPr>
          <w:sz w:val="20"/>
          <w:szCs w:val="20"/>
          <w:color w:val="auto"/>
        </w:rPr>
      </w:pPr>
      <w:r>
        <w:rPr>
          <w:rFonts w:ascii="Arial" w:cs="Arial" w:eastAsia="Arial" w:hAnsi="Arial"/>
          <w:sz w:val="13"/>
          <w:szCs w:val="13"/>
          <w:color w:val="auto"/>
        </w:rPr>
        <w:t>144,545</w:t>
      </w:r>
      <w:r>
        <w:rPr>
          <w:sz w:val="20"/>
          <w:szCs w:val="20"/>
          <w:color w:val="auto"/>
        </w:rPr>
        <w:tab/>
      </w:r>
      <w:r>
        <w:rPr>
          <w:rFonts w:ascii="Arial" w:cs="Arial" w:eastAsia="Arial" w:hAnsi="Arial"/>
          <w:sz w:val="13"/>
          <w:szCs w:val="13"/>
          <w:color w:val="auto"/>
        </w:rPr>
        <w:t>113,769</w:t>
      </w:r>
    </w:p>
    <w:p>
      <w:pPr>
        <w:spacing w:after="0" w:line="53" w:lineRule="exact"/>
        <w:rPr>
          <w:sz w:val="20"/>
          <w:szCs w:val="20"/>
          <w:color w:val="auto"/>
        </w:rPr>
      </w:pPr>
    </w:p>
    <w:p>
      <w:pPr>
        <w:ind w:left="500"/>
        <w:spacing w:after="0"/>
        <w:tabs>
          <w:tab w:leader="none" w:pos="1580" w:val="left"/>
        </w:tabs>
        <w:rPr>
          <w:sz w:val="20"/>
          <w:szCs w:val="20"/>
          <w:color w:val="auto"/>
        </w:rPr>
      </w:pPr>
      <w:r>
        <w:rPr>
          <w:rFonts w:ascii="Arial" w:cs="Arial" w:eastAsia="Arial" w:hAnsi="Arial"/>
          <w:sz w:val="14"/>
          <w:szCs w:val="14"/>
          <w:color w:val="auto"/>
        </w:rPr>
        <w:t>15,449</w:t>
      </w:r>
      <w:r>
        <w:rPr>
          <w:sz w:val="20"/>
          <w:szCs w:val="20"/>
          <w:color w:val="auto"/>
        </w:rPr>
        <w:tab/>
      </w:r>
      <w:r>
        <w:rPr>
          <w:rFonts w:ascii="Arial" w:cs="Arial" w:eastAsia="Arial" w:hAnsi="Arial"/>
          <w:sz w:val="14"/>
          <w:szCs w:val="14"/>
          <w:color w:val="auto"/>
        </w:rPr>
        <w:t>3,650</w:t>
      </w:r>
    </w:p>
    <w:p>
      <w:pPr>
        <w:spacing w:after="0" w:line="42" w:lineRule="exact"/>
        <w:rPr>
          <w:sz w:val="20"/>
          <w:szCs w:val="20"/>
          <w:color w:val="auto"/>
        </w:rPr>
      </w:pPr>
    </w:p>
    <w:p>
      <w:pPr>
        <w:ind w:left="500"/>
        <w:spacing w:after="0"/>
        <w:tabs>
          <w:tab w:leader="none" w:pos="1520" w:val="left"/>
        </w:tabs>
        <w:rPr>
          <w:sz w:val="20"/>
          <w:szCs w:val="20"/>
          <w:color w:val="auto"/>
        </w:rPr>
      </w:pPr>
      <w:r>
        <w:rPr>
          <w:rFonts w:ascii="Arial" w:cs="Arial" w:eastAsia="Arial" w:hAnsi="Arial"/>
          <w:sz w:val="13"/>
          <w:szCs w:val="13"/>
          <w:color w:val="auto"/>
        </w:rPr>
        <w:t>77,331</w:t>
      </w:r>
      <w:r>
        <w:rPr>
          <w:sz w:val="20"/>
          <w:szCs w:val="20"/>
          <w:color w:val="auto"/>
        </w:rPr>
        <w:tab/>
      </w:r>
      <w:r>
        <w:rPr>
          <w:rFonts w:ascii="Arial" w:cs="Arial" w:eastAsia="Arial" w:hAnsi="Arial"/>
          <w:sz w:val="13"/>
          <w:szCs w:val="13"/>
          <w:color w:val="auto"/>
        </w:rPr>
        <w:t>59,165</w:t>
      </w:r>
    </w:p>
    <w:p>
      <w:pPr>
        <w:spacing w:after="0" w:line="53"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3"/>
          <w:szCs w:val="13"/>
          <w:color w:val="auto"/>
        </w:rPr>
        <w:t>8,950</w:t>
      </w:r>
      <w:r>
        <w:rPr>
          <w:sz w:val="20"/>
          <w:szCs w:val="20"/>
          <w:color w:val="auto"/>
        </w:rPr>
        <w:tab/>
      </w:r>
      <w:r>
        <w:rPr>
          <w:rFonts w:ascii="Arial" w:cs="Arial" w:eastAsia="Arial" w:hAnsi="Arial"/>
          <w:sz w:val="13"/>
          <w:szCs w:val="13"/>
          <w:color w:val="auto"/>
        </w:rPr>
        <w:t>21,629</w:t>
      </w:r>
    </w:p>
    <w:p>
      <w:pPr>
        <w:spacing w:after="0" w:line="53" w:lineRule="exact"/>
        <w:rPr>
          <w:sz w:val="20"/>
          <w:szCs w:val="20"/>
          <w:color w:val="auto"/>
        </w:rPr>
      </w:pPr>
    </w:p>
    <w:p>
      <w:pPr>
        <w:ind w:left="500"/>
        <w:spacing w:after="0"/>
        <w:tabs>
          <w:tab w:leader="none" w:pos="1520" w:val="left"/>
        </w:tabs>
        <w:rPr>
          <w:sz w:val="20"/>
          <w:szCs w:val="20"/>
          <w:color w:val="auto"/>
        </w:rPr>
      </w:pPr>
      <w:r>
        <w:rPr>
          <w:rFonts w:ascii="Arial" w:cs="Arial" w:eastAsia="Arial" w:hAnsi="Arial"/>
          <w:sz w:val="13"/>
          <w:szCs w:val="13"/>
          <w:color w:val="auto"/>
        </w:rPr>
        <w:t>23,300</w:t>
      </w:r>
      <w:r>
        <w:rPr>
          <w:sz w:val="20"/>
          <w:szCs w:val="20"/>
          <w:color w:val="auto"/>
        </w:rPr>
        <w:tab/>
      </w:r>
      <w:r>
        <w:rPr>
          <w:rFonts w:ascii="Arial" w:cs="Arial" w:eastAsia="Arial" w:hAnsi="Arial"/>
          <w:sz w:val="13"/>
          <w:szCs w:val="13"/>
          <w:color w:val="auto"/>
        </w:rPr>
        <w:t>21,359</w:t>
      </w:r>
    </w:p>
    <w:p>
      <w:pPr>
        <w:spacing w:after="0" w:line="53" w:lineRule="exact"/>
        <w:rPr>
          <w:sz w:val="20"/>
          <w:szCs w:val="20"/>
          <w:color w:val="auto"/>
        </w:rPr>
      </w:pPr>
    </w:p>
    <w:p>
      <w:pPr>
        <w:ind w:left="500"/>
        <w:spacing w:after="0"/>
        <w:tabs>
          <w:tab w:leader="none" w:pos="1520" w:val="left"/>
        </w:tabs>
        <w:rPr>
          <w:sz w:val="20"/>
          <w:szCs w:val="20"/>
          <w:color w:val="auto"/>
        </w:rPr>
      </w:pPr>
      <w:r>
        <w:rPr>
          <w:rFonts w:ascii="Arial" w:cs="Arial" w:eastAsia="Arial" w:hAnsi="Arial"/>
          <w:sz w:val="13"/>
          <w:szCs w:val="13"/>
          <w:color w:val="auto"/>
        </w:rPr>
        <w:t>22,234</w:t>
      </w:r>
      <w:r>
        <w:rPr>
          <w:sz w:val="20"/>
          <w:szCs w:val="20"/>
          <w:color w:val="auto"/>
        </w:rPr>
        <w:tab/>
      </w:r>
      <w:r>
        <w:rPr>
          <w:rFonts w:ascii="Arial" w:cs="Arial" w:eastAsia="Arial" w:hAnsi="Arial"/>
          <w:sz w:val="13"/>
          <w:szCs w:val="13"/>
          <w:color w:val="auto"/>
        </w:rPr>
        <w:t>23,764</w:t>
      </w:r>
    </w:p>
    <w:p>
      <w:pPr>
        <w:spacing w:after="0" w:line="53" w:lineRule="exact"/>
        <w:rPr>
          <w:sz w:val="20"/>
          <w:szCs w:val="20"/>
          <w:color w:val="auto"/>
        </w:rPr>
      </w:pPr>
    </w:p>
    <w:p>
      <w:pPr>
        <w:jc w:val="both"/>
        <w:ind w:left="500"/>
        <w:spacing w:after="0"/>
        <w:tabs>
          <w:tab w:leader="none" w:pos="1900" w:val="left"/>
        </w:tabs>
        <w:rPr>
          <w:sz w:val="20"/>
          <w:szCs w:val="20"/>
          <w:color w:val="auto"/>
        </w:rPr>
      </w:pPr>
      <w:r>
        <w:rPr>
          <w:rFonts w:ascii="Arial" w:cs="Arial" w:eastAsia="Arial" w:hAnsi="Arial"/>
          <w:sz w:val="14"/>
          <w:szCs w:val="14"/>
          <w:color w:val="auto"/>
        </w:rPr>
        <w:t>59,779</w:t>
      </w:r>
      <w:r>
        <w:rPr>
          <w:sz w:val="20"/>
          <w:szCs w:val="20"/>
          <w:color w:val="auto"/>
        </w:rPr>
        <w:tab/>
      </w:r>
      <w:r>
        <w:rPr>
          <w:rFonts w:ascii="Arial" w:cs="Arial" w:eastAsia="Arial" w:hAnsi="Arial"/>
          <w:sz w:val="14"/>
          <w:szCs w:val="14"/>
          <w:color w:val="auto"/>
        </w:rPr>
        <w:t>-</w:t>
      </w:r>
    </w:p>
    <w:p>
      <w:pPr>
        <w:spacing w:after="0" w:line="42" w:lineRule="exact"/>
        <w:rPr>
          <w:sz w:val="20"/>
          <w:szCs w:val="20"/>
          <w:color w:val="auto"/>
        </w:rPr>
      </w:pPr>
    </w:p>
    <w:p>
      <w:pPr>
        <w:ind w:left="500"/>
        <w:spacing w:after="0"/>
        <w:tabs>
          <w:tab w:leader="none" w:pos="1520" w:val="left"/>
        </w:tabs>
        <w:rPr>
          <w:sz w:val="20"/>
          <w:szCs w:val="20"/>
          <w:color w:val="auto"/>
        </w:rPr>
      </w:pPr>
      <w:r>
        <w:rPr>
          <w:rFonts w:ascii="Arial" w:cs="Arial" w:eastAsia="Arial" w:hAnsi="Arial"/>
          <w:sz w:val="13"/>
          <w:szCs w:val="13"/>
          <w:color w:val="auto"/>
        </w:rPr>
        <w:t>47,389</w:t>
      </w:r>
      <w:r>
        <w:rPr>
          <w:sz w:val="20"/>
          <w:szCs w:val="20"/>
          <w:color w:val="auto"/>
        </w:rPr>
        <w:tab/>
      </w:r>
      <w:r>
        <w:rPr>
          <w:rFonts w:ascii="Arial" w:cs="Arial" w:eastAsia="Arial" w:hAnsi="Arial"/>
          <w:sz w:val="13"/>
          <w:szCs w:val="13"/>
          <w:color w:val="auto"/>
        </w:rPr>
        <w:t>41,152</w:t>
      </w:r>
    </w:p>
    <w:p>
      <w:pPr>
        <w:spacing w:after="0" w:line="53" w:lineRule="exact"/>
        <w:rPr>
          <w:sz w:val="20"/>
          <w:szCs w:val="20"/>
          <w:color w:val="auto"/>
        </w:rPr>
      </w:pPr>
    </w:p>
    <w:p>
      <w:pPr>
        <w:ind w:left="420"/>
        <w:spacing w:after="0"/>
        <w:tabs>
          <w:tab w:leader="none" w:pos="1440" w:val="left"/>
        </w:tabs>
        <w:rPr>
          <w:sz w:val="20"/>
          <w:szCs w:val="20"/>
          <w:color w:val="auto"/>
        </w:rPr>
      </w:pPr>
      <w:r>
        <w:rPr>
          <w:rFonts w:ascii="Arial" w:cs="Arial" w:eastAsia="Arial" w:hAnsi="Arial"/>
          <w:sz w:val="13"/>
          <w:szCs w:val="13"/>
          <w:color w:val="auto"/>
        </w:rPr>
        <w:t>398,977</w:t>
      </w:r>
      <w:r>
        <w:rPr>
          <w:sz w:val="20"/>
          <w:szCs w:val="20"/>
          <w:color w:val="auto"/>
        </w:rPr>
        <w:tab/>
      </w:r>
      <w:r>
        <w:rPr>
          <w:rFonts w:ascii="Arial" w:cs="Arial" w:eastAsia="Arial" w:hAnsi="Arial"/>
          <w:sz w:val="13"/>
          <w:szCs w:val="13"/>
          <w:color w:val="auto"/>
        </w:rPr>
        <w:t>284,488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11430</wp:posOffset>
            </wp:positionV>
            <wp:extent cx="13119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20"/>
        <w:spacing w:after="0"/>
        <w:tabs>
          <w:tab w:leader="none" w:pos="1440" w:val="left"/>
        </w:tabs>
        <w:rPr>
          <w:sz w:val="20"/>
          <w:szCs w:val="20"/>
          <w:color w:val="auto"/>
        </w:rPr>
      </w:pPr>
      <w:r>
        <w:rPr>
          <w:rFonts w:ascii="Arial" w:cs="Arial" w:eastAsia="Arial" w:hAnsi="Arial"/>
          <w:sz w:val="13"/>
          <w:szCs w:val="13"/>
          <w:color w:val="auto"/>
        </w:rPr>
        <w:t>845,403</w:t>
      </w:r>
      <w:r>
        <w:rPr>
          <w:sz w:val="20"/>
          <w:szCs w:val="20"/>
          <w:color w:val="auto"/>
        </w:rPr>
        <w:tab/>
      </w:r>
      <w:r>
        <w:rPr>
          <w:rFonts w:ascii="Arial" w:cs="Arial" w:eastAsia="Arial" w:hAnsi="Arial"/>
          <w:sz w:val="13"/>
          <w:szCs w:val="13"/>
          <w:color w:val="auto"/>
        </w:rPr>
        <w:t>769,073</w:t>
      </w:r>
    </w:p>
    <w:p>
      <w:pPr>
        <w:spacing w:after="0" w:line="53" w:lineRule="exact"/>
        <w:rPr>
          <w:sz w:val="20"/>
          <w:szCs w:val="20"/>
          <w:color w:val="auto"/>
        </w:rPr>
      </w:pPr>
    </w:p>
    <w:p>
      <w:pPr>
        <w:ind w:left="500"/>
        <w:spacing w:after="0"/>
        <w:tabs>
          <w:tab w:leader="none" w:pos="1520" w:val="left"/>
        </w:tabs>
        <w:rPr>
          <w:sz w:val="20"/>
          <w:szCs w:val="20"/>
          <w:color w:val="auto"/>
        </w:rPr>
      </w:pPr>
      <w:r>
        <w:rPr>
          <w:rFonts w:ascii="Arial" w:cs="Arial" w:eastAsia="Arial" w:hAnsi="Arial"/>
          <w:sz w:val="13"/>
          <w:szCs w:val="13"/>
          <w:color w:val="auto"/>
        </w:rPr>
        <w:t>93,343</w:t>
      </w:r>
      <w:r>
        <w:rPr>
          <w:sz w:val="20"/>
          <w:szCs w:val="20"/>
          <w:color w:val="auto"/>
        </w:rPr>
        <w:tab/>
      </w:r>
      <w:r>
        <w:rPr>
          <w:rFonts w:ascii="Arial" w:cs="Arial" w:eastAsia="Arial" w:hAnsi="Arial"/>
          <w:sz w:val="13"/>
          <w:szCs w:val="13"/>
          <w:color w:val="auto"/>
        </w:rPr>
        <w:t>93,186</w:t>
      </w:r>
    </w:p>
    <w:p>
      <w:pPr>
        <w:spacing w:after="0" w:line="53" w:lineRule="exact"/>
        <w:rPr>
          <w:sz w:val="20"/>
          <w:szCs w:val="20"/>
          <w:color w:val="auto"/>
        </w:rPr>
      </w:pPr>
    </w:p>
    <w:p>
      <w:pPr>
        <w:ind w:left="420"/>
        <w:spacing w:after="0"/>
        <w:tabs>
          <w:tab w:leader="none" w:pos="1440" w:val="left"/>
        </w:tabs>
        <w:rPr>
          <w:sz w:val="20"/>
          <w:szCs w:val="20"/>
          <w:color w:val="auto"/>
        </w:rPr>
      </w:pPr>
      <w:r>
        <w:rPr>
          <w:rFonts w:ascii="Arial" w:cs="Arial" w:eastAsia="Arial" w:hAnsi="Arial"/>
          <w:sz w:val="13"/>
          <w:szCs w:val="13"/>
          <w:color w:val="auto"/>
        </w:rPr>
        <w:t>531,027</w:t>
      </w:r>
      <w:r>
        <w:rPr>
          <w:sz w:val="20"/>
          <w:szCs w:val="20"/>
          <w:color w:val="auto"/>
        </w:rPr>
        <w:tab/>
      </w:r>
      <w:r>
        <w:rPr>
          <w:rFonts w:ascii="Arial" w:cs="Arial" w:eastAsia="Arial" w:hAnsi="Arial"/>
          <w:sz w:val="13"/>
          <w:szCs w:val="13"/>
          <w:color w:val="auto"/>
        </w:rPr>
        <w:t>541,910</w:t>
      </w:r>
    </w:p>
    <w:p>
      <w:pPr>
        <w:spacing w:after="0" w:line="53" w:lineRule="exact"/>
        <w:rPr>
          <w:sz w:val="20"/>
          <w:szCs w:val="20"/>
          <w:color w:val="auto"/>
        </w:rPr>
      </w:pPr>
    </w:p>
    <w:p>
      <w:pPr>
        <w:ind w:left="500"/>
        <w:spacing w:after="0"/>
        <w:tabs>
          <w:tab w:leader="none" w:pos="1440" w:val="left"/>
        </w:tabs>
        <w:rPr>
          <w:sz w:val="20"/>
          <w:szCs w:val="20"/>
          <w:color w:val="auto"/>
        </w:rPr>
      </w:pPr>
      <w:r>
        <w:rPr>
          <w:rFonts w:ascii="Arial" w:cs="Arial" w:eastAsia="Arial" w:hAnsi="Arial"/>
          <w:sz w:val="13"/>
          <w:szCs w:val="13"/>
          <w:color w:val="auto"/>
        </w:rPr>
        <w:t>97,182</w:t>
      </w:r>
      <w:r>
        <w:rPr>
          <w:sz w:val="20"/>
          <w:szCs w:val="20"/>
          <w:color w:val="auto"/>
        </w:rPr>
        <w:tab/>
      </w:r>
      <w:r>
        <w:rPr>
          <w:rFonts w:ascii="Arial" w:cs="Arial" w:eastAsia="Arial" w:hAnsi="Arial"/>
          <w:sz w:val="13"/>
          <w:szCs w:val="13"/>
          <w:color w:val="auto"/>
        </w:rPr>
        <w:t>107,341</w:t>
      </w:r>
    </w:p>
    <w:p>
      <w:pPr>
        <w:spacing w:after="0" w:line="15" w:lineRule="exact"/>
        <w:rPr>
          <w:sz w:val="20"/>
          <w:szCs w:val="20"/>
          <w:color w:val="auto"/>
        </w:rPr>
      </w:pPr>
    </w:p>
    <w:p>
      <w:pPr>
        <w:sectPr>
          <w:pgSz w:w="11900" w:h="16838" w:orient="portrait"/>
          <w:cols w:equalWidth="0" w:num="2">
            <w:col w:w="7600" w:space="720"/>
            <w:col w:w="1960"/>
          </w:cols>
          <w:pgMar w:left="900" w:top="125" w:right="71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deferred credits and other liabilities</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1,566,955</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1,511,510</w:t>
            </w:r>
          </w:p>
        </w:tc>
      </w:tr>
      <w:tr>
        <w:trPr>
          <w:trHeight w:val="183"/>
        </w:trPr>
        <w:tc>
          <w:tcPr>
            <w:tcW w:w="8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3"/>
        </w:trPr>
        <w:tc>
          <w:tcPr>
            <w:tcW w:w="8220" w:type="dxa"/>
            <w:vAlign w:val="bottom"/>
            <w:shd w:val="clear" w:color="auto" w:fill="CCEEFF"/>
          </w:tcPr>
          <w:p>
            <w:pPr>
              <w:spacing w:after="0"/>
              <w:rPr>
                <w:sz w:val="20"/>
                <w:szCs w:val="20"/>
                <w:color w:val="auto"/>
              </w:rPr>
            </w:pPr>
            <w:r>
              <w:rPr>
                <w:rFonts w:ascii="Arial" w:cs="Arial" w:eastAsia="Arial" w:hAnsi="Arial"/>
                <w:sz w:val="14"/>
                <w:szCs w:val="14"/>
                <w:color w:val="auto"/>
              </w:rPr>
              <w:t>Contributions in aid of construction</w:t>
            </w: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590,736</w:t>
            </w: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571,091</w:t>
            </w:r>
          </w:p>
        </w:tc>
      </w:tr>
      <w:tr>
        <w:trPr>
          <w:trHeight w:val="176"/>
        </w:trPr>
        <w:tc>
          <w:tcPr>
            <w:tcW w:w="822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6,964,496</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6,332,463</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900" w:top="125" w:right="7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NET INCOME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except per share amounts)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20"/>
                <w:szCs w:val="20"/>
                <w:color w:val="auto"/>
              </w:rPr>
              <w:t>Years ended December 31,</w:t>
            </w:r>
          </w:p>
        </w:tc>
        <w:tc>
          <w:tcPr>
            <w:tcW w:w="860" w:type="dxa"/>
            <w:vAlign w:val="bottom"/>
            <w:tcBorders>
              <w:bottom w:val="single" w:sz="8" w:color="auto"/>
            </w:tcBorders>
          </w:tcPr>
          <w:p>
            <w:pPr>
              <w:spacing w:after="0"/>
              <w:rPr>
                <w:sz w:val="21"/>
                <w:szCs w:val="21"/>
                <w:color w:val="auto"/>
              </w:rPr>
            </w:pPr>
          </w:p>
        </w:tc>
      </w:tr>
      <w:tr>
        <w:trPr>
          <w:trHeight w:val="250"/>
        </w:trPr>
        <w:tc>
          <w:tcPr>
            <w:tcW w:w="60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2018</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2017</w:t>
            </w: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2016</w:t>
            </w:r>
          </w:p>
        </w:tc>
      </w:tr>
      <w:tr>
        <w:trPr>
          <w:trHeight w:val="250"/>
        </w:trPr>
        <w:tc>
          <w:tcPr>
            <w:tcW w:w="6040" w:type="dxa"/>
            <w:vAlign w:val="bottom"/>
            <w:shd w:val="clear" w:color="auto" w:fill="CCEEFF"/>
          </w:tcPr>
          <w:p>
            <w:pPr>
              <w:spacing w:after="0"/>
              <w:rPr>
                <w:sz w:val="20"/>
                <w:szCs w:val="20"/>
                <w:color w:val="auto"/>
              </w:rPr>
            </w:pPr>
            <w:r>
              <w:rPr>
                <w:rFonts w:ascii="Arial" w:cs="Arial" w:eastAsia="Arial" w:hAnsi="Arial"/>
                <w:sz w:val="20"/>
                <w:szCs w:val="20"/>
                <w:color w:val="auto"/>
              </w:rPr>
              <w:t>Operating revenues</w:t>
            </w:r>
          </w:p>
        </w:tc>
        <w:tc>
          <w:tcPr>
            <w:tcW w:w="44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838,091</w:t>
            </w:r>
          </w:p>
        </w:tc>
        <w:tc>
          <w:tcPr>
            <w:tcW w:w="34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809,525</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819,875</w:t>
            </w:r>
          </w:p>
        </w:tc>
      </w:tr>
      <w:tr>
        <w:trPr>
          <w:trHeight w:val="270"/>
        </w:trPr>
        <w:tc>
          <w:tcPr>
            <w:tcW w:w="6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6040" w:type="dxa"/>
            <w:vAlign w:val="bottom"/>
            <w:shd w:val="clear" w:color="auto" w:fill="CCEEFF"/>
          </w:tcPr>
          <w:p>
            <w:pPr>
              <w:spacing w:after="0"/>
              <w:rPr>
                <w:sz w:val="20"/>
                <w:szCs w:val="20"/>
                <w:color w:val="auto"/>
              </w:rPr>
            </w:pPr>
            <w:r>
              <w:rPr>
                <w:rFonts w:ascii="Arial" w:cs="Arial" w:eastAsia="Arial" w:hAnsi="Arial"/>
                <w:sz w:val="20"/>
                <w:szCs w:val="20"/>
                <w:color w:val="auto"/>
              </w:rPr>
              <w:t>Operating expenses:</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70"/>
        </w:trPr>
        <w:tc>
          <w:tcPr>
            <w:tcW w:w="6040" w:type="dxa"/>
            <w:vAlign w:val="bottom"/>
          </w:tcPr>
          <w:p>
            <w:pPr>
              <w:ind w:left="100"/>
              <w:spacing w:after="0"/>
              <w:rPr>
                <w:sz w:val="20"/>
                <w:szCs w:val="20"/>
                <w:color w:val="auto"/>
              </w:rPr>
            </w:pPr>
            <w:r>
              <w:rPr>
                <w:rFonts w:ascii="Arial" w:cs="Arial" w:eastAsia="Arial" w:hAnsi="Arial"/>
                <w:sz w:val="20"/>
                <w:szCs w:val="20"/>
                <w:color w:val="auto"/>
              </w:rPr>
              <w:t>Operations and maintenance</w:t>
            </w:r>
          </w:p>
        </w:tc>
        <w:tc>
          <w:tcPr>
            <w:tcW w:w="44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308,478</w:t>
            </w:r>
          </w:p>
        </w:tc>
        <w:tc>
          <w:tcPr>
            <w:tcW w:w="34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282,253</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297,184</w:t>
            </w:r>
          </w:p>
        </w:tc>
      </w:tr>
      <w:tr>
        <w:trPr>
          <w:trHeight w:val="270"/>
        </w:trPr>
        <w:tc>
          <w:tcPr>
            <w:tcW w:w="60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Depreciation</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146,032</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136,302</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130,987</w:t>
            </w:r>
          </w:p>
        </w:tc>
      </w:tr>
      <w:tr>
        <w:trPr>
          <w:trHeight w:val="270"/>
        </w:trPr>
        <w:tc>
          <w:tcPr>
            <w:tcW w:w="6040" w:type="dxa"/>
            <w:vAlign w:val="bottom"/>
          </w:tcPr>
          <w:p>
            <w:pPr>
              <w:ind w:left="100"/>
              <w:spacing w:after="0"/>
              <w:rPr>
                <w:sz w:val="20"/>
                <w:szCs w:val="20"/>
                <w:color w:val="auto"/>
              </w:rPr>
            </w:pPr>
            <w:r>
              <w:rPr>
                <w:rFonts w:ascii="Arial" w:cs="Arial" w:eastAsia="Arial" w:hAnsi="Arial"/>
                <w:sz w:val="20"/>
                <w:szCs w:val="20"/>
                <w:color w:val="auto"/>
              </w:rPr>
              <w:t>Amortization</w:t>
            </w:r>
          </w:p>
        </w:tc>
        <w:tc>
          <w:tcPr>
            <w:tcW w:w="44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641</w:t>
            </w:r>
          </w:p>
        </w:tc>
        <w:tc>
          <w:tcPr>
            <w:tcW w:w="34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422</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2,021</w:t>
            </w:r>
          </w:p>
        </w:tc>
      </w:tr>
      <w:tr>
        <w:trPr>
          <w:trHeight w:val="270"/>
        </w:trPr>
        <w:tc>
          <w:tcPr>
            <w:tcW w:w="60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Taxes other than income taxes</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59,762</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56,628</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56,385</w:t>
            </w:r>
          </w:p>
        </w:tc>
      </w:tr>
      <w:tr>
        <w:trPr>
          <w:trHeight w:val="250"/>
        </w:trPr>
        <w:tc>
          <w:tcPr>
            <w:tcW w:w="6040" w:type="dxa"/>
            <w:vAlign w:val="bottom"/>
          </w:tcPr>
          <w:p>
            <w:pPr>
              <w:spacing w:after="0"/>
              <w:rPr>
                <w:sz w:val="20"/>
                <w:szCs w:val="20"/>
                <w:color w:val="auto"/>
              </w:rPr>
            </w:pPr>
            <w:r>
              <w:rPr>
                <w:rFonts w:ascii="Arial" w:cs="Arial" w:eastAsia="Arial" w:hAnsi="Arial"/>
                <w:sz w:val="20"/>
                <w:szCs w:val="20"/>
                <w:color w:val="auto"/>
              </w:rPr>
              <w:t>Total operating expenses</w:t>
            </w:r>
          </w:p>
        </w:tc>
        <w:tc>
          <w:tcPr>
            <w:tcW w:w="44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514,913</w:t>
            </w:r>
          </w:p>
        </w:tc>
        <w:tc>
          <w:tcPr>
            <w:tcW w:w="34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475,605</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486,577</w:t>
            </w:r>
          </w:p>
        </w:tc>
      </w:tr>
      <w:tr>
        <w:trPr>
          <w:trHeight w:val="270"/>
        </w:trPr>
        <w:tc>
          <w:tcPr>
            <w:tcW w:w="60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20"/>
                <w:szCs w:val="20"/>
                <w:color w:val="auto"/>
              </w:rPr>
              <w:t>Operating income</w:t>
            </w:r>
          </w:p>
        </w:tc>
        <w:tc>
          <w:tcPr>
            <w:tcW w:w="44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323,178</w:t>
            </w:r>
          </w:p>
        </w:tc>
        <w:tc>
          <w:tcPr>
            <w:tcW w:w="34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333,920</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333,298</w:t>
            </w:r>
          </w:p>
        </w:tc>
      </w:tr>
      <w:tr>
        <w:trPr>
          <w:trHeight w:val="270"/>
        </w:trPr>
        <w:tc>
          <w:tcPr>
            <w:tcW w:w="6040" w:type="dxa"/>
            <w:vAlign w:val="bottom"/>
            <w:shd w:val="clear" w:color="auto" w:fill="CCEEFF"/>
          </w:tcPr>
          <w:p>
            <w:pPr>
              <w:spacing w:after="0"/>
              <w:rPr>
                <w:sz w:val="20"/>
                <w:szCs w:val="20"/>
                <w:color w:val="auto"/>
              </w:rPr>
            </w:pPr>
            <w:r>
              <w:rPr>
                <w:rFonts w:ascii="Arial" w:cs="Arial" w:eastAsia="Arial" w:hAnsi="Arial"/>
                <w:sz w:val="20"/>
                <w:szCs w:val="20"/>
                <w:color w:val="auto"/>
              </w:rPr>
              <w:t>Other expense (income):</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70"/>
        </w:trPr>
        <w:tc>
          <w:tcPr>
            <w:tcW w:w="6040" w:type="dxa"/>
            <w:vAlign w:val="bottom"/>
          </w:tcPr>
          <w:p>
            <w:pPr>
              <w:ind w:left="100"/>
              <w:spacing w:after="0"/>
              <w:rPr>
                <w:sz w:val="20"/>
                <w:szCs w:val="20"/>
                <w:color w:val="auto"/>
              </w:rPr>
            </w:pPr>
            <w:r>
              <w:rPr>
                <w:rFonts w:ascii="Arial" w:cs="Arial" w:eastAsia="Arial" w:hAnsi="Arial"/>
                <w:sz w:val="20"/>
                <w:szCs w:val="20"/>
                <w:color w:val="auto"/>
              </w:rPr>
              <w:t>Interest expense, net</w:t>
            </w:r>
          </w:p>
        </w:tc>
        <w:tc>
          <w:tcPr>
            <w:tcW w:w="44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98,902</w:t>
            </w:r>
          </w:p>
        </w:tc>
        <w:tc>
          <w:tcPr>
            <w:tcW w:w="34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88,341</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80,594</w:t>
            </w:r>
          </w:p>
        </w:tc>
      </w:tr>
      <w:tr>
        <w:trPr>
          <w:trHeight w:val="270"/>
        </w:trPr>
        <w:tc>
          <w:tcPr>
            <w:tcW w:w="60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Allowance for funds used during construction</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(13,023)</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(15,211)</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(8,815)</w:t>
            </w:r>
          </w:p>
        </w:tc>
      </w:tr>
      <w:tr>
        <w:trPr>
          <w:trHeight w:val="270"/>
        </w:trPr>
        <w:tc>
          <w:tcPr>
            <w:tcW w:w="6040" w:type="dxa"/>
            <w:vAlign w:val="bottom"/>
          </w:tcPr>
          <w:p>
            <w:pPr>
              <w:ind w:left="100"/>
              <w:spacing w:after="0"/>
              <w:rPr>
                <w:sz w:val="20"/>
                <w:szCs w:val="20"/>
                <w:color w:val="auto"/>
              </w:rPr>
            </w:pPr>
            <w:r>
              <w:rPr>
                <w:rFonts w:ascii="Arial" w:cs="Arial" w:eastAsia="Arial" w:hAnsi="Arial"/>
                <w:sz w:val="20"/>
                <w:szCs w:val="20"/>
                <w:color w:val="auto"/>
              </w:rPr>
              <w:t>Change in fair value of interest rate swap agreements</w:t>
            </w:r>
          </w:p>
        </w:tc>
        <w:tc>
          <w:tcPr>
            <w:tcW w:w="44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59,779</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60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Gain on sale of other assets</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(714)</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(484)</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(378)</w:t>
            </w:r>
          </w:p>
        </w:tc>
      </w:tr>
      <w:tr>
        <w:trPr>
          <w:trHeight w:val="270"/>
        </w:trPr>
        <w:tc>
          <w:tcPr>
            <w:tcW w:w="6040" w:type="dxa"/>
            <w:vAlign w:val="bottom"/>
          </w:tcPr>
          <w:p>
            <w:pPr>
              <w:ind w:left="100"/>
              <w:spacing w:after="0"/>
              <w:rPr>
                <w:sz w:val="20"/>
                <w:szCs w:val="20"/>
                <w:color w:val="auto"/>
              </w:rPr>
            </w:pPr>
            <w:r>
              <w:rPr>
                <w:rFonts w:ascii="Arial" w:cs="Arial" w:eastAsia="Arial" w:hAnsi="Arial"/>
                <w:sz w:val="20"/>
                <w:szCs w:val="20"/>
                <w:color w:val="auto"/>
              </w:rPr>
              <w:t>Equity earnings in joint venture</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(2,081)</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(331)</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(976)</w:t>
            </w:r>
          </w:p>
        </w:tc>
      </w:tr>
      <w:tr>
        <w:trPr>
          <w:trHeight w:val="270"/>
        </w:trPr>
        <w:tc>
          <w:tcPr>
            <w:tcW w:w="60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Other</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1,996</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4,953</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7,713</w:t>
            </w:r>
          </w:p>
        </w:tc>
      </w:tr>
      <w:tr>
        <w:trPr>
          <w:trHeight w:val="250"/>
        </w:trPr>
        <w:tc>
          <w:tcPr>
            <w:tcW w:w="6040" w:type="dxa"/>
            <w:vAlign w:val="bottom"/>
          </w:tcPr>
          <w:p>
            <w:pPr>
              <w:spacing w:after="0"/>
              <w:rPr>
                <w:sz w:val="20"/>
                <w:szCs w:val="20"/>
                <w:color w:val="auto"/>
              </w:rPr>
            </w:pPr>
            <w:r>
              <w:rPr>
                <w:rFonts w:ascii="Arial" w:cs="Arial" w:eastAsia="Arial" w:hAnsi="Arial"/>
                <w:sz w:val="20"/>
                <w:szCs w:val="20"/>
                <w:color w:val="auto"/>
              </w:rPr>
              <w:t>Income before income taxes</w:t>
            </w:r>
          </w:p>
        </w:tc>
        <w:tc>
          <w:tcPr>
            <w:tcW w:w="44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178,319</w:t>
            </w:r>
          </w:p>
        </w:tc>
        <w:tc>
          <w:tcPr>
            <w:tcW w:w="34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256,652</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255,160</w:t>
            </w:r>
          </w:p>
        </w:tc>
      </w:tr>
      <w:tr>
        <w:trPr>
          <w:trHeight w:val="270"/>
        </w:trPr>
        <w:tc>
          <w:tcPr>
            <w:tcW w:w="6040" w:type="dxa"/>
            <w:vAlign w:val="bottom"/>
            <w:shd w:val="clear" w:color="auto" w:fill="CCEEFF"/>
          </w:tcPr>
          <w:p>
            <w:pPr>
              <w:spacing w:after="0"/>
              <w:rPr>
                <w:sz w:val="20"/>
                <w:szCs w:val="20"/>
                <w:color w:val="auto"/>
              </w:rPr>
            </w:pPr>
            <w:r>
              <w:rPr>
                <w:rFonts w:ascii="Arial" w:cs="Arial" w:eastAsia="Arial" w:hAnsi="Arial"/>
                <w:sz w:val="20"/>
                <w:szCs w:val="20"/>
                <w:color w:val="auto"/>
              </w:rPr>
              <w:t>Provision for income taxes (benefit)</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(13,669)</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16,914</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20,978</w:t>
            </w:r>
          </w:p>
        </w:tc>
      </w:tr>
      <w:tr>
        <w:trPr>
          <w:trHeight w:val="244"/>
        </w:trPr>
        <w:tc>
          <w:tcPr>
            <w:tcW w:w="60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Net income</w:t>
            </w:r>
          </w:p>
        </w:tc>
        <w:tc>
          <w:tcPr>
            <w:tcW w:w="4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191,988</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239,738</w:t>
            </w:r>
          </w:p>
        </w:tc>
        <w:tc>
          <w:tcPr>
            <w:tcW w:w="42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234,182</w:t>
            </w:r>
          </w:p>
        </w:tc>
      </w:tr>
      <w:tr>
        <w:trPr>
          <w:trHeight w:val="257"/>
        </w:trPr>
        <w:tc>
          <w:tcPr>
            <w:tcW w:w="60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20"/>
                <w:szCs w:val="20"/>
                <w:color w:val="auto"/>
              </w:rPr>
              <w:t>Net income per common share:</w:t>
            </w: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4"/>
        </w:trPr>
        <w:tc>
          <w:tcPr>
            <w:tcW w:w="6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20"/>
                <w:szCs w:val="20"/>
                <w:color w:val="auto"/>
              </w:rPr>
              <w:t>Basic</w:t>
            </w:r>
          </w:p>
        </w:tc>
        <w:tc>
          <w:tcPr>
            <w:tcW w:w="4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1.08</w:t>
            </w:r>
          </w:p>
        </w:tc>
        <w:tc>
          <w:tcPr>
            <w:tcW w:w="3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1.35</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1.32</w:t>
            </w:r>
          </w:p>
        </w:tc>
      </w:tr>
      <w:tr>
        <w:trPr>
          <w:trHeight w:val="250"/>
        </w:trPr>
        <w:tc>
          <w:tcPr>
            <w:tcW w:w="6040" w:type="dxa"/>
            <w:vAlign w:val="bottom"/>
            <w:tcBorders>
              <w:bottom w:val="single" w:sz="8" w:color="CCEEFF"/>
            </w:tcBorders>
          </w:tcPr>
          <w:p>
            <w:pPr>
              <w:ind w:left="100"/>
              <w:spacing w:after="0"/>
              <w:rPr>
                <w:sz w:val="20"/>
                <w:szCs w:val="20"/>
                <w:color w:val="auto"/>
              </w:rPr>
            </w:pPr>
            <w:r>
              <w:rPr>
                <w:rFonts w:ascii="Arial" w:cs="Arial" w:eastAsia="Arial" w:hAnsi="Arial"/>
                <w:sz w:val="20"/>
                <w:szCs w:val="20"/>
                <w:color w:val="auto"/>
              </w:rPr>
              <w:t>Diluted</w:t>
            </w:r>
          </w:p>
        </w:tc>
        <w:tc>
          <w:tcPr>
            <w:tcW w:w="4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1.08</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1.35</w:t>
            </w:r>
          </w:p>
        </w:tc>
        <w:tc>
          <w:tcPr>
            <w:tcW w:w="42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w:t>
            </w:r>
          </w:p>
        </w:tc>
      </w:tr>
      <w:tr>
        <w:trPr>
          <w:trHeight w:val="257"/>
        </w:trPr>
        <w:tc>
          <w:tcPr>
            <w:tcW w:w="60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20"/>
                <w:szCs w:val="20"/>
                <w:color w:val="auto"/>
              </w:rPr>
              <w:t>Average common shares outstanding during the period:</w:t>
            </w: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4"/>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Basic</w:t>
            </w: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177,904</w:t>
            </w: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177,612</w:t>
            </w:r>
          </w:p>
        </w:tc>
        <w:tc>
          <w:tcPr>
            <w:tcW w:w="4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177,273</w:t>
            </w:r>
          </w:p>
        </w:tc>
      </w:tr>
      <w:tr>
        <w:trPr>
          <w:trHeight w:val="250"/>
        </w:trPr>
        <w:tc>
          <w:tcPr>
            <w:tcW w:w="6040" w:type="dxa"/>
            <w:vAlign w:val="bottom"/>
          </w:tcPr>
          <w:p>
            <w:pPr>
              <w:ind w:left="140"/>
              <w:spacing w:after="0"/>
              <w:rPr>
                <w:sz w:val="20"/>
                <w:szCs w:val="20"/>
                <w:color w:val="auto"/>
              </w:rPr>
            </w:pPr>
            <w:r>
              <w:rPr>
                <w:rFonts w:ascii="Arial" w:cs="Arial" w:eastAsia="Arial" w:hAnsi="Arial"/>
                <w:sz w:val="20"/>
                <w:szCs w:val="20"/>
                <w:color w:val="auto"/>
              </w:rPr>
              <w:t>Diluted</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178,399</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178,175</w:t>
            </w: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177,846</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59" w:name="page60"/>
    <w:bookmarkEnd w:id="59"/>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6"/>
        <w:spacing w:after="0" w:line="357" w:lineRule="auto"/>
        <w:rPr>
          <w:sz w:val="20"/>
          <w:szCs w:val="20"/>
          <w:color w:val="auto"/>
        </w:rPr>
      </w:pPr>
      <w:r>
        <w:rPr>
          <w:rFonts w:ascii="Arial" w:cs="Arial" w:eastAsia="Arial" w:hAnsi="Arial"/>
          <w:sz w:val="18"/>
          <w:szCs w:val="18"/>
          <w:color w:val="auto"/>
        </w:rPr>
        <w:t>AQUA AMERICA, INC. AND SUBSIDIARIES CONSOLIDATED STATEMENTS OF COMPREHENSIVE INCOME (In thousands of dollars)</w:t>
      </w:r>
    </w:p>
    <w:p>
      <w:pPr>
        <w:spacing w:after="0" w:line="261" w:lineRule="exact"/>
        <w:rPr>
          <w:sz w:val="20"/>
          <w:szCs w:val="20"/>
          <w:color w:val="auto"/>
        </w:rPr>
      </w:pPr>
    </w:p>
    <w:tbl>
      <w:tblPr>
        <w:tblLayout w:type="fixed"/>
        <w:tblInd w:w="4" w:type="dxa"/>
        <w:tblCellMar>
          <w:top w:w="0" w:type="dxa"/>
          <w:left w:w="0" w:type="dxa"/>
          <w:bottom w:w="0" w:type="dxa"/>
          <w:right w:w="0" w:type="dxa"/>
        </w:tblCellMar>
      </w:tblPr>
      <w:tr>
        <w:trPr>
          <w:trHeight w:val="246"/>
        </w:trPr>
        <w:tc>
          <w:tcPr>
            <w:tcW w:w="68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20"/>
                <w:szCs w:val="20"/>
                <w:color w:val="auto"/>
                <w:w w:val="94"/>
              </w:rPr>
              <w:t>Years ended December 31,</w:t>
            </w:r>
          </w:p>
        </w:tc>
      </w:tr>
      <w:tr>
        <w:trPr>
          <w:trHeight w:val="237"/>
        </w:trPr>
        <w:tc>
          <w:tcPr>
            <w:tcW w:w="68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2018</w:t>
            </w:r>
          </w:p>
        </w:tc>
        <w:tc>
          <w:tcPr>
            <w:tcW w:w="11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2017</w:t>
            </w: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2016</w:t>
            </w:r>
          </w:p>
        </w:tc>
      </w:tr>
      <w:tr>
        <w:trPr>
          <w:trHeight w:val="237"/>
        </w:trPr>
        <w:tc>
          <w:tcPr>
            <w:tcW w:w="6820" w:type="dxa"/>
            <w:vAlign w:val="bottom"/>
            <w:shd w:val="clear" w:color="auto" w:fill="CCEEFF"/>
          </w:tcPr>
          <w:p>
            <w:pPr>
              <w:spacing w:after="0"/>
              <w:rPr>
                <w:sz w:val="20"/>
                <w:szCs w:val="20"/>
                <w:color w:val="auto"/>
              </w:rPr>
            </w:pPr>
            <w:r>
              <w:rPr>
                <w:rFonts w:ascii="Arial" w:cs="Arial" w:eastAsia="Arial" w:hAnsi="Arial"/>
                <w:sz w:val="20"/>
                <w:szCs w:val="20"/>
                <w:color w:val="auto"/>
              </w:rPr>
              <w:t>Net income</w:t>
            </w:r>
          </w:p>
        </w:tc>
        <w:tc>
          <w:tcPr>
            <w:tcW w:w="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91"/>
              </w:rPr>
              <w:t>191,988</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$ 239,738</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$ 234,182</w:t>
            </w:r>
          </w:p>
        </w:tc>
      </w:tr>
      <w:tr>
        <w:trPr>
          <w:trHeight w:val="257"/>
        </w:trPr>
        <w:tc>
          <w:tcPr>
            <w:tcW w:w="6820" w:type="dxa"/>
            <w:vAlign w:val="bottom"/>
          </w:tcPr>
          <w:p>
            <w:pPr>
              <w:spacing w:after="0"/>
              <w:rPr>
                <w:sz w:val="20"/>
                <w:szCs w:val="20"/>
                <w:color w:val="auto"/>
              </w:rPr>
            </w:pPr>
            <w:r>
              <w:rPr>
                <w:rFonts w:ascii="Arial" w:cs="Arial" w:eastAsia="Arial" w:hAnsi="Arial"/>
                <w:sz w:val="20"/>
                <w:szCs w:val="20"/>
                <w:color w:val="auto"/>
              </w:rPr>
              <w:t>Other comprehensive income, net of tax:</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3"/>
        </w:trPr>
        <w:tc>
          <w:tcPr>
            <w:tcW w:w="6820" w:type="dxa"/>
            <w:vAlign w:val="bottom"/>
            <w:shd w:val="clear" w:color="auto" w:fill="CCEEFF"/>
          </w:tcPr>
          <w:p>
            <w:pPr>
              <w:ind w:left="100"/>
              <w:spacing w:after="0" w:line="213" w:lineRule="exact"/>
              <w:rPr>
                <w:sz w:val="20"/>
                <w:szCs w:val="20"/>
                <w:color w:val="auto"/>
              </w:rPr>
            </w:pPr>
            <w:r>
              <w:rPr>
                <w:rFonts w:ascii="Arial" w:cs="Arial" w:eastAsia="Arial" w:hAnsi="Arial"/>
                <w:sz w:val="20"/>
                <w:szCs w:val="20"/>
                <w:color w:val="auto"/>
                <w:w w:val="90"/>
              </w:rPr>
              <w:t>Unrealized holding gain on investments, net of tax expense of $102, and $21 for the</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6"/>
        </w:trPr>
        <w:tc>
          <w:tcPr>
            <w:tcW w:w="68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years ended December 31, 2017, and 2016, respectively</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191</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w:t>
            </w:r>
          </w:p>
        </w:tc>
      </w:tr>
      <w:tr>
        <w:trPr>
          <w:trHeight w:val="213"/>
        </w:trPr>
        <w:tc>
          <w:tcPr>
            <w:tcW w:w="6820" w:type="dxa"/>
            <w:vAlign w:val="bottom"/>
          </w:tcPr>
          <w:p>
            <w:pPr>
              <w:ind w:left="100"/>
              <w:spacing w:after="0" w:line="213" w:lineRule="exact"/>
              <w:rPr>
                <w:sz w:val="20"/>
                <w:szCs w:val="20"/>
                <w:color w:val="auto"/>
              </w:rPr>
            </w:pPr>
            <w:r>
              <w:rPr>
                <w:rFonts w:ascii="Arial" w:cs="Arial" w:eastAsia="Arial" w:hAnsi="Arial"/>
                <w:sz w:val="20"/>
                <w:szCs w:val="20"/>
                <w:color w:val="auto"/>
                <w:w w:val="92"/>
              </w:rPr>
              <w:t>Reclassification of gain on sale of investment to net income, net of tax expense of</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6"/>
        </w:trPr>
        <w:tc>
          <w:tcPr>
            <w:tcW w:w="6820" w:type="dxa"/>
            <w:vAlign w:val="bottom"/>
            <w:tcBorders>
              <w:bottom w:val="single" w:sz="8" w:color="CCEEFF"/>
            </w:tcBorders>
          </w:tcPr>
          <w:p>
            <w:pPr>
              <w:ind w:left="100"/>
              <w:spacing w:after="0"/>
              <w:rPr>
                <w:sz w:val="20"/>
                <w:szCs w:val="20"/>
                <w:color w:val="auto"/>
              </w:rPr>
            </w:pPr>
            <w:r>
              <w:rPr>
                <w:rFonts w:ascii="Arial" w:cs="Arial" w:eastAsia="Arial" w:hAnsi="Arial"/>
                <w:sz w:val="20"/>
                <w:szCs w:val="20"/>
                <w:color w:val="auto"/>
              </w:rPr>
              <w:t>$30 (1)</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w:t>
            </w:r>
          </w:p>
        </w:tc>
      </w:tr>
      <w:tr>
        <w:trPr>
          <w:trHeight w:val="230"/>
        </w:trPr>
        <w:tc>
          <w:tcPr>
            <w:tcW w:w="682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Comprehensive income</w:t>
            </w:r>
          </w:p>
        </w:tc>
        <w:tc>
          <w:tcPr>
            <w:tcW w:w="3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w w:val="91"/>
              </w:rPr>
              <w:t>191,988</w:t>
            </w:r>
          </w:p>
        </w:tc>
        <w:tc>
          <w:tcPr>
            <w:tcW w:w="110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$ 239,929</w:t>
            </w:r>
          </w:p>
        </w:tc>
        <w:tc>
          <w:tcPr>
            <w:tcW w:w="9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$ 234,164</w:t>
            </w:r>
          </w:p>
        </w:tc>
      </w:tr>
    </w:tbl>
    <w:p>
      <w:pPr>
        <w:spacing w:after="0" w:line="253" w:lineRule="exact"/>
        <w:rPr>
          <w:sz w:val="20"/>
          <w:szCs w:val="20"/>
          <w:color w:val="auto"/>
        </w:rPr>
      </w:pPr>
    </w:p>
    <w:p>
      <w:pPr>
        <w:ind w:left="4"/>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 w:right="320"/>
        <w:spacing w:after="0" w:line="246"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i w:val="1"/>
          <w:iCs w:val="1"/>
          <w:color w:val="auto"/>
        </w:rPr>
        <w:t>Note 1 – Summary of Significant Accounting Policies – Recent Accounting Pronouncements</w:t>
      </w:r>
      <w:r>
        <w:rPr>
          <w:rFonts w:ascii="Arial" w:cs="Arial" w:eastAsia="Arial" w:hAnsi="Arial"/>
          <w:sz w:val="20"/>
          <w:szCs w:val="20"/>
          <w:color w:val="auto"/>
        </w:rPr>
        <w:t xml:space="preserve"> for information on our adoption on January 1, 2018, of the FASB’s updated accounting guidance on the recognition and measurement of financial assets and financial liabilities, which results in the changes in fair value of certain equity investments measured at fair value being recognized in net income.</w:t>
      </w:r>
    </w:p>
    <w:p>
      <w:pPr>
        <w:spacing w:after="0" w:line="205" w:lineRule="exact"/>
        <w:rPr>
          <w:sz w:val="20"/>
          <w:szCs w:val="20"/>
          <w:color w:val="auto"/>
        </w:rPr>
      </w:pPr>
    </w:p>
    <w:p>
      <w:pPr>
        <w:ind w:left="4" w:right="20" w:hanging="4"/>
        <w:spacing w:after="0" w:line="260" w:lineRule="auto"/>
        <w:tabs>
          <w:tab w:leader="none" w:pos="284" w:val="left"/>
        </w:tabs>
        <w:numPr>
          <w:ilvl w:val="0"/>
          <w:numId w:val="45"/>
        </w:numPr>
        <w:rPr>
          <w:rFonts w:ascii="Arial" w:cs="Arial" w:eastAsia="Arial" w:hAnsi="Arial"/>
          <w:sz w:val="20"/>
          <w:szCs w:val="20"/>
          <w:color w:val="auto"/>
        </w:rPr>
      </w:pPr>
      <w:r>
        <w:rPr>
          <w:rFonts w:ascii="Arial" w:cs="Arial" w:eastAsia="Arial" w:hAnsi="Arial"/>
          <w:sz w:val="20"/>
          <w:szCs w:val="20"/>
          <w:color w:val="auto"/>
        </w:rPr>
        <w:t>Amount of pre-tax gain of $87 reclassified from accumulated other comprehensive income to gain on sale of other assets on the consolidated statement of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CAPITALIZATION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23"/>
        </w:trPr>
        <w:tc>
          <w:tcPr>
            <w:tcW w:w="4680" w:type="dxa"/>
            <w:vAlign w:val="bottom"/>
            <w:gridSpan w:val="5"/>
            <w:vMerge w:val="restart"/>
          </w:tcPr>
          <w:p>
            <w:pPr>
              <w:spacing w:after="0"/>
              <w:rPr>
                <w:sz w:val="20"/>
                <w:szCs w:val="20"/>
                <w:color w:val="auto"/>
              </w:rPr>
            </w:pPr>
            <w:r>
              <w:rPr>
                <w:rFonts w:ascii="Arial" w:cs="Arial" w:eastAsia="Arial" w:hAnsi="Arial"/>
                <w:sz w:val="20"/>
                <w:szCs w:val="20"/>
                <w:color w:val="auto"/>
              </w:rPr>
              <w:t>Aqua America stockholders' equity:</w:t>
            </w: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2018</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10"/>
        </w:trPr>
        <w:tc>
          <w:tcPr>
            <w:tcW w:w="4680" w:type="dxa"/>
            <w:vAlign w:val="bottom"/>
            <w:gridSpan w:val="5"/>
            <w:vMerge w:val="continue"/>
          </w:tcPr>
          <w:p>
            <w:pPr>
              <w:spacing w:after="0"/>
              <w:rPr>
                <w:sz w:val="18"/>
                <w:szCs w:val="18"/>
                <w:color w:val="auto"/>
              </w:rPr>
            </w:pP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4"/>
            <w:shd w:val="clear" w:color="auto" w:fill="CCEEFF"/>
          </w:tcPr>
          <w:p>
            <w:pPr>
              <w:ind w:left="80"/>
              <w:spacing w:after="0"/>
              <w:rPr>
                <w:sz w:val="20"/>
                <w:szCs w:val="20"/>
                <w:color w:val="auto"/>
              </w:rPr>
            </w:pPr>
            <w:r>
              <w:rPr>
                <w:rFonts w:ascii="Arial" w:cs="Arial" w:eastAsia="Arial" w:hAnsi="Arial"/>
                <w:sz w:val="20"/>
                <w:szCs w:val="20"/>
                <w:color w:val="auto"/>
              </w:rPr>
              <w:t>Common stock, $.50 par value</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90,576</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4"/>
          </w:tcPr>
          <w:p>
            <w:pPr>
              <w:ind w:left="80"/>
              <w:spacing w:after="0"/>
              <w:rPr>
                <w:sz w:val="20"/>
                <w:szCs w:val="20"/>
                <w:color w:val="auto"/>
              </w:rPr>
            </w:pPr>
            <w:r>
              <w:rPr>
                <w:rFonts w:ascii="Arial" w:cs="Arial" w:eastAsia="Arial" w:hAnsi="Arial"/>
                <w:sz w:val="20"/>
                <w:szCs w:val="20"/>
                <w:color w:val="auto"/>
              </w:rPr>
              <w:t>Capital in excess of par value</w:t>
            </w: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820,378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807,135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Retained earnings</w:t>
            </w:r>
          </w:p>
        </w:tc>
        <w:tc>
          <w:tcPr>
            <w:tcW w:w="6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1,174,245</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1,132,556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gridSpan w:val="2"/>
          </w:tcPr>
          <w:p>
            <w:pPr>
              <w:ind w:left="80"/>
              <w:spacing w:after="0"/>
              <w:rPr>
                <w:sz w:val="20"/>
                <w:szCs w:val="20"/>
                <w:color w:val="auto"/>
              </w:rPr>
            </w:pPr>
            <w:r>
              <w:rPr>
                <w:rFonts w:ascii="Arial" w:cs="Arial" w:eastAsia="Arial" w:hAnsi="Arial"/>
                <w:sz w:val="20"/>
                <w:szCs w:val="20"/>
                <w:color w:val="auto"/>
                <w:w w:val="89"/>
              </w:rPr>
              <w:t>Treasury stock, at cost</w:t>
            </w:r>
          </w:p>
        </w:tc>
        <w:tc>
          <w:tcPr>
            <w:tcW w:w="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(75,835)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(73,280)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4"/>
            <w:shd w:val="clear" w:color="auto" w:fill="CCEEFF"/>
          </w:tcPr>
          <w:p>
            <w:pPr>
              <w:ind w:left="80"/>
              <w:spacing w:after="0"/>
              <w:rPr>
                <w:sz w:val="20"/>
                <w:szCs w:val="20"/>
                <w:color w:val="auto"/>
              </w:rPr>
            </w:pPr>
            <w:r>
              <w:rPr>
                <w:rFonts w:ascii="Arial" w:cs="Arial" w:eastAsia="Arial" w:hAnsi="Arial"/>
                <w:sz w:val="20"/>
                <w:szCs w:val="20"/>
                <w:color w:val="auto"/>
              </w:rPr>
              <w:t>Accumulated other comprehensive income</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CEEFF"/>
            </w:tcBorders>
            <w:gridSpan w:val="4"/>
          </w:tcPr>
          <w:p>
            <w:pPr>
              <w:spacing w:after="0" w:line="223" w:lineRule="exact"/>
              <w:rPr>
                <w:sz w:val="20"/>
                <w:szCs w:val="20"/>
                <w:color w:val="auto"/>
              </w:rPr>
            </w:pPr>
            <w:r>
              <w:rPr>
                <w:rFonts w:ascii="Arial" w:cs="Arial" w:eastAsia="Arial" w:hAnsi="Arial"/>
                <w:sz w:val="20"/>
                <w:szCs w:val="20"/>
                <w:color w:val="auto"/>
              </w:rPr>
              <w:t>Total stockholders' equity</w:t>
            </w:r>
          </w:p>
        </w:tc>
        <w:tc>
          <w:tcPr>
            <w:tcW w:w="16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2,009,364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1,957,621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20" w:type="dxa"/>
            <w:vAlign w:val="bottom"/>
            <w:gridSpan w:val="7"/>
          </w:tcPr>
          <w:p>
            <w:pPr>
              <w:spacing w:after="0"/>
              <w:rPr>
                <w:sz w:val="20"/>
                <w:szCs w:val="20"/>
                <w:color w:val="auto"/>
              </w:rPr>
            </w:pPr>
            <w:r>
              <w:rPr>
                <w:rFonts w:ascii="Arial" w:cs="Arial" w:eastAsia="Arial" w:hAnsi="Arial"/>
                <w:sz w:val="20"/>
                <w:szCs w:val="20"/>
                <w:color w:val="auto"/>
              </w:rPr>
              <w:t>Long-term debt of subsidiaries (substantially collateralized by utility plant):</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4"/>
            <w:shd w:val="clear" w:color="auto" w:fill="CCEEFF"/>
          </w:tcPr>
          <w:p>
            <w:pPr>
              <w:ind w:left="1000"/>
              <w:spacing w:after="0" w:line="189" w:lineRule="exact"/>
              <w:rPr>
                <w:sz w:val="20"/>
                <w:szCs w:val="20"/>
                <w:color w:val="auto"/>
              </w:rPr>
            </w:pPr>
            <w:r>
              <w:rPr>
                <w:rFonts w:ascii="Arial" w:cs="Arial" w:eastAsia="Arial" w:hAnsi="Arial"/>
                <w:sz w:val="20"/>
                <w:szCs w:val="20"/>
                <w:color w:val="auto"/>
              </w:rPr>
              <w:t>Interest Rate Range</w:t>
            </w:r>
          </w:p>
        </w:tc>
        <w:tc>
          <w:tcPr>
            <w:tcW w:w="2740" w:type="dxa"/>
            <w:vAlign w:val="bottom"/>
            <w:gridSpan w:val="2"/>
            <w:shd w:val="clear" w:color="auto" w:fill="CCEEFF"/>
          </w:tcPr>
          <w:p>
            <w:pPr>
              <w:jc w:val="center"/>
              <w:ind w:right="1080"/>
              <w:spacing w:after="0" w:line="189" w:lineRule="exact"/>
              <w:rPr>
                <w:sz w:val="20"/>
                <w:szCs w:val="20"/>
                <w:color w:val="auto"/>
              </w:rPr>
            </w:pPr>
            <w:r>
              <w:rPr>
                <w:rFonts w:ascii="Arial" w:cs="Arial" w:eastAsia="Arial" w:hAnsi="Arial"/>
                <w:sz w:val="20"/>
                <w:szCs w:val="20"/>
                <w:color w:val="auto"/>
                <w:w w:val="90"/>
              </w:rPr>
              <w:t>Maturity Date Range</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0.00% to</w:t>
            </w: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0.99%</w:t>
            </w:r>
          </w:p>
        </w:tc>
        <w:tc>
          <w:tcPr>
            <w:tcW w:w="2100" w:type="dxa"/>
            <w:vAlign w:val="bottom"/>
            <w:tcBorders>
              <w:top w:val="single" w:sz="8" w:color="CCEEFF"/>
            </w:tcBorders>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2023 to 2033</w:t>
            </w:r>
          </w:p>
        </w:tc>
        <w:tc>
          <w:tcPr>
            <w:tcW w:w="10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ind w:right="1"/>
              <w:spacing w:after="0"/>
              <w:rPr>
                <w:sz w:val="20"/>
                <w:szCs w:val="20"/>
                <w:color w:val="auto"/>
              </w:rPr>
            </w:pPr>
            <w:r>
              <w:rPr>
                <w:rFonts w:ascii="Arial" w:cs="Arial" w:eastAsia="Arial" w:hAnsi="Arial"/>
                <w:sz w:val="20"/>
                <w:szCs w:val="20"/>
                <w:color w:val="auto"/>
              </w:rPr>
              <w:t>3,732</w:t>
            </w:r>
          </w:p>
        </w:tc>
        <w:tc>
          <w:tcPr>
            <w:tcW w:w="3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20"/>
                <w:szCs w:val="20"/>
                <w:color w:val="auto"/>
              </w:rPr>
              <w:t>4,196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 to</w:t>
            </w:r>
          </w:p>
        </w:tc>
        <w:tc>
          <w:tcPr>
            <w:tcW w:w="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1.99%</w:t>
            </w:r>
          </w:p>
        </w:tc>
        <w:tc>
          <w:tcPr>
            <w:tcW w:w="2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ind w:right="1100"/>
              <w:spacing w:after="0"/>
              <w:rPr>
                <w:sz w:val="20"/>
                <w:szCs w:val="20"/>
                <w:color w:val="auto"/>
              </w:rPr>
            </w:pPr>
            <w:r>
              <w:rPr>
                <w:rFonts w:ascii="Arial" w:cs="Arial" w:eastAsia="Arial" w:hAnsi="Arial"/>
                <w:sz w:val="20"/>
                <w:szCs w:val="20"/>
                <w:color w:val="auto"/>
                <w:w w:val="89"/>
              </w:rPr>
              <w:t>2019 to 2035</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11,588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2.00% to</w:t>
            </w:r>
          </w:p>
        </w:tc>
        <w:tc>
          <w:tcPr>
            <w:tcW w:w="660" w:type="dxa"/>
            <w:vAlign w:val="bottom"/>
          </w:tcPr>
          <w:p>
            <w:pPr>
              <w:ind w:left="40"/>
              <w:spacing w:after="0"/>
              <w:rPr>
                <w:sz w:val="20"/>
                <w:szCs w:val="20"/>
                <w:color w:val="auto"/>
              </w:rPr>
            </w:pPr>
            <w:r>
              <w:rPr>
                <w:rFonts w:ascii="Arial" w:cs="Arial" w:eastAsia="Arial" w:hAnsi="Arial"/>
                <w:sz w:val="20"/>
                <w:szCs w:val="20"/>
                <w:color w:val="auto"/>
              </w:rPr>
              <w:t>2.99%</w:t>
            </w:r>
          </w:p>
        </w:tc>
        <w:tc>
          <w:tcPr>
            <w:tcW w:w="2100" w:type="dxa"/>
            <w:vAlign w:val="bottom"/>
          </w:tcPr>
          <w:p>
            <w:pPr>
              <w:spacing w:after="0"/>
              <w:rPr>
                <w:sz w:val="19"/>
                <w:szCs w:val="19"/>
                <w:color w:val="auto"/>
              </w:rPr>
            </w:pPr>
          </w:p>
        </w:tc>
        <w:tc>
          <w:tcPr>
            <w:tcW w:w="2740" w:type="dxa"/>
            <w:vAlign w:val="bottom"/>
            <w:gridSpan w:val="2"/>
          </w:tcPr>
          <w:p>
            <w:pPr>
              <w:jc w:val="center"/>
              <w:ind w:right="1100"/>
              <w:spacing w:after="0"/>
              <w:rPr>
                <w:sz w:val="20"/>
                <w:szCs w:val="20"/>
                <w:color w:val="auto"/>
              </w:rPr>
            </w:pPr>
            <w:r>
              <w:rPr>
                <w:rFonts w:ascii="Arial" w:cs="Arial" w:eastAsia="Arial" w:hAnsi="Arial"/>
                <w:sz w:val="20"/>
                <w:szCs w:val="20"/>
                <w:color w:val="auto"/>
                <w:w w:val="89"/>
              </w:rPr>
              <w:t>2019 to 2033</w:t>
            </w:r>
          </w:p>
        </w:tc>
        <w:tc>
          <w:tcPr>
            <w:tcW w:w="3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17,488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3.00% to</w:t>
            </w:r>
          </w:p>
        </w:tc>
        <w:tc>
          <w:tcPr>
            <w:tcW w:w="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3.99%</w:t>
            </w:r>
          </w:p>
        </w:tc>
        <w:tc>
          <w:tcPr>
            <w:tcW w:w="2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ind w:right="1100"/>
              <w:spacing w:after="0"/>
              <w:rPr>
                <w:sz w:val="20"/>
                <w:szCs w:val="20"/>
                <w:color w:val="auto"/>
              </w:rPr>
            </w:pPr>
            <w:r>
              <w:rPr>
                <w:rFonts w:ascii="Arial" w:cs="Arial" w:eastAsia="Arial" w:hAnsi="Arial"/>
                <w:sz w:val="20"/>
                <w:szCs w:val="20"/>
                <w:color w:val="auto"/>
                <w:w w:val="89"/>
              </w:rPr>
              <w:t>2019 to 2056</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497,426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475,232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4.00% to</w:t>
            </w:r>
          </w:p>
        </w:tc>
        <w:tc>
          <w:tcPr>
            <w:tcW w:w="660" w:type="dxa"/>
            <w:vAlign w:val="bottom"/>
          </w:tcPr>
          <w:p>
            <w:pPr>
              <w:ind w:left="40"/>
              <w:spacing w:after="0"/>
              <w:rPr>
                <w:sz w:val="20"/>
                <w:szCs w:val="20"/>
                <w:color w:val="auto"/>
              </w:rPr>
            </w:pPr>
            <w:r>
              <w:rPr>
                <w:rFonts w:ascii="Arial" w:cs="Arial" w:eastAsia="Arial" w:hAnsi="Arial"/>
                <w:sz w:val="20"/>
                <w:szCs w:val="20"/>
                <w:color w:val="auto"/>
              </w:rPr>
              <w:t>4.99%</w:t>
            </w:r>
          </w:p>
        </w:tc>
        <w:tc>
          <w:tcPr>
            <w:tcW w:w="2100" w:type="dxa"/>
            <w:vAlign w:val="bottom"/>
          </w:tcPr>
          <w:p>
            <w:pPr>
              <w:spacing w:after="0"/>
              <w:rPr>
                <w:sz w:val="19"/>
                <w:szCs w:val="19"/>
                <w:color w:val="auto"/>
              </w:rPr>
            </w:pPr>
          </w:p>
        </w:tc>
        <w:tc>
          <w:tcPr>
            <w:tcW w:w="2740" w:type="dxa"/>
            <w:vAlign w:val="bottom"/>
            <w:gridSpan w:val="2"/>
          </w:tcPr>
          <w:p>
            <w:pPr>
              <w:jc w:val="center"/>
              <w:ind w:right="1100"/>
              <w:spacing w:after="0"/>
              <w:rPr>
                <w:sz w:val="20"/>
                <w:szCs w:val="20"/>
                <w:color w:val="auto"/>
              </w:rPr>
            </w:pPr>
            <w:r>
              <w:rPr>
                <w:rFonts w:ascii="Arial" w:cs="Arial" w:eastAsia="Arial" w:hAnsi="Arial"/>
                <w:sz w:val="20"/>
                <w:szCs w:val="20"/>
                <w:color w:val="auto"/>
                <w:w w:val="89"/>
              </w:rPr>
              <w:t>2020 to 2057</w:t>
            </w:r>
          </w:p>
        </w:tc>
        <w:tc>
          <w:tcPr>
            <w:tcW w:w="3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831,066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631,599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 to</w:t>
            </w:r>
          </w:p>
        </w:tc>
        <w:tc>
          <w:tcPr>
            <w:tcW w:w="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5.99%</w:t>
            </w:r>
          </w:p>
        </w:tc>
        <w:tc>
          <w:tcPr>
            <w:tcW w:w="2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ind w:right="1100"/>
              <w:spacing w:after="0"/>
              <w:rPr>
                <w:sz w:val="20"/>
                <w:szCs w:val="20"/>
                <w:color w:val="auto"/>
              </w:rPr>
            </w:pPr>
            <w:r>
              <w:rPr>
                <w:rFonts w:ascii="Arial" w:cs="Arial" w:eastAsia="Arial" w:hAnsi="Arial"/>
                <w:sz w:val="20"/>
                <w:szCs w:val="20"/>
                <w:color w:val="auto"/>
                <w:w w:val="89"/>
              </w:rPr>
              <w:t>2019 to 2043</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154,788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205,578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6.00% to</w:t>
            </w:r>
          </w:p>
        </w:tc>
        <w:tc>
          <w:tcPr>
            <w:tcW w:w="660" w:type="dxa"/>
            <w:vAlign w:val="bottom"/>
          </w:tcPr>
          <w:p>
            <w:pPr>
              <w:ind w:left="40"/>
              <w:spacing w:after="0"/>
              <w:rPr>
                <w:sz w:val="20"/>
                <w:szCs w:val="20"/>
                <w:color w:val="auto"/>
              </w:rPr>
            </w:pPr>
            <w:r>
              <w:rPr>
                <w:rFonts w:ascii="Arial" w:cs="Arial" w:eastAsia="Arial" w:hAnsi="Arial"/>
                <w:sz w:val="20"/>
                <w:szCs w:val="20"/>
                <w:color w:val="auto"/>
              </w:rPr>
              <w:t>6.99%</w:t>
            </w:r>
          </w:p>
        </w:tc>
        <w:tc>
          <w:tcPr>
            <w:tcW w:w="2100" w:type="dxa"/>
            <w:vAlign w:val="bottom"/>
          </w:tcPr>
          <w:p>
            <w:pPr>
              <w:spacing w:after="0"/>
              <w:rPr>
                <w:sz w:val="19"/>
                <w:szCs w:val="19"/>
                <w:color w:val="auto"/>
              </w:rPr>
            </w:pPr>
          </w:p>
        </w:tc>
        <w:tc>
          <w:tcPr>
            <w:tcW w:w="2740" w:type="dxa"/>
            <w:vAlign w:val="bottom"/>
            <w:gridSpan w:val="2"/>
          </w:tcPr>
          <w:p>
            <w:pPr>
              <w:jc w:val="center"/>
              <w:ind w:right="1100"/>
              <w:spacing w:after="0"/>
              <w:rPr>
                <w:sz w:val="20"/>
                <w:szCs w:val="20"/>
                <w:color w:val="auto"/>
              </w:rPr>
            </w:pPr>
            <w:r>
              <w:rPr>
                <w:rFonts w:ascii="Arial" w:cs="Arial" w:eastAsia="Arial" w:hAnsi="Arial"/>
                <w:sz w:val="20"/>
                <w:szCs w:val="20"/>
                <w:color w:val="auto"/>
                <w:w w:val="89"/>
              </w:rPr>
              <w:t>2026 to 2036</w:t>
            </w:r>
          </w:p>
        </w:tc>
        <w:tc>
          <w:tcPr>
            <w:tcW w:w="3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31,000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7.00% to</w:t>
            </w:r>
          </w:p>
        </w:tc>
        <w:tc>
          <w:tcPr>
            <w:tcW w:w="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7.99%</w:t>
            </w:r>
          </w:p>
        </w:tc>
        <w:tc>
          <w:tcPr>
            <w:tcW w:w="2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ind w:right="1100"/>
              <w:spacing w:after="0"/>
              <w:rPr>
                <w:sz w:val="20"/>
                <w:szCs w:val="20"/>
                <w:color w:val="auto"/>
              </w:rPr>
            </w:pPr>
            <w:r>
              <w:rPr>
                <w:rFonts w:ascii="Arial" w:cs="Arial" w:eastAsia="Arial" w:hAnsi="Arial"/>
                <w:sz w:val="20"/>
                <w:szCs w:val="20"/>
                <w:color w:val="auto"/>
                <w:w w:val="89"/>
              </w:rPr>
              <w:t>2022 to 2027</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31,564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8.00% to</w:t>
            </w:r>
          </w:p>
        </w:tc>
        <w:tc>
          <w:tcPr>
            <w:tcW w:w="660" w:type="dxa"/>
            <w:vAlign w:val="bottom"/>
          </w:tcPr>
          <w:p>
            <w:pPr>
              <w:ind w:left="40"/>
              <w:spacing w:after="0"/>
              <w:rPr>
                <w:sz w:val="20"/>
                <w:szCs w:val="20"/>
                <w:color w:val="auto"/>
              </w:rPr>
            </w:pPr>
            <w:r>
              <w:rPr>
                <w:rFonts w:ascii="Arial" w:cs="Arial" w:eastAsia="Arial" w:hAnsi="Arial"/>
                <w:sz w:val="20"/>
                <w:szCs w:val="20"/>
                <w:color w:val="auto"/>
              </w:rPr>
              <w:t>8.99%</w:t>
            </w:r>
          </w:p>
        </w:tc>
        <w:tc>
          <w:tcPr>
            <w:tcW w:w="2100" w:type="dxa"/>
            <w:vAlign w:val="bottom"/>
          </w:tcPr>
          <w:p>
            <w:pPr>
              <w:spacing w:after="0"/>
              <w:rPr>
                <w:sz w:val="19"/>
                <w:szCs w:val="19"/>
                <w:color w:val="auto"/>
              </w:rPr>
            </w:pPr>
          </w:p>
        </w:tc>
        <w:tc>
          <w:tcPr>
            <w:tcW w:w="2740" w:type="dxa"/>
            <w:vAlign w:val="bottom"/>
            <w:gridSpan w:val="2"/>
          </w:tcPr>
          <w:p>
            <w:pPr>
              <w:jc w:val="center"/>
              <w:ind w:right="1100"/>
              <w:spacing w:after="0"/>
              <w:rPr>
                <w:sz w:val="20"/>
                <w:szCs w:val="20"/>
                <w:color w:val="auto"/>
              </w:rPr>
            </w:pPr>
            <w:r>
              <w:rPr>
                <w:rFonts w:ascii="Arial" w:cs="Arial" w:eastAsia="Arial" w:hAnsi="Arial"/>
                <w:sz w:val="20"/>
                <w:szCs w:val="20"/>
                <w:color w:val="auto"/>
                <w:w w:val="89"/>
              </w:rPr>
              <w:t>2021 to 2025</w:t>
            </w:r>
          </w:p>
        </w:tc>
        <w:tc>
          <w:tcPr>
            <w:tcW w:w="3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5,581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6,092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9.00% to</w:t>
            </w:r>
          </w:p>
        </w:tc>
        <w:tc>
          <w:tcPr>
            <w:tcW w:w="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9.99%</w:t>
            </w:r>
          </w:p>
        </w:tc>
        <w:tc>
          <w:tcPr>
            <w:tcW w:w="2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ind w:right="1100"/>
              <w:spacing w:after="0"/>
              <w:rPr>
                <w:sz w:val="20"/>
                <w:szCs w:val="20"/>
                <w:color w:val="auto"/>
              </w:rPr>
            </w:pPr>
            <w:r>
              <w:rPr>
                <w:rFonts w:ascii="Arial" w:cs="Arial" w:eastAsia="Arial" w:hAnsi="Arial"/>
                <w:sz w:val="20"/>
                <w:szCs w:val="20"/>
                <w:color w:val="auto"/>
                <w:w w:val="89"/>
              </w:rPr>
              <w:t>2020 to 2026</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20,000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w w:val="90"/>
              </w:rPr>
              <w:t>10.00% to</w:t>
            </w:r>
          </w:p>
        </w:tc>
        <w:tc>
          <w:tcPr>
            <w:tcW w:w="66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w w:val="88"/>
              </w:rPr>
              <w:t>10.99%</w:t>
            </w:r>
          </w:p>
        </w:tc>
        <w:tc>
          <w:tcPr>
            <w:tcW w:w="2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1,604,233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1,462,900</w:t>
            </w:r>
          </w:p>
        </w:tc>
        <w:tc>
          <w:tcPr>
            <w:tcW w:w="0" w:type="dxa"/>
            <w:vAlign w:val="bottom"/>
          </w:tcPr>
          <w:p>
            <w:pPr>
              <w:spacing w:after="0"/>
              <w:rPr>
                <w:sz w:val="1"/>
                <w:szCs w:val="1"/>
                <w:color w:val="auto"/>
              </w:rPr>
            </w:pPr>
          </w:p>
        </w:tc>
      </w:tr>
      <w:tr>
        <w:trPr>
          <w:trHeight w:val="483"/>
        </w:trPr>
        <w:tc>
          <w:tcPr>
            <w:tcW w:w="7420" w:type="dxa"/>
            <w:vAlign w:val="bottom"/>
            <w:gridSpan w:val="7"/>
          </w:tcPr>
          <w:p>
            <w:pPr>
              <w:spacing w:after="0"/>
              <w:rPr>
                <w:sz w:val="20"/>
                <w:szCs w:val="20"/>
                <w:color w:val="auto"/>
              </w:rPr>
            </w:pPr>
            <w:r>
              <w:rPr>
                <w:rFonts w:ascii="Arial" w:cs="Arial" w:eastAsia="Arial" w:hAnsi="Arial"/>
                <w:sz w:val="20"/>
                <w:szCs w:val="20"/>
                <w:color w:val="auto"/>
              </w:rPr>
              <w:t>Notes payable to bank under revolving credit agreement, variable rate, due 2023</w:t>
            </w:r>
          </w:p>
        </w:tc>
        <w:tc>
          <w:tcPr>
            <w:tcW w:w="36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370,000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60,000</w:t>
            </w:r>
          </w:p>
        </w:tc>
        <w:tc>
          <w:tcPr>
            <w:tcW w:w="0" w:type="dxa"/>
            <w:vAlign w:val="bottom"/>
          </w:tcPr>
          <w:p>
            <w:pPr>
              <w:spacing w:after="0"/>
              <w:rPr>
                <w:sz w:val="1"/>
                <w:szCs w:val="1"/>
                <w:color w:val="auto"/>
              </w:rPr>
            </w:pPr>
          </w:p>
        </w:tc>
      </w:tr>
      <w:tr>
        <w:trPr>
          <w:trHeight w:val="246"/>
        </w:trPr>
        <w:tc>
          <w:tcPr>
            <w:tcW w:w="4680" w:type="dxa"/>
            <w:vAlign w:val="bottom"/>
            <w:gridSpan w:val="5"/>
          </w:tcPr>
          <w:p>
            <w:pPr>
              <w:spacing w:after="0"/>
              <w:rPr>
                <w:sz w:val="20"/>
                <w:szCs w:val="20"/>
                <w:color w:val="auto"/>
              </w:rPr>
            </w:pPr>
            <w:r>
              <w:rPr>
                <w:rFonts w:ascii="Arial" w:cs="Arial" w:eastAsia="Arial" w:hAnsi="Arial"/>
                <w:sz w:val="20"/>
                <w:szCs w:val="20"/>
                <w:color w:val="auto"/>
              </w:rPr>
              <w:t>Unsecured notes payable:</w:t>
            </w: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4"/>
            <w:shd w:val="clear" w:color="auto" w:fill="CCEEFF"/>
          </w:tcPr>
          <w:p>
            <w:pPr>
              <w:ind w:left="80"/>
              <w:spacing w:after="0"/>
              <w:rPr>
                <w:sz w:val="20"/>
                <w:szCs w:val="20"/>
                <w:color w:val="auto"/>
              </w:rPr>
            </w:pPr>
            <w:r>
              <w:rPr>
                <w:rFonts w:ascii="Arial" w:cs="Arial" w:eastAsia="Arial" w:hAnsi="Arial"/>
                <w:sz w:val="20"/>
                <w:szCs w:val="20"/>
                <w:color w:val="auto"/>
                <w:w w:val="98"/>
              </w:rPr>
              <w:t>Bank notes at 2.48% and 3.50% due 2019 and 2020</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100,000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6"/>
          </w:tcPr>
          <w:p>
            <w:pPr>
              <w:ind w:left="80"/>
              <w:spacing w:after="0"/>
              <w:rPr>
                <w:sz w:val="20"/>
                <w:szCs w:val="20"/>
                <w:color w:val="auto"/>
              </w:rPr>
            </w:pPr>
            <w:r>
              <w:rPr>
                <w:rFonts w:ascii="Arial" w:cs="Arial" w:eastAsia="Arial" w:hAnsi="Arial"/>
                <w:sz w:val="20"/>
                <w:szCs w:val="20"/>
                <w:color w:val="auto"/>
              </w:rPr>
              <w:t>Notes ranging from 3.01% to 3.59%, due 2027 through 2041</w:t>
            </w:r>
          </w:p>
        </w:tc>
        <w:tc>
          <w:tcPr>
            <w:tcW w:w="3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245,000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245,000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gridSpan w:val="6"/>
            <w:shd w:val="clear" w:color="auto" w:fill="CCEEFF"/>
          </w:tcPr>
          <w:p>
            <w:pPr>
              <w:ind w:left="80"/>
              <w:spacing w:after="0"/>
              <w:rPr>
                <w:sz w:val="20"/>
                <w:szCs w:val="20"/>
                <w:color w:val="auto"/>
              </w:rPr>
            </w:pPr>
            <w:r>
              <w:rPr>
                <w:rFonts w:ascii="Arial" w:cs="Arial" w:eastAsia="Arial" w:hAnsi="Arial"/>
                <w:sz w:val="20"/>
                <w:szCs w:val="20"/>
                <w:color w:val="auto"/>
              </w:rPr>
              <w:t>Notes ranging from 4.62% to 4.87%, due 2019 through 2024</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112,000</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122,800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gridSpan w:val="6"/>
          </w:tcPr>
          <w:p>
            <w:pPr>
              <w:ind w:left="80"/>
              <w:spacing w:after="0"/>
              <w:rPr>
                <w:sz w:val="20"/>
                <w:szCs w:val="20"/>
                <w:color w:val="auto"/>
              </w:rPr>
            </w:pPr>
            <w:r>
              <w:rPr>
                <w:rFonts w:ascii="Arial" w:cs="Arial" w:eastAsia="Arial" w:hAnsi="Arial"/>
                <w:sz w:val="20"/>
                <w:szCs w:val="20"/>
                <w:color w:val="auto"/>
              </w:rPr>
              <w:t>Notes ranging from 5.20% to 5.95%, due 2020 through 2037</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132,427</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rPr>
              <w:t>Total long-term debt</w:t>
            </w:r>
          </w:p>
        </w:tc>
        <w:tc>
          <w:tcPr>
            <w:tcW w:w="6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2,563,660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2,143,127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000" w:type="dxa"/>
            <w:vAlign w:val="bottom"/>
          </w:tcPr>
          <w:p>
            <w:pPr>
              <w:spacing w:after="0"/>
              <w:rPr>
                <w:sz w:val="19"/>
                <w:szCs w:val="19"/>
                <w:color w:val="auto"/>
              </w:rPr>
            </w:pPr>
          </w:p>
        </w:tc>
        <w:tc>
          <w:tcPr>
            <w:tcW w:w="1560" w:type="dxa"/>
            <w:vAlign w:val="bottom"/>
            <w:gridSpan w:val="2"/>
          </w:tcPr>
          <w:p>
            <w:pPr>
              <w:spacing w:after="0"/>
              <w:rPr>
                <w:sz w:val="19"/>
                <w:szCs w:val="19"/>
                <w:color w:val="auto"/>
              </w:rPr>
            </w:pPr>
          </w:p>
        </w:tc>
        <w:tc>
          <w:tcPr>
            <w:tcW w:w="2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Current portion of long-term debt</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144,545</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113,769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4"/>
          </w:tcPr>
          <w:p>
            <w:pPr>
              <w:spacing w:after="0" w:line="223" w:lineRule="exact"/>
              <w:rPr>
                <w:sz w:val="20"/>
                <w:szCs w:val="20"/>
                <w:color w:val="auto"/>
              </w:rPr>
            </w:pPr>
            <w:r>
              <w:rPr>
                <w:rFonts w:ascii="Arial" w:cs="Arial" w:eastAsia="Arial" w:hAnsi="Arial"/>
                <w:sz w:val="20"/>
                <w:szCs w:val="20"/>
                <w:color w:val="auto"/>
              </w:rPr>
              <w:t>Long-term debt, excluding current portion</w:t>
            </w: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1"/>
              <w:spacing w:after="0" w:line="223" w:lineRule="exact"/>
              <w:rPr>
                <w:sz w:val="20"/>
                <w:szCs w:val="20"/>
                <w:color w:val="auto"/>
              </w:rPr>
            </w:pPr>
            <w:r>
              <w:rPr>
                <w:rFonts w:ascii="Arial" w:cs="Arial" w:eastAsia="Arial" w:hAnsi="Arial"/>
                <w:sz w:val="20"/>
                <w:szCs w:val="20"/>
                <w:color w:val="auto"/>
              </w:rPr>
              <w:t>2,419,115</w:t>
            </w:r>
          </w:p>
        </w:tc>
        <w:tc>
          <w:tcPr>
            <w:tcW w:w="30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Arial" w:cs="Arial" w:eastAsia="Arial" w:hAnsi="Arial"/>
                <w:sz w:val="20"/>
                <w:szCs w:val="20"/>
                <w:color w:val="auto"/>
              </w:rPr>
              <w:t>2,029,358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Less: debt issuance costs</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20,651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gridSpan w:val="6"/>
          </w:tcPr>
          <w:p>
            <w:pPr>
              <w:spacing w:after="0" w:line="223" w:lineRule="exact"/>
              <w:rPr>
                <w:sz w:val="20"/>
                <w:szCs w:val="20"/>
                <w:color w:val="auto"/>
              </w:rPr>
            </w:pPr>
            <w:r>
              <w:rPr>
                <w:rFonts w:ascii="Arial" w:cs="Arial" w:eastAsia="Arial" w:hAnsi="Arial"/>
                <w:sz w:val="20"/>
                <w:szCs w:val="20"/>
                <w:color w:val="auto"/>
              </w:rPr>
              <w:t>Long-term debt, excluding current portion, net of debt issuance costs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2,398,464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2,007,753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gridSpan w:val="3"/>
          </w:tcPr>
          <w:p>
            <w:pPr>
              <w:spacing w:after="0" w:line="223" w:lineRule="exact"/>
              <w:rPr>
                <w:sz w:val="20"/>
                <w:szCs w:val="20"/>
                <w:color w:val="auto"/>
              </w:rPr>
            </w:pPr>
            <w:r>
              <w:rPr>
                <w:rFonts w:ascii="Arial" w:cs="Arial" w:eastAsia="Arial" w:hAnsi="Arial"/>
                <w:sz w:val="20"/>
                <w:szCs w:val="20"/>
                <w:color w:val="auto"/>
              </w:rPr>
              <w:t>Total capitalization</w:t>
            </w:r>
          </w:p>
        </w:tc>
        <w:tc>
          <w:tcPr>
            <w:tcW w:w="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4,407,828</w:t>
            </w:r>
          </w:p>
        </w:tc>
        <w:tc>
          <w:tcPr>
            <w:tcW w:w="3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3,965,374</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Accumulated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w w:val="95"/>
              </w:rPr>
              <w:t>Capital in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4"/>
              </w:rPr>
              <w:t>Other</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w w:val="95"/>
              </w:rPr>
              <w:t>Common</w:t>
            </w:r>
          </w:p>
        </w:tc>
        <w:tc>
          <w:tcPr>
            <w:tcW w:w="16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w w:val="91"/>
              </w:rPr>
              <w:t>excess of</w:t>
            </w:r>
          </w:p>
        </w:tc>
        <w:tc>
          <w:tcPr>
            <w:tcW w:w="220" w:type="dxa"/>
            <w:vAlign w:val="bottom"/>
          </w:tcPr>
          <w:p>
            <w:pPr>
              <w:spacing w:after="0"/>
              <w:rPr>
                <w:sz w:val="17"/>
                <w:szCs w:val="17"/>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w w:val="99"/>
              </w:rPr>
              <w:t>Retained</w:t>
            </w:r>
          </w:p>
        </w:tc>
        <w:tc>
          <w:tcPr>
            <w:tcW w:w="1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w w:val="91"/>
              </w:rPr>
              <w:t>Treasury</w:t>
            </w: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Comprehensive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3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stock</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4"/>
              </w:rPr>
              <w:t>par value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earnings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stock</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Income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Total</w:t>
            </w:r>
          </w:p>
        </w:tc>
      </w:tr>
      <w:tr>
        <w:trPr>
          <w:trHeight w:val="19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89,682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773,585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930,061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(68,085)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687</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1,725,930</w:t>
            </w:r>
          </w:p>
        </w:tc>
      </w:tr>
      <w:tr>
        <w:trPr>
          <w:trHeight w:val="213"/>
        </w:trPr>
        <w:tc>
          <w:tcPr>
            <w:tcW w:w="376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234,182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234,182</w:t>
            </w:r>
          </w:p>
        </w:tc>
      </w:tr>
      <w:tr>
        <w:trPr>
          <w:trHeight w:val="196"/>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Other comprehensive loss, net of income tax benefit of</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2"/>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3760" w:type="dxa"/>
            <w:vAlign w:val="bottom"/>
          </w:tcPr>
          <w:p>
            <w:pPr>
              <w:ind w:left="100"/>
              <w:spacing w:after="0"/>
              <w:rPr>
                <w:sz w:val="20"/>
                <w:szCs w:val="20"/>
                <w:color w:val="auto"/>
              </w:rPr>
            </w:pPr>
            <w:r>
              <w:rPr>
                <w:rFonts w:ascii="Arial" w:cs="Arial" w:eastAsia="Arial" w:hAnsi="Arial"/>
                <w:sz w:val="16"/>
                <w:szCs w:val="16"/>
                <w:color w:val="auto"/>
              </w:rPr>
              <w:t>Dividends declared ($0.7386 per share)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(130,923)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(130,923)</w:t>
            </w:r>
          </w:p>
        </w:tc>
      </w:tr>
      <w:tr>
        <w:trPr>
          <w:trHeight w:val="219"/>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issued for acquisition (439,943 shares)</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12,845</w:t>
            </w:r>
          </w:p>
        </w:tc>
      </w:tr>
      <w:tr>
        <w:trPr>
          <w:trHeight w:val="193"/>
        </w:trPr>
        <w:tc>
          <w:tcPr>
            <w:tcW w:w="3760" w:type="dxa"/>
            <w:vAlign w:val="bottom"/>
          </w:tcPr>
          <w:p>
            <w:pPr>
              <w:ind w:left="100"/>
              <w:spacing w:after="0"/>
              <w:rPr>
                <w:sz w:val="20"/>
                <w:szCs w:val="20"/>
                <w:color w:val="auto"/>
              </w:rPr>
            </w:pPr>
            <w:r>
              <w:rPr>
                <w:rFonts w:ascii="Arial" w:cs="Arial" w:eastAsia="Arial" w:hAnsi="Arial"/>
                <w:sz w:val="16"/>
                <w:szCs w:val="16"/>
                <w:color w:val="auto"/>
                <w:w w:val="92"/>
              </w:rPr>
              <w:t>Issuance of common stock under dividend reinvestment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9"/>
        </w:trPr>
        <w:tc>
          <w:tcPr>
            <w:tcW w:w="3760" w:type="dxa"/>
            <w:vAlign w:val="bottom"/>
          </w:tcPr>
          <w:p>
            <w:pPr>
              <w:ind w:left="100"/>
              <w:spacing w:after="0"/>
              <w:rPr>
                <w:sz w:val="20"/>
                <w:szCs w:val="20"/>
                <w:color w:val="auto"/>
              </w:rPr>
            </w:pPr>
            <w:r>
              <w:rPr>
                <w:rFonts w:ascii="Arial" w:cs="Arial" w:eastAsia="Arial" w:hAnsi="Arial"/>
                <w:sz w:val="16"/>
                <w:szCs w:val="16"/>
                <w:color w:val="auto"/>
              </w:rPr>
              <w:t>plan (47,478 shares)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1,388</w:t>
            </w:r>
          </w:p>
        </w:tc>
      </w:tr>
      <w:tr>
        <w:trPr>
          <w:trHeight w:val="219"/>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 of stock (97,400 shares)</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w:t>
            </w:r>
          </w:p>
        </w:tc>
      </w:tr>
      <w:tr>
        <w:trPr>
          <w:trHeight w:val="213"/>
        </w:trPr>
        <w:tc>
          <w:tcPr>
            <w:tcW w:w="3760" w:type="dxa"/>
            <w:vAlign w:val="bottom"/>
          </w:tcPr>
          <w:p>
            <w:pPr>
              <w:ind w:left="100"/>
              <w:spacing w:after="0"/>
              <w:rPr>
                <w:sz w:val="20"/>
                <w:szCs w:val="20"/>
                <w:color w:val="auto"/>
              </w:rPr>
            </w:pPr>
            <w:r>
              <w:rPr>
                <w:rFonts w:ascii="Arial" w:cs="Arial" w:eastAsia="Arial" w:hAnsi="Arial"/>
                <w:sz w:val="16"/>
                <w:szCs w:val="16"/>
                <w:color w:val="auto"/>
              </w:rPr>
              <w:t>Equity compensation plan (231,502 shares)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Exercise of stock options (228,762 shares)</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4,260</w:t>
            </w:r>
          </w:p>
        </w:tc>
      </w:tr>
      <w:tr>
        <w:trPr>
          <w:trHeight w:val="213"/>
        </w:trPr>
        <w:tc>
          <w:tcPr>
            <w:tcW w:w="376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5,390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4,914</w:t>
            </w:r>
          </w:p>
        </w:tc>
      </w:tr>
      <w:tr>
        <w:trPr>
          <w:trHeight w:val="219"/>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Employee stock plan tax benefits</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r>
      <w:tr>
        <w:trPr>
          <w:trHeight w:val="213"/>
        </w:trPr>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r>
      <w:tr>
        <w:trPr>
          <w:trHeight w:val="21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2016</w:t>
            </w: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90,155</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797,513</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1,032,844</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(71,113)</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669</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1,850,068</w:t>
            </w:r>
          </w:p>
        </w:tc>
      </w:tr>
      <w:tr>
        <w:trPr>
          <w:trHeight w:val="207"/>
        </w:trPr>
        <w:tc>
          <w:tcPr>
            <w:tcW w:w="376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239,738</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239,738</w:t>
            </w:r>
          </w:p>
        </w:tc>
      </w:tr>
      <w:tr>
        <w:trPr>
          <w:trHeight w:val="196"/>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comprehensive income, net of income tax of</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2"/>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3"/>
        </w:trPr>
        <w:tc>
          <w:tcPr>
            <w:tcW w:w="3760" w:type="dxa"/>
            <w:vAlign w:val="bottom"/>
          </w:tcPr>
          <w:p>
            <w:pPr>
              <w:ind w:left="100"/>
              <w:spacing w:after="0"/>
              <w:rPr>
                <w:sz w:val="20"/>
                <w:szCs w:val="20"/>
                <w:color w:val="auto"/>
              </w:rPr>
            </w:pPr>
            <w:r>
              <w:rPr>
                <w:rFonts w:ascii="Arial" w:cs="Arial" w:eastAsia="Arial" w:hAnsi="Arial"/>
                <w:sz w:val="16"/>
                <w:szCs w:val="16"/>
                <w:color w:val="auto"/>
              </w:rPr>
              <w:t>Dividends declared ($0.7920 per share)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(140,660)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(140,660)</w:t>
            </w:r>
          </w:p>
        </w:tc>
      </w:tr>
      <w:tr>
        <w:trPr>
          <w:trHeight w:val="196"/>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2"/>
              </w:rPr>
              <w:t>Issuance of common stock under dividend reinvestment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2"/>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plan (45,121 shares)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r>
      <w:tr>
        <w:trPr>
          <w:trHeight w:val="213"/>
        </w:trPr>
        <w:tc>
          <w:tcPr>
            <w:tcW w:w="3760" w:type="dxa"/>
            <w:vAlign w:val="bottom"/>
          </w:tcPr>
          <w:p>
            <w:pPr>
              <w:ind w:left="100"/>
              <w:spacing w:after="0"/>
              <w:rPr>
                <w:sz w:val="20"/>
                <w:szCs w:val="20"/>
                <w:color w:val="auto"/>
              </w:rPr>
            </w:pPr>
            <w:r>
              <w:rPr>
                <w:rFonts w:ascii="Arial" w:cs="Arial" w:eastAsia="Arial" w:hAnsi="Arial"/>
                <w:sz w:val="16"/>
                <w:szCs w:val="16"/>
                <w:color w:val="auto"/>
              </w:rPr>
              <w:t>Repurchase of stock (69,339 shares)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(2,167)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(2,167)</w:t>
            </w:r>
          </w:p>
        </w:tc>
      </w:tr>
      <w:tr>
        <w:trPr>
          <w:trHeight w:val="219"/>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compensation plan (169,258 shares)</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60" w:type="dxa"/>
            <w:vAlign w:val="bottom"/>
          </w:tcPr>
          <w:p>
            <w:pPr>
              <w:ind w:left="100"/>
              <w:spacing w:after="0"/>
              <w:rPr>
                <w:sz w:val="20"/>
                <w:szCs w:val="20"/>
                <w:color w:val="auto"/>
              </w:rPr>
            </w:pPr>
            <w:r>
              <w:rPr>
                <w:rFonts w:ascii="Arial" w:cs="Arial" w:eastAsia="Arial" w:hAnsi="Arial"/>
                <w:sz w:val="16"/>
                <w:szCs w:val="16"/>
                <w:color w:val="auto"/>
              </w:rPr>
              <w:t>Exercise of stock options (174,527 shares)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2,786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2,873</w:t>
            </w:r>
          </w:p>
        </w:tc>
      </w:tr>
      <w:tr>
        <w:trPr>
          <w:trHeight w:val="219"/>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5,994</w:t>
            </w:r>
          </w:p>
        </w:tc>
      </w:tr>
      <w:tr>
        <w:trPr>
          <w:trHeight w:val="193"/>
        </w:trPr>
        <w:tc>
          <w:tcPr>
            <w:tcW w:w="3760" w:type="dxa"/>
            <w:vAlign w:val="bottom"/>
          </w:tcPr>
          <w:p>
            <w:pPr>
              <w:ind w:left="100"/>
              <w:spacing w:after="0"/>
              <w:rPr>
                <w:sz w:val="20"/>
                <w:szCs w:val="20"/>
                <w:color w:val="auto"/>
              </w:rPr>
            </w:pPr>
            <w:r>
              <w:rPr>
                <w:rFonts w:ascii="Arial" w:cs="Arial" w:eastAsia="Arial" w:hAnsi="Arial"/>
                <w:sz w:val="16"/>
                <w:szCs w:val="16"/>
                <w:color w:val="auto"/>
                <w:w w:val="98"/>
              </w:rPr>
              <w:t>Cumulative effect of change in accounting principle -</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9"/>
        </w:trPr>
        <w:tc>
          <w:tcPr>
            <w:tcW w:w="3760" w:type="dxa"/>
            <w:vAlign w:val="bottom"/>
          </w:tcPr>
          <w:p>
            <w:pPr>
              <w:ind w:left="100"/>
              <w:spacing w:after="0"/>
              <w:rPr>
                <w:sz w:val="20"/>
                <w:szCs w:val="20"/>
                <w:color w:val="auto"/>
              </w:rPr>
            </w:pPr>
            <w:r>
              <w:rPr>
                <w:rFonts w:ascii="Arial" w:cs="Arial" w:eastAsia="Arial" w:hAnsi="Arial"/>
                <w:sz w:val="16"/>
                <w:szCs w:val="16"/>
                <w:color w:val="auto"/>
              </w:rPr>
              <w:t>windfall tax benefit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219"/>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r>
      <w:tr>
        <w:trPr>
          <w:trHeight w:val="207"/>
        </w:trPr>
        <w:tc>
          <w:tcPr>
            <w:tcW w:w="3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December 31, 2017</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90,350</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807,135</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1,132,556</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(73,280)</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860</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1,957,621</w:t>
            </w:r>
          </w:p>
        </w:tc>
      </w:tr>
      <w:tr>
        <w:trPr>
          <w:trHeight w:val="213"/>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191,988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191,988</w:t>
            </w:r>
          </w:p>
        </w:tc>
      </w:tr>
      <w:tr>
        <w:trPr>
          <w:trHeight w:val="213"/>
        </w:trPr>
        <w:tc>
          <w:tcPr>
            <w:tcW w:w="3760" w:type="dxa"/>
            <w:vAlign w:val="bottom"/>
          </w:tcPr>
          <w:p>
            <w:pPr>
              <w:ind w:left="100"/>
              <w:spacing w:after="0"/>
              <w:rPr>
                <w:sz w:val="20"/>
                <w:szCs w:val="20"/>
                <w:color w:val="auto"/>
              </w:rPr>
            </w:pPr>
            <w:r>
              <w:rPr>
                <w:rFonts w:ascii="Arial" w:cs="Arial" w:eastAsia="Arial" w:hAnsi="Arial"/>
                <w:sz w:val="16"/>
                <w:szCs w:val="16"/>
                <w:color w:val="auto"/>
              </w:rPr>
              <w:t>Dividends declared ($0.8474 per share)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(150,736)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(150,736)</w:t>
            </w:r>
          </w:p>
        </w:tc>
      </w:tr>
      <w:tr>
        <w:trPr>
          <w:trHeight w:val="196"/>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2"/>
              </w:rPr>
              <w:t>Issuance of common stock under dividend reinvestment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2"/>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plan (158,205 shares)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w:t>
            </w:r>
          </w:p>
        </w:tc>
      </w:tr>
      <w:tr>
        <w:trPr>
          <w:trHeight w:val="213"/>
        </w:trPr>
        <w:tc>
          <w:tcPr>
            <w:tcW w:w="3760" w:type="dxa"/>
            <w:vAlign w:val="bottom"/>
          </w:tcPr>
          <w:p>
            <w:pPr>
              <w:ind w:left="100"/>
              <w:spacing w:after="0"/>
              <w:rPr>
                <w:sz w:val="20"/>
                <w:szCs w:val="20"/>
                <w:color w:val="auto"/>
              </w:rPr>
            </w:pPr>
            <w:r>
              <w:rPr>
                <w:rFonts w:ascii="Arial" w:cs="Arial" w:eastAsia="Arial" w:hAnsi="Arial"/>
                <w:sz w:val="16"/>
                <w:szCs w:val="16"/>
                <w:color w:val="auto"/>
              </w:rPr>
              <w:t>Repurchase of stock (73,898 shares)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(2,555)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(2,555)</w:t>
            </w:r>
          </w:p>
        </w:tc>
      </w:tr>
      <w:tr>
        <w:trPr>
          <w:trHeight w:val="219"/>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compensation plan (201,563 shares)</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60" w:type="dxa"/>
            <w:vAlign w:val="bottom"/>
          </w:tcPr>
          <w:p>
            <w:pPr>
              <w:ind w:left="100"/>
              <w:spacing w:after="0"/>
              <w:rPr>
                <w:sz w:val="20"/>
                <w:szCs w:val="20"/>
                <w:color w:val="auto"/>
              </w:rPr>
            </w:pPr>
            <w:r>
              <w:rPr>
                <w:rFonts w:ascii="Arial" w:cs="Arial" w:eastAsia="Arial" w:hAnsi="Arial"/>
                <w:sz w:val="16"/>
                <w:szCs w:val="16"/>
                <w:color w:val="auto"/>
              </w:rPr>
              <w:t>Exercise of stock options (91,808 shares)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1,459</w:t>
            </w:r>
          </w:p>
        </w:tc>
      </w:tr>
      <w:tr>
        <w:trPr>
          <w:trHeight w:val="219"/>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7,144</w:t>
            </w:r>
          </w:p>
        </w:tc>
      </w:tr>
      <w:tr>
        <w:trPr>
          <w:trHeight w:val="193"/>
        </w:trPr>
        <w:tc>
          <w:tcPr>
            <w:tcW w:w="3760" w:type="dxa"/>
            <w:vAlign w:val="bottom"/>
          </w:tcPr>
          <w:p>
            <w:pPr>
              <w:ind w:left="100"/>
              <w:spacing w:after="0"/>
              <w:rPr>
                <w:sz w:val="20"/>
                <w:szCs w:val="20"/>
                <w:color w:val="auto"/>
              </w:rPr>
            </w:pPr>
            <w:r>
              <w:rPr>
                <w:rFonts w:ascii="Arial" w:cs="Arial" w:eastAsia="Arial" w:hAnsi="Arial"/>
                <w:sz w:val="16"/>
                <w:szCs w:val="16"/>
                <w:color w:val="auto"/>
                <w:w w:val="98"/>
              </w:rPr>
              <w:t>Cumulative effect of change in accounting principle -</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9"/>
        </w:trPr>
        <w:tc>
          <w:tcPr>
            <w:tcW w:w="3760" w:type="dxa"/>
            <w:vAlign w:val="bottom"/>
          </w:tcPr>
          <w:p>
            <w:pPr>
              <w:ind w:left="100"/>
              <w:spacing w:after="0"/>
              <w:rPr>
                <w:sz w:val="20"/>
                <w:szCs w:val="20"/>
                <w:color w:val="auto"/>
              </w:rPr>
            </w:pPr>
            <w:r>
              <w:rPr>
                <w:rFonts w:ascii="Arial" w:cs="Arial" w:eastAsia="Arial" w:hAnsi="Arial"/>
                <w:sz w:val="16"/>
                <w:szCs w:val="16"/>
                <w:color w:val="auto"/>
              </w:rPr>
              <w:t>financial instruments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860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90,576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820,378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1,174,245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2,009,364</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1" w:lineRule="exact"/>
        <w:rPr>
          <w:sz w:val="20"/>
          <w:szCs w:val="20"/>
          <w:color w:val="auto"/>
        </w:rPr>
      </w:pPr>
    </w:p>
    <w:p>
      <w:pPr>
        <w:jc w:val="both"/>
        <w:ind w:right="340"/>
        <w:spacing w:after="0" w:line="250"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i w:val="1"/>
          <w:iCs w:val="1"/>
          <w:color w:val="auto"/>
        </w:rPr>
        <w:t>Note 1 – Summary of Significant Accounting Policies – Recent Accounting Pronouncements</w:t>
      </w:r>
      <w:r>
        <w:rPr>
          <w:rFonts w:ascii="Arial" w:cs="Arial" w:eastAsia="Arial" w:hAnsi="Arial"/>
          <w:sz w:val="20"/>
          <w:szCs w:val="20"/>
          <w:color w:val="auto"/>
        </w:rPr>
        <w:t xml:space="preserve"> for information on our adoption on January 1, 2018, of the FASB’s updated accounting guidance on the recognition and measurement of financial assets and financial liabilities.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Years ended December 31,</w:t>
            </w:r>
          </w:p>
        </w:tc>
        <w:tc>
          <w:tcPr>
            <w:tcW w:w="700" w:type="dxa"/>
            <w:vAlign w:val="bottom"/>
            <w:tcBorders>
              <w:bottom w:val="single" w:sz="8" w:color="auto"/>
            </w:tcBorders>
          </w:tcPr>
          <w:p>
            <w:pPr>
              <w:spacing w:after="0"/>
              <w:rPr>
                <w:sz w:val="18"/>
                <w:szCs w:val="18"/>
                <w:color w:val="auto"/>
              </w:rPr>
            </w:pPr>
          </w:p>
        </w:tc>
      </w:tr>
      <w:tr>
        <w:trPr>
          <w:trHeight w:val="199"/>
        </w:trPr>
        <w:tc>
          <w:tcPr>
            <w:tcW w:w="68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2018</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2017</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2016</w:t>
            </w:r>
          </w:p>
        </w:tc>
      </w:tr>
      <w:tr>
        <w:trPr>
          <w:trHeight w:val="193"/>
        </w:trPr>
        <w:tc>
          <w:tcPr>
            <w:tcW w:w="688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191,988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239,738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234,182</w:t>
            </w: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146,673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136,724</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133,008</w:t>
            </w:r>
          </w:p>
        </w:tc>
      </w:tr>
      <w:tr>
        <w:trPr>
          <w:trHeight w:val="213"/>
        </w:trPr>
        <w:tc>
          <w:tcPr>
            <w:tcW w:w="688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(14,950)</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13,780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17,250</w:t>
            </w: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Provision for doubtful accounts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4,986</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w:t>
            </w:r>
          </w:p>
        </w:tc>
      </w:tr>
      <w:tr>
        <w:trPr>
          <w:trHeight w:val="213"/>
        </w:trPr>
        <w:tc>
          <w:tcPr>
            <w:tcW w:w="688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7,567</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6,342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5,390</w:t>
            </w: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(gain) on sale of utility system and market-based business unit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774</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13"/>
        </w:trPr>
        <w:tc>
          <w:tcPr>
            <w:tcW w:w="6880" w:type="dxa"/>
            <w:vAlign w:val="bottom"/>
          </w:tcPr>
          <w:p>
            <w:pPr>
              <w:ind w:left="100"/>
              <w:spacing w:after="0"/>
              <w:rPr>
                <w:sz w:val="20"/>
                <w:szCs w:val="20"/>
                <w:color w:val="auto"/>
              </w:rPr>
            </w:pPr>
            <w:r>
              <w:rPr>
                <w:rFonts w:ascii="Arial" w:cs="Arial" w:eastAsia="Arial" w:hAnsi="Arial"/>
                <w:sz w:val="16"/>
                <w:szCs w:val="16"/>
                <w:color w:val="auto"/>
              </w:rPr>
              <w:t>Gain on sale of other assets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rate swap agreements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80" w:type="dxa"/>
            <w:vAlign w:val="bottom"/>
          </w:tcPr>
          <w:p>
            <w:pPr>
              <w:ind w:left="100"/>
              <w:spacing w:after="0"/>
              <w:rPr>
                <w:sz w:val="20"/>
                <w:szCs w:val="20"/>
                <w:color w:val="auto"/>
              </w:rPr>
            </w:pPr>
            <w:r>
              <w:rPr>
                <w:rFonts w:ascii="Arial" w:cs="Arial" w:eastAsia="Arial" w:hAnsi="Arial"/>
                <w:sz w:val="16"/>
                <w:szCs w:val="16"/>
                <w:color w:val="auto"/>
              </w:rPr>
              <w:t>Net change in receivables, inventory and prepayments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(18,024)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(6,458)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(3,974)</w:t>
            </w: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4,756</w:t>
            </w:r>
          </w:p>
        </w:tc>
      </w:tr>
      <w:tr>
        <w:trPr>
          <w:trHeight w:val="213"/>
        </w:trPr>
        <w:tc>
          <w:tcPr>
            <w:tcW w:w="6880" w:type="dxa"/>
            <w:vAlign w:val="bottom"/>
          </w:tcPr>
          <w:p>
            <w:pPr>
              <w:ind w:left="100"/>
              <w:spacing w:after="0"/>
              <w:rPr>
                <w:sz w:val="20"/>
                <w:szCs w:val="20"/>
                <w:color w:val="auto"/>
              </w:rPr>
            </w:pPr>
            <w:r>
              <w:rPr>
                <w:rFonts w:ascii="Arial" w:cs="Arial" w:eastAsia="Arial" w:hAnsi="Arial"/>
                <w:sz w:val="16"/>
                <w:szCs w:val="16"/>
                <w:color w:val="auto"/>
              </w:rPr>
              <w:t>Pension and other postretirement benefits contributions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(14,216)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(16,240)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(9,505)</w:t>
            </w: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4,547</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2,919</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10,673</w:t>
            </w:r>
          </w:p>
        </w:tc>
      </w:tr>
      <w:tr>
        <w:trPr>
          <w:trHeight w:val="196"/>
        </w:trPr>
        <w:tc>
          <w:tcPr>
            <w:tcW w:w="6880" w:type="dxa"/>
            <w:vAlign w:val="bottom"/>
          </w:tcPr>
          <w:p>
            <w:pPr>
              <w:spacing w:after="0"/>
              <w:rPr>
                <w:sz w:val="20"/>
                <w:szCs w:val="20"/>
                <w:color w:val="auto"/>
              </w:rPr>
            </w:pPr>
            <w:r>
              <w:rPr>
                <w:rFonts w:ascii="Arial" w:cs="Arial" w:eastAsia="Arial" w:hAnsi="Arial"/>
                <w:sz w:val="16"/>
                <w:szCs w:val="16"/>
                <w:color w:val="auto"/>
              </w:rPr>
              <w:t>Net cash flows from operating activities</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368,522</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381,318</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396,163</w:t>
            </w:r>
          </w:p>
        </w:tc>
      </w:tr>
      <w:tr>
        <w:trPr>
          <w:trHeight w:val="193"/>
        </w:trPr>
        <w:tc>
          <w:tcPr>
            <w:tcW w:w="68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6"/>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Property, plant and equipment additions, including the debt component of allowance for funds used</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2"/>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during construction of $3,332, $3,578, and $2,220</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(495,737)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(478,089)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(382,996)</w:t>
            </w:r>
          </w:p>
        </w:tc>
      </w:tr>
      <w:tr>
        <w:trPr>
          <w:trHeight w:val="213"/>
        </w:trPr>
        <w:tc>
          <w:tcPr>
            <w:tcW w:w="6880" w:type="dxa"/>
            <w:vAlign w:val="bottom"/>
          </w:tcPr>
          <w:p>
            <w:pPr>
              <w:ind w:left="100"/>
              <w:spacing w:after="0"/>
              <w:rPr>
                <w:sz w:val="20"/>
                <w:szCs w:val="20"/>
                <w:color w:val="auto"/>
              </w:rPr>
            </w:pPr>
            <w:r>
              <w:rPr>
                <w:rFonts w:ascii="Arial" w:cs="Arial" w:eastAsia="Arial" w:hAnsi="Arial"/>
                <w:sz w:val="16"/>
                <w:szCs w:val="16"/>
                <w:color w:val="auto"/>
              </w:rPr>
              <w:t>Acquisitions of utility systems and other, net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(145,693)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(5,860)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(9,423)</w:t>
            </w: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proceeds from the sale of utility systems and other assets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1,342</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7,746</w:t>
            </w:r>
          </w:p>
        </w:tc>
      </w:tr>
      <w:tr>
        <w:trPr>
          <w:trHeight w:val="213"/>
        </w:trPr>
        <w:tc>
          <w:tcPr>
            <w:tcW w:w="68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2,223</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w:t>
            </w:r>
          </w:p>
        </w:tc>
      </w:tr>
      <w:tr>
        <w:trPr>
          <w:trHeight w:val="199"/>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used in investing activities</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(639,815)</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(480,384)</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(383,209)</w:t>
            </w:r>
          </w:p>
        </w:tc>
      </w:tr>
      <w:tr>
        <w:trPr>
          <w:trHeight w:val="193"/>
        </w:trPr>
        <w:tc>
          <w:tcPr>
            <w:tcW w:w="68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Customers' advances and contributions in aid of construction</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7,312</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7,263</w:t>
            </w:r>
          </w:p>
        </w:tc>
      </w:tr>
      <w:tr>
        <w:trPr>
          <w:trHeight w:val="213"/>
        </w:trPr>
        <w:tc>
          <w:tcPr>
            <w:tcW w:w="6880" w:type="dxa"/>
            <w:vAlign w:val="bottom"/>
          </w:tcPr>
          <w:p>
            <w:pPr>
              <w:ind w:left="100"/>
              <w:spacing w:after="0"/>
              <w:rPr>
                <w:sz w:val="20"/>
                <w:szCs w:val="20"/>
                <w:color w:val="auto"/>
              </w:rPr>
            </w:pPr>
            <w:r>
              <w:rPr>
                <w:rFonts w:ascii="Arial" w:cs="Arial" w:eastAsia="Arial" w:hAnsi="Arial"/>
                <w:sz w:val="16"/>
                <w:szCs w:val="16"/>
                <w:color w:val="auto"/>
              </w:rPr>
              <w:t>Repayments of customers' advances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(6,217)</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(6,536)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(3,763)</w:t>
            </w: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proceeds (repayments) of short-term debt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(10,186)</w:t>
            </w:r>
          </w:p>
        </w:tc>
      </w:tr>
      <w:tr>
        <w:trPr>
          <w:trHeight w:val="213"/>
        </w:trPr>
        <w:tc>
          <w:tcPr>
            <w:tcW w:w="6880" w:type="dxa"/>
            <w:vAlign w:val="bottom"/>
          </w:tcPr>
          <w:p>
            <w:pPr>
              <w:ind w:left="100"/>
              <w:spacing w:after="0"/>
              <w:rPr>
                <w:sz w:val="20"/>
                <w:szCs w:val="20"/>
                <w:color w:val="auto"/>
              </w:rPr>
            </w:pPr>
            <w:r>
              <w:rPr>
                <w:rFonts w:ascii="Arial" w:cs="Arial" w:eastAsia="Arial" w:hAnsi="Arial"/>
                <w:sz w:val="16"/>
                <w:szCs w:val="16"/>
                <w:color w:val="auto"/>
              </w:rPr>
              <w:t>Proceeds from long-term debt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1,331,868</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591,024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503,586</w:t>
            </w: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long-term debt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(914,125)</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(359,068)</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(373,087)</w:t>
            </w:r>
          </w:p>
        </w:tc>
      </w:tr>
      <w:tr>
        <w:trPr>
          <w:trHeight w:val="213"/>
        </w:trPr>
        <w:tc>
          <w:tcPr>
            <w:tcW w:w="6880" w:type="dxa"/>
            <w:vAlign w:val="bottom"/>
          </w:tcPr>
          <w:p>
            <w:pPr>
              <w:ind w:left="100"/>
              <w:spacing w:after="0"/>
              <w:rPr>
                <w:sz w:val="20"/>
                <w:szCs w:val="20"/>
                <w:color w:val="auto"/>
              </w:rPr>
            </w:pPr>
            <w:r>
              <w:rPr>
                <w:rFonts w:ascii="Arial" w:cs="Arial" w:eastAsia="Arial" w:hAnsi="Arial"/>
                <w:sz w:val="16"/>
                <w:szCs w:val="16"/>
                <w:color w:val="auto"/>
              </w:rPr>
              <w:t>Change in cash overdraft position</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(12,678)</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9,012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(8,076)</w:t>
            </w: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issuing common stock</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1,453</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r>
      <w:tr>
        <w:trPr>
          <w:trHeight w:val="213"/>
        </w:trPr>
        <w:tc>
          <w:tcPr>
            <w:tcW w:w="6880" w:type="dxa"/>
            <w:vAlign w:val="bottom"/>
          </w:tcPr>
          <w:p>
            <w:pPr>
              <w:ind w:left="100"/>
              <w:spacing w:after="0"/>
              <w:rPr>
                <w:sz w:val="20"/>
                <w:szCs w:val="20"/>
                <w:color w:val="auto"/>
              </w:rPr>
            </w:pPr>
            <w:r>
              <w:rPr>
                <w:rFonts w:ascii="Arial" w:cs="Arial" w:eastAsia="Arial" w:hAnsi="Arial"/>
                <w:sz w:val="16"/>
                <w:szCs w:val="16"/>
                <w:color w:val="auto"/>
              </w:rPr>
              <w:t>Proceeds from exercised stock options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1,459</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2,873</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4,260</w:t>
            </w: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 windfall tax benefits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r>
      <w:tr>
        <w:trPr>
          <w:trHeight w:val="213"/>
        </w:trPr>
        <w:tc>
          <w:tcPr>
            <w:tcW w:w="6880" w:type="dxa"/>
            <w:vAlign w:val="bottom"/>
          </w:tcPr>
          <w:p>
            <w:pPr>
              <w:ind w:left="100"/>
              <w:spacing w:after="0"/>
              <w:rPr>
                <w:sz w:val="20"/>
                <w:szCs w:val="20"/>
                <w:color w:val="auto"/>
              </w:rPr>
            </w:pPr>
            <w:r>
              <w:rPr>
                <w:rFonts w:ascii="Arial" w:cs="Arial" w:eastAsia="Arial" w:hAnsi="Arial"/>
                <w:sz w:val="16"/>
                <w:szCs w:val="16"/>
                <w:color w:val="auto"/>
              </w:rPr>
              <w:t>Repurchase of common stock</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(2,167)</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(3,028)</w:t>
            </w: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Dividends paid on common stock</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(150,736)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(140,660)</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(130,923)</w:t>
            </w:r>
          </w:p>
        </w:tc>
      </w:tr>
      <w:tr>
        <w:trPr>
          <w:trHeight w:val="213"/>
        </w:trPr>
        <w:tc>
          <w:tcPr>
            <w:tcW w:w="68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w:t>
            </w:r>
          </w:p>
        </w:tc>
      </w:tr>
      <w:tr>
        <w:trPr>
          <w:trHeight w:val="199"/>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from (used in) financing activities</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270,716</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99,507</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(12,420)</w:t>
            </w:r>
          </w:p>
        </w:tc>
      </w:tr>
      <w:tr>
        <w:trPr>
          <w:trHeight w:val="196"/>
        </w:trPr>
        <w:tc>
          <w:tcPr>
            <w:tcW w:w="688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(577)</w:t>
            </w:r>
          </w:p>
        </w:tc>
        <w:tc>
          <w:tcPr>
            <w:tcW w:w="2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4,204</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3,763</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w:t>
            </w: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Cash and cash equivalents at end of year</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4,204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3,763</w:t>
            </w:r>
          </w:p>
        </w:tc>
      </w:tr>
      <w:tr>
        <w:trPr>
          <w:trHeight w:val="200"/>
        </w:trPr>
        <w:tc>
          <w:tcPr>
            <w:tcW w:w="6880" w:type="dxa"/>
            <w:vAlign w:val="bottom"/>
          </w:tcPr>
          <w:p>
            <w:pPr>
              <w:spacing w:after="0"/>
              <w:rPr>
                <w:sz w:val="20"/>
                <w:szCs w:val="20"/>
                <w:color w:val="auto"/>
              </w:rPr>
            </w:pPr>
            <w:r>
              <w:rPr>
                <w:rFonts w:ascii="Arial" w:cs="Arial" w:eastAsia="Arial" w:hAnsi="Arial"/>
                <w:sz w:val="16"/>
                <w:szCs w:val="16"/>
                <w:color w:val="auto"/>
              </w:rPr>
              <w:t>Cash paid during the year for:</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net of amounts capitalized</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93,630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81,771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72,662</w:t>
            </w:r>
          </w:p>
        </w:tc>
      </w:tr>
      <w:tr>
        <w:trPr>
          <w:trHeight w:val="210"/>
        </w:trPr>
        <w:tc>
          <w:tcPr>
            <w:tcW w:w="6880" w:type="dxa"/>
            <w:vAlign w:val="bottom"/>
          </w:tcPr>
          <w:p>
            <w:pPr>
              <w:ind w:left="100"/>
              <w:spacing w:after="0"/>
              <w:rPr>
                <w:sz w:val="20"/>
                <w:szCs w:val="20"/>
                <w:color w:val="auto"/>
              </w:rPr>
            </w:pPr>
            <w:r>
              <w:rPr>
                <w:rFonts w:ascii="Arial" w:cs="Arial" w:eastAsia="Arial" w:hAnsi="Arial"/>
                <w:sz w:val="16"/>
                <w:szCs w:val="16"/>
                <w:color w:val="auto"/>
              </w:rPr>
              <w:t>Income taxes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2,103</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3,177</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2,739</w:t>
            </w:r>
          </w:p>
        </w:tc>
      </w:tr>
      <w:tr>
        <w:trPr>
          <w:trHeight w:val="219"/>
        </w:trPr>
        <w:tc>
          <w:tcPr>
            <w:tcW w:w="6880" w:type="dxa"/>
            <w:vAlign w:val="bottom"/>
          </w:tcPr>
          <w:p>
            <w:pPr>
              <w:spacing w:after="0"/>
              <w:rPr>
                <w:sz w:val="20"/>
                <w:szCs w:val="20"/>
                <w:color w:val="auto"/>
              </w:rPr>
            </w:pPr>
            <w:r>
              <w:rPr>
                <w:rFonts w:ascii="Arial" w:cs="Arial" w:eastAsia="Arial" w:hAnsi="Arial"/>
                <w:sz w:val="16"/>
                <w:szCs w:val="16"/>
                <w:color w:val="auto"/>
              </w:rPr>
              <w:t>Non-cash investing activities:</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plant and equipment additions purchased at the period end, but not yet paid</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65,285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45,385</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35,145</w:t>
            </w:r>
          </w:p>
        </w:tc>
      </w:tr>
      <w:tr>
        <w:trPr>
          <w:trHeight w:val="210"/>
        </w:trPr>
        <w:tc>
          <w:tcPr>
            <w:tcW w:w="6880" w:type="dxa"/>
            <w:vAlign w:val="bottom"/>
          </w:tcPr>
          <w:p>
            <w:pPr>
              <w:ind w:left="100"/>
              <w:spacing w:after="0"/>
              <w:rPr>
                <w:sz w:val="20"/>
                <w:szCs w:val="20"/>
                <w:color w:val="auto"/>
              </w:rPr>
            </w:pPr>
            <w:r>
              <w:rPr>
                <w:rFonts w:ascii="Arial" w:cs="Arial" w:eastAsia="Arial" w:hAnsi="Arial"/>
                <w:sz w:val="16"/>
                <w:szCs w:val="16"/>
                <w:color w:val="auto"/>
              </w:rPr>
              <w:t>Non-cash customer advances for construction</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24,660</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39,220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26,234</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1"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 xml:space="preserve">Refer to Note 2 – </w:t>
      </w:r>
      <w:r>
        <w:rPr>
          <w:rFonts w:ascii="Arial" w:cs="Arial" w:eastAsia="Arial" w:hAnsi="Arial"/>
          <w:sz w:val="20"/>
          <w:szCs w:val="20"/>
          <w:i w:val="1"/>
          <w:iCs w:val="1"/>
          <w:color w:val="auto"/>
        </w:rPr>
        <w:t>Acquisitions,</w:t>
      </w:r>
      <w:r>
        <w:rPr>
          <w:rFonts w:ascii="Arial" w:cs="Arial" w:eastAsia="Arial" w:hAnsi="Arial"/>
          <w:sz w:val="20"/>
          <w:szCs w:val="20"/>
          <w:color w:val="auto"/>
        </w:rPr>
        <w:t xml:space="preserve"> Note 10 – </w:t>
      </w:r>
      <w:r>
        <w:rPr>
          <w:rFonts w:ascii="Arial" w:cs="Arial" w:eastAsia="Arial" w:hAnsi="Arial"/>
          <w:sz w:val="20"/>
          <w:szCs w:val="20"/>
          <w:i w:val="1"/>
          <w:iCs w:val="1"/>
          <w:color w:val="auto"/>
        </w:rPr>
        <w:t>Long-term Debt and Loans Payable</w:t>
      </w:r>
      <w:r>
        <w:rPr>
          <w:rFonts w:ascii="Arial" w:cs="Arial" w:eastAsia="Arial" w:hAnsi="Arial"/>
          <w:sz w:val="20"/>
          <w:szCs w:val="20"/>
          <w:color w:val="auto"/>
        </w:rPr>
        <w:t xml:space="preserve">, and Note 14 – </w:t>
      </w:r>
      <w:r>
        <w:rPr>
          <w:rFonts w:ascii="Arial" w:cs="Arial" w:eastAsia="Arial" w:hAnsi="Arial"/>
          <w:sz w:val="20"/>
          <w:szCs w:val="20"/>
          <w:i w:val="1"/>
          <w:iCs w:val="1"/>
          <w:color w:val="auto"/>
        </w:rPr>
        <w:t>Employee Stock and Incentive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Plan </w:t>
      </w:r>
      <w:r>
        <w:rPr>
          <w:rFonts w:ascii="Arial" w:cs="Arial" w:eastAsia="Arial" w:hAnsi="Arial"/>
          <w:sz w:val="20"/>
          <w:szCs w:val="20"/>
          <w:color w:val="auto"/>
        </w:rPr>
        <w:t>for a description of non-cash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 – </w:t>
      </w:r>
      <w:r>
        <w:rPr>
          <w:rFonts w:ascii="Arial" w:cs="Arial" w:eastAsia="Arial" w:hAnsi="Arial"/>
          <w:sz w:val="20"/>
          <w:szCs w:val="20"/>
          <w:b w:val="1"/>
          <w:bCs w:val="1"/>
          <w:i w:val="1"/>
          <w:iCs w:val="1"/>
          <w:color w:val="auto"/>
        </w:rPr>
        <w:t>Summary of Significant Accounting Policies</w:t>
      </w:r>
    </w:p>
    <w:p>
      <w:pPr>
        <w:spacing w:after="0" w:line="23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 xml:space="preserve">Nature of Operations </w:t>
      </w:r>
      <w:r>
        <w:rPr>
          <w:rFonts w:ascii="Arial" w:cs="Arial" w:eastAsia="Arial" w:hAnsi="Arial"/>
          <w:sz w:val="18"/>
          <w:szCs w:val="18"/>
          <w:color w:val="auto"/>
        </w:rPr>
        <w:t>─ Aqua America, Inc. (“Aqua America,” the “Company,” “we,” “our”, or “us”) is the holding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regulated utilities providing water or wastewater services concentrated in Pennsylvania, Ohio, Texas, Illinois, North Carolina, New Jersey, Indiana, and Virginia. Our largest operating subsidiary is Aqua Pennsylvania, Inc., which accounted for approximately 53% of our operating revenues and approximately 71% of our Regulated segment’s income for 2018. As of December 31, 2018, Aqua Pennsylvania provided water or wastewater services to approximately one-half of the total number of people we serve. Aqua Pennsylvania’s service territory is located in the suburban areas north and west of the City of Philadelphia and in 27 other counties in Pennsylvania. The Company’s other regulated utility subsidiaries provide similar services in seven other states. In addition, the Company’s market-based activities are conducted through Aqua Infrastructure LLC and Aqua Resources, Inc. Aqua Infrastructure provides non-utility raw water supply services for firms in the natural gas drilling industry. Aqua Resources provides water services through operating and maintenance contracts with a municipal authority and another party close to our utility companies’ service territory; and offers, through a third-party, water and sewer line protection solutions and repair services to households. In 2017, we completed the sale of business units that were reported within the Company’s market-based subsidiary, Aqua Resources, one which installed and tested devices that prevent the contamination of potable water and another that constructed, maintained, and repaired water and wastewater systems. During 2016 we completed the sale of business units within Aqua Resources, which were reported as assets held for sale in the Company’s consolidated balance sheets, which provided liquid waste hauling and disposal services, and inspection, and cleaning and repair of storm and sanitary wastewater lines.</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Company has identified ten operating segments and has one reportable segment named the Regulated segment. The reportable segment is comprised of eight operating segments for our water and wastewater regulated utility companies which are organized by the states where we provide these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In addition, Aqua Resources and Aqua Infrastructure are not quantitatively significant to be reportable and are included as a component of “Other,” in addition to corporate costs that have not been allocated to the Regulated segment, because they would not be recoverable as a cost of utility service, and intersegment eliminations.</w:t>
      </w:r>
    </w:p>
    <w:p>
      <w:pPr>
        <w:spacing w:after="0" w:line="183"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b w:val="1"/>
          <w:bCs w:val="1"/>
          <w:i w:val="1"/>
          <w:iCs w:val="1"/>
          <w:color w:val="auto"/>
        </w:rPr>
        <w:t xml:space="preserve">Regulation </w:t>
      </w:r>
      <w:r>
        <w:rPr>
          <w:rFonts w:ascii="Arial" w:cs="Arial" w:eastAsia="Arial" w:hAnsi="Arial"/>
          <w:sz w:val="19"/>
          <w:szCs w:val="19"/>
          <w:color w:val="auto"/>
        </w:rPr>
        <w:t>─ Most of the operating companies that are regulated public utilities are subject to regulation by the utility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commissions of the states in which they operate. The respective utility commissions have jurisdiction with respect to rates, service, accounting procedures, issuance of securities, acquisitions and other matters. Some of the operating companies that are regulated public utilities are subject to rate regulation by county or city government. Regulated public utilities follow the Financial Accounting Standards Board’s (“FASB”) accounting guidance for regulated operations, which provides for the recognition of regulatory assets and liabilities as allowed by regulators for costs or credits that are reflected in current rates or are considered probable of being included in future rates. The regulatory assets or liabilities are then relieved as the cost or credit is reflected in rates.</w:t>
      </w:r>
    </w:p>
    <w:p>
      <w:pPr>
        <w:spacing w:after="0" w:line="195"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b w:val="1"/>
          <w:bCs w:val="1"/>
          <w:i w:val="1"/>
          <w:iCs w:val="1"/>
          <w:color w:val="auto"/>
        </w:rPr>
        <w:t xml:space="preserve">Use of Estimates in Preparation of Consolidated Financial Statements </w:t>
      </w:r>
      <w:r>
        <w:rPr>
          <w:rFonts w:ascii="Arial" w:cs="Arial" w:eastAsia="Arial" w:hAnsi="Arial"/>
          <w:sz w:val="19"/>
          <w:szCs w:val="19"/>
          <w:color w:val="auto"/>
        </w:rPr>
        <w:t>─ The preparation of consolidated financial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4"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 xml:space="preserve">Basis of Presentation – </w:t>
      </w:r>
      <w:r>
        <w:rPr>
          <w:rFonts w:ascii="Arial" w:cs="Arial" w:eastAsia="Arial" w:hAnsi="Arial"/>
          <w:sz w:val="18"/>
          <w:szCs w:val="18"/>
          <w:color w:val="auto"/>
        </w:rPr>
        <w:t>The consolidated financial statements include the accounts of the Company and its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intercompany accounts and transactions have been eliminated. Certain prior period amounts have been reclassified to conform to the current period presentation in the consolidated statements of net income as a result of the adoption, in 2018, of the Financial Accounting Standards Board’s (“FASB”) accounting guidance on the presentation of net periodic pension and postretirement benefit cost (refer to Note 1 –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b w:val="1"/>
          <w:bCs w:val="1"/>
          <w:i w:val="1"/>
          <w:iCs w:val="1"/>
          <w:color w:val="auto"/>
        </w:rPr>
        <w:t xml:space="preserve">Recognition of Revenues </w:t>
      </w:r>
      <w:r>
        <w:rPr>
          <w:rFonts w:ascii="Arial" w:cs="Arial" w:eastAsia="Arial" w:hAnsi="Arial"/>
          <w:sz w:val="18"/>
          <w:szCs w:val="18"/>
          <w:color w:val="auto"/>
        </w:rPr>
        <w:t>─ The Company recognizes revenue as water and wastewater services are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which happens over time as the service is delivered and the performance obligation is satisfied. The Company’s utility revenues recognized in an accounting period include amounts billed to customers on a cycle basis and unbilled amounts based on estimated usage from the last billing to the end of the accounting period. Unbilled amounts are calculated by deriving estimates based on average usage of the prior month. The Company’s actual results could differ from these estimates, which would result in operating revenues being adjusted in the period that the revision to our estimates is determined. Unbilled amounts are included in accounts receivable and unbilled revenues, net on the consolidated balance sheet.</w:t>
      </w:r>
    </w:p>
    <w:p>
      <w:pPr>
        <w:spacing w:after="0" w:line="183"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Generally, payment is due within 30 days once a bill is issued to a customer. Sales tax and other taxes we collect on behalf of government authorities, concurrent with our revenue-producing activities, are primarily excluded from revenue. The Company has determined that its revenue recognition is not materially different under the FASB’s new accounting standard for revenue from contracts with customers. The Company’s revenues are being reported identical in the consolidated statements of net income to how they were reported under the FASB’s former accounting standard for revenue recognition. The following table presents our revenues disaggregated by major source and customer class:</w:t>
      </w:r>
    </w:p>
    <w:p>
      <w:pPr>
        <w:spacing w:after="0" w:line="260"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rPr>
              <w:t>2018</w:t>
            </w:r>
          </w:p>
        </w:tc>
        <w:tc>
          <w:tcPr>
            <w:tcW w:w="2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vMerge w:val="restart"/>
          </w:tcPr>
          <w:p>
            <w:pPr>
              <w:spacing w:after="0"/>
              <w:rPr>
                <w:sz w:val="20"/>
                <w:szCs w:val="20"/>
                <w:color w:val="auto"/>
              </w:rPr>
            </w:pPr>
            <w:r>
              <w:rPr>
                <w:rFonts w:ascii="Arial" w:cs="Arial" w:eastAsia="Arial" w:hAnsi="Arial"/>
                <w:sz w:val="18"/>
                <w:szCs w:val="18"/>
                <w:color w:val="auto"/>
              </w:rPr>
              <w:t>Revenues from contracts with customers:</w:t>
            </w:r>
          </w:p>
        </w:tc>
        <w:tc>
          <w:tcPr>
            <w:tcW w:w="18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Water Revenues</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8"/>
              </w:rPr>
              <w:t>Wastewater Revenues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Other Revenues</w:t>
            </w:r>
          </w:p>
        </w:tc>
        <w:tc>
          <w:tcPr>
            <w:tcW w:w="0" w:type="dxa"/>
            <w:vAlign w:val="bottom"/>
          </w:tcPr>
          <w:p>
            <w:pPr>
              <w:spacing w:after="0"/>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Residential</w:t>
            </w:r>
          </w:p>
        </w:tc>
        <w:tc>
          <w:tcPr>
            <w:tcW w:w="6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482,946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73,418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100"/>
              <w:spacing w:after="0"/>
              <w:rPr>
                <w:sz w:val="20"/>
                <w:szCs w:val="20"/>
                <w:color w:val="auto"/>
              </w:rPr>
            </w:pPr>
            <w:r>
              <w:rPr>
                <w:rFonts w:ascii="Arial" w:cs="Arial" w:eastAsia="Arial" w:hAnsi="Arial"/>
                <w:sz w:val="18"/>
                <w:szCs w:val="18"/>
                <w:color w:val="auto"/>
              </w:rPr>
              <w:t>Commercial</w:t>
            </w:r>
          </w:p>
        </w:tc>
        <w:tc>
          <w:tcPr>
            <w:tcW w:w="68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133,753</w:t>
            </w:r>
          </w:p>
        </w:tc>
        <w:tc>
          <w:tcPr>
            <w:tcW w:w="220" w:type="dxa"/>
            <w:vAlign w:val="bottom"/>
          </w:tcPr>
          <w:p>
            <w:pPr>
              <w:spacing w:after="0"/>
              <w:rPr>
                <w:sz w:val="19"/>
                <w:szCs w:val="19"/>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13,147</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Fire protection</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32,236</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100"/>
              <w:spacing w:after="0"/>
              <w:rPr>
                <w:sz w:val="20"/>
                <w:szCs w:val="20"/>
                <w:color w:val="auto"/>
              </w:rPr>
            </w:pPr>
            <w:r>
              <w:rPr>
                <w:rFonts w:ascii="Arial" w:cs="Arial" w:eastAsia="Arial" w:hAnsi="Arial"/>
                <w:sz w:val="18"/>
                <w:szCs w:val="18"/>
                <w:color w:val="auto"/>
              </w:rPr>
              <w:t>Industrial</w:t>
            </w:r>
          </w:p>
        </w:tc>
        <w:tc>
          <w:tcPr>
            <w:tcW w:w="68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28,848</w:t>
            </w:r>
          </w:p>
        </w:tc>
        <w:tc>
          <w:tcPr>
            <w:tcW w:w="220" w:type="dxa"/>
            <w:vAlign w:val="bottom"/>
          </w:tcPr>
          <w:p>
            <w:pPr>
              <w:spacing w:after="0"/>
              <w:rPr>
                <w:sz w:val="19"/>
                <w:szCs w:val="19"/>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1,857</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water</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53,658</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100"/>
              <w:spacing w:after="0"/>
              <w:rPr>
                <w:sz w:val="20"/>
                <w:szCs w:val="20"/>
                <w:color w:val="auto"/>
              </w:rPr>
            </w:pPr>
            <w:r>
              <w:rPr>
                <w:rFonts w:ascii="Arial" w:cs="Arial" w:eastAsia="Arial" w:hAnsi="Arial"/>
                <w:sz w:val="18"/>
                <w:szCs w:val="18"/>
                <w:color w:val="auto"/>
              </w:rPr>
              <w:t>Other wastewater</w:t>
            </w:r>
          </w:p>
        </w:tc>
        <w:tc>
          <w:tcPr>
            <w:tcW w:w="68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5,748</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utility</w:t>
            </w:r>
          </w:p>
        </w:tc>
        <w:tc>
          <w:tcPr>
            <w:tcW w:w="6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Revenues from contracts with customers</w:t>
            </w:r>
          </w:p>
        </w:tc>
        <w:tc>
          <w:tcPr>
            <w:tcW w:w="6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731,441</w:t>
            </w:r>
          </w:p>
        </w:tc>
        <w:tc>
          <w:tcPr>
            <w:tcW w:w="220" w:type="dxa"/>
            <w:vAlign w:val="bottom"/>
          </w:tcPr>
          <w:p>
            <w:pPr>
              <w:spacing w:after="0"/>
              <w:rPr>
                <w:sz w:val="18"/>
                <w:szCs w:val="18"/>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94,170</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Alternative revenue program</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and eliminations</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7"/>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6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730,733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94,478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 xml:space="preserve">Revenues from Contracts with Customers </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These revenues are composed of three main categories: water, wastewater, and other. Water revenues represent revenues earned for supplying customers with water service. Wastewater revenues represent revenues earned for treating wastewater and releasing it into the water supply. Other revenues are associated fees that relate to the regulated business but are not water and wastewater revenues. See description below for a discussion on the performance obligation for each of these revenue streams:</w:t>
      </w:r>
    </w:p>
    <w:p>
      <w:pPr>
        <w:spacing w:after="0" w:line="275" w:lineRule="exact"/>
        <w:rPr>
          <w:sz w:val="20"/>
          <w:szCs w:val="20"/>
          <w:color w:val="auto"/>
        </w:rPr>
      </w:pPr>
    </w:p>
    <w:p>
      <w:pPr>
        <w:ind w:left="640" w:right="40" w:hanging="320"/>
        <w:spacing w:after="0" w:line="214" w:lineRule="auto"/>
        <w:tabs>
          <w:tab w:leader="none" w:pos="6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Tariff Revenues </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These revenues are categorized by customer class: residential, commercial, fire protection, industrial, and other water and other wastewater. The rates that generate these revenues are approved by the respective state utility commission, and revenues are billed cyclically and accrued for when unbilled. Other water and other wastewater revenues consist primarily of fines, penalties, surcharges, and availability lot fees. Our performance obligation for tariff revenues is to provide potable water or wastewater treatment service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 The Company elected to use the right to invoice practical expedient for these revenues as the Company recognizes revenue in the amount for which the Company has the right to invoice the customer.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09" w:lineRule="exact"/>
        <w:rPr>
          <w:sz w:val="20"/>
          <w:szCs w:val="20"/>
          <w:color w:val="auto"/>
        </w:rPr>
      </w:pPr>
    </w:p>
    <w:p>
      <w:pPr>
        <w:ind w:left="640" w:right="40" w:hanging="320"/>
        <w:spacing w:after="0" w:line="207" w:lineRule="auto"/>
        <w:tabs>
          <w:tab w:leader="none" w:pos="6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Other Utility Revenues </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Other utility revenues represent revenues earned primarily from: antenna revenues, which represent 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The performance obligations vary for these revenues, but all are primarily recognized over time as the service is delivered.</w:t>
      </w:r>
    </w:p>
    <w:p>
      <w:pPr>
        <w:spacing w:after="0" w:line="268" w:lineRule="exact"/>
        <w:rPr>
          <w:rFonts w:ascii="Arial" w:cs="Arial" w:eastAsia="Arial" w:hAnsi="Arial"/>
          <w:sz w:val="20"/>
          <w:szCs w:val="20"/>
          <w:color w:val="auto"/>
        </w:rPr>
      </w:pPr>
    </w:p>
    <w:p>
      <w:pPr>
        <w:ind w:left="640" w:right="20" w:hanging="320"/>
        <w:spacing w:after="0" w:line="216" w:lineRule="auto"/>
        <w:tabs>
          <w:tab w:leader="none" w:pos="6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Alternative Revenue Program </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These revenues represent the difference between the actual billed utility water and wastewater revenues for Aqua Illinois and the revenues set in the last Aqua Illinois rate case. We recognize revenues based on the target amount established in the last rate case, and then record either a regulatory asset or liability based on the cumulative annual difference between the target and actual, which results in either a refund due to customers or a payment from customers. The cumulative annual difference is either refunded to customers or collected from customers over a nine-month period. This revenue program represents a contract between the utility and its regulators, not customers, and therefore is not within the scope of the FASB’s accounting guidance for recognizing revenue from contracts with customers.</w:t>
      </w:r>
    </w:p>
    <w:p>
      <w:pPr>
        <w:spacing w:after="0" w:line="263" w:lineRule="exact"/>
        <w:rPr>
          <w:rFonts w:ascii="Arial" w:cs="Arial" w:eastAsia="Arial" w:hAnsi="Arial"/>
          <w:sz w:val="19"/>
          <w:szCs w:val="19"/>
          <w:color w:val="auto"/>
        </w:rPr>
      </w:pPr>
    </w:p>
    <w:p>
      <w:pPr>
        <w:ind w:left="640" w:right="120" w:hanging="320"/>
        <w:spacing w:after="0" w:line="224"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Other and Eliminations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Other and eliminations consist of our market-based revenues, which comprises: Aqua Infrastructure and Aqua Resources (described below), and intercompany eliminations for revenue billed between our subsidiaries. Aqua Infrastructure is the holding company for our 49% investment in a joint venture that operates a private pipeline system to supply raw water to natural gas well drilling operations in the Marcellus Shale of north central Pennsylvania. The joint venture earns revenues through providing non-utility raw water supply services to natural gas drilling companies which enter into water supply contracts. The performance obligation is to deliver non-potable water to the joint venture’s customers. Aqua Infrastructure’s share of the revenues recognized by the joint venture is reflected, net, in equity earnings in joint venture on our consolidated statements of net income. Aqua Resources earns revenues by providing non-regulated water and wastewater services through operating and maintenance contracts, and third-party water and sewer service line repair. The performance obligations are performing agreed upon services in the contract, most commonly operation of third-party water or wastewater treatment services, or billing services, or allowing the use of our logo to a third-party water and sewer service line repair. Revenues are primarily recognized over time as service is delivered. The Company’s market-based subsidiaries recognized revenues of $3,590 in 2018, $4,798 in 2017, and $20,091 in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Property, Plant and Equipment and Depreciation </w:t>
      </w:r>
      <w:r>
        <w:rPr>
          <w:rFonts w:ascii="Arial" w:cs="Arial" w:eastAsia="Arial" w:hAnsi="Arial"/>
          <w:sz w:val="18"/>
          <w:szCs w:val="18"/>
          <w:color w:val="auto"/>
        </w:rPr>
        <w:t>─ Property, plant and equipment consist primarily of utility plant. The cost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of additions includes contracted cost, direct labor and fringe benefits, materials, overheads, and for additions meeting certain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criteria, allowance for funds used during construction. Water and wastewater systems acquired are typically recorded at</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estimated original cost of utility plant when first devoted to utility service and the applicable depreciation is recorded to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 Further, water and wastewater systems acquired under fair value regulations would be recorded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based on the valuation of the utility plant. The difference between the estimated original cost, less applicable accumulated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the purchase price is recorded as goodwill, or as an acquisition adjustment within utility plant as permitted by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applicable regulatory jurisdiction. At December 31, 2018, utility plant includes a net credit acquisition adjustment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$20,832, which is generally being amortized from 2 to 59 years. Amortization of the acquisition adjustments totaled $2,645 in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2018, $2,774 in 2017, and $2,223 in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Utility expenditures for maintenance and repairs, including major maintenance projects and minor renewals and betterments,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are charged to operating expenses when incurred in accordance with the system of accounts prescribed by the utility</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commissions of the states in which the company operates. The cost of new units of property and betterments are</w:t>
      </w:r>
    </w:p>
    <w:p>
      <w:pPr>
        <w:spacing w:after="0"/>
        <w:rPr>
          <w:sz w:val="20"/>
          <w:szCs w:val="20"/>
          <w:color w:val="auto"/>
        </w:rPr>
      </w:pPr>
      <w:r>
        <w:rPr>
          <w:rFonts w:ascii="Arial" w:cs="Arial" w:eastAsia="Arial" w:hAnsi="Arial"/>
          <w:sz w:val="18"/>
          <w:szCs w:val="18"/>
          <w:color w:val="auto"/>
        </w:rPr>
        <w:t>capitalized. Utility expenditures for water main cleaning and relining of pipes are deferred and recorded in net property, plant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and equipment in accordance with the FASB’s accounting guidance for regulated operations. As of December 31, 2018,</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$16,382 of these costs have been incurred since the last respective rate proceeding and the Company expects to recover these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costs in future rates.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5" w:right="9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The cost of software upgrades and enhancements are capitalized if they result in added functionality, which enables the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software to perform tasks it was previously incapable of performing. Information technology costs associated with major</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system installations, conversions and improvements, such as software training, data conversion and business process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reengineering costs, are deferred as a regulatory asset if the Company expects to recover these costs in future rates. If these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costs are not deferred, then these costs are charged to operating expenses when incurred. As of December 31, 2018,</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$34,614 of these costs have been deferred since the last respective rate proceeding as a regulatory asset, and the deferral is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reported as a component of net property, plant and equipment.</w:t>
      </w:r>
    </w:p>
    <w:p>
      <w:pPr>
        <w:spacing w:after="0" w:line="21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When units of utility property are replaced, retired or abandoned, the recorded value thereof is credited to the asset account and such value, together with the net cost of removal, is charged to accumulated depreciation. To the extent the Company anticipates recovery of the cost of removal or other retirement costs through rates after the retirement costs are incurred, a regulatory asset is recorded as those costs are incurred. In some cases, the Company recovers retirement costs through rates during the life of the associated asset and before the costs are incurred. These amounts, which are not yet utilized, result in a regulatory liability being reported based on the amounts previously recovered through customer rates.</w:t>
      </w:r>
    </w:p>
    <w:p>
      <w:pPr>
        <w:spacing w:after="0" w:line="17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The straight-line remaining life method is used to compute depreciation on utility plant. Generally, the straight-line method is used with respect to transportation and mechanical equipment, office equipment and laboratory equipment.</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Long-lived assets of the Company, which consist primarily of utility plant in service, regulatory assets, and investment in joint venture, are reviewed for impairment when changes in circumstances or events occur. These circumstances or events could include a disallowance of utility plant in service or regulatory assets by the respective utility commission,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the Company determines whether it is more likely than not that the fair value of those assets is less than their carrying amount. If the Company determines that it is more likely than not (that is, the likelihood of more than 50 percent), the Company would recognize an impairment charge if it is determined that the carrying amount of an asset exceeds the sum of the undiscounted estimated cash flows. In this circumstance, the Company would recognize an impairment charge equal to the difference between the carrying amount and the fair value of the asset. Fair value is estimated to be the present value of future net cash flows associated with the asset, discounted using a discount rate commensurate with the risk and remaining life of the asset. During the period there has been no change in circumstances or events that have occurred that require adjustments to the carrying values of the Company’s long-lived assets.</w:t>
      </w:r>
    </w:p>
    <w:p>
      <w:pPr>
        <w:spacing w:after="0" w:line="184"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b w:val="1"/>
          <w:bCs w:val="1"/>
          <w:i w:val="1"/>
          <w:iCs w:val="1"/>
          <w:color w:val="auto"/>
        </w:rPr>
        <w:t xml:space="preserve">Allowance for Funds Used During Construction </w:t>
      </w:r>
      <w:r>
        <w:rPr>
          <w:rFonts w:ascii="Arial" w:cs="Arial" w:eastAsia="Arial" w:hAnsi="Arial"/>
          <w:sz w:val="19"/>
          <w:szCs w:val="19"/>
          <w:color w:val="auto"/>
        </w:rPr>
        <w:t>─ The allowance for funds used during construction (“AFUDC”) represents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capitalized cost of funds used to finance the construction of utility plant. In general, AFUDC is applied to construction projects requiring more than one month to complete. No AFUDC is applied to projects funded by customer advances for construction, contributions in aid of construction, or applicable state-revolving fund loans. AFUDC includes the net cost of borrowed funds and a rate of return on other funds when used and is recovered through water rates as the utility plant is depreciated. The amount of AFUDC related to equity funds in 2018 was $9,691, 2017 was $11,633, and 2016 was $6,561. No interest was capitalized by our market-based businesses.</w:t>
      </w:r>
    </w:p>
    <w:p>
      <w:pPr>
        <w:spacing w:after="0" w:line="193"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i w:val="1"/>
          <w:iCs w:val="1"/>
          <w:color w:val="auto"/>
        </w:rPr>
        <w:t xml:space="preserve">Cash and Cash Equivalents </w:t>
      </w:r>
      <w:r>
        <w:rPr>
          <w:rFonts w:ascii="Arial" w:cs="Arial" w:eastAsia="Arial" w:hAnsi="Arial"/>
          <w:sz w:val="20"/>
          <w:szCs w:val="20"/>
          <w:color w:val="auto"/>
        </w:rPr>
        <w:t>─ The Company considers all highly liquid investments with an original maturity of three months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less, which are not restricted for construction activity, to be cash equivalents.</w:t>
      </w:r>
    </w:p>
    <w:p>
      <w:pPr>
        <w:spacing w:after="0" w:line="190"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The Company had a book overdraft, which represents transactions that have not cleared the bank accounts at the end of the period, for specific disbursement cash accounts of $8,950 and $21,629 at December 31, 2018 and 2017, respectively. The Company transfers cash on an as-needed basis to fund these items as they clear the bank in subsequent periods. The balance of the book overdraft is reported as book overdraft and the change in the book overdraft balance is reported as cash flows from financing activities, due to our ability to fund the overdraft with the Company’s credit facility.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i w:val="1"/>
          <w:iCs w:val="1"/>
          <w:color w:val="auto"/>
        </w:rPr>
        <w:t xml:space="preserve">Accounts Receivable </w:t>
      </w:r>
      <w:r>
        <w:rPr>
          <w:rFonts w:ascii="Arial" w:cs="Arial" w:eastAsia="Arial" w:hAnsi="Arial"/>
          <w:sz w:val="19"/>
          <w:szCs w:val="19"/>
          <w:color w:val="auto"/>
        </w:rPr>
        <w:t>─ Accounts receivable are recorded at the invoiced amounts, which consists of billed and unbilled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revenues. The allowance for doubtful accounts is the Company’s best estimate of the amount of probable credit losses in our existing accounts receivable and is determined based on historical write-off experience and the aging of account balances. The Company reviews the allowance for doubtful accounts quarterly. Account balances are written off against the allowance when it is probable the receivable will not be recovered. When utility customers request extended payment terms, credit is extended based on regulatory guidelines, and collateral is not required.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Inventories, Materials and Supplies </w:t>
      </w:r>
      <w:r>
        <w:rPr>
          <w:rFonts w:ascii="Arial" w:cs="Arial" w:eastAsia="Arial" w:hAnsi="Arial"/>
          <w:sz w:val="18"/>
          <w:szCs w:val="18"/>
          <w:color w:val="auto"/>
        </w:rPr>
        <w:t>─ Inventories are stated at cost. Cost is determined using the first-in, first-out method.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Assets, Deferred Charges and Other Assets </w:t>
      </w:r>
      <w:r>
        <w:rPr>
          <w:rFonts w:ascii="Arial" w:cs="Arial" w:eastAsia="Arial" w:hAnsi="Arial"/>
          <w:sz w:val="16"/>
          <w:szCs w:val="16"/>
          <w:color w:val="auto"/>
        </w:rPr>
        <w:t>─ Deferred charges and other assets consist primarily of assets held to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compensate employees in the future who participate in the Company’s deferred compensation plan and other costs.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costs, for which the Company has received or expects to receive prospective rate recovery, are deferred as a regulatory asset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and amortized over the period of rate recovery in accordance with the FASB’s accounting guidance for regulated</w:t>
      </w:r>
    </w:p>
    <w:p>
      <w:pPr>
        <w:spacing w:after="0"/>
        <w:rPr>
          <w:sz w:val="20"/>
          <w:szCs w:val="20"/>
          <w:color w:val="auto"/>
        </w:rPr>
      </w:pPr>
      <w:r>
        <w:rPr>
          <w:rFonts w:ascii="Arial" w:cs="Arial" w:eastAsia="Arial" w:hAnsi="Arial"/>
          <w:sz w:val="18"/>
          <w:szCs w:val="18"/>
          <w:color w:val="auto"/>
        </w:rPr>
        <w:t xml:space="preserve">operations. See Note – 6 </w:t>
      </w:r>
      <w:r>
        <w:rPr>
          <w:rFonts w:ascii="Arial" w:cs="Arial" w:eastAsia="Arial" w:hAnsi="Arial"/>
          <w:sz w:val="18"/>
          <w:szCs w:val="18"/>
          <w:i w:val="1"/>
          <w:iCs w:val="1"/>
          <w:color w:val="auto"/>
        </w:rPr>
        <w:t>Regulatory Assets and Liabilities</w:t>
      </w:r>
      <w:r>
        <w:rPr>
          <w:rFonts w:ascii="Arial" w:cs="Arial" w:eastAsia="Arial" w:hAnsi="Arial"/>
          <w:sz w:val="18"/>
          <w:szCs w:val="18"/>
          <w:color w:val="auto"/>
        </w:rPr>
        <w:t xml:space="preserve"> for further information regarding the Company’s regulatory assets.</w:t>
      </w:r>
    </w:p>
    <w:p>
      <w:pPr>
        <w:spacing w:after="0" w:line="23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Marketable equity securities are carried on the balance sheet at fair market value, and changes in fair value are included in other comprehensive income.</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b w:val="1"/>
          <w:bCs w:val="1"/>
          <w:i w:val="1"/>
          <w:iCs w:val="1"/>
          <w:color w:val="auto"/>
        </w:rPr>
        <w:t xml:space="preserve">Investment in Joint Venture – </w:t>
      </w:r>
      <w:r>
        <w:rPr>
          <w:rFonts w:ascii="Arial" w:cs="Arial" w:eastAsia="Arial" w:hAnsi="Arial"/>
          <w:sz w:val="19"/>
          <w:szCs w:val="19"/>
          <w:color w:val="auto"/>
        </w:rPr>
        <w:t>The Company uses the equity method of accounting to account for our 49% investment in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joint venture with a firm in the natural gas industry for the construction and operation of a private pipeline system to supply raw water to natural gas well drilling operations in the Marcellus Shale in north-central Pennsylvania, which commenced operations in 2012. Our initial investment is carried at cost. Subsequently, the carrying amount of our investment is adjusted to reflect capital contributions or distributions, and our equity in earnings or losses since the commencement of the system’s operations, as well as a decline in the fair value of our investment. Our share of equity earnings in the joint venture is reported in the consolidated statements of net income as equity earnings in joint venture. During 2018 and 2017 we received distributions of $1,793 and $686, respectively. For our equity method investment in joint venture, the Company evaluates whether it has experienced a decline in the value of its investment that is other than temporary in nature. We would recognize an impairment loss if the fair value of our investment is less than the carrying amount of the investment, and the decline in value is considered other than temporary. Additionally, the Company would recognize its share of an impairment loss if the joint venture determines that the carrying amount of the joint venture’s assets exceeds the sum of the joint venture’s undiscounted estimated cash flows.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5" w:right="9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 Goodwill represents the excess cost over the fair value of net tangible and identifiable intangible assets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acquisitions. Goodwill is not amortized but is tested for impairment annually, or more often, if circumstances indicate a possible impairment may exist. When testing goodwill for impairment, we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we may perform a quantitative goodwill impairment test by determining the fair value of a reporting unit based on a discounted cash flow analysis.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Company performed a qualitative assessment for its annual test of the goodwill attributable for each of our reporting units for impairment as of July 31, 2018, and concluded that the estimated fair value of each reporting unit, which has goodwill recorded, exceeded the reporting unit’s carrying amount, indicating that none of the Company’s goodwill was impaired. The following table summarizes the changes in the Company’s goodwill:</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01"/>
              <w:spacing w:after="0"/>
              <w:rPr>
                <w:sz w:val="20"/>
                <w:szCs w:val="20"/>
                <w:color w:val="auto"/>
              </w:rPr>
            </w:pPr>
            <w:r>
              <w:rPr>
                <w:rFonts w:ascii="Arial" w:cs="Arial" w:eastAsia="Arial" w:hAnsi="Arial"/>
                <w:sz w:val="20"/>
                <w:szCs w:val="20"/>
                <w:color w:val="auto"/>
                <w:w w:val="94"/>
              </w:rPr>
              <w:t>Regulated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6"/>
        </w:trPr>
        <w:tc>
          <w:tcPr>
            <w:tcW w:w="60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99"/>
              </w:rPr>
              <w:t>Segment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92"/>
              </w:rPr>
              <w:t>Consolidated</w:t>
            </w:r>
          </w:p>
        </w:tc>
      </w:tr>
      <w:tr>
        <w:trPr>
          <w:trHeight w:val="250"/>
        </w:trPr>
        <w:tc>
          <w:tcPr>
            <w:tcW w:w="6040" w:type="dxa"/>
            <w:vAlign w:val="bottom"/>
            <w:shd w:val="clear" w:color="auto" w:fill="CCEEFF"/>
          </w:tcPr>
          <w:p>
            <w:pPr>
              <w:spacing w:after="0"/>
              <w:rPr>
                <w:sz w:val="20"/>
                <w:szCs w:val="20"/>
                <w:color w:val="auto"/>
              </w:rPr>
            </w:pPr>
            <w:r>
              <w:rPr>
                <w:rFonts w:ascii="Arial" w:cs="Arial" w:eastAsia="Arial" w:hAnsi="Arial"/>
                <w:sz w:val="20"/>
                <w:szCs w:val="20"/>
                <w:color w:val="auto"/>
              </w:rPr>
              <w:t>Balance at December 31, 2016</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37,367</w:t>
            </w:r>
          </w:p>
        </w:tc>
        <w:tc>
          <w:tcPr>
            <w:tcW w:w="32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4,841</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42,208</w:t>
            </w:r>
          </w:p>
        </w:tc>
      </w:tr>
      <w:tr>
        <w:trPr>
          <w:trHeight w:val="270"/>
        </w:trPr>
        <w:tc>
          <w:tcPr>
            <w:tcW w:w="6040" w:type="dxa"/>
            <w:vAlign w:val="bottom"/>
          </w:tcPr>
          <w:p>
            <w:pPr>
              <w:ind w:left="100"/>
              <w:spacing w:after="0"/>
              <w:rPr>
                <w:sz w:val="20"/>
                <w:szCs w:val="20"/>
                <w:color w:val="auto"/>
              </w:rPr>
            </w:pPr>
            <w:r>
              <w:rPr>
                <w:rFonts w:ascii="Arial" w:cs="Arial" w:eastAsia="Arial" w:hAnsi="Arial"/>
                <w:sz w:val="20"/>
                <w:szCs w:val="20"/>
                <w:color w:val="auto"/>
              </w:rPr>
              <w:t>Goodwill acquired</w:t>
            </w:r>
          </w:p>
        </w:tc>
        <w:tc>
          <w:tcPr>
            <w:tcW w:w="280" w:type="dxa"/>
            <w:vAlign w:val="bottom"/>
          </w:tcPr>
          <w:p>
            <w:pPr>
              <w:spacing w:after="0"/>
              <w:rPr>
                <w:sz w:val="23"/>
                <w:szCs w:val="23"/>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72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70"/>
        </w:trPr>
        <w:tc>
          <w:tcPr>
            <w:tcW w:w="60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Reclassifications to utility plant acquisition adjustment</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w:t>
            </w:r>
          </w:p>
        </w:tc>
      </w:tr>
      <w:tr>
        <w:trPr>
          <w:trHeight w:val="250"/>
        </w:trPr>
        <w:tc>
          <w:tcPr>
            <w:tcW w:w="604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Balance at December 31, 2017</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37,389</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4,841</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42,230</w:t>
            </w:r>
          </w:p>
        </w:tc>
      </w:tr>
      <w:tr>
        <w:trPr>
          <w:trHeight w:val="250"/>
        </w:trPr>
        <w:tc>
          <w:tcPr>
            <w:tcW w:w="60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Goodwill acquired</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10,790</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10,790</w:t>
            </w:r>
          </w:p>
        </w:tc>
      </w:tr>
      <w:tr>
        <w:trPr>
          <w:trHeight w:val="270"/>
        </w:trPr>
        <w:tc>
          <w:tcPr>
            <w:tcW w:w="6040" w:type="dxa"/>
            <w:vAlign w:val="bottom"/>
          </w:tcPr>
          <w:p>
            <w:pPr>
              <w:ind w:left="100"/>
              <w:spacing w:after="0"/>
              <w:rPr>
                <w:sz w:val="20"/>
                <w:szCs w:val="20"/>
                <w:color w:val="auto"/>
              </w:rPr>
            </w:pPr>
            <w:r>
              <w:rPr>
                <w:rFonts w:ascii="Arial" w:cs="Arial" w:eastAsia="Arial" w:hAnsi="Arial"/>
                <w:sz w:val="20"/>
                <w:szCs w:val="20"/>
                <w:color w:val="auto"/>
              </w:rPr>
              <w:t>Reclassifications to utility plant acquisition adjustment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(139)</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70"/>
        </w:trPr>
        <w:tc>
          <w:tcPr>
            <w:tcW w:w="60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(155)</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(155)</w:t>
            </w:r>
          </w:p>
        </w:tc>
      </w:tr>
      <w:tr>
        <w:trPr>
          <w:trHeight w:val="244"/>
        </w:trPr>
        <w:tc>
          <w:tcPr>
            <w:tcW w:w="6040" w:type="dxa"/>
            <w:vAlign w:val="bottom"/>
          </w:tcPr>
          <w:p>
            <w:pPr>
              <w:spacing w:after="0"/>
              <w:rPr>
                <w:sz w:val="20"/>
                <w:szCs w:val="20"/>
                <w:color w:val="auto"/>
              </w:rPr>
            </w:pPr>
            <w:r>
              <w:rPr>
                <w:rFonts w:ascii="Arial" w:cs="Arial" w:eastAsia="Arial" w:hAnsi="Arial"/>
                <w:sz w:val="20"/>
                <w:szCs w:val="20"/>
                <w:color w:val="auto"/>
              </w:rPr>
              <w:t>Balance at December 31, 2018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47,885</w:t>
            </w:r>
          </w:p>
        </w:tc>
        <w:tc>
          <w:tcPr>
            <w:tcW w:w="3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4,841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52,726</w:t>
            </w:r>
          </w:p>
        </w:tc>
      </w:tr>
    </w:tbl>
    <w:p>
      <w:pPr>
        <w:spacing w:after="0" w:line="213"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2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Company accounts for some income and expense items in different time periods for financial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purposes. Deferred income taxes are provided on specific temporary differences between the tax basis of the assets and liabilities, and the amounts at which they are carried in the consolidated financial statements. The income tax effect of temporary differences not currently recovered in rates is recorded as deferred taxes with an offsetting regulatory asset or liability. These deferred income taxes are based on the enacted tax rates expected to be in effect when such temporary differences are projected to reverse. Valuation allowances are established when necessary to reduce deferred tax assets to the amount more likely than not to be realized. Investment tax credits are deferred and amortized over the estimated useful lives of the related properties. Judgment is required in evaluating the Company’s Federal and state tax positions. Despite management’s belief that the Company’s tax return positions are fully supportable, the Company establishes reserves when it believes that its tax positions are likely to be challenged and it may not fully prevail in these challenges. The Company’s provision for income taxes includes interest, penalties and reserves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2012, the Company changed its tax method of accounting for qualifying utility asset improvement costs in Aqua Pennsylvania effective with the tax year ended December 31, 2012 and for prior tax years. The tax accounting method was changed to permit the expensing of qualifying utility asset improvement costs that were previously being capitalized and depreciated for book and tax purposes. This change was implemented in response to a June 2012 rate order issued by the Pennsylvania Public Utility Commission to Aqua Pennsylvania, which provides for a reduction in current income tax expense as a result of the recognition of income tax benefits for qualifying utility asset improvements. This change results in a significant reduction in the effective income tax rate, a reduction in current income tax expense, and reduces the amount of taxes currently payable. For qualifying capital expenditures made prior to 2012, the resulting tax benefits have been deferred as of December 31, 2012 and, in accordance with the rate order, a ten-year amortization of the income tax benefits, which reduces future income tax expense, commenced in 2013.</w:t>
      </w:r>
    </w:p>
    <w:p>
      <w:pPr>
        <w:spacing w:after="0" w:line="188" w:lineRule="exact"/>
        <w:rPr>
          <w:sz w:val="20"/>
          <w:szCs w:val="20"/>
          <w:color w:val="auto"/>
        </w:rPr>
      </w:pPr>
    </w:p>
    <w:p>
      <w:pPr>
        <w:spacing w:after="0" w:line="232" w:lineRule="exact"/>
        <w:rPr>
          <w:sz w:val="20"/>
          <w:szCs w:val="20"/>
          <w:color w:val="auto"/>
        </w:rPr>
      </w:pPr>
      <w:r>
        <w:rPr>
          <w:rFonts w:ascii="Arial" w:cs="Arial" w:eastAsia="Arial" w:hAnsi="Arial"/>
          <w:sz w:val="18"/>
          <w:szCs w:val="18"/>
          <w:b w:val="1"/>
          <w:bCs w:val="1"/>
          <w:i w:val="1"/>
          <w:iCs w:val="1"/>
          <w:color w:val="auto"/>
        </w:rPr>
        <w:t xml:space="preserve">Customers’ Advances for Construction and Contributions in Aid of Construction </w:t>
      </w:r>
      <w:r>
        <w:rPr>
          <w:rFonts w:ascii="Arial" w:cs="Arial" w:eastAsia="Arial" w:hAnsi="Arial"/>
          <w:sz w:val="18"/>
          <w:szCs w:val="18"/>
          <w:color w:val="auto"/>
        </w:rPr>
        <w:t>─ Water mains, other utility property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some instances, cash advances to reimburse the Company for its costs to construct water mains or other utility property, are contributed to the Company by customers, real estate developers and builders in order to extend utility service to their properties. The value of these contributions is recorded as customers’ advances for construction. Over time, the amount of non-cash contributed property will vary based on the timing of the contribution of the non-cash property and the volume of non-cash contributed property received in connection with development in our service territories. The Company makes refunds on these advances over a specific period of time based on operating revenues related to the property, or as new customers are connected to and take service from the applicable water main. After all refunds are made, any remaining balance is transferred to contributions in aid of construction. Contributions in aid of construction include direct non-refundable contributions and the portion of customers' advances for construction that become non</w:t>
      </w:r>
      <w:r>
        <w:rPr>
          <w:rFonts w:ascii="MS PGothic" w:cs="MS PGothic" w:eastAsia="MS PGothic" w:hAnsi="MS PGothic"/>
          <w:sz w:val="18"/>
          <w:szCs w:val="18"/>
          <w:color w:val="auto"/>
        </w:rPr>
        <w:t>‑</w:t>
      </w:r>
      <w:r>
        <w:rPr>
          <w:rFonts w:ascii="Arial" w:cs="Arial" w:eastAsia="Arial" w:hAnsi="Arial"/>
          <w:sz w:val="18"/>
          <w:szCs w:val="18"/>
          <w:color w:val="auto"/>
        </w:rPr>
        <w:t>refundable.</w:t>
      </w:r>
    </w:p>
    <w:p>
      <w:pPr>
        <w:spacing w:after="0" w:line="21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Based on regulatory conventions in states where the Company operates, generally our subsidiaries depreciate contributed property and amortize contributions in aid of construction at the composite rate of the related property. Contributions in aid of construction and customers’ advances for construction are deducted from the Company’s rate base for rate-making purposes, and therefore, no return is earned on contributed property.</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b w:val="1"/>
          <w:bCs w:val="1"/>
          <w:i w:val="1"/>
          <w:iCs w:val="1"/>
          <w:color w:val="auto"/>
        </w:rPr>
        <w:t xml:space="preserve">Stock-Based Compensation </w:t>
      </w:r>
      <w:r>
        <w:rPr>
          <w:rFonts w:ascii="Arial" w:cs="Arial" w:eastAsia="Arial" w:hAnsi="Arial"/>
          <w:sz w:val="19"/>
          <w:szCs w:val="19"/>
          <w:color w:val="auto"/>
        </w:rPr>
        <w:t>─ The Company records compensation expense in the financial statements for stock-based awards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based on the grant date fair value of those awards. Stock-based compensation expense includes an estimate for pre-vesting forfeitures and is recognized over the requisite service periods of the awards on either a straight-line basis, or the graded vesting method, which is generally commensurate with the vesting term.</w:t>
      </w:r>
    </w:p>
    <w:p>
      <w:pPr>
        <w:spacing w:after="0" w:line="190"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b w:val="1"/>
          <w:bCs w:val="1"/>
          <w:i w:val="1"/>
          <w:iCs w:val="1"/>
          <w:color w:val="auto"/>
        </w:rPr>
        <w:t xml:space="preserve">Fair Value Measurements – </w:t>
      </w:r>
      <w:r>
        <w:rPr>
          <w:rFonts w:ascii="Arial" w:cs="Arial" w:eastAsia="Arial" w:hAnsi="Arial"/>
          <w:sz w:val="20"/>
          <w:szCs w:val="20"/>
          <w:color w:val="auto"/>
        </w:rPr>
        <w:t>The Company follows the FASB’s accounting guidance for fair value measurements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210" w:lineRule="exact"/>
        <w:rPr>
          <w:sz w:val="20"/>
          <w:szCs w:val="20"/>
          <w:color w:val="auto"/>
        </w:rPr>
      </w:pPr>
    </w:p>
    <w:p>
      <w:pPr>
        <w:ind w:left="640" w:hanging="320"/>
        <w:spacing w:after="0" w:line="260" w:lineRule="auto"/>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Level 1: unadjusted quoted prices in active markets for identical assets or liabilities that the Company has the ability to access;</w:t>
      </w:r>
    </w:p>
    <w:p>
      <w:pPr>
        <w:spacing w:after="0" w:line="190" w:lineRule="exact"/>
        <w:rPr>
          <w:rFonts w:ascii="Arial" w:cs="Arial" w:eastAsia="Arial" w:hAnsi="Arial"/>
          <w:sz w:val="20"/>
          <w:szCs w:val="20"/>
          <w:color w:val="auto"/>
        </w:rPr>
      </w:pPr>
    </w:p>
    <w:p>
      <w:pPr>
        <w:ind w:left="640" w:right="140" w:hanging="320"/>
        <w:spacing w:after="0" w:line="246" w:lineRule="auto"/>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205" w:lineRule="exact"/>
        <w:rPr>
          <w:rFonts w:ascii="Arial" w:cs="Arial" w:eastAsia="Arial" w:hAnsi="Arial"/>
          <w:sz w:val="20"/>
          <w:szCs w:val="20"/>
          <w:color w:val="auto"/>
        </w:rPr>
      </w:pPr>
    </w:p>
    <w:p>
      <w:pPr>
        <w:ind w:left="640" w:hanging="320"/>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Level 3: inputs that are unobservable and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Additionally, assets that are measured at fair value using the net asset value (“NAV”) per share practical expedient are not classified in the fair value hierarchy. There have been no changes in the valuation techniques used to measure fair value or asset or liability transfers between the levels of the fair value hierarchy for the years ended December 31, 2018 and 2017.</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Recent Accounting Pronouncements </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Pronouncements to be adopted upon the effective date:</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In August 2018, the FASB issued updated accounting guidance on accounting for cloud computing arrangements. The updated guidance requires entities that are customers in cloud computing arrangements to defer implementation costs if they would be capitalized by the entity in software licensing arrangements under the internal-use software guidance. The guidance may be applied retrospectively or prospectively to implementation costs incurred after the date of adoption. The updated accounting guidance is effective for fiscal years beginning after December 15, 2019 and interim periods within those fiscal years. The Company is evaluating the requirements of the updated guidance to determine the impact of adoption.</w:t>
      </w:r>
    </w:p>
    <w:p>
      <w:pPr>
        <w:spacing w:after="0" w:line="179"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color w:val="auto"/>
        </w:rPr>
        <w:t>In August 2018, the FASB issued updated accounting guidance, which modifies the disclosures required for defined benefit pension and other postretirement benefit plans. The modifications in this update remove disclosures that are no longer considered cost beneficial, clarify the specific requirements of disclosures, and add disclosure requirements identified as relevant. The updated accounting guidance is effective for fiscal years ending after December 15, 2020, with early adoption available. The Company is evaluating the requirements of the updated guidance to determine the impact of adoption.</w:t>
      </w:r>
    </w:p>
    <w:p>
      <w:pPr>
        <w:spacing w:after="0" w:line="260"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In August 2018, the FASB issued updated accounting guidance, which modifies the disclosure requirements on fair value measurements. The modifications in this update eliminates, amends, and adds disclosure requirements for fair value measurements, which is expected to reduce costs for preparers while providing more decision-useful information for financial statement users. The updated accounting guidance is effective for fiscal years ending after December 15, 2019, with early adoption available. The Company is evaluating the requirements of the updated guidance to determine the impact of adoption.</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In June 2016, the FASB issued updated accounting guidance on accounting for impairments of financial instruments, including trade receivables, which requires companies to estimate expected credit losses on trade receivables over their contractual life. Historically, companies reserve for expected credit losses by applying historical loss percentages to respective aging categories. Under the updated accounting guidance, companies will use a forward-looking methodology that incorporates lifetime expected credit losses, which will result in an allowance for expected credit losses for receivables that are either current or not yet due, which historically have not been reserved for. The updated accounting guidance is effective for fiscal years beginning after December 15, 2019, and interim periods within those fiscal years, with early adoption available. The Company is evaluating the requirements of the updated guidance to determine the impact of adoption.</w:t>
      </w:r>
    </w:p>
    <w:p>
      <w:pPr>
        <w:spacing w:after="0" w:line="18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 February 2016, the FASB issued updated accounting guidance on accounting for leases, which requires lessees to establish a right-of-use asset and a lease liability on the balance sheet for all leases with terms longer than 12 months. For income statement purposes, leases will be classified as either operating or finance. Operating leases will result in straight-line expense while finance leases will result in a front-loaded expense pattern. The updated accounting guidance is effective for fiscal years beginning after December 15, 2018, and interim periods within those fiscal years, with early adoption available. The Company is implementing a process to address the requirements of the updated guidance and as of January 1, 2019, anticipates recording, on the Company’s consolidated balance sheet, a right-of-use asset and lease liability of approximately $13,700.</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Pronouncements adopted during the fiscal year:</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In March 2017, the FASB issued updated accounting guidance on the presentation of net periodic pension and postretirement benefit cost (net benefit cost). Historically, net benefit cost is reported as an employee cost within operating income, net of amounts capitalized. The guidance requires the bifurcation of net benefit cost. The service cost component will be presented with other employee compensation costs in operating income and the other components of net benefit cost will be reported separately outside of operating income and will not be eligible for capitalization. On January 1, 2018, the Company adopted the updated guidance, which did not have a material impact on its results of operations or financial position, and resulted in the reclassification, for the years ended December 31, 2017 and 2016 of $4,953 and $7,713 respectively, for the other components of net benefit cost from operations and maintenance expense to other in the consolidated statements of net income. The updated guidance was applied retrospectively for the presentation of the service cost component and the other components of net periodic benefit costs, and on a prospective basis for the capitalization of only the service cost component of net benefit cost.</w:t>
      </w:r>
    </w:p>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In January 2017, the FASB issued updated accounting guidance that provides a new framework for determining whether transactions should be accounted for as acquisitions (or disposals) of assets or businesses. This update creates an initial screening test for which an entity would evaluate if substantially all the fair value of the gross assets acquired (or disposed of) is concentrated in a single identifiable asset or a group of similar identifiable assets. If this threshold is met, the set of assets is not considered a business; however, if the threshold is not met, the entity evaluates whether the set of assets meets the requirement that a business included, at a minimum, an input and a substantive process that together significantly contribute to the ability to create outputs. The update also narrows the definition of outputs by more closely aligning it with how outputs are described in the new revenue guidance. On January 1, 2018, as required the Company adopted the updated guidance, which will cause us to assess if future acquisitions are businesses or assets under this guidance.</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January 2016, the FASB issued updated accounting guidance on the recognition and measurement of financial assets and financial liabilities, which amends certain aspects of recognition, measurement, presentation, and disclosure of financial instruments, including the requirement to measure certain equity investments at fair value with changes in fair value recognized in net income. The updated guidance is effective for interim and annual periods beginning after December 31, 2017. On January 1, 2018, the Company adopted the updated guidance, which did not have a material impact on its results of operations or financial position.</w:t>
      </w:r>
    </w:p>
    <w:p>
      <w:pPr>
        <w:spacing w:after="0" w:line="210"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In May 2014, the FASB issued updated accounting guidance on recognizing revenue from contracts with customers, which outlines a single comprehensive model that an entity will apply to determine the measurement of revenue and timing of recognition. The underlying principle is that an entity will recognize revenue to depict the transfer of goods or services to customers at an amount that the entity expects to be entitled to in exchange for those goods or services. In 2017, the American Institute of Certified Public Accountants (“AICPA”) power and utility entities revenue recognition task force determined that contributions in aid of construction are not in the scope of the new standard, which was approved by the AICPA’s revenue recognition working group. The Company implemented the updated guidance using the modified retrospective approach on January 1, 2018, which did not result in a change in the Company’s measurement of revenue, and reached the following conclusions:</w:t>
      </w:r>
    </w:p>
    <w:p>
      <w:pPr>
        <w:spacing w:after="0" w:line="293" w:lineRule="exact"/>
        <w:rPr>
          <w:sz w:val="20"/>
          <w:szCs w:val="20"/>
          <w:color w:val="auto"/>
        </w:rPr>
      </w:pPr>
    </w:p>
    <w:p>
      <w:pPr>
        <w:jc w:val="both"/>
        <w:ind w:left="640" w:right="220" w:hanging="320"/>
        <w:spacing w:after="0" w:line="250" w:lineRule="auto"/>
        <w:tabs>
          <w:tab w:leader="none" w:pos="6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Company’s tariff sale contracts, including those with lower credit quality customers, are generally deemed to be probable of collection, and thus the timing of revenue recognition will continue to be concurrent with the delivery of water and wastewater services, consistent with our current practice.</w:t>
      </w:r>
    </w:p>
    <w:p>
      <w:pPr>
        <w:spacing w:after="0" w:line="78" w:lineRule="exact"/>
        <w:rPr>
          <w:rFonts w:ascii="Arial" w:cs="Arial" w:eastAsia="Arial" w:hAnsi="Arial"/>
          <w:sz w:val="20"/>
          <w:szCs w:val="20"/>
          <w:color w:val="auto"/>
        </w:rPr>
      </w:pPr>
    </w:p>
    <w:p>
      <w:pPr>
        <w:ind w:left="640" w:right="140" w:hanging="320"/>
        <w:spacing w:after="0" w:line="260" w:lineRule="auto"/>
        <w:tabs>
          <w:tab w:leader="none" w:pos="6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Contributions in aid of construction are outside of the scope of the standard and will continue to be accounted for as a noncurrent liability.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 </w:t>
      </w:r>
      <w:r>
        <w:rPr>
          <w:rFonts w:ascii="Arial" w:cs="Arial" w:eastAsia="Arial" w:hAnsi="Arial"/>
          <w:sz w:val="20"/>
          <w:szCs w:val="20"/>
          <w:b w:val="1"/>
          <w:bCs w:val="1"/>
          <w:i w:val="1"/>
          <w:iCs w:val="1"/>
          <w:color w:val="auto"/>
        </w:rPr>
        <w:t>Acquisitions</w:t>
      </w:r>
    </w:p>
    <w:p>
      <w:pPr>
        <w:spacing w:after="0" w:line="235"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Pursuant to the Company’s growth strategy, on October 22, 2018, the Company entered into a purchase agreement with LDC Parent LLC (“Seller”), to acquire its interests in LDC Funding LLC (“LDC”). LDC is the parent of LDC Holdings LLC (“LDC Holdings”), and LDC Holdings is the parent of five natural gas public utility companies, which includes Peoples Natural Gas Company, Peoples Gas Company, and Delta Natural Gas Company as well as other operating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subsidiaries. Collectively these businesses are referred to as “Peoples,” a natural gas distribution company headquartered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 serving approximately 740,000 gas utility customers in western Pennsylvania, West Virginia,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Kentucky. At the closing of the Peoples Gas Acquisition, the Company will pay $4,275,000,  in cash subject to adjustments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working capital, certain capital expenditures, transaction expenses and closing indebtedness as set forth in the acquisition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The Company expects to assume approximately $1,300,000 of Peoples’ indebtedness upon the closing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Peoples Gas Acquisition, which would reduce the cash purchase price by approximately $1,300,000. The Company expects to</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finance the Peoples Gas Acquisition purchase price and to refinance certain debt of the Company with a mix of common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equity, equity-linked securities, and debt financing, which could include senior notes issued in capital markets transactions,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 loans or other credit facilities or any combination thereof. On October 22, 2018, the Company obtained a commitment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“Bridge Commitment”) from certain banks to provide senior unsecured bridge loans in an aggregate amount of up to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$5,100,000 to, among other things, backstop the Peoples Gas Acquisition purchase price and the refinancing of certain debt of</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Company and of Peoples. As of December 31, 2018, the Company had terminated approximately $1,633,000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commitments under the Bridge Commitment in connection with, among other things, the replacement of the Company’s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unsecured revolving credit facility. On October 23, 2018, the Company entered into interest rate swap agreements to mitigate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interest rate risk associated with an anticipated $850,000 of future debt issuances to fund a portion of the Peoples Gas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Acquisition. The interest rate swaps will be settled upon issuance of the debt to be used to finance a portion of the purchase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 of this acquisition. The interest rate swap agreements do not qualify for hedge accounting and any changes in the fair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value of the swaps is included in our future earnings. The Peoples Gas Acquisition is subject to regulatory approvals, including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the public utility commissions in Pennsylvania, Kentucky, and West Virginia, and other customer closing conditions set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forth in the acquisition agreement. This acquisition is expected to close in mid-2019, once regulatory approvals are obtained,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it is anticipated that this transaction will result in the recording of goodwill. In the event that this acquisition is terminated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due to certain breaches by the Company, a fee of $120,000 would be payable to the Seller as liquidated damages.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July 2018, the Company acquired the wastewater utility systems assets of Limerick Township, Pennsylvania which serves 5,497 customers. The total cash purchase price for the utility system was $74,836. The purchase price allocation for this acquisition consisted primarily of acquired property, plant and equipment of $64,759, and goodwill of $10,790. Additionally, during 2018, the Company completed seven acquisitions of water and wastewater utility systems in three states adding 8,661 customers. The total purchase price of these utility systems consisted of $42,519 in cash. The purchase price allocation for these acquisitions consisted primarily of acquired property, plant and equipment. The operating revenues included in the consolidated financial statements of the Company during the period owned by the Company for the utility systems acquired in 2018 are $3,308. Further, in December 2018, the Company acquired the Valley Creek Trunk Sewer System, serving area municipalities in Pennsylvania, from the Tredyffrin Township Municipal Authority for $28,300. The system receives untreated wastewater from area municipalities, which is conveyed to the Valley Forge Treatment Plant. The system consists of 49,000 linear feet of gravity sewers, pump stations, and force mains.</w:t>
      </w:r>
    </w:p>
    <w:p>
      <w:pPr>
        <w:spacing w:after="0" w:line="184" w:lineRule="exact"/>
        <w:rPr>
          <w:sz w:val="20"/>
          <w:szCs w:val="20"/>
          <w:color w:val="auto"/>
        </w:rPr>
      </w:pPr>
    </w:p>
    <w:p>
      <w:pPr>
        <w:ind w:right="400"/>
        <w:spacing w:after="0" w:line="246" w:lineRule="auto"/>
        <w:rPr>
          <w:sz w:val="20"/>
          <w:szCs w:val="20"/>
          <w:color w:val="auto"/>
        </w:rPr>
      </w:pPr>
      <w:r>
        <w:rPr>
          <w:rFonts w:ascii="Arial" w:cs="Arial" w:eastAsia="Arial" w:hAnsi="Arial"/>
          <w:sz w:val="20"/>
          <w:szCs w:val="20"/>
          <w:color w:val="auto"/>
        </w:rPr>
        <w:t>In November 2018, the Company entered into a purchase agreement to acquire the wastewater utility system assets of East Norriton Township, Pennsylvania, which serves approximately 4,950 customers for $21,000. The purchase price for this pending acquisition is subject to certain adjustments at closing, and is subject to regulatory approval, including the final determination of the fair value of the rate base acquired.</w:t>
      </w:r>
    </w:p>
    <w:p>
      <w:pPr>
        <w:spacing w:after="0" w:line="205"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In July 2018, the Company entered into a purchase agreement to acquire the wastewater utility system assets of Cheltenham Township, Pennsylvania, which serves approximately 10,500 customers for $50,250. The purchase price for this pending acquisition is subject to certain adjustments at closing, and is subject to regulatory approval, including the final determination of the fair value of the rate base acquired.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In addition to the Company’s pending acquisition in East Norriton and Cheltenham Townships, as part of the Company’s growth-through-acquisition strategy, the Company has entered into purchase agreements to acquire the water or wastewater utility system assets of four municipalities for a total combined purchase price in cash of $38,950. The purchase price for these pending acquisitions is subject to certain adjustments at closing, and the pending acquisitions are subject to regulatory approvals, including the final determination of the fair value of the rate base acquired. Closings for these acquisitions are expected to occur by the end of 2019, which is subject to the timing of the regulatory approval process. These acquisitions are expected to add approximately 4,000 customers in two of the states in which the Company operates.</w:t>
      </w:r>
    </w:p>
    <w:p>
      <w:pPr>
        <w:spacing w:after="0" w:line="183"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In 2017, the Company completed four acquisitions of water and wastewater utility systems in two states adding 1,003 customers. The total purchase price of these utility systems consisted of $5,860 in cash, which resulted in $72 of goodwill being recorded. The operating revenues included in the consolidated financial statements of the Company during the period owned by the Company for the utility systems acquired were $846 in 2018 and in 2017 are $461. The pro forma effect of the businesses acquired is not material either individually or collectively to the Company’s results of operations.</w:t>
      </w:r>
    </w:p>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In January 2016, the Company acquired Superior Water Company, Inc., which provides public water service to 4,108 customers in portions of Berks, Chester, and Montgomery counties in Pennsylvania. The total purchase price for the utility system was $16,750, which consisted of the issuance of 439,943 shares of the Company’s common stock and $3,905 in cash. The purchase price allocation for this acquisition consisted primarily of acquired property, plant and equipment of $25,167, contributions in aid of construction of $16,565, and goodwill of $8,622. Additionally, during 2016, the Company completed 18 acquisitions of water and wastewater utility systems in various states adding 2,469 customers. The total purchase price of these utility systems consisted of $5,518 in cash. The operating revenues included in the consolidated financial statements of the Company during the period owned by the Company for the utility systems acquired were $4,966 in 2018, $4,896 in 2017, and $3,809 in 2016. The pro forma effect of the businesses acquired is not material either individually or collectively to the Company’s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w:t>
      </w:r>
      <w:r>
        <w:rPr>
          <w:rFonts w:ascii="Arial" w:cs="Arial" w:eastAsia="Arial" w:hAnsi="Arial"/>
          <w:sz w:val="20"/>
          <w:szCs w:val="20"/>
          <w:b w:val="1"/>
          <w:bCs w:val="1"/>
          <w:i w:val="1"/>
          <w:iCs w:val="1"/>
          <w:color w:val="auto"/>
        </w:rPr>
        <w:t>Dispositions</w:t>
      </w:r>
    </w:p>
    <w:p>
      <w:pPr>
        <w:spacing w:after="0" w:line="235"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The following dispositions have not been presented as discontinued operations in the Company’s consolidated financial statements as they do not qualify as discontinued operations, since their disposal does not represent a strategic shift that has a major effect on our operations or financial results. The gains or loss disclosed below are reported in the consolidated statements of net income as a component of operations and maintenance expense. These business units were reported within the Company’s market-based subsidiary, Aqua Resources, and were included in “Other” in the Company’s segment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Dispositions Completed in 2017 and 2016</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In the second quarter of 2016, the Company decided to market for sale two business units that are reported within the Company’s market-based subsidiary, Aqua Resources. One business unit installed and tested devices that prevent the contamination of potable water, for which the sale was completed in January 2017. The other business unit constructed, repaired, and performed maintenance on water and wastewater systems, for which the sale was completed in June 2017. These business units were reported as assets held for sale in the Company’s December 31, 2016 consolidated balance sheet included in this Annual Report. These transactions resulted in total proceeds of $867 and the recognition of a net loss of $324.</w:t>
      </w:r>
    </w:p>
    <w:p>
      <w:pPr>
        <w:spacing w:after="0" w:line="179"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In the third quarter of 2016, the Company marketed for sale a business unit which inspects, cleans and repairs storm and sanitary wastewater lines. In November 2016, this business unit was sold for $1,059 in cash and resulted in a loss on sale of $1,081. Further, in December 2015, the Company decided to sell a business unit which provides liquid waste hauling and disposal services. During the second quarter of 2016, this business unit was sold for $3,400 in cash and resulted in a gain on sale of $537.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Dispositions Reported as Assets Held for Sale at December 31, 2018</w:t>
      </w:r>
    </w:p>
    <w:p>
      <w:pPr>
        <w:spacing w:after="0" w:line="148"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In the fourth quarter of 2018, the Company decided to market for sale a water system in Virginia that serves approximately 500 customers. This water system is reported as assets held for sale in the Company’s consolidated balance sheet, and the sale is expected to close in the second quarter of 2019.</w:t>
      </w:r>
    </w:p>
    <w:p>
      <w:pPr>
        <w:spacing w:after="0" w:line="200"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In the first quarter of 2017, the Company decided to market for sale a water system in Texas that serves approximately 265 customers. This water system is reported as assets held for sale in the Company’s consolidated balance sheet, and the sale is expected to close in the second quarter of 2019.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4 – </w:t>
      </w:r>
      <w:r>
        <w:rPr>
          <w:rFonts w:ascii="Arial" w:cs="Arial" w:eastAsia="Arial" w:hAnsi="Arial"/>
          <w:sz w:val="20"/>
          <w:szCs w:val="20"/>
          <w:b w:val="1"/>
          <w:bCs w:val="1"/>
          <w:i w:val="1"/>
          <w:iCs w:val="1"/>
          <w:color w:val="auto"/>
        </w:rPr>
        <w:t>Property, Plant and Equipment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94"/>
              </w:rPr>
              <w:t>Approximate Range of</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10"/>
        </w:trPr>
        <w:tc>
          <w:tcPr>
            <w:tcW w:w="4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2018</w:t>
            </w:r>
          </w:p>
        </w:tc>
        <w:tc>
          <w:tcPr>
            <w:tcW w:w="380" w:type="dxa"/>
            <w:vAlign w:val="bottom"/>
          </w:tcPr>
          <w:p>
            <w:pPr>
              <w:spacing w:after="0"/>
              <w:rPr>
                <w:sz w:val="14"/>
                <w:szCs w:val="14"/>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Useful Lives</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Useful Life</w:t>
            </w: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Utility plant and equipment:</w:t>
            </w:r>
          </w:p>
        </w:tc>
        <w:tc>
          <w:tcPr>
            <w:tcW w:w="3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100"/>
              <w:spacing w:after="0"/>
              <w:rPr>
                <w:sz w:val="20"/>
                <w:szCs w:val="20"/>
                <w:color w:val="auto"/>
              </w:rPr>
            </w:pPr>
            <w:r>
              <w:rPr>
                <w:rFonts w:ascii="Arial" w:cs="Arial" w:eastAsia="Arial" w:hAnsi="Arial"/>
                <w:sz w:val="14"/>
                <w:szCs w:val="14"/>
                <w:color w:val="auto"/>
              </w:rPr>
              <w:t>Mains and accessories</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3,344,910</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9"/>
              </w:rPr>
              <w:t>3,134,900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33 - 93 years</w:t>
            </w: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82 years</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Services, hydrants, treatment plants and reservoirs</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1,984,164</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1,753,433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1"/>
              </w:rPr>
              <w:t>5 - 89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54 years</w:t>
            </w:r>
          </w:p>
        </w:tc>
        <w:tc>
          <w:tcPr>
            <w:tcW w:w="0" w:type="dxa"/>
            <w:vAlign w:val="bottom"/>
          </w:tcPr>
          <w:p>
            <w:pPr>
              <w:spacing w:after="0"/>
              <w:rPr>
                <w:sz w:val="1"/>
                <w:szCs w:val="1"/>
                <w:color w:val="auto"/>
              </w:rPr>
            </w:pPr>
          </w:p>
        </w:tc>
      </w:tr>
      <w:tr>
        <w:trPr>
          <w:trHeight w:val="203"/>
        </w:trPr>
        <w:tc>
          <w:tcPr>
            <w:tcW w:w="4540" w:type="dxa"/>
            <w:vAlign w:val="bottom"/>
          </w:tcPr>
          <w:p>
            <w:pPr>
              <w:ind w:left="100"/>
              <w:spacing w:after="0"/>
              <w:rPr>
                <w:sz w:val="20"/>
                <w:szCs w:val="20"/>
                <w:color w:val="auto"/>
              </w:rPr>
            </w:pPr>
            <w:r>
              <w:rPr>
                <w:rFonts w:ascii="Arial" w:cs="Arial" w:eastAsia="Arial" w:hAnsi="Arial"/>
                <w:sz w:val="14"/>
                <w:szCs w:val="14"/>
                <w:color w:val="auto"/>
              </w:rPr>
              <w:t>Operations structures and water tanks</w:t>
            </w:r>
          </w:p>
        </w:tc>
        <w:tc>
          <w:tcPr>
            <w:tcW w:w="3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313,531</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296,736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14 - 85 years</w:t>
            </w: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47 years</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Miscellaneous pumping and purification equipment</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847,279</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768,962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1"/>
              </w:rPr>
              <w:t>9 - 76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39 years</w:t>
            </w:r>
          </w:p>
        </w:tc>
        <w:tc>
          <w:tcPr>
            <w:tcW w:w="0" w:type="dxa"/>
            <w:vAlign w:val="bottom"/>
          </w:tcPr>
          <w:p>
            <w:pPr>
              <w:spacing w:after="0"/>
              <w:rPr>
                <w:sz w:val="1"/>
                <w:szCs w:val="1"/>
                <w:color w:val="auto"/>
              </w:rPr>
            </w:pPr>
          </w:p>
        </w:tc>
      </w:tr>
      <w:tr>
        <w:trPr>
          <w:trHeight w:val="203"/>
        </w:trPr>
        <w:tc>
          <w:tcPr>
            <w:tcW w:w="4540" w:type="dxa"/>
            <w:vAlign w:val="bottom"/>
          </w:tcPr>
          <w:p>
            <w:pPr>
              <w:ind w:left="100"/>
              <w:spacing w:after="0"/>
              <w:rPr>
                <w:sz w:val="20"/>
                <w:szCs w:val="20"/>
                <w:color w:val="auto"/>
              </w:rPr>
            </w:pPr>
            <w:r>
              <w:rPr>
                <w:rFonts w:ascii="Arial" w:cs="Arial" w:eastAsia="Arial" w:hAnsi="Arial"/>
                <w:sz w:val="14"/>
                <w:szCs w:val="14"/>
                <w:color w:val="auto"/>
              </w:rPr>
              <w:t>Meters, data processing, transportation and operating equipment</w:t>
            </w:r>
          </w:p>
        </w:tc>
        <w:tc>
          <w:tcPr>
            <w:tcW w:w="3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806,978</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768,655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5 - 84 years</w:t>
            </w: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26 years</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Land and other non-depreciable assets</w:t>
            </w:r>
          </w:p>
        </w:tc>
        <w:tc>
          <w:tcPr>
            <w:tcW w:w="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107,537</w:t>
            </w: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103,357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20"/>
                <w:szCs w:val="20"/>
                <w:color w:val="auto"/>
              </w:rPr>
            </w:pPr>
            <w:r>
              <w:rPr>
                <w:rFonts w:ascii="Arial" w:cs="Arial" w:eastAsia="Arial" w:hAnsi="Arial"/>
                <w:sz w:val="14"/>
                <w:szCs w:val="14"/>
                <w:color w:val="auto"/>
              </w:rPr>
              <w:t>Utility plant and equipment</w:t>
            </w:r>
          </w:p>
        </w:tc>
        <w:tc>
          <w:tcPr>
            <w:tcW w:w="3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7,404,399</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6,826,043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Utility construction work in progress</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235,979</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201,902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4"/>
                <w:szCs w:val="14"/>
                <w:color w:val="auto"/>
              </w:rPr>
              <w:t>Net utility plant acquisition adjustment</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(20,832)</w:t>
            </w:r>
          </w:p>
        </w:tc>
        <w:tc>
          <w:tcPr>
            <w:tcW w:w="3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(24,550)</w:t>
            </w:r>
          </w:p>
        </w:tc>
        <w:tc>
          <w:tcPr>
            <w:tcW w:w="140" w:type="dxa"/>
            <w:vAlign w:val="bottom"/>
          </w:tcPr>
          <w:p>
            <w:pPr>
              <w:spacing w:after="0"/>
              <w:rPr>
                <w:sz w:val="17"/>
                <w:szCs w:val="17"/>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2 - 59 years</w:t>
            </w: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30 years</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Non-utility plant and equipment</w:t>
            </w:r>
          </w:p>
        </w:tc>
        <w:tc>
          <w:tcPr>
            <w:tcW w:w="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28,923</w:t>
            </w: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1"/>
              </w:rPr>
              <w:t>2 - 50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 years</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Arial" w:cs="Arial" w:eastAsia="Arial" w:hAnsi="Arial"/>
                <w:sz w:val="14"/>
                <w:szCs w:val="14"/>
                <w:color w:val="auto"/>
              </w:rPr>
              <w:t>Total property, plant and equipment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7,648,469</w:t>
            </w: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7,003,993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40" w:type="dxa"/>
            <w:vAlign w:val="bottom"/>
          </w:tcPr>
          <w:p>
            <w:pPr>
              <w:spacing w:after="0"/>
              <w:rPr>
                <w:sz w:val="20"/>
                <w:szCs w:val="20"/>
                <w:color w:val="auto"/>
              </w:rPr>
            </w:pPr>
            <w:r>
              <w:rPr>
                <w:rFonts w:ascii="Arial" w:cs="Arial" w:eastAsia="Arial" w:hAnsi="Arial"/>
                <w:sz w:val="20"/>
                <w:szCs w:val="20"/>
                <w:b w:val="1"/>
                <w:bCs w:val="1"/>
                <w:color w:val="auto"/>
              </w:rPr>
              <w:t xml:space="preserve">Note 5 – </w:t>
            </w:r>
            <w:r>
              <w:rPr>
                <w:rFonts w:ascii="Arial" w:cs="Arial" w:eastAsia="Arial" w:hAnsi="Arial"/>
                <w:sz w:val="20"/>
                <w:szCs w:val="20"/>
                <w:b w:val="1"/>
                <w:bCs w:val="1"/>
                <w:i w:val="1"/>
                <w:iCs w:val="1"/>
                <w:color w:val="auto"/>
              </w:rPr>
              <w:t>Accounts Receivable</w:t>
            </w:r>
          </w:p>
        </w:tc>
        <w:tc>
          <w:tcPr>
            <w:tcW w:w="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82"/>
        </w:trPr>
        <w:tc>
          <w:tcPr>
            <w:tcW w:w="60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20"/>
                <w:szCs w:val="20"/>
                <w:color w:val="auto"/>
              </w:rPr>
              <w:t>December 31,</w:t>
            </w:r>
          </w:p>
        </w:tc>
        <w:tc>
          <w:tcPr>
            <w:tcW w:w="1220" w:type="dxa"/>
            <w:vAlign w:val="bottom"/>
            <w:tcBorders>
              <w:bottom w:val="single" w:sz="8" w:color="auto"/>
            </w:tcBorders>
          </w:tcPr>
          <w:p>
            <w:pPr>
              <w:spacing w:after="0"/>
              <w:rPr>
                <w:sz w:val="24"/>
                <w:szCs w:val="24"/>
                <w:color w:val="auto"/>
              </w:rPr>
            </w:pPr>
          </w:p>
        </w:tc>
      </w:tr>
      <w:tr>
        <w:trPr>
          <w:trHeight w:val="223"/>
        </w:trPr>
        <w:tc>
          <w:tcPr>
            <w:tcW w:w="60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61"/>
              <w:spacing w:after="0" w:line="223" w:lineRule="exact"/>
              <w:rPr>
                <w:sz w:val="20"/>
                <w:szCs w:val="20"/>
                <w:color w:val="auto"/>
              </w:rPr>
            </w:pPr>
            <w:r>
              <w:rPr>
                <w:rFonts w:ascii="Arial" w:cs="Arial" w:eastAsia="Arial" w:hAnsi="Arial"/>
                <w:sz w:val="20"/>
                <w:szCs w:val="20"/>
                <w:color w:val="auto"/>
              </w:rPr>
              <w:t>2018</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2017</w:t>
            </w:r>
          </w:p>
        </w:tc>
      </w:tr>
      <w:tr>
        <w:trPr>
          <w:trHeight w:val="223"/>
        </w:trPr>
        <w:tc>
          <w:tcPr>
            <w:tcW w:w="60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Billed utility revenue</w:t>
            </w:r>
          </w:p>
        </w:tc>
        <w:tc>
          <w:tcPr>
            <w:tcW w:w="720" w:type="dxa"/>
            <w:vAlign w:val="bottom"/>
            <w:shd w:val="clear" w:color="auto" w:fill="CCEEFF"/>
          </w:tcPr>
          <w:p>
            <w:pPr>
              <w:jc w:val="right"/>
              <w:ind w:right="281"/>
              <w:spacing w:after="0" w:line="223" w:lineRule="exact"/>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68,347</w:t>
            </w:r>
          </w:p>
        </w:tc>
        <w:tc>
          <w:tcPr>
            <w:tcW w:w="520" w:type="dxa"/>
            <w:vAlign w:val="bottom"/>
            <w:shd w:val="clear" w:color="auto" w:fill="CCEEFF"/>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65,695</w:t>
            </w:r>
          </w:p>
        </w:tc>
      </w:tr>
      <w:tr>
        <w:trPr>
          <w:trHeight w:val="230"/>
        </w:trPr>
        <w:tc>
          <w:tcPr>
            <w:tcW w:w="6040" w:type="dxa"/>
            <w:vAlign w:val="bottom"/>
          </w:tcPr>
          <w:p>
            <w:pPr>
              <w:spacing w:after="0"/>
              <w:rPr>
                <w:sz w:val="20"/>
                <w:szCs w:val="20"/>
                <w:color w:val="auto"/>
              </w:rPr>
            </w:pPr>
            <w:r>
              <w:rPr>
                <w:rFonts w:ascii="Arial" w:cs="Arial" w:eastAsia="Arial" w:hAnsi="Arial"/>
                <w:sz w:val="20"/>
                <w:szCs w:val="20"/>
                <w:color w:val="auto"/>
              </w:rPr>
              <w:t>Unbilled revenue</w:t>
            </w:r>
          </w:p>
        </w:tc>
        <w:tc>
          <w:tcPr>
            <w:tcW w:w="720" w:type="dxa"/>
            <w:vAlign w:val="bottom"/>
          </w:tcPr>
          <w:p>
            <w:pPr>
              <w:spacing w:after="0"/>
              <w:rPr>
                <w:sz w:val="19"/>
                <w:szCs w:val="19"/>
                <w:color w:val="auto"/>
              </w:rPr>
            </w:pP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35,400</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35,042</w:t>
            </w: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4,392</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4,930</w:t>
            </w:r>
          </w:p>
        </w:tc>
      </w:tr>
      <w:tr>
        <w:trPr>
          <w:trHeight w:val="223"/>
        </w:trPr>
        <w:tc>
          <w:tcPr>
            <w:tcW w:w="6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20" w:type="dxa"/>
            <w:vAlign w:val="bottom"/>
          </w:tcPr>
          <w:p>
            <w:pPr>
              <w:jc w:val="right"/>
              <w:ind w:right="41"/>
              <w:spacing w:after="0" w:line="223" w:lineRule="exact"/>
              <w:rPr>
                <w:sz w:val="20"/>
                <w:szCs w:val="20"/>
                <w:color w:val="auto"/>
              </w:rPr>
            </w:pPr>
            <w:r>
              <w:rPr>
                <w:rFonts w:ascii="Arial" w:cs="Arial" w:eastAsia="Arial" w:hAnsi="Arial"/>
                <w:sz w:val="20"/>
                <w:szCs w:val="20"/>
                <w:color w:val="auto"/>
              </w:rPr>
              <w:t>108,139</w:t>
            </w:r>
          </w:p>
        </w:tc>
        <w:tc>
          <w:tcPr>
            <w:tcW w:w="520" w:type="dxa"/>
            <w:vAlign w:val="bottom"/>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0"/>
                <w:szCs w:val="20"/>
                <w:color w:val="auto"/>
              </w:rPr>
              <w:t>105,667</w:t>
            </w: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20"/>
                <w:szCs w:val="20"/>
                <w:color w:val="auto"/>
              </w:rPr>
              <w:t>Less allowance for doubtful accounts</w:t>
            </w:r>
          </w:p>
        </w:tc>
        <w:tc>
          <w:tcPr>
            <w:tcW w:w="7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6,914</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7,071</w:t>
            </w:r>
          </w:p>
        </w:tc>
      </w:tr>
      <w:tr>
        <w:trPr>
          <w:trHeight w:val="230"/>
        </w:trPr>
        <w:tc>
          <w:tcPr>
            <w:tcW w:w="6040" w:type="dxa"/>
            <w:vAlign w:val="bottom"/>
          </w:tcPr>
          <w:p>
            <w:pPr>
              <w:spacing w:after="0" w:line="223" w:lineRule="exact"/>
              <w:rPr>
                <w:sz w:val="20"/>
                <w:szCs w:val="20"/>
                <w:color w:val="auto"/>
              </w:rPr>
            </w:pPr>
            <w:r>
              <w:rPr>
                <w:rFonts w:ascii="Arial" w:cs="Arial" w:eastAsia="Arial" w:hAnsi="Arial"/>
                <w:sz w:val="20"/>
                <w:szCs w:val="20"/>
                <w:color w:val="auto"/>
              </w:rPr>
              <w:t>Net accounts receivable</w:t>
            </w:r>
          </w:p>
        </w:tc>
        <w:tc>
          <w:tcPr>
            <w:tcW w:w="720" w:type="dxa"/>
            <w:vAlign w:val="bottom"/>
            <w:tcBorders>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101,225</w:t>
            </w:r>
          </w:p>
        </w:tc>
        <w:tc>
          <w:tcPr>
            <w:tcW w:w="52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98,596</w:t>
            </w:r>
          </w:p>
        </w:tc>
      </w:tr>
    </w:tbl>
    <w:p>
      <w:pPr>
        <w:spacing w:after="0" w:line="132"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The Company’s utility customers are located principally in the following states: 47% in Pennsylvania, 15% in Ohio, 10% in North Carolina, 8% in Texas, and 8% in Illinois. No single customer accounted for more than one percent of the Company's regulated operating revenues during the years ended December 31, 2018, 2017, and 2016. The following table summarizes the changes in the Company’s allowance for doubtful accounts:</w:t>
      </w:r>
    </w:p>
    <w:p>
      <w:pPr>
        <w:sectPr>
          <w:pgSz w:w="11900" w:h="16838" w:orient="portrait"/>
          <w:cols w:equalWidth="0" w:num="1">
            <w:col w:w="10120"/>
          </w:cols>
          <w:pgMar w:left="900" w:top="125"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Balance at January 1,</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Amounts charged to expense</w:t>
      </w:r>
    </w:p>
    <w:p>
      <w:pPr>
        <w:spacing w:after="0"/>
        <w:rPr>
          <w:sz w:val="20"/>
          <w:szCs w:val="20"/>
          <w:color w:val="auto"/>
        </w:rPr>
      </w:pPr>
      <w:r>
        <w:rPr>
          <w:rFonts w:ascii="Arial" w:cs="Arial" w:eastAsia="Arial" w:hAnsi="Arial"/>
          <w:sz w:val="20"/>
          <w:szCs w:val="20"/>
          <w:color w:val="auto"/>
        </w:rPr>
        <w:t>Accounts written off</w:t>
      </w:r>
    </w:p>
    <w:p>
      <w:pPr>
        <w:spacing w:after="0"/>
        <w:rPr>
          <w:sz w:val="20"/>
          <w:szCs w:val="20"/>
          <w:color w:val="auto"/>
        </w:rPr>
      </w:pPr>
      <w:r>
        <w:rPr>
          <w:rFonts w:ascii="Arial" w:cs="Arial" w:eastAsia="Arial" w:hAnsi="Arial"/>
          <w:sz w:val="18"/>
          <w:szCs w:val="18"/>
          <w:color w:val="auto"/>
        </w:rPr>
        <w:t>Recoveries of accounts written off</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Balance 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5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2018</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2017</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2016</w:t>
            </w:r>
          </w:p>
        </w:tc>
      </w:tr>
      <w:tr>
        <w:trPr>
          <w:trHeight w:val="206"/>
        </w:trPr>
        <w:tc>
          <w:tcPr>
            <w:tcW w:w="520" w:type="dxa"/>
            <w:vAlign w:val="bottom"/>
          </w:tcPr>
          <w:p>
            <w:pPr>
              <w:jc w:val="right"/>
              <w:ind w:right="141"/>
              <w:spacing w:after="0" w:line="207" w:lineRule="exact"/>
              <w:rPr>
                <w:sz w:val="20"/>
                <w:szCs w:val="20"/>
                <w:color w:val="auto"/>
              </w:rPr>
            </w:pPr>
            <w:r>
              <w:rPr>
                <w:rFonts w:ascii="Arial" w:cs="Arial" w:eastAsia="Arial" w:hAnsi="Arial"/>
                <w:sz w:val="20"/>
                <w:szCs w:val="20"/>
                <w:color w:val="auto"/>
              </w:rPr>
              <w:t>$</w:t>
            </w:r>
          </w:p>
        </w:tc>
        <w:tc>
          <w:tcPr>
            <w:tcW w:w="1440" w:type="dxa"/>
            <w:vAlign w:val="bottom"/>
          </w:tcPr>
          <w:p>
            <w:pPr>
              <w:jc w:val="center"/>
              <w:ind w:left="621"/>
              <w:spacing w:after="0" w:line="207" w:lineRule="exact"/>
              <w:rPr>
                <w:sz w:val="20"/>
                <w:szCs w:val="20"/>
                <w:color w:val="auto"/>
              </w:rPr>
            </w:pPr>
            <w:r>
              <w:rPr>
                <w:rFonts w:ascii="Arial" w:cs="Arial" w:eastAsia="Arial" w:hAnsi="Arial"/>
                <w:sz w:val="20"/>
                <w:szCs w:val="20"/>
                <w:color w:val="auto"/>
                <w:w w:val="87"/>
              </w:rPr>
              <w:t>7,071</w:t>
            </w:r>
          </w:p>
        </w:tc>
        <w:tc>
          <w:tcPr>
            <w:tcW w:w="3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center"/>
              <w:ind w:left="361"/>
              <w:spacing w:after="0" w:line="207" w:lineRule="exact"/>
              <w:rPr>
                <w:sz w:val="20"/>
                <w:szCs w:val="20"/>
                <w:color w:val="auto"/>
              </w:rPr>
            </w:pPr>
            <w:r>
              <w:rPr>
                <w:rFonts w:ascii="Arial" w:cs="Arial" w:eastAsia="Arial" w:hAnsi="Arial"/>
                <w:sz w:val="20"/>
                <w:szCs w:val="20"/>
                <w:color w:val="auto"/>
                <w:w w:val="87"/>
              </w:rPr>
              <w:t>7,095</w:t>
            </w:r>
          </w:p>
        </w:tc>
        <w:tc>
          <w:tcPr>
            <w:tcW w:w="38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center"/>
              <w:ind w:left="581"/>
              <w:spacing w:after="0" w:line="207" w:lineRule="exact"/>
              <w:rPr>
                <w:sz w:val="20"/>
                <w:szCs w:val="20"/>
                <w:color w:val="auto"/>
              </w:rPr>
            </w:pPr>
            <w:r>
              <w:rPr>
                <w:rFonts w:ascii="Arial" w:cs="Arial" w:eastAsia="Arial" w:hAnsi="Arial"/>
                <w:sz w:val="20"/>
                <w:szCs w:val="20"/>
                <w:color w:val="auto"/>
                <w:w w:val="87"/>
              </w:rPr>
              <w:t>5,873</w:t>
            </w:r>
          </w:p>
        </w:tc>
      </w:tr>
      <w:tr>
        <w:trPr>
          <w:trHeight w:val="230"/>
        </w:trPr>
        <w:tc>
          <w:tcPr>
            <w:tcW w:w="520" w:type="dxa"/>
            <w:vAlign w:val="bottom"/>
          </w:tcPr>
          <w:p>
            <w:pPr>
              <w:spacing w:after="0"/>
              <w:rPr>
                <w:sz w:val="19"/>
                <w:szCs w:val="19"/>
                <w:color w:val="auto"/>
              </w:rPr>
            </w:pPr>
          </w:p>
        </w:tc>
        <w:tc>
          <w:tcPr>
            <w:tcW w:w="1440" w:type="dxa"/>
            <w:vAlign w:val="bottom"/>
          </w:tcPr>
          <w:p>
            <w:pPr>
              <w:jc w:val="center"/>
              <w:ind w:left="621"/>
              <w:spacing w:after="0"/>
              <w:rPr>
                <w:sz w:val="20"/>
                <w:szCs w:val="20"/>
                <w:color w:val="auto"/>
              </w:rPr>
            </w:pPr>
            <w:r>
              <w:rPr>
                <w:rFonts w:ascii="Arial" w:cs="Arial" w:eastAsia="Arial" w:hAnsi="Arial"/>
                <w:sz w:val="20"/>
                <w:szCs w:val="20"/>
                <w:color w:val="auto"/>
                <w:w w:val="87"/>
              </w:rPr>
              <w:t>5,305</w:t>
            </w:r>
          </w:p>
        </w:tc>
        <w:tc>
          <w:tcPr>
            <w:tcW w:w="340" w:type="dxa"/>
            <w:vAlign w:val="bottom"/>
          </w:tcPr>
          <w:p>
            <w:pPr>
              <w:spacing w:after="0"/>
              <w:rPr>
                <w:sz w:val="19"/>
                <w:szCs w:val="19"/>
                <w:color w:val="auto"/>
              </w:rPr>
            </w:pPr>
          </w:p>
        </w:tc>
        <w:tc>
          <w:tcPr>
            <w:tcW w:w="1180" w:type="dxa"/>
            <w:vAlign w:val="bottom"/>
          </w:tcPr>
          <w:p>
            <w:pPr>
              <w:jc w:val="center"/>
              <w:ind w:left="361"/>
              <w:spacing w:after="0"/>
              <w:rPr>
                <w:sz w:val="20"/>
                <w:szCs w:val="20"/>
                <w:color w:val="auto"/>
              </w:rPr>
            </w:pPr>
            <w:r>
              <w:rPr>
                <w:rFonts w:ascii="Arial" w:cs="Arial" w:eastAsia="Arial" w:hAnsi="Arial"/>
                <w:sz w:val="20"/>
                <w:szCs w:val="20"/>
                <w:color w:val="auto"/>
                <w:w w:val="87"/>
              </w:rPr>
              <w:t>4,986</w:t>
            </w:r>
          </w:p>
        </w:tc>
        <w:tc>
          <w:tcPr>
            <w:tcW w:w="380" w:type="dxa"/>
            <w:vAlign w:val="bottom"/>
          </w:tcPr>
          <w:p>
            <w:pPr>
              <w:spacing w:after="0"/>
              <w:rPr>
                <w:sz w:val="19"/>
                <w:szCs w:val="19"/>
                <w:color w:val="auto"/>
              </w:rPr>
            </w:pPr>
          </w:p>
        </w:tc>
        <w:tc>
          <w:tcPr>
            <w:tcW w:w="1240" w:type="dxa"/>
            <w:vAlign w:val="bottom"/>
          </w:tcPr>
          <w:p>
            <w:pPr>
              <w:jc w:val="center"/>
              <w:ind w:left="581"/>
              <w:spacing w:after="0"/>
              <w:rPr>
                <w:sz w:val="20"/>
                <w:szCs w:val="20"/>
                <w:color w:val="auto"/>
              </w:rPr>
            </w:pPr>
            <w:r>
              <w:rPr>
                <w:rFonts w:ascii="Arial" w:cs="Arial" w:eastAsia="Arial" w:hAnsi="Arial"/>
                <w:sz w:val="20"/>
                <w:szCs w:val="20"/>
                <w:color w:val="auto"/>
                <w:w w:val="87"/>
              </w:rPr>
              <w:t>5,500</w:t>
            </w:r>
          </w:p>
        </w:tc>
      </w:tr>
      <w:tr>
        <w:trPr>
          <w:trHeight w:val="230"/>
        </w:trPr>
        <w:tc>
          <w:tcPr>
            <w:tcW w:w="520" w:type="dxa"/>
            <w:vAlign w:val="bottom"/>
          </w:tcPr>
          <w:p>
            <w:pPr>
              <w:spacing w:after="0"/>
              <w:rPr>
                <w:sz w:val="19"/>
                <w:szCs w:val="19"/>
                <w:color w:val="auto"/>
              </w:rPr>
            </w:pPr>
          </w:p>
        </w:tc>
        <w:tc>
          <w:tcPr>
            <w:tcW w:w="1440" w:type="dxa"/>
            <w:vAlign w:val="bottom"/>
          </w:tcPr>
          <w:p>
            <w:pPr>
              <w:jc w:val="center"/>
              <w:ind w:left="601"/>
              <w:spacing w:after="0"/>
              <w:rPr>
                <w:sz w:val="20"/>
                <w:szCs w:val="20"/>
                <w:color w:val="auto"/>
              </w:rPr>
            </w:pPr>
            <w:r>
              <w:rPr>
                <w:rFonts w:ascii="Arial" w:cs="Arial" w:eastAsia="Arial" w:hAnsi="Arial"/>
                <w:sz w:val="20"/>
                <w:szCs w:val="20"/>
                <w:color w:val="auto"/>
                <w:w w:val="91"/>
              </w:rPr>
              <w:t>(6,587)</w:t>
            </w:r>
          </w:p>
        </w:tc>
        <w:tc>
          <w:tcPr>
            <w:tcW w:w="340" w:type="dxa"/>
            <w:vAlign w:val="bottom"/>
          </w:tcPr>
          <w:p>
            <w:pPr>
              <w:spacing w:after="0"/>
              <w:rPr>
                <w:sz w:val="19"/>
                <w:szCs w:val="19"/>
                <w:color w:val="auto"/>
              </w:rPr>
            </w:pPr>
          </w:p>
        </w:tc>
        <w:tc>
          <w:tcPr>
            <w:tcW w:w="1180" w:type="dxa"/>
            <w:vAlign w:val="bottom"/>
          </w:tcPr>
          <w:p>
            <w:pPr>
              <w:jc w:val="center"/>
              <w:ind w:left="341"/>
              <w:spacing w:after="0"/>
              <w:rPr>
                <w:sz w:val="20"/>
                <w:szCs w:val="20"/>
                <w:color w:val="auto"/>
              </w:rPr>
            </w:pPr>
            <w:r>
              <w:rPr>
                <w:rFonts w:ascii="Arial" w:cs="Arial" w:eastAsia="Arial" w:hAnsi="Arial"/>
                <w:sz w:val="20"/>
                <w:szCs w:val="20"/>
                <w:color w:val="auto"/>
                <w:w w:val="91"/>
              </w:rPr>
              <w:t>(6,135)</w:t>
            </w:r>
          </w:p>
        </w:tc>
        <w:tc>
          <w:tcPr>
            <w:tcW w:w="380" w:type="dxa"/>
            <w:vAlign w:val="bottom"/>
          </w:tcPr>
          <w:p>
            <w:pPr>
              <w:spacing w:after="0"/>
              <w:rPr>
                <w:sz w:val="19"/>
                <w:szCs w:val="19"/>
                <w:color w:val="auto"/>
              </w:rPr>
            </w:pPr>
          </w:p>
        </w:tc>
        <w:tc>
          <w:tcPr>
            <w:tcW w:w="1240" w:type="dxa"/>
            <w:vAlign w:val="bottom"/>
          </w:tcPr>
          <w:p>
            <w:pPr>
              <w:jc w:val="center"/>
              <w:ind w:left="561"/>
              <w:spacing w:after="0"/>
              <w:rPr>
                <w:sz w:val="20"/>
                <w:szCs w:val="20"/>
                <w:color w:val="auto"/>
              </w:rPr>
            </w:pPr>
            <w:r>
              <w:rPr>
                <w:rFonts w:ascii="Arial" w:cs="Arial" w:eastAsia="Arial" w:hAnsi="Arial"/>
                <w:sz w:val="20"/>
                <w:szCs w:val="20"/>
                <w:color w:val="auto"/>
                <w:w w:val="91"/>
              </w:rPr>
              <w:t>(5,410)</w:t>
            </w:r>
          </w:p>
        </w:tc>
      </w:tr>
      <w:tr>
        <w:trPr>
          <w:trHeight w:val="246"/>
        </w:trPr>
        <w:tc>
          <w:tcPr>
            <w:tcW w:w="5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left="621"/>
              <w:spacing w:after="0"/>
              <w:rPr>
                <w:sz w:val="20"/>
                <w:szCs w:val="20"/>
                <w:color w:val="auto"/>
              </w:rPr>
            </w:pPr>
            <w:r>
              <w:rPr>
                <w:rFonts w:ascii="Arial" w:cs="Arial" w:eastAsia="Arial" w:hAnsi="Arial"/>
                <w:sz w:val="20"/>
                <w:szCs w:val="20"/>
                <w:color w:val="auto"/>
                <w:w w:val="87"/>
              </w:rPr>
              <w:t>1,125</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361"/>
              <w:spacing w:after="0"/>
              <w:rPr>
                <w:sz w:val="20"/>
                <w:szCs w:val="20"/>
                <w:color w:val="auto"/>
              </w:rPr>
            </w:pPr>
            <w:r>
              <w:rPr>
                <w:rFonts w:ascii="Arial" w:cs="Arial" w:eastAsia="Arial" w:hAnsi="Arial"/>
                <w:sz w:val="20"/>
                <w:szCs w:val="20"/>
                <w:color w:val="auto"/>
                <w:w w:val="87"/>
              </w:rPr>
              <w:t>1,125</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left="581"/>
              <w:spacing w:after="0"/>
              <w:rPr>
                <w:sz w:val="20"/>
                <w:szCs w:val="20"/>
                <w:color w:val="auto"/>
              </w:rPr>
            </w:pPr>
            <w:r>
              <w:rPr>
                <w:rFonts w:ascii="Arial" w:cs="Arial" w:eastAsia="Arial" w:hAnsi="Arial"/>
                <w:sz w:val="20"/>
                <w:szCs w:val="20"/>
                <w:color w:val="auto"/>
                <w:w w:val="87"/>
              </w:rPr>
              <w:t>1,132</w:t>
            </w:r>
          </w:p>
        </w:tc>
      </w:tr>
      <w:tr>
        <w:trPr>
          <w:trHeight w:val="230"/>
        </w:trPr>
        <w:tc>
          <w:tcPr>
            <w:tcW w:w="520" w:type="dxa"/>
            <w:vAlign w:val="bottom"/>
            <w:tcBorders>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center"/>
              <w:ind w:left="621"/>
              <w:spacing w:after="0" w:line="223" w:lineRule="exact"/>
              <w:rPr>
                <w:sz w:val="20"/>
                <w:szCs w:val="20"/>
                <w:color w:val="auto"/>
              </w:rPr>
            </w:pPr>
            <w:r>
              <w:rPr>
                <w:rFonts w:ascii="Arial" w:cs="Arial" w:eastAsia="Arial" w:hAnsi="Arial"/>
                <w:sz w:val="20"/>
                <w:szCs w:val="20"/>
                <w:color w:val="auto"/>
                <w:w w:val="87"/>
              </w:rPr>
              <w:t>6,914</w:t>
            </w: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center"/>
              <w:ind w:left="361"/>
              <w:spacing w:after="0" w:line="223" w:lineRule="exact"/>
              <w:rPr>
                <w:sz w:val="20"/>
                <w:szCs w:val="20"/>
                <w:color w:val="auto"/>
              </w:rPr>
            </w:pPr>
            <w:r>
              <w:rPr>
                <w:rFonts w:ascii="Arial" w:cs="Arial" w:eastAsia="Arial" w:hAnsi="Arial"/>
                <w:sz w:val="20"/>
                <w:szCs w:val="20"/>
                <w:color w:val="auto"/>
                <w:w w:val="87"/>
              </w:rPr>
              <w:t>7,071</w:t>
            </w:r>
          </w:p>
        </w:tc>
        <w:tc>
          <w:tcPr>
            <w:tcW w:w="38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center"/>
              <w:ind w:left="581"/>
              <w:spacing w:after="0" w:line="223" w:lineRule="exact"/>
              <w:rPr>
                <w:sz w:val="20"/>
                <w:szCs w:val="20"/>
                <w:color w:val="auto"/>
              </w:rPr>
            </w:pPr>
            <w:r>
              <w:rPr>
                <w:rFonts w:ascii="Arial" w:cs="Arial" w:eastAsia="Arial" w:hAnsi="Arial"/>
                <w:sz w:val="20"/>
                <w:szCs w:val="20"/>
                <w:color w:val="auto"/>
                <w:w w:val="87"/>
              </w:rPr>
              <w:t>7,095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-762635</wp:posOffset>
            </wp:positionV>
            <wp:extent cx="642302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23025" cy="154305"/>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-462280</wp:posOffset>
            </wp:positionV>
            <wp:extent cx="642302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-170815</wp:posOffset>
            </wp:positionV>
            <wp:extent cx="6423025"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2302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5100"/>
          </w:cols>
          <w:pgMar w:left="900" w:top="125" w:right="87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85090</wp:posOffset>
            </wp:positionV>
            <wp:extent cx="646557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6 – </w:t>
      </w:r>
      <w:r>
        <w:rPr>
          <w:rFonts w:ascii="Arial" w:cs="Arial" w:eastAsia="Arial" w:hAnsi="Arial"/>
          <w:sz w:val="20"/>
          <w:szCs w:val="20"/>
          <w:b w:val="1"/>
          <w:bCs w:val="1"/>
          <w:i w:val="1"/>
          <w:iCs w:val="1"/>
          <w:color w:val="auto"/>
        </w:rPr>
        <w:t>Regulatory Assets and Liabilities</w:t>
      </w:r>
    </w:p>
    <w:p>
      <w:pPr>
        <w:spacing w:after="0" w:line="235"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auto"/>
        </w:rPr>
        <w:t>The 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Except for income taxes, regulatory assets and regulatory liabilities are excluded from the Company’s rate base and do not earn a return. The components of regulatory assets and regulatory liabilities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4"/>
          </w:tcPr>
          <w:p>
            <w:pPr>
              <w:ind w:left="200"/>
              <w:spacing w:after="0"/>
              <w:rPr>
                <w:sz w:val="20"/>
                <w:szCs w:val="20"/>
                <w:color w:val="auto"/>
              </w:rPr>
            </w:pPr>
            <w:r>
              <w:rPr>
                <w:rFonts w:ascii="Arial" w:cs="Arial" w:eastAsia="Arial" w:hAnsi="Arial"/>
                <w:sz w:val="18"/>
                <w:szCs w:val="18"/>
                <w:color w:val="auto"/>
              </w:rPr>
              <w:t>December 31, 2018</w:t>
            </w:r>
          </w:p>
        </w:tc>
        <w:tc>
          <w:tcPr>
            <w:tcW w:w="22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Arial" w:cs="Arial" w:eastAsia="Arial" w:hAnsi="Arial"/>
                <w:sz w:val="18"/>
                <w:szCs w:val="18"/>
                <w:color w:val="auto"/>
              </w:rPr>
              <w:t>December 31, 2017</w:t>
            </w:r>
          </w:p>
        </w:tc>
      </w:tr>
      <w:tr>
        <w:trPr>
          <w:trHeight w:val="209"/>
        </w:trPr>
        <w:tc>
          <w:tcPr>
            <w:tcW w:w="5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Regulatory</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Regulatory</w:t>
            </w: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Regulatory</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Regulatory</w:t>
            </w:r>
          </w:p>
        </w:tc>
      </w:tr>
      <w:tr>
        <w:trPr>
          <w:trHeight w:val="230"/>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ind w:left="20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Liabilities</w:t>
            </w:r>
          </w:p>
        </w:tc>
        <w:tc>
          <w:tcPr>
            <w:tcW w:w="22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Liabilities</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657,378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414,787</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584,067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438,750</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Customer refunds resulting from TCJA</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Utility plant retirement costs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38,435</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35,249</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110,719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71,285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112,532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65,964</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Water tank painting</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1,855</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of long-term debt assumed in acquisition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Rate case filing expenses and other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17"/>
        </w:trPr>
        <w:tc>
          <w:tcPr>
            <w:tcW w:w="5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788,076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531,027</w:t>
            </w:r>
          </w:p>
        </w:tc>
        <w:tc>
          <w:tcPr>
            <w:tcW w:w="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713,971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541,910</w:t>
            </w:r>
          </w:p>
        </w:tc>
      </w:tr>
    </w:tbl>
    <w:p>
      <w:pPr>
        <w:spacing w:after="0" w:line="21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Items giving rise to deferred state income taxes, as well as a portion of deferred Federal income taxes related to specific differences between tax and book depreciation expense, are recognized in the rate setting process on a cash basis or as a reduction in current income tax expense and will be recovered as they reverse. Amounts include differences that arise between specific utility asset improvement costs capitalized for book and deducted as an expense for tax purposes. Additionally, the recording of AFUDC for equity funds results in the recognition of a regulatory asset for income taxes, which represents amounts due related to the revenue requirement.</w:t>
      </w:r>
    </w:p>
    <w:p>
      <w:pPr>
        <w:spacing w:after="0" w:line="210"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A portion of the regulatory liability for income taxes is related to Aqua Pennsylvania’s income tax accounting change for the tax benefits realized on the Company’s 2012 tax return, which have not yet reduced current income tax expense due to the ten-year amortization period which began in 2013. This amortization was stipulated in a June 2012 rate order issued to Aqua Pennsylvania and is subject to specific parameters being met each year. Beginning in 2013, the Company amortized $38,000, annually, of its deferred income tax benefits, which reduced current income tax expense and increased the Company’s net income by $16,734.</w:t>
      </w:r>
    </w:p>
    <w:p>
      <w:pPr>
        <w:spacing w:after="0" w:line="21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On December 22, 2017, President Trump signed the TCJA into law, which reduced the Federal corporate income tax rate from 35% to 21%. Reductions in accumulated deferred income tax balances due to the reduction in the corporate income tax rate to 21% under the provisions of the TCJA will result in amounts previously collected from utility customers for these deferred taxes to be refundable to such customers, generally through reductions in future rates. The TCJA includes provisions that stipulate how these excess deferred taxes relating to certain accelerated tax depreciation benefits are to be passed back to customers. Potential refunds of other deferred taxes will be determined by our state regulators. The December 31, 2017 consolidated balance sheet reflects the impact of the TCJA on our regulatory assets and liabilities and reduces our regulatory assets by $357,262 and increases our regulatory liabilities by $303,320. These adjustments had no impact on our 2017 cash flows. The regulatory liability for customer refunds resulting from the TCJA represents a revenue reserve for potential customer refunds associated with the reduction in the Federal corporate income tax rate under the provisions of the TCJA.</w:t>
      </w:r>
    </w:p>
    <w:p>
      <w:pPr>
        <w:spacing w:after="0" w:line="188" w:lineRule="exact"/>
        <w:rPr>
          <w:sz w:val="20"/>
          <w:szCs w:val="20"/>
          <w:color w:val="auto"/>
        </w:rPr>
      </w:pPr>
    </w:p>
    <w:p>
      <w:pPr>
        <w:ind w:right="320"/>
        <w:spacing w:after="0" w:line="291" w:lineRule="auto"/>
        <w:rPr>
          <w:sz w:val="20"/>
          <w:szCs w:val="20"/>
          <w:color w:val="auto"/>
        </w:rPr>
      </w:pPr>
      <w:r>
        <w:rPr>
          <w:rFonts w:ascii="Arial" w:cs="Arial" w:eastAsia="Arial" w:hAnsi="Arial"/>
          <w:sz w:val="18"/>
          <w:szCs w:val="18"/>
          <w:color w:val="auto"/>
        </w:rPr>
        <w:t>The regulatory asset for utility plant retirement costs, including cost of removal, represents costs already incurred that are expected to be recovered in future rates over a five-year recovery period. The regulatory liability for utility plant retirement costs represents amounts recovered through rates during the life of the associated asset and before the costs are incurred.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The regulatory asset for accrued vacation represents costs that would otherwise be charged to operations and maintenance expense for vacation that is earned by employees, which is recovered as a cost of service.</w:t>
      </w:r>
    </w:p>
    <w:p>
      <w:pPr>
        <w:spacing w:after="0" w:line="190"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regulatory asset for post-retirement benefits, which includes pension and other post-retirement benefits, primarily reflects a regulatory asset that has been recorded for the costs that would otherwise be charged to stockholders’ equity for the underfunded status of the Company’s pension and other post-retirement benefit plans. The Company also has a regulatory asset related to post-retirement benefits costs that represent costs already incurred which are now being recovered in rates over 10 years. The regulatory liability for post-retirement benefits represents costs recovered in rates in excess of post-retirement benefits expense.</w:t>
      </w:r>
    </w:p>
    <w:p>
      <w:pPr>
        <w:spacing w:after="0" w:line="2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Expenses associated with water tank painting are deferred and amortized over a period of time as approved in the regulatory process. Water tank painting costs are generally being amortized over a period ranging from 1 to 15 years. The regulatory liability for water tank painting costs represents amounts recovered through rates and before the costs are incurred.</w:t>
      </w:r>
    </w:p>
    <w:p>
      <w:pPr>
        <w:spacing w:after="0" w:line="132"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Company recorded a fair value adjustment for fixed rate, long-term debt assumed in acquisitions that matures in various years ranging from 2022 to 2029. The regulatory asset or liability results from the rate setting process continuing to recognize the historical interest cost of the assumed debt.</w:t>
      </w:r>
    </w:p>
    <w:p>
      <w:pPr>
        <w:spacing w:after="0" w:line="20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regulatory asset related to rate case filing expenses and other represents the costs associated with filing for rate increases that are deferred and amortized over periods that generally range from one to five years, and costs incurred by the Company for which it has received or expects to receive rate recovery.</w:t>
      </w:r>
    </w:p>
    <w:p>
      <w:pPr>
        <w:spacing w:after="0" w:line="200"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 xml:space="preserve">The regulatory asset related to the costs incurred for information technology software projects and water main cleaning and relining projects are described in Note 1 – </w:t>
      </w:r>
      <w:r>
        <w:rPr>
          <w:rFonts w:ascii="Arial" w:cs="Arial" w:eastAsia="Arial" w:hAnsi="Arial"/>
          <w:sz w:val="20"/>
          <w:szCs w:val="20"/>
          <w:i w:val="1"/>
          <w:iCs w:val="1"/>
          <w:color w:val="auto"/>
        </w:rPr>
        <w:t>Summary of Significant Accounting Policies – Property, Plant and Equipment and</w:t>
      </w:r>
      <w:r>
        <w:rPr>
          <w:rFonts w:ascii="Arial" w:cs="Arial" w:eastAsia="Arial" w:hAnsi="Arial"/>
          <w:sz w:val="20"/>
          <w:szCs w:val="20"/>
          <w:color w:val="auto"/>
        </w:rPr>
        <w:t xml:space="preserve"> </w:t>
      </w:r>
      <w:r>
        <w:rPr>
          <w:rFonts w:ascii="Arial" w:cs="Arial" w:eastAsia="Arial" w:hAnsi="Arial"/>
          <w:sz w:val="20"/>
          <w:szCs w:val="20"/>
          <w:i w:val="1"/>
          <w:iCs w:val="1"/>
          <w:color w:val="auto"/>
        </w:rPr>
        <w:t>Depreciation</w:t>
      </w:r>
      <w:r>
        <w:rPr>
          <w:rFonts w:ascii="Arial" w:cs="Arial" w:eastAsia="Arial" w:hAnsi="Arial"/>
          <w:sz w:val="20"/>
          <w:szCs w:val="20"/>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40" w:type="dxa"/>
            <w:vAlign w:val="bottom"/>
          </w:tcPr>
          <w:p>
            <w:pPr>
              <w:spacing w:after="0"/>
              <w:rPr>
                <w:sz w:val="20"/>
                <w:szCs w:val="20"/>
                <w:color w:val="auto"/>
              </w:rPr>
            </w:pPr>
            <w:r>
              <w:rPr>
                <w:rFonts w:ascii="Arial" w:cs="Arial" w:eastAsia="Arial" w:hAnsi="Arial"/>
                <w:sz w:val="20"/>
                <w:szCs w:val="20"/>
                <w:b w:val="1"/>
                <w:bCs w:val="1"/>
                <w:color w:val="auto"/>
              </w:rPr>
              <w:t xml:space="preserve">Note 7 – </w:t>
            </w:r>
            <w:r>
              <w:rPr>
                <w:rFonts w:ascii="Arial" w:cs="Arial" w:eastAsia="Arial" w:hAnsi="Arial"/>
                <w:sz w:val="20"/>
                <w:szCs w:val="20"/>
                <w:b w:val="1"/>
                <w:bCs w:val="1"/>
                <w:i w:val="1"/>
                <w:iCs w:val="1"/>
                <w:color w:val="auto"/>
              </w:rPr>
              <w:t>Income Taxes</w:t>
            </w: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59"/>
        </w:trPr>
        <w:tc>
          <w:tcPr>
            <w:tcW w:w="5240" w:type="dxa"/>
            <w:vAlign w:val="bottom"/>
          </w:tcPr>
          <w:p>
            <w:pPr>
              <w:spacing w:after="0"/>
              <w:rPr>
                <w:sz w:val="20"/>
                <w:szCs w:val="20"/>
                <w:color w:val="auto"/>
              </w:rPr>
            </w:pPr>
            <w:r>
              <w:rPr>
                <w:rFonts w:ascii="Arial" w:cs="Arial" w:eastAsia="Arial" w:hAnsi="Arial"/>
                <w:sz w:val="20"/>
                <w:szCs w:val="20"/>
                <w:color w:val="auto"/>
              </w:rPr>
              <w:t>The provision for income taxes consists of:</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63"/>
        </w:trPr>
        <w:tc>
          <w:tcPr>
            <w:tcW w:w="52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20"/>
                <w:szCs w:val="20"/>
                <w:color w:val="auto"/>
              </w:rPr>
              <w:t>Years Ended December 31,</w:t>
            </w:r>
          </w:p>
        </w:tc>
        <w:tc>
          <w:tcPr>
            <w:tcW w:w="1080" w:type="dxa"/>
            <w:vAlign w:val="bottom"/>
            <w:tcBorders>
              <w:bottom w:val="single" w:sz="8" w:color="auto"/>
            </w:tcBorders>
          </w:tcPr>
          <w:p>
            <w:pPr>
              <w:spacing w:after="0"/>
              <w:rPr>
                <w:sz w:val="24"/>
                <w:szCs w:val="24"/>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2018</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2017</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2016</w:t>
            </w: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20"/>
                <w:szCs w:val="20"/>
                <w:color w:val="auto"/>
              </w:rPr>
              <w:t>Current:</w:t>
            </w: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20"/>
                <w:szCs w:val="20"/>
                <w:color w:val="auto"/>
              </w:rPr>
              <w:t>Federal</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61"/>
              <w:spacing w:after="0"/>
              <w:rPr>
                <w:sz w:val="20"/>
                <w:szCs w:val="20"/>
                <w:color w:val="auto"/>
              </w:rPr>
            </w:pPr>
            <w:r>
              <w:rPr>
                <w:rFonts w:ascii="Arial" w:cs="Arial" w:eastAsia="Arial" w:hAnsi="Arial"/>
                <w:sz w:val="20"/>
                <w:szCs w:val="20"/>
                <w:color w:val="auto"/>
              </w:rPr>
              <w:t>1,297</w:t>
            </w:r>
          </w:p>
        </w:tc>
        <w:tc>
          <w:tcPr>
            <w:tcW w:w="42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2,046</w:t>
            </w: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20"/>
                <w:szCs w:val="20"/>
                <w:color w:val="auto"/>
              </w:rPr>
              <w:t>State</w:t>
            </w:r>
          </w:p>
        </w:tc>
        <w:tc>
          <w:tcPr>
            <w:tcW w:w="5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1,281</w:t>
            </w: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1,837</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1,682</w:t>
            </w:r>
          </w:p>
        </w:tc>
      </w:tr>
      <w:tr>
        <w:trPr>
          <w:trHeight w:val="250"/>
        </w:trPr>
        <w:tc>
          <w:tcPr>
            <w:tcW w:w="524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1,281</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3,134</w:t>
            </w: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3,728</w:t>
            </w: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20"/>
                <w:szCs w:val="20"/>
                <w:color w:val="auto"/>
              </w:rPr>
              <w:t>Deferred:</w:t>
            </w: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20"/>
                <w:szCs w:val="20"/>
                <w:color w:val="auto"/>
              </w:rPr>
              <w:t>Federal</w:t>
            </w:r>
          </w:p>
        </w:tc>
        <w:tc>
          <w:tcPr>
            <w:tcW w:w="56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(8,721)</w:t>
            </w:r>
          </w:p>
        </w:tc>
        <w:tc>
          <w:tcPr>
            <w:tcW w:w="420" w:type="dxa"/>
            <w:vAlign w:val="bottom"/>
          </w:tcPr>
          <w:p>
            <w:pPr>
              <w:spacing w:after="0"/>
              <w:rPr>
                <w:sz w:val="23"/>
                <w:szCs w:val="23"/>
                <w:color w:val="auto"/>
              </w:rPr>
            </w:pPr>
          </w:p>
        </w:tc>
        <w:tc>
          <w:tcPr>
            <w:tcW w:w="1180" w:type="dxa"/>
            <w:vAlign w:val="bottom"/>
          </w:tcPr>
          <w:p>
            <w:pPr>
              <w:jc w:val="right"/>
              <w:ind w:right="61"/>
              <w:spacing w:after="0"/>
              <w:rPr>
                <w:sz w:val="20"/>
                <w:szCs w:val="20"/>
                <w:color w:val="auto"/>
              </w:rPr>
            </w:pPr>
            <w:r>
              <w:rPr>
                <w:rFonts w:ascii="Arial" w:cs="Arial" w:eastAsia="Arial" w:hAnsi="Arial"/>
                <w:sz w:val="20"/>
                <w:szCs w:val="20"/>
                <w:color w:val="auto"/>
              </w:rPr>
              <w:t>21,376</w:t>
            </w:r>
          </w:p>
        </w:tc>
        <w:tc>
          <w:tcPr>
            <w:tcW w:w="4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21,489</w:t>
            </w: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20"/>
                <w:szCs w:val="20"/>
                <w:color w:val="auto"/>
              </w:rPr>
              <w:t>State</w:t>
            </w:r>
          </w:p>
        </w:tc>
        <w:tc>
          <w:tcPr>
            <w:tcW w:w="5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(6,229)</w:t>
            </w: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(7,596)</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(4,239)</w:t>
            </w:r>
          </w:p>
        </w:tc>
      </w:tr>
      <w:tr>
        <w:trPr>
          <w:trHeight w:val="250"/>
        </w:trPr>
        <w:tc>
          <w:tcPr>
            <w:tcW w:w="524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(14,950)</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13,780</w:t>
            </w: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17,250</w:t>
            </w:r>
          </w:p>
        </w:tc>
      </w:tr>
      <w:tr>
        <w:trPr>
          <w:trHeight w:val="230"/>
        </w:trPr>
        <w:tc>
          <w:tcPr>
            <w:tcW w:w="52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Total tax expense (benefit)</w:t>
            </w:r>
          </w:p>
        </w:tc>
        <w:tc>
          <w:tcPr>
            <w:tcW w:w="560" w:type="dxa"/>
            <w:vAlign w:val="bottom"/>
            <w:tcBorders>
              <w:bottom w:val="single" w:sz="8" w:color="auto"/>
            </w:tcBorders>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(13,669)</w:t>
            </w:r>
          </w:p>
        </w:tc>
        <w:tc>
          <w:tcPr>
            <w:tcW w:w="420" w:type="dxa"/>
            <w:vAlign w:val="bottom"/>
            <w:tcBorders>
              <w:bottom w:val="single" w:sz="8" w:color="auto"/>
            </w:tcBorders>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16,914</w:t>
            </w:r>
          </w:p>
        </w:tc>
        <w:tc>
          <w:tcPr>
            <w:tcW w:w="420" w:type="dxa"/>
            <w:vAlign w:val="bottom"/>
            <w:tcBorders>
              <w:bottom w:val="single" w:sz="8" w:color="auto"/>
            </w:tcBorders>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20,978</w:t>
            </w:r>
          </w:p>
        </w:tc>
      </w:tr>
    </w:tbl>
    <w:p>
      <w:pPr>
        <w:spacing w:after="0" w:line="213"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statutory Federal tax rate is 21% for 2018, and 35% for 2017 and 2016. For states with a corporate net income tax, the state corporate net income tax rates range from 3% to 9.99% for all years presented.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The reasons for the differences between amounts computed by applying the statutory Federal corporate income tax rate to income before income tax expense are as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5"/>
          </w:tcPr>
          <w:p>
            <w:pPr>
              <w:jc w:val="right"/>
              <w:ind w:right="441"/>
              <w:spacing w:after="0"/>
              <w:rPr>
                <w:sz w:val="20"/>
                <w:szCs w:val="20"/>
                <w:color w:val="auto"/>
              </w:rPr>
            </w:pPr>
            <w:r>
              <w:rPr>
                <w:rFonts w:ascii="Arial" w:cs="Arial" w:eastAsia="Arial" w:hAnsi="Arial"/>
                <w:sz w:val="20"/>
                <w:szCs w:val="20"/>
                <w:color w:val="auto"/>
                <w:w w:val="96"/>
              </w:rPr>
              <w:t>Years Ended December 31,</w:t>
            </w:r>
          </w:p>
        </w:tc>
      </w:tr>
      <w:tr>
        <w:trPr>
          <w:trHeight w:val="223"/>
        </w:trPr>
        <w:tc>
          <w:tcPr>
            <w:tcW w:w="6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2018</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2016</w:t>
            </w:r>
          </w:p>
        </w:tc>
      </w:tr>
      <w:tr>
        <w:trPr>
          <w:trHeight w:val="223"/>
        </w:trPr>
        <w:tc>
          <w:tcPr>
            <w:tcW w:w="69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Computed Federal tax expense at statutory rate</w:t>
            </w:r>
          </w:p>
        </w:tc>
        <w:tc>
          <w:tcPr>
            <w:tcW w:w="28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37,447</w:t>
            </w:r>
          </w:p>
        </w:tc>
        <w:tc>
          <w:tcPr>
            <w:tcW w:w="26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89,828</w:t>
            </w:r>
          </w:p>
        </w:tc>
        <w:tc>
          <w:tcPr>
            <w:tcW w:w="24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89,306</w:t>
            </w:r>
          </w:p>
        </w:tc>
      </w:tr>
      <w:tr>
        <w:trPr>
          <w:trHeight w:val="213"/>
        </w:trPr>
        <w:tc>
          <w:tcPr>
            <w:tcW w:w="6900" w:type="dxa"/>
            <w:vAlign w:val="bottom"/>
          </w:tcPr>
          <w:p>
            <w:pPr>
              <w:ind w:left="100"/>
              <w:spacing w:after="0" w:line="213" w:lineRule="exact"/>
              <w:rPr>
                <w:sz w:val="20"/>
                <w:szCs w:val="20"/>
                <w:color w:val="auto"/>
              </w:rPr>
            </w:pPr>
            <w:r>
              <w:rPr>
                <w:rFonts w:ascii="Arial" w:cs="Arial" w:eastAsia="Arial" w:hAnsi="Arial"/>
                <w:sz w:val="20"/>
                <w:szCs w:val="20"/>
                <w:color w:val="auto"/>
                <w:w w:val="94"/>
              </w:rPr>
              <w:t>Decrease in Federal tax expense related to an income tax accounting change for</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6"/>
        </w:trPr>
        <w:tc>
          <w:tcPr>
            <w:tcW w:w="6900" w:type="dxa"/>
            <w:vAlign w:val="bottom"/>
          </w:tcPr>
          <w:p>
            <w:pPr>
              <w:ind w:left="100"/>
              <w:spacing w:after="0"/>
              <w:rPr>
                <w:sz w:val="20"/>
                <w:szCs w:val="20"/>
                <w:color w:val="auto"/>
              </w:rPr>
            </w:pPr>
            <w:r>
              <w:rPr>
                <w:rFonts w:ascii="Arial" w:cs="Arial" w:eastAsia="Arial" w:hAnsi="Arial"/>
                <w:sz w:val="20"/>
                <w:szCs w:val="20"/>
                <w:color w:val="auto"/>
              </w:rPr>
              <w:t>qualifying utility asset improvement costs</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(44,089)</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(69,325)</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(62,831)</w:t>
            </w:r>
          </w:p>
        </w:tc>
      </w:tr>
      <w:tr>
        <w:trPr>
          <w:trHeight w:val="230"/>
        </w:trPr>
        <w:tc>
          <w:tcPr>
            <w:tcW w:w="69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State income taxes, net of Federal tax benefit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(4,964)</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(3,743)</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(1,662)</w:t>
            </w:r>
          </w:p>
        </w:tc>
      </w:tr>
      <w:tr>
        <w:trPr>
          <w:trHeight w:val="230"/>
        </w:trPr>
        <w:tc>
          <w:tcPr>
            <w:tcW w:w="6900" w:type="dxa"/>
            <w:vAlign w:val="bottom"/>
          </w:tcPr>
          <w:p>
            <w:pPr>
              <w:ind w:left="100"/>
              <w:spacing w:after="0"/>
              <w:rPr>
                <w:sz w:val="20"/>
                <w:szCs w:val="20"/>
                <w:color w:val="auto"/>
              </w:rPr>
            </w:pPr>
            <w:r>
              <w:rPr>
                <w:rFonts w:ascii="Arial" w:cs="Arial" w:eastAsia="Arial" w:hAnsi="Arial"/>
                <w:sz w:val="20"/>
                <w:szCs w:val="20"/>
                <w:color w:val="auto"/>
                <w:w w:val="95"/>
              </w:rPr>
              <w:t>Increase in tax expense for depreciation expense to be recovered in future rates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328</w:t>
            </w:r>
          </w:p>
        </w:tc>
        <w:tc>
          <w:tcPr>
            <w:tcW w:w="2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20"/>
                <w:szCs w:val="20"/>
                <w:color w:val="auto"/>
              </w:rPr>
              <w:t>199</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199</w:t>
            </w:r>
          </w:p>
        </w:tc>
      </w:tr>
      <w:tr>
        <w:trPr>
          <w:trHeight w:val="230"/>
        </w:trPr>
        <w:tc>
          <w:tcPr>
            <w:tcW w:w="69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Stock-based compensation</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(414)</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(595)</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(227)</w:t>
            </w:r>
          </w:p>
        </w:tc>
      </w:tr>
      <w:tr>
        <w:trPr>
          <w:trHeight w:val="230"/>
        </w:trPr>
        <w:tc>
          <w:tcPr>
            <w:tcW w:w="6900" w:type="dxa"/>
            <w:vAlign w:val="bottom"/>
          </w:tcPr>
          <w:p>
            <w:pPr>
              <w:ind w:left="100"/>
              <w:spacing w:after="0"/>
              <w:rPr>
                <w:sz w:val="20"/>
                <w:szCs w:val="20"/>
                <w:color w:val="auto"/>
              </w:rPr>
            </w:pPr>
            <w:r>
              <w:rPr>
                <w:rFonts w:ascii="Arial" w:cs="Arial" w:eastAsia="Arial" w:hAnsi="Arial"/>
                <w:sz w:val="20"/>
                <w:szCs w:val="20"/>
                <w:color w:val="auto"/>
                <w:w w:val="93"/>
              </w:rPr>
              <w:t>Deduction for Aqua America common dividends paid under employee benefit plan</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(312)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(455)</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(455)</w:t>
            </w:r>
          </w:p>
        </w:tc>
      </w:tr>
      <w:tr>
        <w:trPr>
          <w:trHeight w:val="230"/>
        </w:trPr>
        <w:tc>
          <w:tcPr>
            <w:tcW w:w="69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Amortization of deferred investment tax credits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(376)</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(405)</w:t>
            </w:r>
          </w:p>
        </w:tc>
      </w:tr>
      <w:tr>
        <w:trPr>
          <w:trHeight w:val="230"/>
        </w:trPr>
        <w:tc>
          <w:tcPr>
            <w:tcW w:w="6900" w:type="dxa"/>
            <w:vAlign w:val="bottom"/>
          </w:tcPr>
          <w:p>
            <w:pPr>
              <w:ind w:left="100"/>
              <w:spacing w:after="0"/>
              <w:rPr>
                <w:sz w:val="20"/>
                <w:szCs w:val="20"/>
                <w:color w:val="auto"/>
              </w:rPr>
            </w:pPr>
            <w:r>
              <w:rPr>
                <w:rFonts w:ascii="Arial" w:cs="Arial" w:eastAsia="Arial" w:hAnsi="Arial"/>
                <w:sz w:val="20"/>
                <w:szCs w:val="20"/>
                <w:color w:val="auto"/>
              </w:rPr>
              <w:t>Federal tax rate change</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(313)</w:t>
            </w:r>
          </w:p>
        </w:tc>
        <w:tc>
          <w:tcPr>
            <w:tcW w:w="2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20"/>
                <w:szCs w:val="20"/>
                <w:color w:val="auto"/>
              </w:rPr>
              <w:t>3,141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69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(979)</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(1,760)</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(2,947)</w:t>
            </w:r>
          </w:p>
        </w:tc>
      </w:tr>
      <w:tr>
        <w:trPr>
          <w:trHeight w:val="230"/>
        </w:trPr>
        <w:tc>
          <w:tcPr>
            <w:tcW w:w="6900" w:type="dxa"/>
            <w:vAlign w:val="bottom"/>
          </w:tcPr>
          <w:p>
            <w:pPr>
              <w:spacing w:after="0" w:line="223" w:lineRule="exact"/>
              <w:rPr>
                <w:sz w:val="20"/>
                <w:szCs w:val="20"/>
                <w:color w:val="auto"/>
              </w:rPr>
            </w:pPr>
            <w:r>
              <w:rPr>
                <w:rFonts w:ascii="Arial" w:cs="Arial" w:eastAsia="Arial" w:hAnsi="Arial"/>
                <w:sz w:val="20"/>
                <w:szCs w:val="20"/>
                <w:color w:val="auto"/>
              </w:rPr>
              <w:t>Actual income tax expense (benefit)</w:t>
            </w:r>
          </w:p>
        </w:tc>
        <w:tc>
          <w:tcPr>
            <w:tcW w:w="2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(13,669)</w:t>
            </w:r>
          </w:p>
        </w:tc>
        <w:tc>
          <w:tcPr>
            <w:tcW w:w="2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16,914</w:t>
            </w:r>
          </w:p>
        </w:tc>
        <w:tc>
          <w:tcPr>
            <w:tcW w:w="2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20,978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In 2012, the Company changed its tax method of accounting for qualifying utility system repairs in Aqua Pennsylvania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effective with the tax year ended December 31, 2012 and for prior tax years. The tax accounting method was changed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permit the expensing of qualifying utility asset improvement costs that were previously being capitalized and depreciated for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book and tax purposes. This change was implemented in response to a June 2012 rate order issued by the Pennsylvania Public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Utility Commission to Aqua Pennsylvania which provides for a reduction in current income tax expense as a result of the flow-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through recognition of some income tax benefits due to the income tax accounting change. The Company recorded income tax</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benefits of $64,183, $84,766, and $78,530 during 2018, 2017, and 2016, respectively. The Company recognized a tax</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deduction on its 2012 Federal tax return of $380,000 for qualifying capital expenditures made prior to 2012, and based on the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rate order, in 2013, the Company began to amortize 1/10</w:t>
      </w:r>
      <w:r>
        <w:rPr>
          <w:rFonts w:ascii="Arial" w:cs="Arial" w:eastAsia="Arial" w:hAnsi="Arial"/>
          <w:sz w:val="19"/>
          <w:szCs w:val="19"/>
          <w:color w:val="auto"/>
          <w:vertAlign w:val="superscript"/>
        </w:rPr>
        <w:t>th</w:t>
      </w:r>
      <w:r>
        <w:rPr>
          <w:rFonts w:ascii="Arial" w:cs="Arial" w:eastAsia="Arial" w:hAnsi="Arial"/>
          <w:sz w:val="19"/>
          <w:szCs w:val="19"/>
          <w:color w:val="auto"/>
        </w:rPr>
        <w:t xml:space="preserve"> of these expenditures. In accordance with the rate order, the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amortization is expected to reduce current income tax expense during periods when qualifying parameters are met. Beginning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2013, the Company amortized the qualifying capital expenditures made prior to 2012 and recognized $38,000, annually, of</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deferred income tax benefits, which reduced current income tax expense and increased the Company’s net income by</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$16,734. The Company’s effective income tax rate for 2018, 2017, and 2016 was (7.7)%, 6.6%, and 8.2%, respectively.</w:t>
      </w:r>
    </w:p>
    <w:p>
      <w:pPr>
        <w:spacing w:after="0" w:line="225"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Company establishes reserves for uncertain tax positions based upon management’s judgment as to the sustainability of these positions. These accounting estimates related to the uncertain tax position reserve require judgments to be made as to the sustainability of each uncertain tax position based on its technical merits. The Company believes its tax positions comply with applicable law and that it has adequately recorded reserves as required. However, to the extent the final tax outcome of these matters is different than the estimates recorded, the Company would then adjust its tax reserves or unrecognized tax benefits in the period that this information becomes known. The Company has elected to recognize accrued interest and penalties related to uncertain tax positions as income tax expense.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40" w:type="dxa"/>
            <w:vAlign w:val="bottom"/>
          </w:tcPr>
          <w:p>
            <w:pPr>
              <w:spacing w:after="0"/>
              <w:rPr>
                <w:sz w:val="20"/>
                <w:szCs w:val="20"/>
                <w:color w:val="auto"/>
              </w:rPr>
            </w:pPr>
            <w:r>
              <w:rPr>
                <w:rFonts w:ascii="Arial" w:cs="Arial" w:eastAsia="Arial" w:hAnsi="Arial"/>
                <w:sz w:val="20"/>
                <w:szCs w:val="20"/>
                <w:color w:val="auto"/>
                <w:w w:val="96"/>
              </w:rPr>
              <w:t>The following table provides the changes in the Company’s unrecognized tax benefits:</w:t>
            </w: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509"/>
        </w:trPr>
        <w:tc>
          <w:tcPr>
            <w:tcW w:w="73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2017</w:t>
            </w:r>
          </w:p>
        </w:tc>
      </w:tr>
      <w:tr>
        <w:trPr>
          <w:trHeight w:val="250"/>
        </w:trPr>
        <w:tc>
          <w:tcPr>
            <w:tcW w:w="7340" w:type="dxa"/>
            <w:vAlign w:val="bottom"/>
            <w:shd w:val="clear" w:color="auto" w:fill="CCEEFF"/>
          </w:tcPr>
          <w:p>
            <w:pPr>
              <w:spacing w:after="0"/>
              <w:rPr>
                <w:sz w:val="20"/>
                <w:szCs w:val="20"/>
                <w:color w:val="auto"/>
              </w:rPr>
            </w:pPr>
            <w:r>
              <w:rPr>
                <w:rFonts w:ascii="Arial" w:cs="Arial" w:eastAsia="Arial" w:hAnsi="Arial"/>
                <w:sz w:val="20"/>
                <w:szCs w:val="20"/>
                <w:color w:val="auto"/>
              </w:rPr>
              <w:t>Balance at January 1,</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17,583</w:t>
            </w: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28,099</w:t>
            </w:r>
          </w:p>
        </w:tc>
      </w:tr>
      <w:tr>
        <w:trPr>
          <w:trHeight w:val="270"/>
        </w:trPr>
        <w:tc>
          <w:tcPr>
            <w:tcW w:w="7340" w:type="dxa"/>
            <w:vAlign w:val="bottom"/>
          </w:tcPr>
          <w:p>
            <w:pPr>
              <w:ind w:left="100"/>
              <w:spacing w:after="0"/>
              <w:rPr>
                <w:sz w:val="20"/>
                <w:szCs w:val="20"/>
                <w:color w:val="auto"/>
              </w:rPr>
            </w:pPr>
            <w:r>
              <w:rPr>
                <w:rFonts w:ascii="Arial" w:cs="Arial" w:eastAsia="Arial" w:hAnsi="Arial"/>
                <w:sz w:val="20"/>
                <w:szCs w:val="20"/>
                <w:color w:val="auto"/>
              </w:rPr>
              <w:t>Additions based on tax position related to the current year</w:t>
            </w:r>
          </w:p>
        </w:tc>
        <w:tc>
          <w:tcPr>
            <w:tcW w:w="40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209</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705</w:t>
            </w:r>
          </w:p>
        </w:tc>
      </w:tr>
      <w:tr>
        <w:trPr>
          <w:trHeight w:val="270"/>
        </w:trPr>
        <w:tc>
          <w:tcPr>
            <w:tcW w:w="73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Effect of Federal tax rate change</w:t>
            </w:r>
          </w:p>
        </w:tc>
        <w:tc>
          <w:tcPr>
            <w:tcW w:w="4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(11,221)</w:t>
            </w:r>
          </w:p>
        </w:tc>
      </w:tr>
      <w:tr>
        <w:trPr>
          <w:trHeight w:val="244"/>
        </w:trPr>
        <w:tc>
          <w:tcPr>
            <w:tcW w:w="7340" w:type="dxa"/>
            <w:vAlign w:val="bottom"/>
          </w:tcPr>
          <w:p>
            <w:pPr>
              <w:spacing w:after="0"/>
              <w:rPr>
                <w:sz w:val="20"/>
                <w:szCs w:val="20"/>
                <w:color w:val="auto"/>
              </w:rPr>
            </w:pPr>
            <w:r>
              <w:rPr>
                <w:rFonts w:ascii="Arial" w:cs="Arial" w:eastAsia="Arial" w:hAnsi="Arial"/>
                <w:sz w:val="20"/>
                <w:szCs w:val="20"/>
                <w:color w:val="auto"/>
              </w:rPr>
              <w:t>Balance at December 31,</w:t>
            </w: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17,792</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17,583</w:t>
            </w:r>
          </w:p>
        </w:tc>
      </w:tr>
    </w:tbl>
    <w:p>
      <w:pPr>
        <w:spacing w:after="0" w:line="21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unrecognized tax benefits relate to the income tax accounting change, and the tax position is attributable to a temporary difference. The Company does not anticipate material changes to its unrecognized tax benefits within the next year. As a result of the regulatory treatment afforded by the income tax accounting change in Pennsylvania and despite this position being a temporary difference, as of December 31, 2018 and 2017, $26,990 and $24,243 and, respectively, of these tax benefits would have an impact on the Company’s effective income tax rate in the event the Company does sustain all, or a portion, of its tax position.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components of net deferred tax liability: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5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23"/>
        </w:trPr>
        <w:tc>
          <w:tcPr>
            <w:tcW w:w="7500" w:type="dxa"/>
            <w:vAlign w:val="bottom"/>
            <w:vMerge w:val="restart"/>
          </w:tcPr>
          <w:p>
            <w:pPr>
              <w:spacing w:after="0"/>
              <w:rPr>
                <w:sz w:val="20"/>
                <w:szCs w:val="20"/>
                <w:color w:val="auto"/>
              </w:rPr>
            </w:pPr>
            <w:r>
              <w:rPr>
                <w:rFonts w:ascii="Arial" w:cs="Arial" w:eastAsia="Arial" w:hAnsi="Arial"/>
                <w:sz w:val="20"/>
                <w:szCs w:val="20"/>
                <w:color w:val="auto"/>
              </w:rPr>
              <w:t>Deferred tax assets: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2018</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Customers' advances for construction</w:t>
            </w:r>
          </w:p>
        </w:tc>
        <w:tc>
          <w:tcPr>
            <w:tcW w:w="3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13,188</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17,123</w:t>
            </w:r>
          </w:p>
        </w:tc>
        <w:tc>
          <w:tcPr>
            <w:tcW w:w="0" w:type="dxa"/>
            <w:vAlign w:val="bottom"/>
          </w:tcPr>
          <w:p>
            <w:pPr>
              <w:spacing w:after="0"/>
              <w:rPr>
                <w:sz w:val="1"/>
                <w:szCs w:val="1"/>
                <w:color w:val="auto"/>
              </w:rPr>
            </w:pPr>
          </w:p>
        </w:tc>
      </w:tr>
      <w:tr>
        <w:trPr>
          <w:trHeight w:val="230"/>
        </w:trPr>
        <w:tc>
          <w:tcPr>
            <w:tcW w:w="7500" w:type="dxa"/>
            <w:vAlign w:val="bottom"/>
          </w:tcPr>
          <w:p>
            <w:pPr>
              <w:ind w:left="100"/>
              <w:spacing w:after="0"/>
              <w:rPr>
                <w:sz w:val="20"/>
                <w:szCs w:val="20"/>
                <w:color w:val="auto"/>
              </w:rPr>
            </w:pPr>
            <w:r>
              <w:rPr>
                <w:rFonts w:ascii="Arial" w:cs="Arial" w:eastAsia="Arial" w:hAnsi="Arial"/>
                <w:sz w:val="20"/>
                <w:szCs w:val="20"/>
                <w:color w:val="auto"/>
              </w:rPr>
              <w:t>Costs expensed for book not deducted for tax, principally accrued expenses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27,711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12,956</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Utility plant acquisition adjustment basis differences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1,053</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1,752</w:t>
            </w:r>
          </w:p>
        </w:tc>
        <w:tc>
          <w:tcPr>
            <w:tcW w:w="0" w:type="dxa"/>
            <w:vAlign w:val="bottom"/>
          </w:tcPr>
          <w:p>
            <w:pPr>
              <w:spacing w:after="0"/>
              <w:rPr>
                <w:sz w:val="1"/>
                <w:szCs w:val="1"/>
                <w:color w:val="auto"/>
              </w:rPr>
            </w:pPr>
          </w:p>
        </w:tc>
      </w:tr>
      <w:tr>
        <w:trPr>
          <w:trHeight w:val="230"/>
        </w:trPr>
        <w:tc>
          <w:tcPr>
            <w:tcW w:w="7500" w:type="dxa"/>
            <w:vAlign w:val="bottom"/>
          </w:tcPr>
          <w:p>
            <w:pPr>
              <w:ind w:left="100"/>
              <w:spacing w:after="0"/>
              <w:rPr>
                <w:sz w:val="20"/>
                <w:szCs w:val="20"/>
                <w:color w:val="auto"/>
              </w:rPr>
            </w:pPr>
            <w:r>
              <w:rPr>
                <w:rFonts w:ascii="Arial" w:cs="Arial" w:eastAsia="Arial" w:hAnsi="Arial"/>
                <w:sz w:val="20"/>
                <w:szCs w:val="20"/>
                <w:color w:val="auto"/>
              </w:rPr>
              <w:t>Post-retirement benefits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39,515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36,353</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Tax loss and credit carryforwards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43,637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56,642</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100"/>
              <w:spacing w:after="0"/>
              <w:rPr>
                <w:sz w:val="20"/>
                <w:szCs w:val="20"/>
                <w:color w:val="auto"/>
              </w:rPr>
            </w:pPr>
            <w:r>
              <w:rPr>
                <w:rFonts w:ascii="Arial" w:cs="Arial" w:eastAsia="Arial" w:hAnsi="Arial"/>
                <w:sz w:val="20"/>
                <w:szCs w:val="20"/>
                <w:color w:val="auto"/>
              </w:rPr>
              <w:t>Other</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2,761</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2,348</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127,865</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127,174</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Less valuation allowance</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18,082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11,623</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109,783</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115,551</w:t>
            </w:r>
          </w:p>
        </w:tc>
        <w:tc>
          <w:tcPr>
            <w:tcW w:w="0" w:type="dxa"/>
            <w:vAlign w:val="bottom"/>
          </w:tcPr>
          <w:p>
            <w:pPr>
              <w:spacing w:after="0"/>
              <w:rPr>
                <w:sz w:val="1"/>
                <w:szCs w:val="1"/>
                <w:color w:val="auto"/>
              </w:rPr>
            </w:pPr>
          </w:p>
        </w:tc>
      </w:tr>
      <w:tr>
        <w:trPr>
          <w:trHeight w:val="439"/>
        </w:trPr>
        <w:tc>
          <w:tcPr>
            <w:tcW w:w="750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500" w:type="dxa"/>
            <w:vAlign w:val="bottom"/>
            <w:shd w:val="clear" w:color="auto" w:fill="CCEEFF"/>
          </w:tcPr>
          <w:p>
            <w:pPr>
              <w:ind w:left="100"/>
              <w:spacing w:after="0" w:line="213" w:lineRule="exact"/>
              <w:rPr>
                <w:sz w:val="20"/>
                <w:szCs w:val="20"/>
                <w:color w:val="auto"/>
              </w:rPr>
            </w:pPr>
            <w:r>
              <w:rPr>
                <w:rFonts w:ascii="Arial" w:cs="Arial" w:eastAsia="Arial" w:hAnsi="Arial"/>
                <w:sz w:val="20"/>
                <w:szCs w:val="20"/>
                <w:color w:val="auto"/>
                <w:w w:val="92"/>
              </w:rPr>
              <w:t>Utility plant, principally due to depreciation and differences in the basis of fixed assets due</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5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to variation in tax and book accounting</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837,057</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795,537</w:t>
            </w:r>
          </w:p>
        </w:tc>
        <w:tc>
          <w:tcPr>
            <w:tcW w:w="0" w:type="dxa"/>
            <w:vAlign w:val="bottom"/>
          </w:tcPr>
          <w:p>
            <w:pPr>
              <w:spacing w:after="0"/>
              <w:rPr>
                <w:sz w:val="1"/>
                <w:szCs w:val="1"/>
                <w:color w:val="auto"/>
              </w:rPr>
            </w:pPr>
          </w:p>
        </w:tc>
      </w:tr>
      <w:tr>
        <w:trPr>
          <w:trHeight w:val="213"/>
        </w:trPr>
        <w:tc>
          <w:tcPr>
            <w:tcW w:w="7500" w:type="dxa"/>
            <w:vAlign w:val="bottom"/>
          </w:tcPr>
          <w:p>
            <w:pPr>
              <w:ind w:left="100"/>
              <w:spacing w:after="0" w:line="213" w:lineRule="exact"/>
              <w:rPr>
                <w:sz w:val="20"/>
                <w:szCs w:val="20"/>
                <w:color w:val="auto"/>
              </w:rPr>
            </w:pPr>
            <w:r>
              <w:rPr>
                <w:rFonts w:ascii="Arial" w:cs="Arial" w:eastAsia="Arial" w:hAnsi="Arial"/>
                <w:sz w:val="20"/>
                <w:szCs w:val="20"/>
                <w:color w:val="auto"/>
                <w:w w:val="91"/>
              </w:rPr>
              <w:t>Deferred taxes associated with the gross-up of revenues necessary to recover, in rates, the</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500" w:type="dxa"/>
            <w:vAlign w:val="bottom"/>
          </w:tcPr>
          <w:p>
            <w:pPr>
              <w:ind w:left="100"/>
              <w:spacing w:after="0"/>
              <w:rPr>
                <w:sz w:val="20"/>
                <w:szCs w:val="20"/>
                <w:color w:val="auto"/>
              </w:rPr>
            </w:pPr>
            <w:r>
              <w:rPr>
                <w:rFonts w:ascii="Arial" w:cs="Arial" w:eastAsia="Arial" w:hAnsi="Arial"/>
                <w:sz w:val="20"/>
                <w:szCs w:val="20"/>
                <w:color w:val="auto"/>
              </w:rPr>
              <w:t>effect of temporary differences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72,258</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46,143</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Tax effect of regulatory asset for post-retirement benefits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39,515</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36,353</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100"/>
              <w:spacing w:after="0"/>
              <w:rPr>
                <w:sz w:val="20"/>
                <w:szCs w:val="20"/>
                <w:color w:val="auto"/>
              </w:rPr>
            </w:pPr>
            <w:r>
              <w:rPr>
                <w:rFonts w:ascii="Arial" w:cs="Arial" w:eastAsia="Arial" w:hAnsi="Arial"/>
                <w:sz w:val="20"/>
                <w:szCs w:val="20"/>
                <w:color w:val="auto"/>
              </w:rPr>
              <w:t>Deferred investment tax credit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6,356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6,591</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955,186</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884,624</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deferred tax liability</w:t>
            </w:r>
          </w:p>
        </w:tc>
        <w:tc>
          <w:tcPr>
            <w:tcW w:w="34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845,403</w:t>
            </w:r>
          </w:p>
        </w:tc>
        <w:tc>
          <w:tcPr>
            <w:tcW w:w="30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769,073</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At December 31, 2018, the Company has a cumulative Federal NOL of $10,835. The Company believes the Federal NOLs are more likely than not to be recovered and require no valuation allowance. The Company’s Federal NOLs do not begin to expire until 2032.</w:t>
      </w:r>
    </w:p>
    <w:p>
      <w:pPr>
        <w:spacing w:after="0" w:line="200"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At December 31, 2018, the Company has a cumulative state NOL of $650,286, a portion of which is offset by a valuation allowance because the Company does not believe these NOLs are more likely than not to be realized. The state NOLs do not begin to expire until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The Company has unrecognized tax positions that result in the associated tax benefit being unrecognized. The Company’s Federal and state NOL carryforwards are reduced by an unrecognized tax position, on a gross basis, of $69,047 and $85,672, respectively, which results from the Company’s adoption in 2013 of the FASB’s accounting guidance on the presentation of an unrecognized tax benefit when a net operating loss carryforward, a similar tax loss, or a tax credit carryforward exists. The amounts of the Company’s Federal and state NOL carryforwards prior to being reduced by the unrecognized tax positions are $79,882 and $735,958, respectively. The Company records its unrecognized tax benefit as a reduction to its deferred income tax liability.</w:t>
      </w:r>
    </w:p>
    <w:p>
      <w:pPr>
        <w:spacing w:after="0" w:line="207" w:lineRule="exact"/>
        <w:rPr>
          <w:sz w:val="20"/>
          <w:szCs w:val="20"/>
          <w:color w:val="auto"/>
        </w:rPr>
      </w:pPr>
    </w:p>
    <w:p>
      <w:pPr>
        <w:jc w:val="both"/>
        <w:ind w:right="100"/>
        <w:spacing w:after="0" w:line="269" w:lineRule="auto"/>
        <w:rPr>
          <w:sz w:val="20"/>
          <w:szCs w:val="20"/>
          <w:color w:val="auto"/>
        </w:rPr>
      </w:pPr>
      <w:r>
        <w:rPr>
          <w:rFonts w:ascii="Arial" w:cs="Arial" w:eastAsia="Arial" w:hAnsi="Arial"/>
          <w:sz w:val="19"/>
          <w:szCs w:val="19"/>
          <w:color w:val="auto"/>
        </w:rPr>
        <w:t>As of December 31, 2018, the Company’s Federal income tax returns for all years through 2011 have been closed. Tax years 2012 through 2018 remain open to Federal examination. The statute remains open for the Company’s state income tax returns for tax years 2015 through 2018 in the various states in which it conducts business.</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On December 22, 2017, President Trump signed the TCJA into law. The TCJA includes significant changes to the Code and the taxation of business entities, and includes specific provisions related to regulated public utilities. Significant changes that impact the Company included in the TCJA are a reduction in the corporate federal income tax rate from 35% to 21%, effective January 1, 2018, and a limitation of the utilization of NOLs arising after December 31, 2017 to 80% of taxable income with an indefinite carryforward. The specific TCJA provisions related to our regulated entities generally allow for the continued deductibility of interest expense, the elimination of full expensing for tax purposes of certain property acquired after September 27, 2017 and the continuation of certain rate normalization requirements for accelerated depreciation benefits. Our market-based companies still qualify for 100% deductibility of qualifying property acquired after September 27, 2017.</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At the date of enactment, the Company’s deferred taxes were re-measured based upon the new tax rate. For our regulated entities, the change in deferred taxes was recorded as either an offset to a regulatory asset or liability. In instances where the deferred tax balances are not in ratemaking, such as the Company’s market-based operations, the change in deferred taxes was recorded as an adjustment to our deferred tax provision. To the extent the revalued deferred income tax assets and liabilities were outside of our regulated operations and are not believed to be recoverable in utility customer rates, the revalued amount of $3,141 was recognized as additional deferred income tax expense during the quarter ended December 31, 2017.</w:t>
      </w:r>
    </w:p>
    <w:p>
      <w:pPr>
        <w:spacing w:after="0" w:line="179"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The staff of the SEC has recognized the complexity of reflecting the impacts of the TCJA, and on December 22, 2017 issued guidance, which clarifies accounting for income taxes if information is not yet available or complete and provides for up to a one year period in which to complete the required analyses and accounting (the measurement period). The guidance describes three scenarios (or “buckets”) associated with a company’s status of accounting for income tax reform: (1) a company is complete with its accounting for certain effects of tax reform, (2) a company is able to determine a reasonable estimate for certain effects of tax reform and records that estimate as a provisional amount, or (3) a company is not able to determine a reasonable estimate and therefore continues to apply the FASB’s accounting guidance, based on the provisions of the tax laws that were in effect immediately prior to the TCJA being enacted. The one-year measurement period concluded in the fourth quarter of 2018, and there were no material changes in the Company’s accounting for the TCJA.</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One of our states, Pennsylvania, has not issued an accounting or procedural order addressing how the TCJA changes are to be reflected in our utility customer rates. As of December 31, 2017, the Company has provisionally estimated that $175,108 of deferred income tax liabilities for our Pennsylvania subsidiary will be a regulatory liability. In August 2018, Aqua Pennsylvania filed for a base rate increase in water and wastewater rates for its customers. In February 2019, Aqua Pennsylvania filed a settlement for this base rate case, and there has been no change in the Company’s estimate of its regulatory liability. Overall, the Company has applied a reasonable interpretation of the impact of the TCJA and a reasonable estimate of the regulatory resolution. Further clarification of the TCJA and regulatory resolution may change the amounts estimated of the deferred income tax provision and the accumulated deferred income tax liability.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Company’s regulated operations accounting for income taxes are impacted by the FASB’s accounting guidance for regulated operations. Reductions in accumulated deferred income tax balances due to the reduction in the Federal corporate income tax rates to 21% under the provisions of the TCJA will result in amounts previously collected from utility customers for these deferred taxes to be refundable to such customers, generally through reductions in future rates. The TCJA includes provisions that stipulate how these excess deferred taxes related to certain accelerated tax depreciation deduction benefits are to be passed back to customers. Potential refunds of other deferred taxes will be determined by our state regulators. The Company has reserved $4,593 for amounts expected to be refundable to utility customers. In 2018, Illinois, Virginia, Texas, New Jersey, and two operating divisions in Ohio which operate under locally-negotiated contractual rates with their respective counties, the Company’s base rates have been adjusted or surcredits have been added to customer bills to reflect the lower corporate income tax rate. In North Carolina, Indiana, and our regulated operations in Ohio, no surcredits have been added to customer bills to reflect the lower corporate income tax rate in 2018. These adjustments will be reflected in customer bills beginning January 1, 2019. In Pennsylvania, no procedural order has been received in 2018 but is expected to be received in 2019. In addition, we have two rate cases currently in progress in two states in which the TCJA is expected to be addressed in the new base rates. The December 31, 2017 consolidated balance sheet reflects the impact of the TCJA on our regulatory assets and liabilities which reduced our regulatory assets by $357,262 and increased our regulatory liabilities by $303,320. These adjustments had no impact on our 2017 cash flows.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8 – </w:t>
      </w:r>
      <w:r>
        <w:rPr>
          <w:rFonts w:ascii="Arial" w:cs="Arial" w:eastAsia="Arial" w:hAnsi="Arial"/>
          <w:sz w:val="20"/>
          <w:szCs w:val="20"/>
          <w:b w:val="1"/>
          <w:bCs w:val="1"/>
          <w:i w:val="1"/>
          <w:iCs w:val="1"/>
          <w:color w:val="auto"/>
        </w:rPr>
        <w:t>Taxes Other than Income Taxes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components of taxes other than income taxes: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Years Ended December 31,</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23"/>
        </w:trPr>
        <w:tc>
          <w:tcPr>
            <w:tcW w:w="52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2018</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2016</w:t>
            </w:r>
          </w:p>
        </w:tc>
      </w:tr>
      <w:tr>
        <w:trPr>
          <w:trHeight w:val="223"/>
        </w:trPr>
        <w:tc>
          <w:tcPr>
            <w:tcW w:w="522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Property</w:t>
            </w:r>
          </w:p>
        </w:tc>
        <w:tc>
          <w:tcPr>
            <w:tcW w:w="580" w:type="dxa"/>
            <w:vAlign w:val="bottom"/>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27,469</w:t>
            </w:r>
          </w:p>
        </w:tc>
        <w:tc>
          <w:tcPr>
            <w:tcW w:w="440" w:type="dxa"/>
            <w:vAlign w:val="bottom"/>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25,810</w:t>
            </w:r>
          </w:p>
        </w:tc>
        <w:tc>
          <w:tcPr>
            <w:tcW w:w="320" w:type="dxa"/>
            <w:vAlign w:val="bottom"/>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w w:val="71"/>
              </w:rPr>
              <w:t>$</w:t>
            </w:r>
          </w:p>
        </w:tc>
        <w:tc>
          <w:tcPr>
            <w:tcW w:w="10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26,788</w:t>
            </w:r>
          </w:p>
        </w:tc>
      </w:tr>
      <w:tr>
        <w:trPr>
          <w:trHeight w:val="230"/>
        </w:trPr>
        <w:tc>
          <w:tcPr>
            <w:tcW w:w="5220" w:type="dxa"/>
            <w:vAlign w:val="bottom"/>
          </w:tcPr>
          <w:p>
            <w:pPr>
              <w:spacing w:after="0"/>
              <w:rPr>
                <w:sz w:val="20"/>
                <w:szCs w:val="20"/>
                <w:color w:val="auto"/>
              </w:rPr>
            </w:pPr>
            <w:r>
              <w:rPr>
                <w:rFonts w:ascii="Arial" w:cs="Arial" w:eastAsia="Arial" w:hAnsi="Arial"/>
                <w:sz w:val="20"/>
                <w:szCs w:val="20"/>
                <w:color w:val="auto"/>
              </w:rPr>
              <w:t>Gross receipts, excise and franchise</w:t>
            </w:r>
          </w:p>
        </w:tc>
        <w:tc>
          <w:tcPr>
            <w:tcW w:w="5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14,521</w:t>
            </w:r>
          </w:p>
        </w:tc>
        <w:tc>
          <w:tcPr>
            <w:tcW w:w="440" w:type="dxa"/>
            <w:vAlign w:val="bottom"/>
          </w:tcPr>
          <w:p>
            <w:pPr>
              <w:spacing w:after="0"/>
              <w:rPr>
                <w:sz w:val="19"/>
                <w:szCs w:val="19"/>
                <w:color w:val="auto"/>
              </w:rPr>
            </w:pPr>
          </w:p>
        </w:tc>
        <w:tc>
          <w:tcPr>
            <w:tcW w:w="1260" w:type="dxa"/>
            <w:vAlign w:val="bottom"/>
          </w:tcPr>
          <w:p>
            <w:pPr>
              <w:jc w:val="right"/>
              <w:ind w:right="161"/>
              <w:spacing w:after="0"/>
              <w:rPr>
                <w:sz w:val="20"/>
                <w:szCs w:val="20"/>
                <w:color w:val="auto"/>
              </w:rPr>
            </w:pPr>
            <w:r>
              <w:rPr>
                <w:rFonts w:ascii="Arial" w:cs="Arial" w:eastAsia="Arial" w:hAnsi="Arial"/>
                <w:sz w:val="20"/>
                <w:szCs w:val="20"/>
                <w:color w:val="auto"/>
              </w:rPr>
              <w:t>13,458</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12,510</w:t>
            </w: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20"/>
                <w:szCs w:val="20"/>
                <w:color w:val="auto"/>
              </w:rPr>
              <w:t>Payroll</w:t>
            </w: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9,789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9,477</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9,772</w:t>
            </w:r>
          </w:p>
        </w:tc>
      </w:tr>
      <w:tr>
        <w:trPr>
          <w:trHeight w:val="230"/>
        </w:trPr>
        <w:tc>
          <w:tcPr>
            <w:tcW w:w="5220" w:type="dxa"/>
            <w:vAlign w:val="bottom"/>
          </w:tcPr>
          <w:p>
            <w:pPr>
              <w:spacing w:after="0"/>
              <w:rPr>
                <w:sz w:val="20"/>
                <w:szCs w:val="20"/>
                <w:color w:val="auto"/>
              </w:rPr>
            </w:pPr>
            <w:r>
              <w:rPr>
                <w:rFonts w:ascii="Arial" w:cs="Arial" w:eastAsia="Arial" w:hAnsi="Arial"/>
                <w:sz w:val="20"/>
                <w:szCs w:val="20"/>
                <w:color w:val="auto"/>
              </w:rPr>
              <w:t>Regulatory assessments</w:t>
            </w:r>
          </w:p>
        </w:tc>
        <w:tc>
          <w:tcPr>
            <w:tcW w:w="5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2,752</w:t>
            </w:r>
          </w:p>
        </w:tc>
        <w:tc>
          <w:tcPr>
            <w:tcW w:w="440" w:type="dxa"/>
            <w:vAlign w:val="bottom"/>
          </w:tcPr>
          <w:p>
            <w:pPr>
              <w:spacing w:after="0"/>
              <w:rPr>
                <w:sz w:val="19"/>
                <w:szCs w:val="19"/>
                <w:color w:val="auto"/>
              </w:rPr>
            </w:pPr>
          </w:p>
        </w:tc>
        <w:tc>
          <w:tcPr>
            <w:tcW w:w="1260" w:type="dxa"/>
            <w:vAlign w:val="bottom"/>
          </w:tcPr>
          <w:p>
            <w:pPr>
              <w:jc w:val="right"/>
              <w:ind w:right="161"/>
              <w:spacing w:after="0"/>
              <w:rPr>
                <w:sz w:val="20"/>
                <w:szCs w:val="20"/>
                <w:color w:val="auto"/>
              </w:rPr>
            </w:pPr>
            <w:r>
              <w:rPr>
                <w:rFonts w:ascii="Arial" w:cs="Arial" w:eastAsia="Arial" w:hAnsi="Arial"/>
                <w:sz w:val="20"/>
                <w:szCs w:val="20"/>
                <w:color w:val="auto"/>
              </w:rPr>
              <w:t>2,552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2,630</w:t>
            </w: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20"/>
                <w:szCs w:val="20"/>
                <w:color w:val="auto"/>
              </w:rPr>
              <w:t>Pumping fees</w:t>
            </w: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4,978</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5,057</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4,571</w:t>
            </w:r>
          </w:p>
        </w:tc>
      </w:tr>
      <w:tr>
        <w:trPr>
          <w:trHeight w:val="230"/>
        </w:trPr>
        <w:tc>
          <w:tcPr>
            <w:tcW w:w="52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w:t>
            </w: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253</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274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w:t>
            </w:r>
          </w:p>
        </w:tc>
      </w:tr>
      <w:tr>
        <w:trPr>
          <w:trHeight w:val="230"/>
        </w:trPr>
        <w:tc>
          <w:tcPr>
            <w:tcW w:w="522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Total taxes other than income taxes</w:t>
            </w:r>
          </w:p>
        </w:tc>
        <w:tc>
          <w:tcPr>
            <w:tcW w:w="580" w:type="dxa"/>
            <w:vAlign w:val="bottom"/>
            <w:tcBorders>
              <w:bottom w:val="single" w:sz="8" w:color="auto"/>
            </w:tcBorders>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59,762</w:t>
            </w:r>
          </w:p>
        </w:tc>
        <w:tc>
          <w:tcPr>
            <w:tcW w:w="440" w:type="dxa"/>
            <w:vAlign w:val="bottom"/>
            <w:tcBorders>
              <w:bottom w:val="single" w:sz="8" w:color="auto"/>
            </w:tcBorders>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56,628</w:t>
            </w:r>
          </w:p>
        </w:tc>
        <w:tc>
          <w:tcPr>
            <w:tcW w:w="320" w:type="dxa"/>
            <w:vAlign w:val="bottom"/>
            <w:tcBorders>
              <w:bottom w:val="single" w:sz="8" w:color="auto"/>
            </w:tcBorders>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56,385</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9 – </w:t>
      </w:r>
      <w:r>
        <w:rPr>
          <w:rFonts w:ascii="Arial" w:cs="Arial" w:eastAsia="Arial" w:hAnsi="Arial"/>
          <w:sz w:val="20"/>
          <w:szCs w:val="20"/>
          <w:b w:val="1"/>
          <w:bCs w:val="1"/>
          <w:i w:val="1"/>
          <w:iCs w:val="1"/>
          <w:color w:val="auto"/>
        </w:rPr>
        <w:t>Commitments and Contingencies</w:t>
      </w:r>
    </w:p>
    <w:p>
      <w:pPr>
        <w:spacing w:after="0" w:line="235" w:lineRule="exact"/>
        <w:rPr>
          <w:sz w:val="20"/>
          <w:szCs w:val="20"/>
          <w:color w:val="auto"/>
        </w:rPr>
      </w:pPr>
    </w:p>
    <w:p>
      <w:pPr>
        <w:ind w:right="960"/>
        <w:spacing w:after="0" w:line="260" w:lineRule="auto"/>
        <w:rPr>
          <w:sz w:val="20"/>
          <w:szCs w:val="20"/>
          <w:color w:val="auto"/>
        </w:rPr>
      </w:pPr>
      <w:r>
        <w:rPr>
          <w:rFonts w:ascii="Arial" w:cs="Arial" w:eastAsia="Arial" w:hAnsi="Arial"/>
          <w:sz w:val="20"/>
          <w:szCs w:val="20"/>
          <w:b w:val="1"/>
          <w:bCs w:val="1"/>
          <w:i w:val="1"/>
          <w:iCs w:val="1"/>
          <w:color w:val="auto"/>
        </w:rPr>
        <w:t xml:space="preserve">Commitments – </w:t>
      </w:r>
      <w:r>
        <w:rPr>
          <w:rFonts w:ascii="Arial" w:cs="Arial" w:eastAsia="Arial" w:hAnsi="Arial"/>
          <w:sz w:val="20"/>
          <w:szCs w:val="20"/>
          <w:color w:val="auto"/>
        </w:rPr>
        <w:t>The Company leases motor vehicles, buildings and other equipment under operating leases that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noncancelable. The future annual minimum lease payments due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6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4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Thereafter</w:t>
            </w:r>
          </w:p>
        </w:tc>
      </w:tr>
      <w:tr>
        <w:trPr>
          <w:trHeight w:val="250"/>
        </w:trPr>
        <w:tc>
          <w:tcPr>
            <w:tcW w:w="1100" w:type="dxa"/>
            <w:vAlign w:val="bottom"/>
            <w:shd w:val="clear" w:color="auto" w:fill="CCEEFF"/>
          </w:tcPr>
          <w:p>
            <w:pPr>
              <w:jc w:val="right"/>
              <w:ind w:right="861"/>
              <w:spacing w:after="0"/>
              <w:rPr>
                <w:sz w:val="20"/>
                <w:szCs w:val="20"/>
                <w:color w:val="auto"/>
              </w:rPr>
            </w:pPr>
            <w:r>
              <w:rPr>
                <w:rFonts w:ascii="Arial" w:cs="Arial" w:eastAsia="Arial" w:hAnsi="Arial"/>
                <w:sz w:val="20"/>
                <w:szCs w:val="20"/>
                <w:color w:val="auto"/>
              </w:rPr>
              <w:t>$</w:t>
            </w: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95"/>
              </w:rPr>
              <w:t>1,557</w:t>
            </w:r>
          </w:p>
        </w:tc>
        <w:tc>
          <w:tcPr>
            <w:tcW w:w="4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1,018</w:t>
            </w:r>
          </w:p>
        </w:tc>
        <w:tc>
          <w:tcPr>
            <w:tcW w:w="1140" w:type="dxa"/>
            <w:vAlign w:val="bottom"/>
            <w:shd w:val="clear" w:color="auto" w:fill="CCEEFF"/>
          </w:tcPr>
          <w:p>
            <w:pPr>
              <w:jc w:val="right"/>
              <w:ind w:right="821"/>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95"/>
              </w:rPr>
              <w:t>779</w:t>
            </w:r>
          </w:p>
        </w:tc>
        <w:tc>
          <w:tcPr>
            <w:tcW w:w="1140" w:type="dxa"/>
            <w:vAlign w:val="bottom"/>
            <w:shd w:val="clear" w:color="auto" w:fill="CCEEFF"/>
          </w:tcPr>
          <w:p>
            <w:pPr>
              <w:jc w:val="right"/>
              <w:ind w:right="821"/>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557</w:t>
            </w:r>
          </w:p>
        </w:tc>
        <w:tc>
          <w:tcPr>
            <w:tcW w:w="4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184</w:t>
            </w:r>
          </w:p>
        </w:tc>
        <w:tc>
          <w:tcPr>
            <w:tcW w:w="4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w:t>
            </w:r>
          </w:p>
        </w:tc>
      </w:tr>
    </w:tbl>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The Company leases parcels of land on which treatment plants and other facilities are situated and adjacent parcels that are used for watershed protection. The operating leases are noncancelable, expire between 2020 and 2095, and contain renewal provisions. Some leases are subject to an adjustment every five years based on changes in the Consumer Price Index. Subject to the aforesaid adjustment, during each of the next five years, an average of $664 of annual lease payments for land is due, and the aggregate of the years remaining approximates $16,033.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The Company maintains agreements with other water purveyors for the purchase of water to supplement its water supply, particularly during periods of peak demand. The agreements stipulate purchases of minimum quantities of water to the year 2026. The estimated annual commitments related to such purchases through 2023 are expected to average $4,824 and the aggregate of the years remaining approximates $8,072.</w:t>
      </w:r>
    </w:p>
    <w:p>
      <w:pPr>
        <w:spacing w:after="0" w:line="20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The Company has entered into purchase obligations, in the ordinary course of business, that include agreements for water treatment processes at some of its wells in a small number of its divisions. The 20 year term agreement provides for the use of treatment equipment and media used in the treatment process and are subject to adjustment based on changes in the Consumer Price Index. The future contractual cash obligations related to these agreements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2019</w:t>
            </w: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2020</w:t>
            </w:r>
          </w:p>
        </w:tc>
        <w:tc>
          <w:tcPr>
            <w:tcW w:w="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2021</w:t>
            </w:r>
          </w:p>
        </w:tc>
        <w:tc>
          <w:tcPr>
            <w:tcW w:w="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2022</w:t>
            </w: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2023</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Thereafter</w:t>
            </w:r>
          </w:p>
        </w:tc>
      </w:tr>
      <w:tr>
        <w:trPr>
          <w:trHeight w:val="250"/>
        </w:trPr>
        <w:tc>
          <w:tcPr>
            <w:tcW w:w="52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1,006</w:t>
            </w:r>
          </w:p>
        </w:tc>
        <w:tc>
          <w:tcPr>
            <w:tcW w:w="5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1,027</w:t>
            </w:r>
          </w:p>
        </w:tc>
        <w:tc>
          <w:tcPr>
            <w:tcW w:w="5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1,047</w:t>
            </w:r>
          </w:p>
        </w:tc>
        <w:tc>
          <w:tcPr>
            <w:tcW w:w="5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1,070</w:t>
            </w: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1,077</w:t>
            </w:r>
          </w:p>
        </w:tc>
        <w:tc>
          <w:tcPr>
            <w:tcW w:w="4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5,597</w:t>
            </w:r>
          </w:p>
        </w:tc>
      </w:tr>
    </w:tbl>
    <w:p>
      <w:pPr>
        <w:spacing w:after="0" w:line="21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Rent expense under operating leases, purchased water expense, and water treatment expenses under these agreements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w w:val="95"/>
              </w:rPr>
              <w:t>Years Ended December 31,</w:t>
            </w:r>
          </w:p>
        </w:tc>
        <w:tc>
          <w:tcPr>
            <w:tcW w:w="1040" w:type="dxa"/>
            <w:vAlign w:val="bottom"/>
            <w:tcBorders>
              <w:bottom w:val="single" w:sz="8" w:color="auto"/>
            </w:tcBorders>
          </w:tcPr>
          <w:p>
            <w:pPr>
              <w:spacing w:after="0"/>
              <w:rPr>
                <w:sz w:val="21"/>
                <w:szCs w:val="21"/>
                <w:color w:val="auto"/>
              </w:rPr>
            </w:pPr>
          </w:p>
        </w:tc>
      </w:tr>
      <w:tr>
        <w:trPr>
          <w:trHeight w:val="250"/>
        </w:trPr>
        <w:tc>
          <w:tcPr>
            <w:tcW w:w="57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5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2016</w:t>
            </w: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20"/>
                <w:szCs w:val="20"/>
                <w:color w:val="auto"/>
              </w:rPr>
              <w:t>Operating lease expense</w:t>
            </w:r>
          </w:p>
        </w:tc>
        <w:tc>
          <w:tcPr>
            <w:tcW w:w="900" w:type="dxa"/>
            <w:vAlign w:val="bottom"/>
            <w:shd w:val="clear" w:color="auto" w:fill="CCEEFF"/>
          </w:tcPr>
          <w:p>
            <w:pPr>
              <w:jc w:val="right"/>
              <w:ind w:right="561"/>
              <w:spacing w:after="0"/>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3"/>
              </w:rPr>
              <w:t>2,569</w:t>
            </w:r>
          </w:p>
        </w:tc>
        <w:tc>
          <w:tcPr>
            <w:tcW w:w="34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2,241</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2,776</w:t>
            </w:r>
          </w:p>
        </w:tc>
      </w:tr>
      <w:tr>
        <w:trPr>
          <w:trHeight w:val="270"/>
        </w:trPr>
        <w:tc>
          <w:tcPr>
            <w:tcW w:w="5720" w:type="dxa"/>
            <w:vAlign w:val="bottom"/>
          </w:tcPr>
          <w:p>
            <w:pPr>
              <w:spacing w:after="0"/>
              <w:rPr>
                <w:sz w:val="20"/>
                <w:szCs w:val="20"/>
                <w:color w:val="auto"/>
              </w:rPr>
            </w:pPr>
            <w:r>
              <w:rPr>
                <w:rFonts w:ascii="Arial" w:cs="Arial" w:eastAsia="Arial" w:hAnsi="Arial"/>
                <w:sz w:val="20"/>
                <w:szCs w:val="20"/>
                <w:color w:val="auto"/>
              </w:rPr>
              <w:t>Purchased water under long-term agreements</w:t>
            </w:r>
          </w:p>
        </w:tc>
        <w:tc>
          <w:tcPr>
            <w:tcW w:w="900" w:type="dxa"/>
            <w:vAlign w:val="bottom"/>
          </w:tcPr>
          <w:p>
            <w:pPr>
              <w:spacing w:after="0"/>
              <w:rPr>
                <w:sz w:val="23"/>
                <w:szCs w:val="23"/>
                <w:color w:val="auto"/>
              </w:rPr>
            </w:pPr>
          </w:p>
        </w:tc>
        <w:tc>
          <w:tcPr>
            <w:tcW w:w="540" w:type="dxa"/>
            <w:vAlign w:val="bottom"/>
          </w:tcPr>
          <w:p>
            <w:pPr>
              <w:jc w:val="right"/>
              <w:ind w:right="1"/>
              <w:spacing w:after="0"/>
              <w:rPr>
                <w:sz w:val="20"/>
                <w:szCs w:val="20"/>
                <w:color w:val="auto"/>
              </w:rPr>
            </w:pPr>
            <w:r>
              <w:rPr>
                <w:rFonts w:ascii="Arial" w:cs="Arial" w:eastAsia="Arial" w:hAnsi="Arial"/>
                <w:sz w:val="20"/>
                <w:szCs w:val="20"/>
                <w:color w:val="auto"/>
                <w:w w:val="83"/>
              </w:rPr>
              <w:t>6,065</w:t>
            </w:r>
          </w:p>
        </w:tc>
        <w:tc>
          <w:tcPr>
            <w:tcW w:w="34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8,558</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13,955</w:t>
            </w:r>
          </w:p>
        </w:tc>
      </w:tr>
      <w:tr>
        <w:trPr>
          <w:trHeight w:val="270"/>
        </w:trPr>
        <w:tc>
          <w:tcPr>
            <w:tcW w:w="5720" w:type="dxa"/>
            <w:vAlign w:val="bottom"/>
            <w:shd w:val="clear" w:color="auto" w:fill="CCEEFF"/>
          </w:tcPr>
          <w:p>
            <w:pPr>
              <w:spacing w:after="0"/>
              <w:rPr>
                <w:sz w:val="20"/>
                <w:szCs w:val="20"/>
                <w:color w:val="auto"/>
              </w:rPr>
            </w:pPr>
            <w:r>
              <w:rPr>
                <w:rFonts w:ascii="Arial" w:cs="Arial" w:eastAsia="Arial" w:hAnsi="Arial"/>
                <w:sz w:val="20"/>
                <w:szCs w:val="20"/>
                <w:color w:val="auto"/>
              </w:rPr>
              <w:t>Water treatment expense under contractual agreement</w:t>
            </w:r>
          </w:p>
        </w:tc>
        <w:tc>
          <w:tcPr>
            <w:tcW w:w="9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970</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945</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940</w:t>
            </w:r>
          </w:p>
        </w:tc>
      </w:tr>
    </w:tbl>
    <w:p>
      <w:pPr>
        <w:spacing w:after="0" w:line="213"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b w:val="1"/>
          <w:bCs w:val="1"/>
          <w:i w:val="1"/>
          <w:iCs w:val="1"/>
          <w:color w:val="auto"/>
        </w:rPr>
        <w:t xml:space="preserve">Contingencies – </w:t>
      </w:r>
      <w:r>
        <w:rPr>
          <w:rFonts w:ascii="Arial" w:cs="Arial" w:eastAsia="Arial" w:hAnsi="Arial"/>
          <w:sz w:val="16"/>
          <w:szCs w:val="16"/>
          <w:color w:val="auto"/>
        </w:rPr>
        <w:t>The Company is routinely involved in various disputes, claims, lawsuits and other regulatory and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December 31, 2018, the aggregate amount of $17,681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While the final outcome of these loss contingencies cannot be predicted with certainty, and unfavorable outcomes could negatively impact the Company, at this time in the opinion of management, the final resolution of these matters are not expected to have a material adverse effect on the Company’s financial position, results of operations or cash</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flows. Further, Aqua America has insurance coverage for a number of these loss contingencies, and as of December 31, 2018, estimates that approximately $6,108 of the amount accrued for these matters are probable of recovery through insurance, which amount is also reported in the Company’s consolidated balance sheet as deferred charges and other assets, net.</w:t>
      </w:r>
    </w:p>
    <w:p>
      <w:pPr>
        <w:spacing w:after="0" w:line="173"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Although the results of legal proceedings cannot be predicted with certainty,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Additionally, the Company self-insures its employee medical benefit program, and maintains stop-loss coverage to limit the exposure arising from these claims. The Company’s reserve for these claims totaled $1,515 and $1,451 at December 31, 2018 and 2017 and represents a reserve for unpaid claim costs, including an estimate for the cost of incurred but not reported claims.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10 – </w:t>
      </w:r>
      <w:r>
        <w:rPr>
          <w:rFonts w:ascii="Arial" w:cs="Arial" w:eastAsia="Arial" w:hAnsi="Arial"/>
          <w:sz w:val="20"/>
          <w:szCs w:val="20"/>
          <w:b w:val="1"/>
          <w:bCs w:val="1"/>
          <w:i w:val="1"/>
          <w:iCs w:val="1"/>
          <w:color w:val="auto"/>
        </w:rPr>
        <w:t>Long-term Debt and Loans Payable</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Long-term Debt – </w:t>
      </w:r>
      <w:r>
        <w:rPr>
          <w:rFonts w:ascii="Arial" w:cs="Arial" w:eastAsia="Arial" w:hAnsi="Arial"/>
          <w:sz w:val="18"/>
          <w:szCs w:val="18"/>
          <w:color w:val="auto"/>
        </w:rPr>
        <w:t>The consolidated statements of capitalization provide a summary of long-term debt as of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and 2017. The supplemental indentures with respect to specific issues of the first mortgage bonds restrict the ability of Aqua Pennsylvania and other operating subsidiaries of the Company to declare dividends, in cash or property, or repurchase or otherwise acquire the stock of these companies. Loan agreements for Aqua Pennsylvania and other operating subsidiaries of the Company have restrictions on minimum net assets. As of December 31, 2018, restrictions on the net assets of the Company were $1,613,139 of the total $2,009,363 in net assets. Included in this amount were restrictions on Aqua Pennsylvania’s net assets of $1,215,475 of their total net assets of $1,695,380. As of December 31, 2018, $1,497,417 of Aqua Pennsylvania’s retained earnings of $1,517,417 and $181,400 of the retained earnings of $246,400 of other subsidiaries were free of these restrictions. Some supplemental indentures also prohibit Aqua Pennsylvania and some other subsidiaries of the Company from making loans to, or purchasing the stock of, the Company.</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Sinking fund payments are required by the terms of specific issues of long-term debt. Excluding amounts due under the Company’s revolving credit agreement, the future sinking fund payments and debt maturities of the Company’s long-term debt are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46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Interest Rate Range</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2019</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2020</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2021</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2022</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2023</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99"/>
              </w:rPr>
              <w:t>Thereafter</w:t>
            </w:r>
          </w:p>
        </w:tc>
      </w:tr>
      <w:tr>
        <w:trPr>
          <w:trHeight w:val="223"/>
        </w:trPr>
        <w:tc>
          <w:tcPr>
            <w:tcW w:w="2460" w:type="dxa"/>
            <w:vAlign w:val="bottom"/>
            <w:shd w:val="clear" w:color="auto" w:fill="CCEEFF"/>
          </w:tcPr>
          <w:p>
            <w:pPr>
              <w:ind w:left="140"/>
              <w:spacing w:after="0" w:line="223" w:lineRule="exact"/>
              <w:rPr>
                <w:sz w:val="20"/>
                <w:szCs w:val="20"/>
                <w:color w:val="auto"/>
              </w:rPr>
            </w:pPr>
            <w:r>
              <w:rPr>
                <w:rFonts w:ascii="Arial" w:cs="Arial" w:eastAsia="Arial" w:hAnsi="Arial"/>
                <w:sz w:val="20"/>
                <w:szCs w:val="20"/>
                <w:color w:val="auto"/>
              </w:rPr>
              <w:t>0.00% to 0.99%</w:t>
            </w:r>
          </w:p>
        </w:tc>
        <w:tc>
          <w:tcPr>
            <w:tcW w:w="40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464</w:t>
            </w:r>
          </w:p>
        </w:tc>
        <w:tc>
          <w:tcPr>
            <w:tcW w:w="32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462</w:t>
            </w:r>
          </w:p>
        </w:tc>
        <w:tc>
          <w:tcPr>
            <w:tcW w:w="30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463</w:t>
            </w:r>
          </w:p>
        </w:tc>
        <w:tc>
          <w:tcPr>
            <w:tcW w:w="32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466</w:t>
            </w:r>
          </w:p>
        </w:tc>
        <w:tc>
          <w:tcPr>
            <w:tcW w:w="32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460</w:t>
            </w:r>
          </w:p>
        </w:tc>
        <w:tc>
          <w:tcPr>
            <w:tcW w:w="28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1,417</w:t>
            </w:r>
          </w:p>
        </w:tc>
      </w:tr>
      <w:tr>
        <w:trPr>
          <w:trHeight w:val="230"/>
        </w:trPr>
        <w:tc>
          <w:tcPr>
            <w:tcW w:w="2460" w:type="dxa"/>
            <w:vAlign w:val="bottom"/>
          </w:tcPr>
          <w:p>
            <w:pPr>
              <w:ind w:left="140"/>
              <w:spacing w:after="0"/>
              <w:rPr>
                <w:sz w:val="20"/>
                <w:szCs w:val="20"/>
                <w:color w:val="auto"/>
              </w:rPr>
            </w:pPr>
            <w:r>
              <w:rPr>
                <w:rFonts w:ascii="Arial" w:cs="Arial" w:eastAsia="Arial" w:hAnsi="Arial"/>
                <w:sz w:val="20"/>
                <w:szCs w:val="20"/>
                <w:color w:val="auto"/>
              </w:rPr>
              <w:t>1.00% to 1.99%</w:t>
            </w:r>
          </w:p>
        </w:tc>
        <w:tc>
          <w:tcPr>
            <w:tcW w:w="4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1,222</w:t>
            </w:r>
          </w:p>
        </w:tc>
        <w:tc>
          <w:tcPr>
            <w:tcW w:w="3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1,158</w:t>
            </w:r>
          </w:p>
        </w:tc>
        <w:tc>
          <w:tcPr>
            <w:tcW w:w="30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910</w:t>
            </w:r>
          </w:p>
        </w:tc>
        <w:tc>
          <w:tcPr>
            <w:tcW w:w="32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888</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767</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6,643</w:t>
            </w: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2.00% to 2.99%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51,814</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1,863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1,913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1,965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2,017</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7,916</w:t>
            </w:r>
          </w:p>
        </w:tc>
      </w:tr>
      <w:tr>
        <w:trPr>
          <w:trHeight w:val="230"/>
        </w:trPr>
        <w:tc>
          <w:tcPr>
            <w:tcW w:w="2460" w:type="dxa"/>
            <w:vAlign w:val="bottom"/>
          </w:tcPr>
          <w:p>
            <w:pPr>
              <w:ind w:left="140"/>
              <w:spacing w:after="0"/>
              <w:rPr>
                <w:sz w:val="20"/>
                <w:szCs w:val="20"/>
                <w:color w:val="auto"/>
              </w:rPr>
            </w:pPr>
            <w:r>
              <w:rPr>
                <w:rFonts w:ascii="Arial" w:cs="Arial" w:eastAsia="Arial" w:hAnsi="Arial"/>
                <w:sz w:val="20"/>
                <w:szCs w:val="20"/>
                <w:color w:val="auto"/>
              </w:rPr>
              <w:t>3.00% to 3.99%</w:t>
            </w:r>
          </w:p>
        </w:tc>
        <w:tc>
          <w:tcPr>
            <w:tcW w:w="4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2,758</w:t>
            </w:r>
          </w:p>
        </w:tc>
        <w:tc>
          <w:tcPr>
            <w:tcW w:w="3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52,553</w:t>
            </w:r>
          </w:p>
        </w:tc>
        <w:tc>
          <w:tcPr>
            <w:tcW w:w="30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2,591</w:t>
            </w:r>
          </w:p>
        </w:tc>
        <w:tc>
          <w:tcPr>
            <w:tcW w:w="32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2,538</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1,910</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730,076</w:t>
            </w: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4.00% to 4.99%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50,403</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16,616</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15,297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11,055</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849,458</w:t>
            </w:r>
          </w:p>
        </w:tc>
      </w:tr>
      <w:tr>
        <w:trPr>
          <w:trHeight w:val="230"/>
        </w:trPr>
        <w:tc>
          <w:tcPr>
            <w:tcW w:w="2460" w:type="dxa"/>
            <w:vAlign w:val="bottom"/>
          </w:tcPr>
          <w:p>
            <w:pPr>
              <w:ind w:left="140"/>
              <w:spacing w:after="0"/>
              <w:rPr>
                <w:sz w:val="20"/>
                <w:szCs w:val="20"/>
                <w:color w:val="auto"/>
              </w:rPr>
            </w:pPr>
            <w:r>
              <w:rPr>
                <w:rFonts w:ascii="Arial" w:cs="Arial" w:eastAsia="Arial" w:hAnsi="Arial"/>
                <w:sz w:val="20"/>
                <w:szCs w:val="20"/>
                <w:color w:val="auto"/>
              </w:rPr>
              <w:t>5.00% to 5.99%</w:t>
            </w:r>
          </w:p>
        </w:tc>
        <w:tc>
          <w:tcPr>
            <w:tcW w:w="4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36,183</w:t>
            </w:r>
          </w:p>
        </w:tc>
        <w:tc>
          <w:tcPr>
            <w:tcW w:w="3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18,178</w:t>
            </w:r>
          </w:p>
        </w:tc>
        <w:tc>
          <w:tcPr>
            <w:tcW w:w="30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8,456</w:t>
            </w:r>
          </w:p>
        </w:tc>
        <w:tc>
          <w:tcPr>
            <w:tcW w:w="32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18,029</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10,807</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195,562</w:t>
            </w: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6.00% to 6.99%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31,000</w:t>
            </w:r>
          </w:p>
        </w:tc>
      </w:tr>
      <w:tr>
        <w:trPr>
          <w:trHeight w:val="230"/>
        </w:trPr>
        <w:tc>
          <w:tcPr>
            <w:tcW w:w="2460" w:type="dxa"/>
            <w:vAlign w:val="bottom"/>
          </w:tcPr>
          <w:p>
            <w:pPr>
              <w:ind w:left="140"/>
              <w:spacing w:after="0"/>
              <w:rPr>
                <w:sz w:val="20"/>
                <w:szCs w:val="20"/>
                <w:color w:val="auto"/>
              </w:rPr>
            </w:pPr>
            <w:r>
              <w:rPr>
                <w:rFonts w:ascii="Arial" w:cs="Arial" w:eastAsia="Arial" w:hAnsi="Arial"/>
                <w:sz w:val="20"/>
                <w:szCs w:val="20"/>
                <w:color w:val="auto"/>
              </w:rPr>
              <w:t>7.00% to 7.99%</w:t>
            </w:r>
          </w:p>
        </w:tc>
        <w:tc>
          <w:tcPr>
            <w:tcW w:w="4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527</w:t>
            </w:r>
          </w:p>
        </w:tc>
        <w:tc>
          <w:tcPr>
            <w:tcW w:w="3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615</w:t>
            </w:r>
          </w:p>
        </w:tc>
        <w:tc>
          <w:tcPr>
            <w:tcW w:w="30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666</w:t>
            </w:r>
          </w:p>
        </w:tc>
        <w:tc>
          <w:tcPr>
            <w:tcW w:w="32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366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29,390</w:t>
            </w: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8.00% to 8.99%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474</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613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1,665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721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784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1,324</w:t>
            </w:r>
          </w:p>
        </w:tc>
      </w:tr>
      <w:tr>
        <w:trPr>
          <w:trHeight w:val="230"/>
        </w:trPr>
        <w:tc>
          <w:tcPr>
            <w:tcW w:w="24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9.00% to 9.99%</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700</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700</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6,600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12,000</w:t>
            </w:r>
          </w:p>
        </w:tc>
      </w:tr>
      <w:tr>
        <w:trPr>
          <w:trHeight w:val="230"/>
        </w:trPr>
        <w:tc>
          <w:tcPr>
            <w:tcW w:w="2460" w:type="dxa"/>
            <w:vAlign w:val="bottom"/>
            <w:tcBorders>
              <w:bottom w:val="single" w:sz="8" w:color="CCEEFF"/>
            </w:tcBorders>
            <w:shd w:val="clear" w:color="auto" w:fill="CCEEFF"/>
          </w:tcPr>
          <w:p>
            <w:pPr>
              <w:ind w:left="1040"/>
              <w:spacing w:after="0" w:line="223" w:lineRule="exact"/>
              <w:rPr>
                <w:sz w:val="20"/>
                <w:szCs w:val="20"/>
                <w:color w:val="auto"/>
              </w:rPr>
            </w:pPr>
            <w:r>
              <w:rPr>
                <w:rFonts w:ascii="Arial" w:cs="Arial" w:eastAsia="Arial" w:hAnsi="Arial"/>
                <w:sz w:val="20"/>
                <w:szCs w:val="20"/>
                <w:color w:val="auto"/>
              </w:rPr>
              <w:t>Total</w:t>
            </w:r>
          </w:p>
        </w:tc>
        <w:tc>
          <w:tcPr>
            <w:tcW w:w="40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144,545</w:t>
            </w:r>
          </w:p>
        </w:tc>
        <w:tc>
          <w:tcPr>
            <w:tcW w:w="32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92,758</w:t>
            </w:r>
          </w:p>
        </w:tc>
        <w:tc>
          <w:tcPr>
            <w:tcW w:w="30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38,561</w:t>
            </w:r>
          </w:p>
        </w:tc>
        <w:tc>
          <w:tcPr>
            <w:tcW w:w="32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25,210</w:t>
            </w:r>
          </w:p>
        </w:tc>
        <w:tc>
          <w:tcPr>
            <w:tcW w:w="32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27,800</w:t>
            </w:r>
          </w:p>
        </w:tc>
        <w:tc>
          <w:tcPr>
            <w:tcW w:w="28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1,864,786</w:t>
            </w:r>
          </w:p>
        </w:tc>
      </w:tr>
    </w:tbl>
    <w:p>
      <w:pPr>
        <w:spacing w:after="0" w:line="213"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In November 2018, Aqua Pennsylvania issued $125,000 of first mortgage bonds, of which $65,000 is due in 2047, $30,000 is due in 2052, and $30,000 is due in 2053 with interest rates of 4.44%, 4.49%, and 4.51%, respectively. The proceeds from these bonds were used to repay existing indebtedness and for general corporate purposes.</w:t>
      </w:r>
    </w:p>
    <w:p>
      <w:pPr>
        <w:jc w:val="both"/>
        <w:spacing w:after="0" w:line="241" w:lineRule="auto"/>
        <w:rPr>
          <w:sz w:val="20"/>
          <w:szCs w:val="20"/>
          <w:color w:val="auto"/>
        </w:rPr>
      </w:pPr>
      <w:r>
        <w:rPr>
          <w:rFonts w:ascii="Arial" w:cs="Arial" w:eastAsia="Arial" w:hAnsi="Arial"/>
          <w:sz w:val="20"/>
          <w:szCs w:val="20"/>
          <w:color w:val="auto"/>
        </w:rPr>
        <w:t>In June 2018, Aqua Pennsylvania issued $100,000 of first mortgage bonds, of which $25,000 is due in 2042, $10,000 is due in 2045, and $65,000 is due in 2048 with interest rates of 3.99%, 4.04%, and 4.09%, respectively. The proceeds from these bonds were used to repay existing indebtedness and for general corporate purposes.</w:t>
      </w:r>
    </w:p>
    <w:p>
      <w:pPr>
        <w:spacing w:after="0" w:line="291"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In July 2018, Aqua Pennsylvania redeemed $49,660 of tax-exempt bonds at 5.25% that were originally maturing in 2042 and 2043, respectively.</w:t>
      </w:r>
    </w:p>
    <w:p>
      <w:pPr>
        <w:spacing w:after="0" w:line="190"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In October 2017, Aqua Pennsylvania issued $75,000 of first mortgage bonds, of which $35,000 is due in 2054, $20,000 is due in 2055, and $20,000 is due in 2057 with interest rates of 4.06%, 4.07%, and 4.09%, respectively. The proceeds from these bonds were used to repay existing indebtedness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July 2017 Aqua Illinois issued $100,000 of first mortgage bonds consisting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80" w:type="dxa"/>
            <w:vAlign w:val="bottom"/>
            <w:tcBorders>
              <w:bottom w:val="single" w:sz="8" w:color="auto"/>
            </w:tcBorders>
          </w:tcPr>
          <w:p>
            <w:pPr>
              <w:ind w:left="1360"/>
              <w:spacing w:after="0"/>
              <w:rPr>
                <w:sz w:val="20"/>
                <w:szCs w:val="20"/>
                <w:color w:val="auto"/>
              </w:rPr>
            </w:pPr>
            <w:r>
              <w:rPr>
                <w:rFonts w:ascii="Arial" w:cs="Arial" w:eastAsia="Arial" w:hAnsi="Arial"/>
                <w:sz w:val="20"/>
                <w:szCs w:val="20"/>
                <w:color w:val="auto"/>
              </w:rPr>
              <w:t>Amount</w:t>
            </w: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7"/>
              </w:rPr>
              <w:t>Interest Rate</w:t>
            </w: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Maturity</w:t>
            </w:r>
          </w:p>
        </w:tc>
      </w:tr>
      <w:tr>
        <w:trPr>
          <w:trHeight w:val="223"/>
        </w:trPr>
        <w:tc>
          <w:tcPr>
            <w:tcW w:w="3280" w:type="dxa"/>
            <w:vAlign w:val="bottom"/>
            <w:shd w:val="clear" w:color="auto" w:fill="CCEEFF"/>
          </w:tcPr>
          <w:p>
            <w:pPr>
              <w:jc w:val="center"/>
              <w:spacing w:after="0" w:line="223" w:lineRule="exact"/>
              <w:rPr>
                <w:sz w:val="20"/>
                <w:szCs w:val="20"/>
                <w:color w:val="auto"/>
              </w:rPr>
            </w:pPr>
            <w:r>
              <w:rPr>
                <w:rFonts w:ascii="Arial" w:cs="Arial" w:eastAsia="Arial" w:hAnsi="Arial"/>
                <w:sz w:val="20"/>
                <w:szCs w:val="20"/>
                <w:color w:val="auto"/>
                <w:w w:val="88"/>
              </w:rPr>
              <w:t>$25,000</w:t>
            </w:r>
          </w:p>
        </w:tc>
        <w:tc>
          <w:tcPr>
            <w:tcW w:w="3540" w:type="dxa"/>
            <w:vAlign w:val="bottom"/>
            <w:shd w:val="clear" w:color="auto" w:fill="CCEEFF"/>
          </w:tcPr>
          <w:p>
            <w:pPr>
              <w:jc w:val="center"/>
              <w:spacing w:after="0" w:line="223" w:lineRule="exact"/>
              <w:rPr>
                <w:sz w:val="20"/>
                <w:szCs w:val="20"/>
                <w:color w:val="auto"/>
              </w:rPr>
            </w:pPr>
            <w:r>
              <w:rPr>
                <w:rFonts w:ascii="Arial" w:cs="Arial" w:eastAsia="Arial" w:hAnsi="Arial"/>
                <w:sz w:val="20"/>
                <w:szCs w:val="20"/>
                <w:color w:val="auto"/>
                <w:w w:val="91"/>
              </w:rPr>
              <w:t>3.64%</w:t>
            </w:r>
          </w:p>
        </w:tc>
        <w:tc>
          <w:tcPr>
            <w:tcW w:w="3300" w:type="dxa"/>
            <w:vAlign w:val="bottom"/>
            <w:shd w:val="clear" w:color="auto" w:fill="CCEEFF"/>
          </w:tcPr>
          <w:p>
            <w:pPr>
              <w:jc w:val="center"/>
              <w:spacing w:after="0" w:line="223" w:lineRule="exact"/>
              <w:rPr>
                <w:sz w:val="20"/>
                <w:szCs w:val="20"/>
                <w:color w:val="auto"/>
              </w:rPr>
            </w:pPr>
            <w:r>
              <w:rPr>
                <w:rFonts w:ascii="Arial" w:cs="Arial" w:eastAsia="Arial" w:hAnsi="Arial"/>
                <w:sz w:val="20"/>
                <w:szCs w:val="20"/>
                <w:color w:val="auto"/>
                <w:w w:val="85"/>
              </w:rPr>
              <w:t>2032</w:t>
            </w:r>
          </w:p>
        </w:tc>
      </w:tr>
      <w:tr>
        <w:trPr>
          <w:trHeight w:val="230"/>
        </w:trPr>
        <w:tc>
          <w:tcPr>
            <w:tcW w:w="3280" w:type="dxa"/>
            <w:vAlign w:val="bottom"/>
          </w:tcPr>
          <w:p>
            <w:pPr>
              <w:jc w:val="center"/>
              <w:ind w:left="1"/>
              <w:spacing w:after="0"/>
              <w:rPr>
                <w:sz w:val="20"/>
                <w:szCs w:val="20"/>
                <w:color w:val="auto"/>
              </w:rPr>
            </w:pPr>
            <w:r>
              <w:rPr>
                <w:rFonts w:ascii="Arial" w:cs="Arial" w:eastAsia="Arial" w:hAnsi="Arial"/>
                <w:sz w:val="20"/>
                <w:szCs w:val="20"/>
                <w:color w:val="auto"/>
                <w:w w:val="88"/>
              </w:rPr>
              <w:t>$6,000</w:t>
            </w:r>
          </w:p>
        </w:tc>
        <w:tc>
          <w:tcPr>
            <w:tcW w:w="3540" w:type="dxa"/>
            <w:vAlign w:val="bottom"/>
          </w:tcPr>
          <w:p>
            <w:pPr>
              <w:jc w:val="center"/>
              <w:spacing w:after="0"/>
              <w:rPr>
                <w:sz w:val="20"/>
                <w:szCs w:val="20"/>
                <w:color w:val="auto"/>
              </w:rPr>
            </w:pPr>
            <w:r>
              <w:rPr>
                <w:rFonts w:ascii="Arial" w:cs="Arial" w:eastAsia="Arial" w:hAnsi="Arial"/>
                <w:sz w:val="20"/>
                <w:szCs w:val="20"/>
                <w:color w:val="auto"/>
                <w:w w:val="91"/>
              </w:rPr>
              <w:t>3.89%</w:t>
            </w:r>
          </w:p>
        </w:tc>
        <w:tc>
          <w:tcPr>
            <w:tcW w:w="3300" w:type="dxa"/>
            <w:vAlign w:val="bottom"/>
          </w:tcPr>
          <w:p>
            <w:pPr>
              <w:jc w:val="center"/>
              <w:spacing w:after="0"/>
              <w:rPr>
                <w:sz w:val="20"/>
                <w:szCs w:val="20"/>
                <w:color w:val="auto"/>
              </w:rPr>
            </w:pPr>
            <w:r>
              <w:rPr>
                <w:rFonts w:ascii="Arial" w:cs="Arial" w:eastAsia="Arial" w:hAnsi="Arial"/>
                <w:sz w:val="20"/>
                <w:szCs w:val="20"/>
                <w:color w:val="auto"/>
                <w:w w:val="85"/>
              </w:rPr>
              <w:t>2037</w:t>
            </w:r>
          </w:p>
        </w:tc>
      </w:tr>
      <w:tr>
        <w:trPr>
          <w:trHeight w:val="230"/>
        </w:trPr>
        <w:tc>
          <w:tcPr>
            <w:tcW w:w="32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$15,000</w:t>
            </w:r>
          </w:p>
        </w:tc>
        <w:tc>
          <w:tcPr>
            <w:tcW w:w="3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3.90%</w:t>
            </w:r>
          </w:p>
        </w:tc>
        <w:tc>
          <w:tcPr>
            <w:tcW w:w="33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5"/>
              </w:rPr>
              <w:t>2038</w:t>
            </w:r>
          </w:p>
        </w:tc>
      </w:tr>
      <w:tr>
        <w:trPr>
          <w:trHeight w:val="230"/>
        </w:trPr>
        <w:tc>
          <w:tcPr>
            <w:tcW w:w="3280" w:type="dxa"/>
            <w:vAlign w:val="bottom"/>
          </w:tcPr>
          <w:p>
            <w:pPr>
              <w:jc w:val="center"/>
              <w:spacing w:after="0"/>
              <w:rPr>
                <w:sz w:val="20"/>
                <w:szCs w:val="20"/>
                <w:color w:val="auto"/>
              </w:rPr>
            </w:pPr>
            <w:r>
              <w:rPr>
                <w:rFonts w:ascii="Arial" w:cs="Arial" w:eastAsia="Arial" w:hAnsi="Arial"/>
                <w:sz w:val="20"/>
                <w:szCs w:val="20"/>
                <w:color w:val="auto"/>
                <w:w w:val="88"/>
              </w:rPr>
              <w:t>$10,000</w:t>
            </w:r>
          </w:p>
        </w:tc>
        <w:tc>
          <w:tcPr>
            <w:tcW w:w="3540" w:type="dxa"/>
            <w:vAlign w:val="bottom"/>
          </w:tcPr>
          <w:p>
            <w:pPr>
              <w:jc w:val="center"/>
              <w:spacing w:after="0"/>
              <w:rPr>
                <w:sz w:val="20"/>
                <w:szCs w:val="20"/>
                <w:color w:val="auto"/>
              </w:rPr>
            </w:pPr>
            <w:r>
              <w:rPr>
                <w:rFonts w:ascii="Arial" w:cs="Arial" w:eastAsia="Arial" w:hAnsi="Arial"/>
                <w:sz w:val="20"/>
                <w:szCs w:val="20"/>
                <w:color w:val="auto"/>
                <w:w w:val="91"/>
              </w:rPr>
              <w:t>4.18%</w:t>
            </w:r>
          </w:p>
        </w:tc>
        <w:tc>
          <w:tcPr>
            <w:tcW w:w="3300" w:type="dxa"/>
            <w:vAlign w:val="bottom"/>
          </w:tcPr>
          <w:p>
            <w:pPr>
              <w:jc w:val="center"/>
              <w:spacing w:after="0"/>
              <w:rPr>
                <w:sz w:val="20"/>
                <w:szCs w:val="20"/>
                <w:color w:val="auto"/>
              </w:rPr>
            </w:pPr>
            <w:r>
              <w:rPr>
                <w:rFonts w:ascii="Arial" w:cs="Arial" w:eastAsia="Arial" w:hAnsi="Arial"/>
                <w:sz w:val="20"/>
                <w:szCs w:val="20"/>
                <w:color w:val="auto"/>
                <w:w w:val="85"/>
              </w:rPr>
              <w:t>2047</w:t>
            </w:r>
          </w:p>
        </w:tc>
      </w:tr>
      <w:tr>
        <w:trPr>
          <w:trHeight w:val="230"/>
        </w:trPr>
        <w:tc>
          <w:tcPr>
            <w:tcW w:w="32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$22,000</w:t>
            </w:r>
          </w:p>
        </w:tc>
        <w:tc>
          <w:tcPr>
            <w:tcW w:w="3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4.22%</w:t>
            </w:r>
          </w:p>
        </w:tc>
        <w:tc>
          <w:tcPr>
            <w:tcW w:w="33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5"/>
              </w:rPr>
              <w:t>2049</w:t>
            </w:r>
          </w:p>
        </w:tc>
      </w:tr>
      <w:tr>
        <w:trPr>
          <w:trHeight w:val="250"/>
        </w:trPr>
        <w:tc>
          <w:tcPr>
            <w:tcW w:w="3280" w:type="dxa"/>
            <w:vAlign w:val="bottom"/>
          </w:tcPr>
          <w:p>
            <w:pPr>
              <w:jc w:val="center"/>
              <w:spacing w:after="0"/>
              <w:rPr>
                <w:sz w:val="20"/>
                <w:szCs w:val="20"/>
                <w:color w:val="auto"/>
              </w:rPr>
            </w:pPr>
            <w:r>
              <w:rPr>
                <w:rFonts w:ascii="Arial" w:cs="Arial" w:eastAsia="Arial" w:hAnsi="Arial"/>
                <w:sz w:val="20"/>
                <w:szCs w:val="20"/>
                <w:color w:val="auto"/>
                <w:w w:val="88"/>
              </w:rPr>
              <w:t>$22,000</w:t>
            </w:r>
          </w:p>
        </w:tc>
        <w:tc>
          <w:tcPr>
            <w:tcW w:w="3540" w:type="dxa"/>
            <w:vAlign w:val="bottom"/>
          </w:tcPr>
          <w:p>
            <w:pPr>
              <w:jc w:val="center"/>
              <w:spacing w:after="0"/>
              <w:rPr>
                <w:sz w:val="20"/>
                <w:szCs w:val="20"/>
                <w:color w:val="auto"/>
              </w:rPr>
            </w:pPr>
            <w:r>
              <w:rPr>
                <w:rFonts w:ascii="Arial" w:cs="Arial" w:eastAsia="Arial" w:hAnsi="Arial"/>
                <w:sz w:val="20"/>
                <w:szCs w:val="20"/>
                <w:color w:val="auto"/>
                <w:w w:val="91"/>
              </w:rPr>
              <w:t>4.24%</w:t>
            </w:r>
          </w:p>
        </w:tc>
        <w:tc>
          <w:tcPr>
            <w:tcW w:w="3300" w:type="dxa"/>
            <w:vAlign w:val="bottom"/>
          </w:tcPr>
          <w:p>
            <w:pPr>
              <w:jc w:val="center"/>
              <w:spacing w:after="0"/>
              <w:rPr>
                <w:sz w:val="20"/>
                <w:szCs w:val="20"/>
                <w:color w:val="auto"/>
              </w:rPr>
            </w:pPr>
            <w:r>
              <w:rPr>
                <w:rFonts w:ascii="Arial" w:cs="Arial" w:eastAsia="Arial" w:hAnsi="Arial"/>
                <w:sz w:val="20"/>
                <w:szCs w:val="20"/>
                <w:color w:val="auto"/>
                <w:w w:val="85"/>
              </w:rPr>
              <w:t>2050</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The proceeds from these bonds were used to repay existing indebtedness and for general corporate purposes.</w:t>
      </w:r>
    </w:p>
    <w:p>
      <w:pPr>
        <w:spacing w:after="0" w:line="229"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In July 2017, Aqua Pennsylvania issued $80,000 of first mortgage bonds, of which $40,000 is due in 2055 and $40,000 is due in 2057 with interest rates of 4.04% and 4.06%, respectively. The proceeds from these bonds were used to repay existing indebtedness and for general corporate purposes.</w:t>
      </w:r>
    </w:p>
    <w:p>
      <w:pPr>
        <w:spacing w:after="0" w:line="200" w:lineRule="exact"/>
        <w:rPr>
          <w:sz w:val="20"/>
          <w:szCs w:val="20"/>
          <w:color w:val="auto"/>
        </w:rPr>
      </w:pPr>
    </w:p>
    <w:p>
      <w:pPr>
        <w:jc w:val="both"/>
        <w:ind w:right="220"/>
        <w:spacing w:after="0" w:line="250" w:lineRule="auto"/>
        <w:rPr>
          <w:sz w:val="20"/>
          <w:szCs w:val="20"/>
          <w:color w:val="auto"/>
        </w:rPr>
      </w:pPr>
      <w:r>
        <w:rPr>
          <w:rFonts w:ascii="Arial" w:cs="Arial" w:eastAsia="Arial" w:hAnsi="Arial"/>
          <w:sz w:val="20"/>
          <w:szCs w:val="20"/>
          <w:color w:val="auto"/>
        </w:rPr>
        <w:t>In January 2017, Aqua Pennsylvania issued $50,000 of first mortgage bonds, of which $10,000 is due in 2042 and $40,000 is due in 2044 with interest rates of 3.65% and 3.69%, respectively. The proceeds from these bonds were used to repay existing indebtedness and for general corporate purposes.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2018 and 2017, the Company did not have any funds restricted for construction activity.</w:t>
      </w:r>
    </w:p>
    <w:p>
      <w:pPr>
        <w:spacing w:after="0" w:line="229" w:lineRule="exact"/>
        <w:rPr>
          <w:sz w:val="20"/>
          <w:szCs w:val="20"/>
          <w:color w:val="auto"/>
        </w:rPr>
      </w:pPr>
    </w:p>
    <w:p>
      <w:pPr>
        <w:jc w:val="both"/>
        <w:ind w:right="640"/>
        <w:spacing w:after="0" w:line="386" w:lineRule="auto"/>
        <w:rPr>
          <w:sz w:val="20"/>
          <w:szCs w:val="20"/>
          <w:color w:val="auto"/>
        </w:rPr>
      </w:pPr>
      <w:r>
        <w:rPr>
          <w:rFonts w:ascii="Arial" w:cs="Arial" w:eastAsia="Arial" w:hAnsi="Arial"/>
          <w:sz w:val="16"/>
          <w:szCs w:val="16"/>
          <w:color w:val="auto"/>
        </w:rPr>
        <w:t>The weighted average cost of long-term debt at December 31, 2018 and 2017 was 4.23% and 4.29%, respectively. The weighted average cost of fixed rate long-term debt at December 31, 2018 and 2017 was 4.31% and 4.36%, respectively.</w:t>
      </w:r>
    </w:p>
    <w:p>
      <w:pPr>
        <w:spacing w:after="0" w:line="9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In December 2018, the Company entered into a five-year $550,000 unsecured revolving credit facility, which replaced the Company’s prior five-year $500,000 unsecured revolving credit facility. The Company’s new unsecured revolving credit facility will be used to repay all indebtedness and fees under our prior unsecured revolving credit facility, and for other general corporate purposes. Additionally, the facility expands by $150,000 of capacity, upon closing of the Peoples Gas Acquisition, which amount will be available to repay certain outstanding indebtedness and fees to close an existing credit facility of Peoples and for general corporate purposes. Further, the Company may request to expand the facility by an additional amount of up to $300,000, upon the closing of the Peoples Gas Acquisition. The facility includes a $25,000 sublimit for daily demand loans. Funds borrowed under this facility are classified as long-term debt and are used to provide working capital as well as support for letters of credit for insurance policies and other financing arrangements. As of December 31, 2018, the Company has the following sublimits and available capacity under the credit facility: $50,000 letter of credit sublimit, $29,503 of letters of credit available capacity, $0 borrowed under the swing-line commitment, and $370,000 of funds borrowed under the agreement. Interest under this facility is based at the Company’s option, on the prime rate, an adjusted Euro-Rate, an adjusted federal funds rate or at rates offered by the banks. A facility fee is charged on the total commitment amount of the agreement. Under these facilities the average cost of borrowings was 2.92% and 1.91%, and the average borrowing was $207,277 and $48,333, during 2018 and 2017,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obligated to comply with covenants under some of its loan and debt agreements. These covenants contain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restrictive financial covenants, which among other things limit, subject to specific exceptions, the Company’s ratio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consolidated total indebtedness to consolidated total capitalization, and require a minimum level of earnings coverage over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 During 2018, the Company was in compliance with its debt covenants under its loan and debt</w:t>
      </w:r>
    </w:p>
    <w:p>
      <w:pPr>
        <w:spacing w:after="0"/>
        <w:rPr>
          <w:sz w:val="20"/>
          <w:szCs w:val="20"/>
          <w:color w:val="auto"/>
        </w:rPr>
      </w:pPr>
      <w:r>
        <w:rPr>
          <w:rFonts w:ascii="Arial" w:cs="Arial" w:eastAsia="Arial" w:hAnsi="Arial"/>
          <w:sz w:val="18"/>
          <w:szCs w:val="18"/>
          <w:color w:val="auto"/>
        </w:rPr>
        <w:t>agreements. Failure to comply with the Company’s debt covenants could result in an event of default, which could result in the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Company being required to repay or finance its borrowings before their due date, possibly limiting the Company’s future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borrowings, and increasing its borrowing costs.</w:t>
      </w:r>
    </w:p>
    <w:p>
      <w:pPr>
        <w:spacing w:after="0" w:line="213" w:lineRule="exact"/>
        <w:rPr>
          <w:sz w:val="20"/>
          <w:szCs w:val="20"/>
          <w:color w:val="auto"/>
        </w:rPr>
      </w:pPr>
    </w:p>
    <w:p>
      <w:pPr>
        <w:ind w:right="380"/>
        <w:spacing w:after="0" w:line="316" w:lineRule="auto"/>
        <w:rPr>
          <w:sz w:val="20"/>
          <w:szCs w:val="20"/>
          <w:color w:val="auto"/>
        </w:rPr>
      </w:pPr>
      <w:r>
        <w:rPr>
          <w:rFonts w:ascii="Arial" w:cs="Arial" w:eastAsia="Arial" w:hAnsi="Arial"/>
          <w:sz w:val="18"/>
          <w:szCs w:val="18"/>
          <w:b w:val="1"/>
          <w:bCs w:val="1"/>
          <w:i w:val="1"/>
          <w:iCs w:val="1"/>
          <w:color w:val="auto"/>
        </w:rPr>
        <w:t xml:space="preserve">Loans Payable – </w:t>
      </w:r>
      <w:r>
        <w:rPr>
          <w:rFonts w:ascii="Arial" w:cs="Arial" w:eastAsia="Arial" w:hAnsi="Arial"/>
          <w:sz w:val="18"/>
          <w:szCs w:val="18"/>
          <w:color w:val="auto"/>
        </w:rPr>
        <w:t>In November 2018, Aqua Pennsylvania renewed its $100,000 364-day unsecured revolving credit facility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four banks. The funds borrowed under this agreement are classified as loans payable and used to provide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working capital. As of December 31, 2018 and 2017, funds borrowed under the agreement were $15,449 and $3,650,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respectively. Interest under this facility is based, at the borrower’s option, on the prime rate, an adjusted federal funds rate,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adjusted London Interbank Offered Rate corresponding to the interest period selected, an adjusted Euro-Rate corresponding to</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interest period selected or at rates offered by the banks. This agreement restricts short-term borrowings of Aqua</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Pennsylvania. A commitment fee of 0.05% is charged on the total commitment amount of Aqua Pennsylvania’s revolving</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The average cost of borrowing under the facility was 2.68% and 1.78%, and the average borrowing was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$22,056 and $21,913, during 2018 and 2017, respectively. The maximum amount outstanding at the end of any one month was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$45,000 and $66,466 in 2018 and 2017, respectively.</w:t>
      </w:r>
    </w:p>
    <w:p>
      <w:pPr>
        <w:spacing w:after="0" w:line="213"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At December 31, 2018 and 2017, the Company had other combined short-term lines of credit of $35,500. Funds borrowed under these lines are classified as loans payable and are used to provide working capital. As of December 31, 2018 and 2017, funds borrowed under the short-term lines of credit were $0, respectively. The average borrowing under the lines was $0 and $908 during 2018 and 2017, respectively. The maximum amount outstanding at the end of any one month was $0 in 2018 and $990 in 2017, respectively. Interest under the lines is based at the Company’s option, depending on the line, on the prime rate, an adjusted Euro-Rate, an adjusted federal funds rate or at rates offered by the banks. The average cost of borrowings under all lines during 2018 and 2017 was 2.68% and 1.81%, respectively.</w:t>
      </w:r>
    </w:p>
    <w:p>
      <w:pPr>
        <w:spacing w:after="0" w:line="193"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b w:val="1"/>
          <w:bCs w:val="1"/>
          <w:i w:val="1"/>
          <w:iCs w:val="1"/>
          <w:color w:val="auto"/>
        </w:rPr>
        <w:t xml:space="preserve">Interest Income and Expense– </w:t>
      </w:r>
      <w:r>
        <w:rPr>
          <w:rFonts w:ascii="Arial" w:cs="Arial" w:eastAsia="Arial" w:hAnsi="Arial"/>
          <w:sz w:val="20"/>
          <w:szCs w:val="20"/>
          <w:color w:val="auto"/>
        </w:rPr>
        <w:t>Interest income of $152, $202, and $217 was netted against interest expense 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consolidated statement of net income for the years ended December 31, 2018, 2017, and 2016, respectively. The total interest cost was $99,054, $88,543, and $80,811 in 2018, 2017, and 2016, including amounts capitalized for borrowed funds of $3,332, $3,578, and $2,220, respectively.</w:t>
      </w:r>
    </w:p>
    <w:p>
      <w:pPr>
        <w:spacing w:after="0" w:line="205"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b w:val="1"/>
          <w:bCs w:val="1"/>
          <w:i w:val="1"/>
          <w:iCs w:val="1"/>
          <w:color w:val="auto"/>
        </w:rPr>
        <w:t xml:space="preserve">Unsecured Bridge Loan Commitment </w:t>
      </w:r>
      <w:r>
        <w:rPr>
          <w:rFonts w:ascii="Arial" w:cs="Arial" w:eastAsia="Arial" w:hAnsi="Arial"/>
          <w:sz w:val="20"/>
          <w:szCs w:val="20"/>
          <w:color w:val="auto"/>
        </w:rPr>
        <w:t>– On October 22, 2018, the Company obtained the Bridge Commitment from certain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banks to provide senior unsecured bridge loans in an aggregate amount of up to $5,100,000 to, among other things, backstop the Peoples Gas Acquisition purchase price and the refinancing of certain debt of the Company and of Peoples. As of December 31, 2018, the Company had terminated approximately $1,633,000 of commitments under the Bridge Commitment in connection with, among other things, the replacement of the Company’s unsecured revolving credit facility and the expected maintenance of certain Peoples’ indebtedness.</w:t>
      </w:r>
    </w:p>
    <w:p>
      <w:pPr>
        <w:spacing w:after="0" w:line="210"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i w:val="1"/>
          <w:iCs w:val="1"/>
          <w:color w:val="auto"/>
        </w:rPr>
        <w:t xml:space="preserve">Interest Rate Swap Agreements </w:t>
      </w:r>
      <w:r>
        <w:rPr>
          <w:rFonts w:ascii="Arial" w:cs="Arial" w:eastAsia="Arial" w:hAnsi="Arial"/>
          <w:sz w:val="18"/>
          <w:szCs w:val="18"/>
          <w:color w:val="auto"/>
        </w:rPr>
        <w:t>– In October 2018, the Company entered into interest rate swap agreements to mitigate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risk associated with an anticipated $850,000 of future debt issuances to fund a portion of the Peoples Gas Acquisition and refinance a portion of the Company’s borrowings. The interest rate swaps will be settled upon issuance of the debt to be used to finance a portion of the purchase price of this acquisition. The interest rate swaps do not qualify for hedge accounting and any changes in the fair value of the swaps is included in our future earnings. The interest rate swaps are classified as financial derivatives used for non-trading activities. Other than the interest rate swaps, the Company has no other derivative instruments. The Company records the fair value of the interest rate swaps by discounting the future net cash flows associated with anticipated future debt issuance and recognizes either an asset or liability at the balance sheet date.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 summary of the fair value of our interest rate swap agreements: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color w:val="auto"/>
                <w:w w:val="92"/>
              </w:rPr>
              <w:t>Derivative Assets</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color w:val="auto"/>
                <w:w w:val="95"/>
              </w:rPr>
              <w:t>Derivative Liabilities</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color w:val="auto"/>
                <w:w w:val="90"/>
              </w:rPr>
              <w:t>December 31,</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Borders>
              <w:bottom w:val="single" w:sz="8" w:color="auto"/>
            </w:tcBorders>
            <w:gridSpan w:val="2"/>
          </w:tcPr>
          <w:p>
            <w:pPr>
              <w:jc w:val="center"/>
              <w:ind w:left="790"/>
              <w:spacing w:after="0"/>
              <w:rPr>
                <w:sz w:val="20"/>
                <w:szCs w:val="20"/>
                <w:color w:val="auto"/>
              </w:rPr>
            </w:pPr>
            <w:r>
              <w:rPr>
                <w:rFonts w:ascii="Arial" w:cs="Arial" w:eastAsia="Arial" w:hAnsi="Arial"/>
                <w:sz w:val="18"/>
                <w:szCs w:val="18"/>
                <w:color w:val="auto"/>
                <w:w w:val="88"/>
              </w:rPr>
              <w:t>December 31,</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vMerge w:val="restart"/>
          </w:tcPr>
          <w:p>
            <w:pPr>
              <w:spacing w:after="0"/>
              <w:rPr>
                <w:sz w:val="20"/>
                <w:szCs w:val="20"/>
                <w:color w:val="auto"/>
              </w:rPr>
            </w:pPr>
            <w:r>
              <w:rPr>
                <w:rFonts w:ascii="Arial" w:cs="Arial" w:eastAsia="Arial" w:hAnsi="Arial"/>
                <w:sz w:val="18"/>
                <w:szCs w:val="18"/>
                <w:color w:val="auto"/>
                <w:w w:val="96"/>
              </w:rPr>
              <w:t>Derivatives not designated as hedging instrument:</w:t>
            </w:r>
          </w:p>
        </w:tc>
        <w:tc>
          <w:tcPr>
            <w:tcW w:w="260" w:type="dxa"/>
            <w:vAlign w:val="bottom"/>
          </w:tcPr>
          <w:p>
            <w:pPr>
              <w:spacing w:after="0"/>
              <w:rPr>
                <w:sz w:val="18"/>
                <w:szCs w:val="18"/>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color w:val="auto"/>
              </w:rPr>
              <w:t>Balance Sheet Location</w:t>
            </w:r>
          </w:p>
        </w:tc>
        <w:tc>
          <w:tcPr>
            <w:tcW w:w="10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2018</w:t>
            </w:r>
          </w:p>
        </w:tc>
        <w:tc>
          <w:tcPr>
            <w:tcW w:w="260" w:type="dxa"/>
            <w:vAlign w:val="bottom"/>
          </w:tcPr>
          <w:p>
            <w:pPr>
              <w:spacing w:after="0"/>
              <w:rPr>
                <w:sz w:val="18"/>
                <w:szCs w:val="18"/>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Balance Sheet Location</w:t>
            </w:r>
          </w:p>
        </w:tc>
        <w:tc>
          <w:tcPr>
            <w:tcW w:w="200" w:type="dxa"/>
            <w:vAlign w:val="bottom"/>
          </w:tcPr>
          <w:p>
            <w:pPr>
              <w:spacing w:after="0"/>
              <w:rPr>
                <w:sz w:val="18"/>
                <w:szCs w:val="18"/>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rate swaps</w:t>
            </w:r>
          </w:p>
        </w:tc>
        <w:tc>
          <w:tcPr>
            <w:tcW w:w="238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Current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5"/>
        </w:trPr>
        <w:tc>
          <w:tcPr>
            <w:tcW w:w="3860" w:type="dxa"/>
            <w:vAlign w:val="bottom"/>
          </w:tcPr>
          <w:p>
            <w:pPr>
              <w:spacing w:after="0"/>
              <w:rPr>
                <w:sz w:val="24"/>
                <w:szCs w:val="24"/>
                <w:color w:val="auto"/>
              </w:rPr>
            </w:pPr>
          </w:p>
        </w:tc>
        <w:tc>
          <w:tcPr>
            <w:tcW w:w="2220" w:type="dxa"/>
            <w:vAlign w:val="bottom"/>
            <w:gridSpan w:val="2"/>
          </w:tcPr>
          <w:p>
            <w:pPr>
              <w:jc w:val="right"/>
              <w:ind w:right="85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amounts recognized in earnings for our interest rate swap agreements:</w:t>
      </w:r>
    </w:p>
    <w:p>
      <w:pPr>
        <w:sectPr>
          <w:pgSz w:w="11900" w:h="16838" w:orient="portrait"/>
          <w:cols w:equalWidth="0" w:num="1">
            <w:col w:w="10140"/>
          </w:cols>
          <w:pgMar w:left="900" w:top="125"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Location of Gain (Loss)</w:t>
      </w:r>
    </w:p>
    <w:p>
      <w:pPr>
        <w:spacing w:after="0" w:line="39" w:lineRule="exact"/>
        <w:rPr>
          <w:sz w:val="20"/>
          <w:szCs w:val="20"/>
          <w:color w:val="auto"/>
        </w:rPr>
      </w:pPr>
    </w:p>
    <w:p>
      <w:pPr>
        <w:jc w:val="center"/>
        <w:ind w:left="4940"/>
        <w:spacing w:after="0"/>
        <w:rPr>
          <w:sz w:val="20"/>
          <w:szCs w:val="20"/>
          <w:color w:val="auto"/>
        </w:rPr>
      </w:pPr>
      <w:r>
        <w:rPr>
          <w:rFonts w:ascii="Arial" w:cs="Arial" w:eastAsia="Arial" w:hAnsi="Arial"/>
          <w:sz w:val="20"/>
          <w:szCs w:val="20"/>
          <w:color w:val="auto"/>
        </w:rPr>
        <w:t>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0</wp:posOffset>
            </wp:positionV>
            <wp:extent cx="15093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left="20" w:right="380"/>
        <w:spacing w:after="0" w:line="246" w:lineRule="auto"/>
        <w:rPr>
          <w:sz w:val="20"/>
          <w:szCs w:val="20"/>
          <w:color w:val="auto"/>
        </w:rPr>
      </w:pPr>
      <w:r>
        <w:rPr>
          <w:rFonts w:ascii="Arial" w:cs="Arial" w:eastAsia="Arial" w:hAnsi="Arial"/>
          <w:sz w:val="20"/>
          <w:szCs w:val="20"/>
          <w:color w:val="auto"/>
        </w:rPr>
        <w:t>Amount of Gain (Loss) Recognized in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-635</wp:posOffset>
            </wp:positionV>
            <wp:extent cx="17665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jc w:val="center"/>
        <w:ind w:right="380"/>
        <w:spacing w:after="0"/>
        <w:rPr>
          <w:sz w:val="20"/>
          <w:szCs w:val="20"/>
          <w:color w:val="auto"/>
        </w:rPr>
      </w:pPr>
      <w:r>
        <w:rPr>
          <w:rFonts w:ascii="Arial" w:cs="Arial" w:eastAsia="Arial" w:hAnsi="Arial"/>
          <w:sz w:val="16"/>
          <w:szCs w:val="16"/>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34925</wp:posOffset>
            </wp:positionV>
            <wp:extent cx="17665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4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10160</wp:posOffset>
            </wp:positionV>
            <wp:extent cx="17665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6960" w:space="720"/>
            <w:col w:w="2460"/>
          </w:cols>
          <w:pgMar w:left="900" w:top="125" w:right="859" w:bottom="1440" w:gutter="0" w:footer="0" w:header="0"/>
          <w:type w:val="continuous"/>
        </w:sectPr>
      </w:pPr>
    </w:p>
    <w:p>
      <w:pPr>
        <w:spacing w:after="0"/>
        <w:rPr>
          <w:sz w:val="20"/>
          <w:szCs w:val="20"/>
          <w:color w:val="auto"/>
        </w:rPr>
      </w:pPr>
      <w:r>
        <w:rPr>
          <w:rFonts w:ascii="Arial" w:cs="Arial" w:eastAsia="Arial" w:hAnsi="Arial"/>
          <w:sz w:val="20"/>
          <w:szCs w:val="20"/>
          <w:color w:val="auto"/>
        </w:rPr>
        <w:t>Derivatives not designated as hedging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6423025"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23025" cy="180340"/>
                    </a:xfrm>
                    <a:prstGeom prst="rect">
                      <a:avLst/>
                    </a:prstGeom>
                    <a:noFill/>
                  </pic:spPr>
                </pic:pic>
              </a:graphicData>
            </a:graphic>
          </wp:anchor>
        </w:drawing>
      </w:r>
    </w:p>
    <w:p>
      <w:pPr>
        <w:spacing w:after="0" w:line="7" w:lineRule="exact"/>
        <w:rPr>
          <w:sz w:val="20"/>
          <w:szCs w:val="20"/>
          <w:color w:val="auto"/>
        </w:rPr>
      </w:pPr>
    </w:p>
    <w:p>
      <w:pPr>
        <w:ind w:left="100"/>
        <w:spacing w:after="0"/>
        <w:tabs>
          <w:tab w:leader="none" w:pos="4740" w:val="left"/>
          <w:tab w:leader="none" w:pos="7300" w:val="left"/>
          <w:tab w:leader="none" w:pos="9420" w:val="left"/>
        </w:tabs>
        <w:rPr>
          <w:sz w:val="20"/>
          <w:szCs w:val="20"/>
          <w:color w:val="auto"/>
        </w:rPr>
      </w:pPr>
      <w:r>
        <w:rPr>
          <w:rFonts w:ascii="Arial" w:cs="Arial" w:eastAsia="Arial" w:hAnsi="Arial"/>
          <w:sz w:val="20"/>
          <w:szCs w:val="20"/>
          <w:color w:val="auto"/>
        </w:rPr>
        <w:t>Interest rate swaps</w:t>
      </w:r>
      <w:r>
        <w:rPr>
          <w:sz w:val="20"/>
          <w:szCs w:val="20"/>
          <w:color w:val="auto"/>
        </w:rPr>
        <w:tab/>
      </w:r>
      <w:r>
        <w:rPr>
          <w:rFonts w:ascii="Arial" w:cs="Arial" w:eastAsia="Arial" w:hAnsi="Arial"/>
          <w:sz w:val="20"/>
          <w:szCs w:val="20"/>
          <w:color w:val="auto"/>
        </w:rPr>
        <w:t>Other (expense) income</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(59,779)</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11 – </w:t>
      </w:r>
      <w:r>
        <w:rPr>
          <w:rFonts w:ascii="Arial" w:cs="Arial" w:eastAsia="Arial" w:hAnsi="Arial"/>
          <w:sz w:val="20"/>
          <w:szCs w:val="20"/>
          <w:b w:val="1"/>
          <w:bCs w:val="1"/>
          <w:i w:val="1"/>
          <w:iCs w:val="1"/>
          <w:color w:val="auto"/>
        </w:rPr>
        <w:t>Fair Value of Financial Instruments</w:t>
      </w:r>
    </w:p>
    <w:p>
      <w:pPr>
        <w:spacing w:after="0" w:line="235"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Financial instruments are recorded at carrying value in the financial statements and approximate fair value, with the exception of long-term debt, as of the dates presented. The fair value of these instruments is disclosed below in accordance with current accounting guidance related to financial instruments.</w:t>
      </w:r>
    </w:p>
    <w:p>
      <w:pPr>
        <w:spacing w:after="0" w:line="20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fair value of loans payable is determined based on its carrying amount and utilizing level 1 methods and assumptions. As of December 31, 2018 and 2017, the carrying amount of the Company’s loans payable was $15,449 and $3,650, which equates to their estimated fair value. The fair value of the interest rate swap agreements is determined by discounting the future net cash flows utilizing level 2 methods and assumptions. As of December 31, 2018, the fair value of the Company’s interest rate swap agreements represented a liability of $59,779. The fair value of cash and cash equivalents, which is comprised of uninvested cash, is determined based on level 1 methods and assumptions. As of December 31, 2018 and 2017, the carrying amounts of the Company's cash and cash equivalents were $3,627 and $4,204,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December 31, 2018 and 2017, the carrying amount of these securities was $20,388 and $21,776, which equates to their fair value, and is reported in the consolidated balance sheet in deferred charges and other assets.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Unrealized gains and losses on equity securities held in conjunction with our non-qualified pension plan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5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1021"/>
              <w:spacing w:after="0"/>
              <w:rPr>
                <w:sz w:val="20"/>
                <w:szCs w:val="20"/>
                <w:color w:val="auto"/>
              </w:rPr>
            </w:pPr>
            <w:r>
              <w:rPr>
                <w:rFonts w:ascii="Arial" w:cs="Arial" w:eastAsia="Arial" w:hAnsi="Arial"/>
                <w:sz w:val="20"/>
                <w:szCs w:val="20"/>
                <w:color w:val="auto"/>
              </w:rPr>
              <w:t>2018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loss recognized during the period on equity securities</w:t>
            </w:r>
          </w:p>
        </w:tc>
        <w:tc>
          <w:tcPr>
            <w:tcW w:w="660" w:type="dxa"/>
            <w:vAlign w:val="bottom"/>
            <w:shd w:val="clear" w:color="auto" w:fill="CCEEFF"/>
          </w:tcPr>
          <w:p>
            <w:pPr>
              <w:jc w:val="right"/>
              <w:ind w:right="321"/>
              <w:spacing w:after="0" w:line="223" w:lineRule="exact"/>
              <w:rPr>
                <w:sz w:val="20"/>
                <w:szCs w:val="20"/>
                <w:color w:val="auto"/>
              </w:rPr>
            </w:pPr>
            <w:r>
              <w:rPr>
                <w:rFonts w:ascii="Arial" w:cs="Arial" w:eastAsia="Arial" w:hAnsi="Arial"/>
                <w:sz w:val="20"/>
                <w:szCs w:val="20"/>
                <w:color w:val="auto"/>
              </w:rPr>
              <w:t>$</w:t>
            </w:r>
          </w:p>
        </w:tc>
        <w:tc>
          <w:tcPr>
            <w:tcW w:w="19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spacing w:after="0" w:line="213" w:lineRule="exact"/>
              <w:rPr>
                <w:sz w:val="20"/>
                <w:szCs w:val="20"/>
                <w:color w:val="auto"/>
              </w:rPr>
            </w:pPr>
            <w:r>
              <w:rPr>
                <w:rFonts w:ascii="Arial" w:cs="Arial" w:eastAsia="Arial" w:hAnsi="Arial"/>
                <w:sz w:val="20"/>
                <w:szCs w:val="20"/>
                <w:color w:val="auto"/>
                <w:w w:val="99"/>
              </w:rPr>
              <w:t>Less: net gain / loss recognized during the period on equity securities sold during the</w:t>
            </w:r>
          </w:p>
        </w:tc>
        <w:tc>
          <w:tcPr>
            <w:tcW w:w="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500" w:type="dxa"/>
            <w:vAlign w:val="bottom"/>
          </w:tcPr>
          <w:p>
            <w:pPr>
              <w:spacing w:after="0"/>
              <w:rPr>
                <w:sz w:val="20"/>
                <w:szCs w:val="20"/>
                <w:color w:val="auto"/>
              </w:rPr>
            </w:pPr>
            <w:r>
              <w:rPr>
                <w:rFonts w:ascii="Arial" w:cs="Arial" w:eastAsia="Arial" w:hAnsi="Arial"/>
                <w:sz w:val="20"/>
                <w:szCs w:val="20"/>
                <w:color w:val="auto"/>
              </w:rPr>
              <w:t>period</w:t>
            </w:r>
          </w:p>
        </w:tc>
        <w:tc>
          <w:tcPr>
            <w:tcW w:w="660" w:type="dxa"/>
            <w:vAlign w:val="bottom"/>
          </w:tcPr>
          <w:p>
            <w:pPr>
              <w:spacing w:after="0"/>
              <w:rPr>
                <w:sz w:val="21"/>
                <w:szCs w:val="21"/>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3"/>
        </w:trPr>
        <w:tc>
          <w:tcPr>
            <w:tcW w:w="75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20"/>
                <w:szCs w:val="20"/>
                <w:color w:val="auto"/>
                <w:w w:val="94"/>
              </w:rPr>
              <w:t>Unrealized loss recognized during the reporting period on equity securities still held at the</w:t>
            </w:r>
          </w:p>
        </w:tc>
        <w:tc>
          <w:tcPr>
            <w:tcW w:w="660" w:type="dxa"/>
            <w:vAlign w:val="bottom"/>
            <w:tcBorders>
              <w:top w:val="single" w:sz="8" w:color="auto"/>
            </w:tcBorders>
            <w:vMerge w:val="restart"/>
            <w:shd w:val="clear" w:color="auto" w:fill="CCEEFF"/>
          </w:tcPr>
          <w:p>
            <w:pPr>
              <w:jc w:val="right"/>
              <w:ind w:right="321"/>
              <w:spacing w:after="0"/>
              <w:rPr>
                <w:sz w:val="20"/>
                <w:szCs w:val="20"/>
                <w:color w:val="auto"/>
              </w:rPr>
            </w:pPr>
            <w:r>
              <w:rPr>
                <w:rFonts w:ascii="Arial" w:cs="Arial" w:eastAsia="Arial" w:hAnsi="Arial"/>
                <w:sz w:val="20"/>
                <w:szCs w:val="20"/>
                <w:color w:val="auto"/>
              </w:rPr>
              <w:t>$</w:t>
            </w:r>
          </w:p>
        </w:tc>
        <w:tc>
          <w:tcPr>
            <w:tcW w:w="1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reporting date</w:t>
            </w: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19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5"/>
        </w:trPr>
        <w:tc>
          <w:tcPr>
            <w:tcW w:w="7500" w:type="dxa"/>
            <w:vAlign w:val="bottom"/>
          </w:tcPr>
          <w:p>
            <w:pPr>
              <w:ind w:left="4960"/>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5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5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The net loss recognized on equity securities is presented on the consolidated statements of net income on the line item “Other.” Additionally, the unrealized gain recognized during 2017 and 2016 was reported on the consolidated statements of comprehensive income.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carrying amounts and estimated fair values of the Company’s long-term debt is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0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20"/>
                <w:szCs w:val="20"/>
                <w:color w:val="auto"/>
              </w:rPr>
              <w:t>December 31,</w:t>
            </w:r>
          </w:p>
        </w:tc>
        <w:tc>
          <w:tcPr>
            <w:tcW w:w="1620" w:type="dxa"/>
            <w:vAlign w:val="bottom"/>
            <w:tcBorders>
              <w:bottom w:val="single" w:sz="8" w:color="auto"/>
            </w:tcBorders>
          </w:tcPr>
          <w:p>
            <w:pPr>
              <w:spacing w:after="0"/>
              <w:rPr>
                <w:sz w:val="21"/>
                <w:szCs w:val="21"/>
                <w:color w:val="auto"/>
              </w:rPr>
            </w:pPr>
          </w:p>
        </w:tc>
      </w:tr>
      <w:tr>
        <w:trPr>
          <w:trHeight w:val="250"/>
        </w:trPr>
        <w:tc>
          <w:tcPr>
            <w:tcW w:w="5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9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81"/>
              <w:spacing w:after="0"/>
              <w:rPr>
                <w:sz w:val="20"/>
                <w:szCs w:val="20"/>
                <w:color w:val="auto"/>
              </w:rPr>
            </w:pPr>
            <w:r>
              <w:rPr>
                <w:rFonts w:ascii="Arial" w:cs="Arial" w:eastAsia="Arial" w:hAnsi="Arial"/>
                <w:sz w:val="20"/>
                <w:szCs w:val="20"/>
                <w:color w:val="auto"/>
              </w:rPr>
              <w:t>2017</w:t>
            </w:r>
          </w:p>
        </w:tc>
      </w:tr>
      <w:tr>
        <w:trPr>
          <w:trHeight w:val="250"/>
        </w:trPr>
        <w:tc>
          <w:tcPr>
            <w:tcW w:w="5100" w:type="dxa"/>
            <w:vAlign w:val="bottom"/>
            <w:shd w:val="clear" w:color="auto" w:fill="CCEEFF"/>
          </w:tcPr>
          <w:p>
            <w:pPr>
              <w:spacing w:after="0"/>
              <w:rPr>
                <w:sz w:val="20"/>
                <w:szCs w:val="20"/>
                <w:color w:val="auto"/>
              </w:rPr>
            </w:pPr>
            <w:r>
              <w:rPr>
                <w:rFonts w:ascii="Arial" w:cs="Arial" w:eastAsia="Arial" w:hAnsi="Arial"/>
                <w:sz w:val="20"/>
                <w:szCs w:val="20"/>
                <w:color w:val="auto"/>
              </w:rPr>
              <w:t>Carrying amount</w:t>
            </w:r>
          </w:p>
        </w:tc>
        <w:tc>
          <w:tcPr>
            <w:tcW w:w="1660" w:type="dxa"/>
            <w:vAlign w:val="bottom"/>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7"/>
              </w:rPr>
              <w:t>2,563,660</w:t>
            </w:r>
          </w:p>
        </w:tc>
        <w:tc>
          <w:tcPr>
            <w:tcW w:w="78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2,143,127</w:t>
            </w:r>
          </w:p>
        </w:tc>
      </w:tr>
      <w:tr>
        <w:trPr>
          <w:trHeight w:val="274"/>
        </w:trPr>
        <w:tc>
          <w:tcPr>
            <w:tcW w:w="5100" w:type="dxa"/>
            <w:vAlign w:val="bottom"/>
          </w:tcPr>
          <w:p>
            <w:pPr>
              <w:spacing w:after="0"/>
              <w:rPr>
                <w:sz w:val="20"/>
                <w:szCs w:val="20"/>
                <w:color w:val="auto"/>
              </w:rPr>
            </w:pPr>
            <w:r>
              <w:rPr>
                <w:rFonts w:ascii="Arial" w:cs="Arial" w:eastAsia="Arial" w:hAnsi="Arial"/>
                <w:sz w:val="20"/>
                <w:szCs w:val="20"/>
                <w:color w:val="auto"/>
              </w:rPr>
              <w:t>Estimated fair value</w:t>
            </w:r>
          </w:p>
        </w:tc>
        <w:tc>
          <w:tcPr>
            <w:tcW w:w="166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w w:val="87"/>
              </w:rPr>
              <w:t>2,588,086</w:t>
            </w:r>
          </w:p>
        </w:tc>
        <w:tc>
          <w:tcPr>
            <w:tcW w:w="7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2,262,785</w:t>
            </w:r>
          </w:p>
        </w:tc>
      </w:tr>
    </w:tbl>
    <w:p>
      <w:pPr>
        <w:spacing w:after="0" w:line="209"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The fair value of long-term debt has been determined by discounting the future cash flows using current market interest rates for similar financial instruments of the same duration utilizing level 2 methods and assumptions. The Company’s customers’ advances for construction have a carrying value of $93,343 and $93,186 at December 31, 2018 and 2017, respectively. Their relative fair values cannot be accurately estimated because future refund payments depend on several variables, including new customer connections, customer consumption levels and future rate increases. Portions of these non-interest bearing instruments are payable annually through 2028 and amounts not paid by the respective contract expiration dates become non-refundable. The fair value of these amounts would, however, be less than their carrying value due to the non-interest bearing feature.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12 – </w:t>
      </w:r>
      <w:r>
        <w:rPr>
          <w:rFonts w:ascii="Arial" w:cs="Arial" w:eastAsia="Arial" w:hAnsi="Arial"/>
          <w:sz w:val="20"/>
          <w:szCs w:val="20"/>
          <w:b w:val="1"/>
          <w:bCs w:val="1"/>
          <w:i w:val="1"/>
          <w:iCs w:val="1"/>
          <w:color w:val="auto"/>
        </w:rPr>
        <w:t>Stockholders’ Equity</w:t>
      </w:r>
    </w:p>
    <w:p>
      <w:pPr>
        <w:spacing w:after="0" w:line="235" w:lineRule="exact"/>
        <w:rPr>
          <w:sz w:val="20"/>
          <w:szCs w:val="20"/>
          <w:color w:val="auto"/>
        </w:rPr>
      </w:pPr>
    </w:p>
    <w:p>
      <w:pPr>
        <w:ind w:right="920"/>
        <w:spacing w:after="0" w:line="260" w:lineRule="auto"/>
        <w:rPr>
          <w:sz w:val="20"/>
          <w:szCs w:val="20"/>
          <w:color w:val="auto"/>
        </w:rPr>
      </w:pPr>
      <w:r>
        <w:rPr>
          <w:rFonts w:ascii="Arial" w:cs="Arial" w:eastAsia="Arial" w:hAnsi="Arial"/>
          <w:sz w:val="20"/>
          <w:szCs w:val="20"/>
          <w:color w:val="auto"/>
        </w:rPr>
        <w:t>At December 31, 2018, the Company had 300,000,000 shares of common stock authorized; par value $0.50. Shares outstanding and treasury shares held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40" w:type="dxa"/>
            <w:vAlign w:val="bottom"/>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December 31,</w:t>
            </w:r>
          </w:p>
        </w:tc>
        <w:tc>
          <w:tcPr>
            <w:tcW w:w="1820" w:type="dxa"/>
            <w:vAlign w:val="bottom"/>
            <w:tcBorders>
              <w:bottom w:val="single" w:sz="8" w:color="auto"/>
            </w:tcBorders>
          </w:tcPr>
          <w:p>
            <w:pPr>
              <w:spacing w:after="0"/>
              <w:rPr>
                <w:sz w:val="21"/>
                <w:szCs w:val="21"/>
                <w:color w:val="auto"/>
              </w:rPr>
            </w:pPr>
          </w:p>
        </w:tc>
      </w:tr>
      <w:tr>
        <w:trPr>
          <w:trHeight w:val="250"/>
        </w:trPr>
        <w:tc>
          <w:tcPr>
            <w:tcW w:w="3340" w:type="dxa"/>
            <w:vAlign w:val="bottom"/>
            <w:tcBorders>
              <w:bottom w:val="single" w:sz="8" w:color="CCEEFF"/>
            </w:tcBorders>
          </w:tcPr>
          <w:p>
            <w:pPr>
              <w:spacing w:after="0"/>
              <w:rPr>
                <w:sz w:val="21"/>
                <w:szCs w:val="21"/>
                <w:color w:val="auto"/>
              </w:rPr>
            </w:pPr>
          </w:p>
        </w:tc>
        <w:tc>
          <w:tcPr>
            <w:tcW w:w="2520" w:type="dxa"/>
            <w:vAlign w:val="bottom"/>
            <w:tcBorders>
              <w:bottom w:val="single" w:sz="8" w:color="auto"/>
            </w:tcBorders>
          </w:tcPr>
          <w:p>
            <w:pPr>
              <w:jc w:val="right"/>
              <w:ind w:right="1081"/>
              <w:spacing w:after="0"/>
              <w:rPr>
                <w:sz w:val="20"/>
                <w:szCs w:val="20"/>
                <w:color w:val="auto"/>
              </w:rPr>
            </w:pPr>
            <w:r>
              <w:rPr>
                <w:rFonts w:ascii="Arial" w:cs="Arial" w:eastAsia="Arial" w:hAnsi="Arial"/>
                <w:sz w:val="20"/>
                <w:szCs w:val="20"/>
                <w:color w:val="auto"/>
              </w:rPr>
              <w:t>2018</w:t>
            </w:r>
          </w:p>
        </w:tc>
        <w:tc>
          <w:tcPr>
            <w:tcW w:w="2440" w:type="dxa"/>
            <w:vAlign w:val="bottom"/>
            <w:tcBorders>
              <w:bottom w:val="single" w:sz="8" w:color="auto"/>
            </w:tcBorders>
          </w:tcPr>
          <w:p>
            <w:pPr>
              <w:jc w:val="right"/>
              <w:ind w:right="1281"/>
              <w:spacing w:after="0"/>
              <w:rPr>
                <w:sz w:val="20"/>
                <w:szCs w:val="20"/>
                <w:color w:val="auto"/>
              </w:rPr>
            </w:pPr>
            <w:r>
              <w:rPr>
                <w:rFonts w:ascii="Arial" w:cs="Arial" w:eastAsia="Arial" w:hAnsi="Arial"/>
                <w:sz w:val="20"/>
                <w:szCs w:val="20"/>
                <w:color w:val="auto"/>
              </w:rPr>
              <w:t>2017</w:t>
            </w:r>
          </w:p>
        </w:tc>
        <w:tc>
          <w:tcPr>
            <w:tcW w:w="182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color w:val="auto"/>
              </w:rPr>
              <w:t>2016</w:t>
            </w:r>
          </w:p>
        </w:tc>
      </w:tr>
      <w:tr>
        <w:trPr>
          <w:trHeight w:val="250"/>
        </w:trPr>
        <w:tc>
          <w:tcPr>
            <w:tcW w:w="3340" w:type="dxa"/>
            <w:vAlign w:val="bottom"/>
            <w:shd w:val="clear" w:color="auto" w:fill="CCEEFF"/>
          </w:tcPr>
          <w:p>
            <w:pPr>
              <w:spacing w:after="0"/>
              <w:rPr>
                <w:sz w:val="20"/>
                <w:szCs w:val="20"/>
                <w:color w:val="auto"/>
              </w:rPr>
            </w:pPr>
            <w:r>
              <w:rPr>
                <w:rFonts w:ascii="Arial" w:cs="Arial" w:eastAsia="Arial" w:hAnsi="Arial"/>
                <w:sz w:val="20"/>
                <w:szCs w:val="20"/>
                <w:color w:val="auto"/>
              </w:rPr>
              <w:t>Shares outstanding</w:t>
            </w:r>
          </w:p>
        </w:tc>
        <w:tc>
          <w:tcPr>
            <w:tcW w:w="2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178,091,621</w:t>
            </w:r>
          </w:p>
        </w:tc>
        <w:tc>
          <w:tcPr>
            <w:tcW w:w="2440" w:type="dxa"/>
            <w:vAlign w:val="bottom"/>
            <w:shd w:val="clear" w:color="auto" w:fill="CCEEFF"/>
          </w:tcPr>
          <w:p>
            <w:pPr>
              <w:jc w:val="right"/>
              <w:ind w:right="401"/>
              <w:spacing w:after="0"/>
              <w:rPr>
                <w:sz w:val="20"/>
                <w:szCs w:val="20"/>
                <w:color w:val="auto"/>
              </w:rPr>
            </w:pPr>
            <w:r>
              <w:rPr>
                <w:rFonts w:ascii="Arial" w:cs="Arial" w:eastAsia="Arial" w:hAnsi="Arial"/>
                <w:sz w:val="20"/>
                <w:szCs w:val="20"/>
                <w:color w:val="auto"/>
              </w:rPr>
              <w:t>177,713,943</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177,394,376</w:t>
            </w:r>
          </w:p>
        </w:tc>
      </w:tr>
      <w:tr>
        <w:trPr>
          <w:trHeight w:val="274"/>
        </w:trPr>
        <w:tc>
          <w:tcPr>
            <w:tcW w:w="3340" w:type="dxa"/>
            <w:vAlign w:val="bottom"/>
          </w:tcPr>
          <w:p>
            <w:pPr>
              <w:spacing w:after="0"/>
              <w:rPr>
                <w:sz w:val="20"/>
                <w:szCs w:val="20"/>
                <w:color w:val="auto"/>
              </w:rPr>
            </w:pPr>
            <w:r>
              <w:rPr>
                <w:rFonts w:ascii="Arial" w:cs="Arial" w:eastAsia="Arial" w:hAnsi="Arial"/>
                <w:sz w:val="20"/>
                <w:szCs w:val="20"/>
                <w:color w:val="auto"/>
              </w:rPr>
              <w:t>Treasury shares</w:t>
            </w:r>
          </w:p>
        </w:tc>
        <w:tc>
          <w:tcPr>
            <w:tcW w:w="2520" w:type="dxa"/>
            <w:vAlign w:val="bottom"/>
          </w:tcPr>
          <w:p>
            <w:pPr>
              <w:jc w:val="right"/>
              <w:ind w:right="201"/>
              <w:spacing w:after="0"/>
              <w:rPr>
                <w:sz w:val="20"/>
                <w:szCs w:val="20"/>
                <w:color w:val="auto"/>
              </w:rPr>
            </w:pPr>
            <w:r>
              <w:rPr>
                <w:rFonts w:ascii="Arial" w:cs="Arial" w:eastAsia="Arial" w:hAnsi="Arial"/>
                <w:sz w:val="20"/>
                <w:szCs w:val="20"/>
                <w:color w:val="auto"/>
              </w:rPr>
              <w:t>3,060,206</w:t>
            </w:r>
          </w:p>
        </w:tc>
        <w:tc>
          <w:tcPr>
            <w:tcW w:w="2440" w:type="dxa"/>
            <w:vAlign w:val="bottom"/>
          </w:tcPr>
          <w:p>
            <w:pPr>
              <w:jc w:val="right"/>
              <w:ind w:right="401"/>
              <w:spacing w:after="0"/>
              <w:rPr>
                <w:sz w:val="20"/>
                <w:szCs w:val="20"/>
                <w:color w:val="auto"/>
              </w:rPr>
            </w:pPr>
            <w:r>
              <w:rPr>
                <w:rFonts w:ascii="Arial" w:cs="Arial" w:eastAsia="Arial" w:hAnsi="Arial"/>
                <w:sz w:val="20"/>
                <w:szCs w:val="20"/>
                <w:color w:val="auto"/>
              </w:rPr>
              <w:t>2,986,308</w:t>
            </w:r>
          </w:p>
        </w:tc>
        <w:tc>
          <w:tcPr>
            <w:tcW w:w="1820" w:type="dxa"/>
            <w:vAlign w:val="bottom"/>
          </w:tcPr>
          <w:p>
            <w:pPr>
              <w:jc w:val="right"/>
              <w:spacing w:after="0"/>
              <w:rPr>
                <w:sz w:val="20"/>
                <w:szCs w:val="20"/>
                <w:color w:val="auto"/>
              </w:rPr>
            </w:pPr>
            <w:r>
              <w:rPr>
                <w:rFonts w:ascii="Arial" w:cs="Arial" w:eastAsia="Arial" w:hAnsi="Arial"/>
                <w:sz w:val="20"/>
                <w:szCs w:val="20"/>
                <w:color w:val="auto"/>
              </w:rPr>
              <w:t>2,916,969</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2018, the Company had 1,770,819 shares of authorized but unissued Series Preferred Stock, $1.00 par value.</w:t>
      </w:r>
    </w:p>
    <w:p>
      <w:pPr>
        <w:spacing w:after="0" w:line="275"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In February 2018, the Company filed a universal shelf registration statement with the SEC to allow for the potential future sale by the Company, from time to time, in one or more public offerings, of an indeterminate amount of our common stock, preferred stock, debt securities and other securities specified therein at indeterminate prices.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acquisition shelf registration statement on file with the SEC which permits the offering,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time, of an aggregate of $500,000 in shares of common stock and shares of preferred stock in connection with</w:t>
      </w:r>
    </w:p>
    <w:p>
      <w:pPr>
        <w:spacing w:after="0"/>
        <w:rPr>
          <w:sz w:val="20"/>
          <w:szCs w:val="20"/>
          <w:color w:val="auto"/>
        </w:rPr>
      </w:pPr>
      <w:r>
        <w:rPr>
          <w:rFonts w:ascii="Arial" w:cs="Arial" w:eastAsia="Arial" w:hAnsi="Arial"/>
          <w:sz w:val="18"/>
          <w:szCs w:val="18"/>
          <w:color w:val="auto"/>
        </w:rPr>
        <w:t>acquisitions. During 2016, 439,943 shares of common stock totaling $12,845 were issued by the Company to acquire a water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utility system. The balance remaining available for use under the acquisition shelf registration as of December 31, 2018 is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$487,155.</w:t>
      </w:r>
    </w:p>
    <w:p>
      <w:pPr>
        <w:spacing w:after="0" w:line="200" w:lineRule="exact"/>
        <w:rPr>
          <w:sz w:val="20"/>
          <w:szCs w:val="20"/>
          <w:color w:val="auto"/>
        </w:rPr>
      </w:pPr>
    </w:p>
    <w:p>
      <w:pPr>
        <w:ind w:right="920"/>
        <w:spacing w:after="0" w:line="260" w:lineRule="auto"/>
        <w:rPr>
          <w:sz w:val="20"/>
          <w:szCs w:val="20"/>
          <w:color w:val="auto"/>
        </w:rPr>
      </w:pPr>
      <w:r>
        <w:rPr>
          <w:rFonts w:ascii="Arial" w:cs="Arial" w:eastAsia="Arial" w:hAnsi="Arial"/>
          <w:sz w:val="20"/>
          <w:szCs w:val="20"/>
          <w:color w:val="auto"/>
        </w:rPr>
        <w:t>The form and terms of any securities issued under the universal shelf registration statement and the acquisition shelf registration statement will be determined at the time of issuance.</w:t>
      </w:r>
    </w:p>
    <w:p>
      <w:pPr>
        <w:spacing w:after="0" w:line="190" w:lineRule="exact"/>
        <w:rPr>
          <w:sz w:val="20"/>
          <w:szCs w:val="20"/>
          <w:color w:val="auto"/>
        </w:rPr>
      </w:pPr>
    </w:p>
    <w:p>
      <w:pPr>
        <w:ind w:right="340"/>
        <w:spacing w:after="0" w:line="316" w:lineRule="auto"/>
        <w:rPr>
          <w:sz w:val="20"/>
          <w:szCs w:val="20"/>
          <w:color w:val="auto"/>
        </w:rPr>
      </w:pPr>
      <w:r>
        <w:rPr>
          <w:rFonts w:ascii="Arial" w:cs="Arial" w:eastAsia="Arial" w:hAnsi="Arial"/>
          <w:sz w:val="18"/>
          <w:szCs w:val="18"/>
          <w:color w:val="auto"/>
        </w:rPr>
        <w:t>The Company has a Dividend Reinvestment and Direct Stock Purchase Plan (“Plan”) that allows reinvested dividends to be used to purchase shares of common stock at a five percent discount from the current market value. Under the direct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stock purchase program, shares are purchased by investors at a five percent discount from the market price. The shares issued under the Plan are either shares purchased by the Company’s transfer agent in the open-market or original issue shares. In 2018, 2017, and 2016, 321,585, 447,753, and 484,645 shares of the Company were purchased under the dividend reinvestment portion of the Plan by the Company’s transfer agent in the open-market for $11,343, $15,168, and $14,916,</w:t>
      </w:r>
    </w:p>
    <w:p>
      <w:pPr>
        <w:spacing w:after="0" w:line="3" w:lineRule="exact"/>
        <w:rPr>
          <w:sz w:val="20"/>
          <w:szCs w:val="20"/>
          <w:color w:val="auto"/>
        </w:rPr>
      </w:pPr>
    </w:p>
    <w:p>
      <w:pPr>
        <w:ind w:right="280"/>
        <w:spacing w:after="0" w:line="298" w:lineRule="auto"/>
        <w:rPr>
          <w:sz w:val="20"/>
          <w:szCs w:val="20"/>
          <w:color w:val="auto"/>
        </w:rPr>
      </w:pPr>
      <w:r>
        <w:rPr>
          <w:rFonts w:ascii="Arial" w:cs="Arial" w:eastAsia="Arial" w:hAnsi="Arial"/>
          <w:sz w:val="18"/>
          <w:szCs w:val="18"/>
          <w:color w:val="auto"/>
        </w:rPr>
        <w:t>respectively. During 2018 and 2017, under the dividend reinvestment portion of the Plan, 158,205 and 45,121 original issue shares of common stock were sold, providing the Company with proceeds of $5,163 and $1,453, respectively.</w:t>
      </w:r>
    </w:p>
    <w:p>
      <w:pPr>
        <w:spacing w:after="0" w:line="159"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The Company’s accumulated other comprehensive income is reported in the stockholders’ equity section of the consolidated balance sheets, the consolidated statements of equity, and the related components of other comprehensive income are reported in the consolidated statements of comprehensive income. The Company recorded a regulatory asset for its underfunded status of its pension and other post-retirement benefit plans that would otherwise be charged to other comprehensive income, as it anticipates recovery of its costs through customer rates.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13 – </w:t>
      </w:r>
      <w:r>
        <w:rPr>
          <w:rFonts w:ascii="Arial" w:cs="Arial" w:eastAsia="Arial" w:hAnsi="Arial"/>
          <w:sz w:val="20"/>
          <w:szCs w:val="20"/>
          <w:b w:val="1"/>
          <w:bCs w:val="1"/>
          <w:i w:val="1"/>
          <w:iCs w:val="1"/>
          <w:color w:val="auto"/>
        </w:rPr>
        <w:t>Net Income per Common Share and Equity per Common Share</w:t>
      </w:r>
    </w:p>
    <w:p>
      <w:pPr>
        <w:spacing w:after="0" w:line="235"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Basic net income per share is based on the weighted average number of common shares outstanding. Diluted net income per share is based on the weighted average number of common shares outstanding and potentially dilutive shares. The dilutive effect of employee stock-based compensation is included in the computation of diluted net income per share. The dilutive effect of stock-based compensation is calculated by using the treasury stock method and expected proceeds upon exercise or issuance of the stock-based compensation. The treasury stock method assumes that the proceeds from stock-based compensation are used to purchase the Company’s common stock at the average market price during the period. The following table summarizes the shares, in thousands, used in computing basic and diluted net income per share: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31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Years ended December 31,</w:t>
            </w:r>
          </w:p>
        </w:tc>
      </w:tr>
      <w:tr>
        <w:trPr>
          <w:trHeight w:val="210"/>
        </w:trPr>
        <w:tc>
          <w:tcPr>
            <w:tcW w:w="69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 during the period for basic computation</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177,904</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177,612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177,273</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stock-based compensation</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495</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17"/>
        </w:trPr>
        <w:tc>
          <w:tcPr>
            <w:tcW w:w="6980" w:type="dxa"/>
            <w:vAlign w:val="bottom"/>
          </w:tcPr>
          <w:p>
            <w:pPr>
              <w:spacing w:after="0"/>
              <w:rPr>
                <w:sz w:val="20"/>
                <w:szCs w:val="20"/>
                <w:color w:val="auto"/>
              </w:rPr>
            </w:pPr>
            <w:r>
              <w:rPr>
                <w:rFonts w:ascii="Arial" w:cs="Arial" w:eastAsia="Arial" w:hAnsi="Arial"/>
                <w:sz w:val="18"/>
                <w:szCs w:val="18"/>
                <w:color w:val="auto"/>
              </w:rPr>
              <w:t>Average common shares outstanding during the period for diluted computation</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178,399</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178,175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177,846</w:t>
            </w:r>
          </w:p>
        </w:tc>
      </w:tr>
    </w:tbl>
    <w:p>
      <w:pPr>
        <w:spacing w:after="0" w:line="213"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For the year ended December 31, 2018, the Company’s employee stock options to purchase 8,596 shares of common stock were excluded from the calculation of diluted net income per share as the calculated cost to exercise the stock options was greater than the average market price of the Company’s common stock during this period. For the years ended December 31, 2017, and 2016, all of the Company’s employee stock options were included in the calculation of diluted net income per share as the calculated cost to exercise the stock options was less than the average market price of the Company’s common stock during these periods.</w:t>
      </w:r>
    </w:p>
    <w:p>
      <w:pPr>
        <w:spacing w:after="0" w:line="210"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Equity per common share was $11.28 and $11.02 at December 31, 2018 and 2017, respectively. These amounts were computed by dividing Aqua America stockholders’ equity by the number of shares of common stock outstanding at the end of each year.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14 – </w:t>
      </w:r>
      <w:r>
        <w:rPr>
          <w:rFonts w:ascii="Arial" w:cs="Arial" w:eastAsia="Arial" w:hAnsi="Arial"/>
          <w:sz w:val="20"/>
          <w:szCs w:val="20"/>
          <w:b w:val="1"/>
          <w:bCs w:val="1"/>
          <w:i w:val="1"/>
          <w:iCs w:val="1"/>
          <w:color w:val="auto"/>
        </w:rPr>
        <w:t>Employee Stock and Incentive Plan</w:t>
      </w:r>
    </w:p>
    <w:p>
      <w:pPr>
        <w:spacing w:after="0" w:line="235"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Under the Company’s 2009 Omnibus Equity Compensation Plan, as amended as of February 27, 2014 (the “2009 Plan”), as approved by the Company’s shareholders to replace the 2004 Equity Compensation Plan (the “2004 Plan”), stock options, stock units, stock awards, stock appreciation rights, dividend equivalents, and other stock-based awards may be granted to employees, non-employee directors, and consultants and advisors. No further grants may be made under the 2004 Plan. The 2009 Plan authorizes 6,250,000 shares for issuance under the plan. A maximum of 3,125,000 shares under the 2009 Plan may be issued pursuant to stock award, stock units and other stock-based awards, subject to adjustment as provided in the 2009 Plan. During any calendar year, no individual may be granted (i) stock options 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stock appreciation rights under the 2009 Plan for more than 500,000 shares of common stock in the aggregate or (ii) stock awards, stock units or other stock-based awards under the 2009 Plan for more than 500,000 shares of Company stock in the aggregate, subject to adjustment as provided in the 2009 Plan. Awards to employees and consultants under the 2009 Plan are made by a committee of the Board of Directors, except that with respect to awards to the Chief Executive Officer, the committee recommends those awards for approval by the non-employee directors of the Board of Directors. In the case of awards to non-employee directors, the Board of Directors makes such awards. At December 31, 2018, 3,374,238 shares underlying stock-based compensation awards were still available for grant under the 2009 Plan.</w:t>
      </w:r>
    </w:p>
    <w:p>
      <w:pPr>
        <w:spacing w:after="0" w:line="183"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b w:val="1"/>
          <w:bCs w:val="1"/>
          <w:i w:val="1"/>
          <w:iCs w:val="1"/>
          <w:color w:val="auto"/>
        </w:rPr>
        <w:t xml:space="preserve">Performance Share Units </w:t>
      </w:r>
      <w:r>
        <w:rPr>
          <w:rFonts w:ascii="Arial" w:cs="Arial" w:eastAsia="Arial" w:hAnsi="Arial"/>
          <w:sz w:val="19"/>
          <w:szCs w:val="19"/>
          <w:color w:val="auto"/>
        </w:rPr>
        <w:t>– During 2018, 2017, and 2016, the Company granted performance share units. A 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 unit (“PSU”) represents the right to receive a share of the Company’s common stock if specified performance goals are met over the three year performance period specified in the grant, subject to exceptions through the respective vesting periods, generally three years. Each grantee is granted a target award of PSUs, and may earn between 0% and 200% of the target amount depending on the Company’s performance against the performance goals.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180" w:type="dxa"/>
            <w:vAlign w:val="bottom"/>
            <w:gridSpan w:val="4"/>
          </w:tcPr>
          <w:p>
            <w:pPr>
              <w:spacing w:after="0"/>
              <w:rPr>
                <w:sz w:val="20"/>
                <w:szCs w:val="20"/>
                <w:color w:val="auto"/>
              </w:rPr>
            </w:pPr>
            <w:r>
              <w:rPr>
                <w:rFonts w:ascii="Arial" w:cs="Arial" w:eastAsia="Arial" w:hAnsi="Arial"/>
                <w:sz w:val="20"/>
                <w:szCs w:val="20"/>
                <w:color w:val="auto"/>
                <w:w w:val="93"/>
              </w:rPr>
              <w:t>The performance goals of the 2018, 2017, and 2016 PSU grants consisted of the following metrics:</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50"/>
        </w:trPr>
        <w:tc>
          <w:tcPr>
            <w:tcW w:w="7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Borders>
              <w:bottom w:val="single" w:sz="8" w:color="auto"/>
            </w:tcBorders>
            <w:gridSpan w:val="5"/>
          </w:tcPr>
          <w:p>
            <w:pPr>
              <w:jc w:val="right"/>
              <w:ind w:right="201"/>
              <w:spacing w:after="0"/>
              <w:rPr>
                <w:sz w:val="20"/>
                <w:szCs w:val="20"/>
                <w:color w:val="auto"/>
              </w:rPr>
            </w:pPr>
            <w:r>
              <w:rPr>
                <w:rFonts w:ascii="Arial" w:cs="Arial" w:eastAsia="Arial" w:hAnsi="Arial"/>
                <w:sz w:val="20"/>
                <w:szCs w:val="20"/>
                <w:color w:val="auto"/>
              </w:rPr>
              <w:t>Performance Grant of:</w:t>
            </w:r>
          </w:p>
        </w:tc>
        <w:tc>
          <w:tcPr>
            <w:tcW w:w="20" w:type="dxa"/>
            <w:vAlign w:val="bottom"/>
          </w:tcPr>
          <w:p>
            <w:pPr>
              <w:spacing w:after="0"/>
              <w:rPr>
                <w:sz w:val="24"/>
                <w:szCs w:val="24"/>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gridSpan w:val="2"/>
          </w:tcPr>
          <w:p>
            <w:pPr>
              <w:jc w:val="center"/>
              <w:spacing w:after="0" w:line="223" w:lineRule="exact"/>
              <w:rPr>
                <w:sz w:val="20"/>
                <w:szCs w:val="20"/>
                <w:color w:val="auto"/>
              </w:rPr>
            </w:pPr>
            <w:r>
              <w:rPr>
                <w:rFonts w:ascii="Arial" w:cs="Arial" w:eastAsia="Arial" w:hAnsi="Arial"/>
                <w:sz w:val="20"/>
                <w:szCs w:val="20"/>
                <w:color w:val="auto"/>
                <w:w w:val="89"/>
              </w:rPr>
              <w:t>2018</w:t>
            </w:r>
          </w:p>
        </w:tc>
        <w:tc>
          <w:tcPr>
            <w:tcW w:w="78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2017</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2016</w:t>
            </w:r>
          </w:p>
        </w:tc>
        <w:tc>
          <w:tcPr>
            <w:tcW w:w="20" w:type="dxa"/>
            <w:vAlign w:val="bottom"/>
          </w:tcPr>
          <w:p>
            <w:pPr>
              <w:spacing w:after="0"/>
              <w:rPr>
                <w:sz w:val="19"/>
                <w:szCs w:val="19"/>
                <w:color w:val="auto"/>
              </w:rPr>
            </w:pPr>
          </w:p>
        </w:tc>
      </w:tr>
      <w:tr>
        <w:trPr>
          <w:trHeight w:val="193"/>
        </w:trPr>
        <w:tc>
          <w:tcPr>
            <w:tcW w:w="760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20"/>
                <w:szCs w:val="20"/>
                <w:color w:val="auto"/>
                <w:w w:val="94"/>
              </w:rPr>
              <w:t>Metric 1 – Company’s total shareholder return (“TSR”) compared to the TSR for a specific</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spacing w:after="0" w:line="193" w:lineRule="exact"/>
              <w:rPr>
                <w:sz w:val="20"/>
                <w:szCs w:val="20"/>
                <w:color w:val="auto"/>
              </w:rPr>
            </w:pPr>
            <w:r>
              <w:rPr>
                <w:rFonts w:ascii="Arial" w:cs="Arial" w:eastAsia="Arial" w:hAnsi="Arial"/>
                <w:sz w:val="20"/>
                <w:szCs w:val="20"/>
                <w:color w:val="auto"/>
                <w:w w:val="88"/>
              </w:rPr>
              <w:t>25.0%</w:t>
            </w:r>
          </w:p>
        </w:tc>
        <w:tc>
          <w:tcPr>
            <w:tcW w:w="780" w:type="dxa"/>
            <w:vAlign w:val="bottom"/>
            <w:shd w:val="clear" w:color="auto" w:fill="CCEEFF"/>
          </w:tcPr>
          <w:p>
            <w:pPr>
              <w:ind w:left="160"/>
              <w:spacing w:after="0" w:line="193" w:lineRule="exact"/>
              <w:rPr>
                <w:sz w:val="20"/>
                <w:szCs w:val="20"/>
                <w:color w:val="auto"/>
              </w:rPr>
            </w:pPr>
            <w:r>
              <w:rPr>
                <w:rFonts w:ascii="Arial" w:cs="Arial" w:eastAsia="Arial" w:hAnsi="Arial"/>
                <w:sz w:val="20"/>
                <w:szCs w:val="20"/>
                <w:color w:val="auto"/>
                <w:w w:val="88"/>
              </w:rPr>
              <w:t>26.47%</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center"/>
              <w:spacing w:after="0" w:line="193" w:lineRule="exact"/>
              <w:rPr>
                <w:sz w:val="20"/>
                <w:szCs w:val="20"/>
                <w:color w:val="auto"/>
              </w:rPr>
            </w:pPr>
            <w:r>
              <w:rPr>
                <w:rFonts w:ascii="Arial" w:cs="Arial" w:eastAsia="Arial" w:hAnsi="Arial"/>
                <w:sz w:val="20"/>
                <w:szCs w:val="20"/>
                <w:color w:val="auto"/>
                <w:w w:val="88"/>
              </w:rPr>
              <w:t>27.5%</w:t>
            </w:r>
          </w:p>
        </w:tc>
        <w:tc>
          <w:tcPr>
            <w:tcW w:w="20" w:type="dxa"/>
            <w:vAlign w:val="bottom"/>
          </w:tcPr>
          <w:p>
            <w:pPr>
              <w:spacing w:after="0"/>
              <w:rPr>
                <w:sz w:val="16"/>
                <w:szCs w:val="16"/>
                <w:color w:val="auto"/>
              </w:rPr>
            </w:pPr>
          </w:p>
        </w:tc>
      </w:tr>
      <w:tr>
        <w:trPr>
          <w:trHeight w:val="246"/>
        </w:trPr>
        <w:tc>
          <w:tcPr>
            <w:tcW w:w="7140" w:type="dxa"/>
            <w:vAlign w:val="bottom"/>
            <w:shd w:val="clear" w:color="auto" w:fill="CCEEFF"/>
          </w:tcPr>
          <w:p>
            <w:pPr>
              <w:ind w:left="120"/>
              <w:spacing w:after="0"/>
              <w:rPr>
                <w:sz w:val="20"/>
                <w:szCs w:val="20"/>
                <w:color w:val="auto"/>
              </w:rPr>
            </w:pPr>
            <w:r>
              <w:rPr>
                <w:rFonts w:ascii="Arial" w:cs="Arial" w:eastAsia="Arial" w:hAnsi="Arial"/>
                <w:sz w:val="20"/>
                <w:szCs w:val="20"/>
                <w:color w:val="auto"/>
              </w:rPr>
              <w:t>peer group of investor-owned water companies (a market-based condition)</w:t>
            </w: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3"/>
        </w:trPr>
        <w:tc>
          <w:tcPr>
            <w:tcW w:w="7600" w:type="dxa"/>
            <w:vAlign w:val="bottom"/>
            <w:gridSpan w:val="2"/>
          </w:tcPr>
          <w:p>
            <w:pPr>
              <w:ind w:left="120"/>
              <w:spacing w:after="0" w:line="213" w:lineRule="exact"/>
              <w:rPr>
                <w:sz w:val="20"/>
                <w:szCs w:val="20"/>
                <w:color w:val="auto"/>
              </w:rPr>
            </w:pPr>
            <w:r>
              <w:rPr>
                <w:rFonts w:ascii="Arial" w:cs="Arial" w:eastAsia="Arial" w:hAnsi="Arial"/>
                <w:sz w:val="20"/>
                <w:szCs w:val="20"/>
                <w:color w:val="auto"/>
                <w:w w:val="89"/>
              </w:rPr>
              <w:t>Metric 2 – Company’s TSR compared to the TSR for the companies listed in the Standard and</w:t>
            </w:r>
          </w:p>
        </w:tc>
        <w:tc>
          <w:tcPr>
            <w:tcW w:w="860" w:type="dxa"/>
            <w:vAlign w:val="bottom"/>
            <w:gridSpan w:val="3"/>
          </w:tcPr>
          <w:p>
            <w:pPr>
              <w:jc w:val="center"/>
              <w:ind w:left="101"/>
              <w:spacing w:after="0" w:line="213" w:lineRule="exact"/>
              <w:rPr>
                <w:sz w:val="20"/>
                <w:szCs w:val="20"/>
                <w:color w:val="auto"/>
              </w:rPr>
            </w:pPr>
            <w:r>
              <w:rPr>
                <w:rFonts w:ascii="Arial" w:cs="Arial" w:eastAsia="Arial" w:hAnsi="Arial"/>
                <w:sz w:val="20"/>
                <w:szCs w:val="20"/>
                <w:color w:val="auto"/>
                <w:w w:val="88"/>
              </w:rPr>
              <w:t>25.0%</w:t>
            </w:r>
          </w:p>
        </w:tc>
        <w:tc>
          <w:tcPr>
            <w:tcW w:w="780" w:type="dxa"/>
            <w:vAlign w:val="bottom"/>
          </w:tcPr>
          <w:p>
            <w:pPr>
              <w:ind w:left="160"/>
              <w:spacing w:after="0" w:line="213" w:lineRule="exact"/>
              <w:rPr>
                <w:sz w:val="20"/>
                <w:szCs w:val="20"/>
                <w:color w:val="auto"/>
              </w:rPr>
            </w:pPr>
            <w:r>
              <w:rPr>
                <w:rFonts w:ascii="Arial" w:cs="Arial" w:eastAsia="Arial" w:hAnsi="Arial"/>
                <w:sz w:val="20"/>
                <w:szCs w:val="20"/>
                <w:color w:val="auto"/>
                <w:w w:val="88"/>
              </w:rPr>
              <w:t>26.47%</w:t>
            </w:r>
          </w:p>
        </w:tc>
        <w:tc>
          <w:tcPr>
            <w:tcW w:w="180" w:type="dxa"/>
            <w:vAlign w:val="bottom"/>
          </w:tcPr>
          <w:p>
            <w:pPr>
              <w:spacing w:after="0"/>
              <w:rPr>
                <w:sz w:val="18"/>
                <w:szCs w:val="18"/>
                <w:color w:val="auto"/>
              </w:rPr>
            </w:pPr>
          </w:p>
        </w:tc>
        <w:tc>
          <w:tcPr>
            <w:tcW w:w="700" w:type="dxa"/>
            <w:vAlign w:val="bottom"/>
          </w:tcPr>
          <w:p>
            <w:pPr>
              <w:jc w:val="center"/>
              <w:spacing w:after="0" w:line="213" w:lineRule="exact"/>
              <w:rPr>
                <w:sz w:val="20"/>
                <w:szCs w:val="20"/>
                <w:color w:val="auto"/>
              </w:rPr>
            </w:pPr>
            <w:r>
              <w:rPr>
                <w:rFonts w:ascii="Arial" w:cs="Arial" w:eastAsia="Arial" w:hAnsi="Arial"/>
                <w:sz w:val="20"/>
                <w:szCs w:val="20"/>
                <w:color w:val="auto"/>
                <w:w w:val="88"/>
              </w:rPr>
              <w:t>27.5%</w:t>
            </w:r>
          </w:p>
        </w:tc>
        <w:tc>
          <w:tcPr>
            <w:tcW w:w="20" w:type="dxa"/>
            <w:vAlign w:val="bottom"/>
          </w:tcPr>
          <w:p>
            <w:pPr>
              <w:spacing w:after="0"/>
              <w:rPr>
                <w:sz w:val="18"/>
                <w:szCs w:val="18"/>
                <w:color w:val="auto"/>
              </w:rPr>
            </w:pPr>
          </w:p>
        </w:tc>
      </w:tr>
      <w:tr>
        <w:trPr>
          <w:trHeight w:val="246"/>
        </w:trPr>
        <w:tc>
          <w:tcPr>
            <w:tcW w:w="7140" w:type="dxa"/>
            <w:vAlign w:val="bottom"/>
          </w:tcPr>
          <w:p>
            <w:pPr>
              <w:ind w:left="120"/>
              <w:spacing w:after="0"/>
              <w:rPr>
                <w:sz w:val="20"/>
                <w:szCs w:val="20"/>
                <w:color w:val="auto"/>
              </w:rPr>
            </w:pPr>
            <w:r>
              <w:rPr>
                <w:rFonts w:ascii="Arial" w:cs="Arial" w:eastAsia="Arial" w:hAnsi="Arial"/>
                <w:sz w:val="20"/>
                <w:szCs w:val="20"/>
                <w:color w:val="auto"/>
              </w:rPr>
              <w:t>Poor’s Midcap Utilities Index (a market-based condition)</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3"/>
        </w:trPr>
        <w:tc>
          <w:tcPr>
            <w:tcW w:w="7140" w:type="dxa"/>
            <w:vAlign w:val="bottom"/>
            <w:shd w:val="clear" w:color="auto" w:fill="CCEEFF"/>
          </w:tcPr>
          <w:p>
            <w:pPr>
              <w:ind w:left="120"/>
              <w:spacing w:after="0" w:line="213" w:lineRule="exact"/>
              <w:rPr>
                <w:sz w:val="20"/>
                <w:szCs w:val="20"/>
                <w:color w:val="auto"/>
              </w:rPr>
            </w:pPr>
            <w:r>
              <w:rPr>
                <w:rFonts w:ascii="Arial" w:cs="Arial" w:eastAsia="Arial" w:hAnsi="Arial"/>
                <w:sz w:val="20"/>
                <w:szCs w:val="20"/>
                <w:color w:val="auto"/>
                <w:w w:val="90"/>
              </w:rPr>
              <w:t>Metric 3 – Achievement of a targeted cumulative level of rate base growth as a result of</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left="101"/>
              <w:spacing w:after="0" w:line="213" w:lineRule="exact"/>
              <w:rPr>
                <w:sz w:val="20"/>
                <w:szCs w:val="20"/>
                <w:color w:val="auto"/>
              </w:rPr>
            </w:pPr>
            <w:r>
              <w:rPr>
                <w:rFonts w:ascii="Arial" w:cs="Arial" w:eastAsia="Arial" w:hAnsi="Arial"/>
                <w:sz w:val="20"/>
                <w:szCs w:val="20"/>
                <w:color w:val="auto"/>
                <w:w w:val="88"/>
              </w:rPr>
              <w:t>25.0%</w:t>
            </w:r>
          </w:p>
        </w:tc>
        <w:tc>
          <w:tcPr>
            <w:tcW w:w="780" w:type="dxa"/>
            <w:vAlign w:val="bottom"/>
            <w:shd w:val="clear" w:color="auto" w:fill="CCEEFF"/>
          </w:tcPr>
          <w:p>
            <w:pPr>
              <w:ind w:left="160"/>
              <w:spacing w:after="0" w:line="213" w:lineRule="exact"/>
              <w:rPr>
                <w:sz w:val="20"/>
                <w:szCs w:val="20"/>
                <w:color w:val="auto"/>
              </w:rPr>
            </w:pPr>
            <w:r>
              <w:rPr>
                <w:rFonts w:ascii="Arial" w:cs="Arial" w:eastAsia="Arial" w:hAnsi="Arial"/>
                <w:sz w:val="20"/>
                <w:szCs w:val="20"/>
                <w:color w:val="auto"/>
                <w:w w:val="88"/>
              </w:rPr>
              <w:t>23.53%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line="213" w:lineRule="exact"/>
              <w:rPr>
                <w:sz w:val="20"/>
                <w:szCs w:val="20"/>
                <w:color w:val="auto"/>
              </w:rPr>
            </w:pPr>
            <w:r>
              <w:rPr>
                <w:rFonts w:ascii="Arial" w:cs="Arial" w:eastAsia="Arial" w:hAnsi="Arial"/>
                <w:sz w:val="20"/>
                <w:szCs w:val="20"/>
                <w:color w:val="auto"/>
                <w:w w:val="88"/>
              </w:rPr>
              <w:t>25.0%</w:t>
            </w:r>
          </w:p>
        </w:tc>
        <w:tc>
          <w:tcPr>
            <w:tcW w:w="20" w:type="dxa"/>
            <w:vAlign w:val="bottom"/>
          </w:tcPr>
          <w:p>
            <w:pPr>
              <w:spacing w:after="0"/>
              <w:rPr>
                <w:sz w:val="18"/>
                <w:szCs w:val="18"/>
                <w:color w:val="auto"/>
              </w:rPr>
            </w:pPr>
          </w:p>
        </w:tc>
      </w:tr>
      <w:tr>
        <w:trPr>
          <w:trHeight w:val="246"/>
        </w:trPr>
        <w:tc>
          <w:tcPr>
            <w:tcW w:w="7140" w:type="dxa"/>
            <w:vAlign w:val="bottom"/>
            <w:shd w:val="clear" w:color="auto" w:fill="CCEEFF"/>
          </w:tcPr>
          <w:p>
            <w:pPr>
              <w:ind w:left="120"/>
              <w:spacing w:after="0"/>
              <w:rPr>
                <w:sz w:val="20"/>
                <w:szCs w:val="20"/>
                <w:color w:val="auto"/>
              </w:rPr>
            </w:pPr>
            <w:r>
              <w:rPr>
                <w:rFonts w:ascii="Arial" w:cs="Arial" w:eastAsia="Arial" w:hAnsi="Arial"/>
                <w:sz w:val="20"/>
                <w:szCs w:val="20"/>
                <w:color w:val="auto"/>
              </w:rPr>
              <w:t>acquisitions (a performance-based condition)</w:t>
            </w: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3"/>
        </w:trPr>
        <w:tc>
          <w:tcPr>
            <w:tcW w:w="7600" w:type="dxa"/>
            <w:vAlign w:val="bottom"/>
            <w:gridSpan w:val="2"/>
          </w:tcPr>
          <w:p>
            <w:pPr>
              <w:ind w:left="120"/>
              <w:spacing w:after="0" w:line="213" w:lineRule="exact"/>
              <w:rPr>
                <w:sz w:val="20"/>
                <w:szCs w:val="20"/>
                <w:color w:val="auto"/>
              </w:rPr>
            </w:pPr>
            <w:r>
              <w:rPr>
                <w:rFonts w:ascii="Arial" w:cs="Arial" w:eastAsia="Arial" w:hAnsi="Arial"/>
                <w:sz w:val="20"/>
                <w:szCs w:val="20"/>
                <w:color w:val="auto"/>
                <w:w w:val="92"/>
              </w:rPr>
              <w:t>Metric 4 – Achievement of targets for maintaining consolidated operations and maintenance</w:t>
            </w:r>
          </w:p>
        </w:tc>
        <w:tc>
          <w:tcPr>
            <w:tcW w:w="860" w:type="dxa"/>
            <w:vAlign w:val="bottom"/>
            <w:gridSpan w:val="3"/>
          </w:tcPr>
          <w:p>
            <w:pPr>
              <w:jc w:val="center"/>
              <w:ind w:left="101"/>
              <w:spacing w:after="0" w:line="213" w:lineRule="exact"/>
              <w:rPr>
                <w:sz w:val="20"/>
                <w:szCs w:val="20"/>
                <w:color w:val="auto"/>
              </w:rPr>
            </w:pPr>
            <w:r>
              <w:rPr>
                <w:rFonts w:ascii="Arial" w:cs="Arial" w:eastAsia="Arial" w:hAnsi="Arial"/>
                <w:sz w:val="20"/>
                <w:szCs w:val="20"/>
                <w:color w:val="auto"/>
                <w:w w:val="88"/>
              </w:rPr>
              <w:t>25.0%</w:t>
            </w:r>
          </w:p>
        </w:tc>
        <w:tc>
          <w:tcPr>
            <w:tcW w:w="780" w:type="dxa"/>
            <w:vAlign w:val="bottom"/>
          </w:tcPr>
          <w:p>
            <w:pPr>
              <w:ind w:left="160"/>
              <w:spacing w:after="0" w:line="213" w:lineRule="exact"/>
              <w:rPr>
                <w:sz w:val="20"/>
                <w:szCs w:val="20"/>
                <w:color w:val="auto"/>
              </w:rPr>
            </w:pPr>
            <w:r>
              <w:rPr>
                <w:rFonts w:ascii="Arial" w:cs="Arial" w:eastAsia="Arial" w:hAnsi="Arial"/>
                <w:sz w:val="20"/>
                <w:szCs w:val="20"/>
                <w:color w:val="auto"/>
                <w:w w:val="88"/>
              </w:rPr>
              <w:t>23.53%</w:t>
            </w:r>
          </w:p>
        </w:tc>
        <w:tc>
          <w:tcPr>
            <w:tcW w:w="180" w:type="dxa"/>
            <w:vAlign w:val="bottom"/>
          </w:tcPr>
          <w:p>
            <w:pPr>
              <w:spacing w:after="0"/>
              <w:rPr>
                <w:sz w:val="18"/>
                <w:szCs w:val="18"/>
                <w:color w:val="auto"/>
              </w:rPr>
            </w:pPr>
          </w:p>
        </w:tc>
        <w:tc>
          <w:tcPr>
            <w:tcW w:w="700" w:type="dxa"/>
            <w:vAlign w:val="bottom"/>
          </w:tcPr>
          <w:p>
            <w:pPr>
              <w:jc w:val="center"/>
              <w:spacing w:after="0" w:line="213" w:lineRule="exact"/>
              <w:rPr>
                <w:sz w:val="20"/>
                <w:szCs w:val="20"/>
                <w:color w:val="auto"/>
              </w:rPr>
            </w:pPr>
            <w:r>
              <w:rPr>
                <w:rFonts w:ascii="Arial" w:cs="Arial" w:eastAsia="Arial" w:hAnsi="Arial"/>
                <w:sz w:val="20"/>
                <w:szCs w:val="20"/>
                <w:color w:val="auto"/>
                <w:w w:val="88"/>
              </w:rPr>
              <w:t>20.0%</w:t>
            </w:r>
          </w:p>
        </w:tc>
        <w:tc>
          <w:tcPr>
            <w:tcW w:w="20" w:type="dxa"/>
            <w:vAlign w:val="bottom"/>
          </w:tcPr>
          <w:p>
            <w:pPr>
              <w:spacing w:after="0"/>
              <w:rPr>
                <w:sz w:val="18"/>
                <w:szCs w:val="18"/>
                <w:color w:val="auto"/>
              </w:rPr>
            </w:pPr>
          </w:p>
        </w:tc>
      </w:tr>
      <w:tr>
        <w:trPr>
          <w:trHeight w:val="250"/>
        </w:trPr>
        <w:tc>
          <w:tcPr>
            <w:tcW w:w="7140" w:type="dxa"/>
            <w:vAlign w:val="bottom"/>
          </w:tcPr>
          <w:p>
            <w:pPr>
              <w:ind w:left="120"/>
              <w:spacing w:after="0"/>
              <w:rPr>
                <w:sz w:val="20"/>
                <w:szCs w:val="20"/>
                <w:color w:val="auto"/>
              </w:rPr>
            </w:pPr>
            <w:r>
              <w:rPr>
                <w:rFonts w:ascii="Arial" w:cs="Arial" w:eastAsia="Arial" w:hAnsi="Arial"/>
                <w:sz w:val="20"/>
                <w:szCs w:val="20"/>
                <w:color w:val="auto"/>
                <w:w w:val="94"/>
              </w:rPr>
              <w:t>expenses over the three year measurement period (a performance-based condition)</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999"/>
        </w:trPr>
        <w:tc>
          <w:tcPr>
            <w:tcW w:w="7140" w:type="dxa"/>
            <w:vAlign w:val="bottom"/>
          </w:tcPr>
          <w:p>
            <w:pPr>
              <w:spacing w:after="0"/>
              <w:rPr>
                <w:sz w:val="20"/>
                <w:szCs w:val="20"/>
                <w:color w:val="auto"/>
              </w:rPr>
            </w:pPr>
            <w:r>
              <w:rPr>
                <w:rFonts w:ascii="Arial" w:cs="Arial" w:eastAsia="Arial" w:hAnsi="Arial"/>
                <w:sz w:val="20"/>
                <w:szCs w:val="20"/>
                <w:color w:val="auto"/>
                <w:w w:val="90"/>
              </w:rPr>
              <w:t>The following table provides the compensation expense and income tax benefit for PSUs: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4"/>
        </w:trPr>
        <w:tc>
          <w:tcPr>
            <w:tcW w:w="7140" w:type="dxa"/>
            <w:vAlign w:val="bottom"/>
          </w:tcPr>
          <w:p>
            <w:pPr>
              <w:spacing w:after="0"/>
              <w:rPr>
                <w:sz w:val="24"/>
                <w:szCs w:val="24"/>
                <w:color w:val="auto"/>
              </w:rPr>
            </w:pPr>
          </w:p>
        </w:tc>
        <w:tc>
          <w:tcPr>
            <w:tcW w:w="2980" w:type="dxa"/>
            <w:vAlign w:val="bottom"/>
            <w:tcBorders>
              <w:bottom w:val="single" w:sz="8" w:color="auto"/>
            </w:tcBorders>
            <w:gridSpan w:val="7"/>
          </w:tcPr>
          <w:p>
            <w:pPr>
              <w:jc w:val="right"/>
              <w:ind w:right="341"/>
              <w:spacing w:after="0"/>
              <w:rPr>
                <w:sz w:val="20"/>
                <w:szCs w:val="20"/>
                <w:color w:val="auto"/>
              </w:rPr>
            </w:pPr>
            <w:r>
              <w:rPr>
                <w:rFonts w:ascii="Arial" w:cs="Arial" w:eastAsia="Arial" w:hAnsi="Arial"/>
                <w:sz w:val="20"/>
                <w:szCs w:val="20"/>
                <w:color w:val="auto"/>
              </w:rPr>
              <w:t>Years ended December 31,</w:t>
            </w:r>
          </w:p>
        </w:tc>
        <w:tc>
          <w:tcPr>
            <w:tcW w:w="20" w:type="dxa"/>
            <w:vAlign w:val="bottom"/>
          </w:tcPr>
          <w:p>
            <w:pPr>
              <w:spacing w:after="0"/>
              <w:rPr>
                <w:sz w:val="24"/>
                <w:szCs w:val="24"/>
                <w:color w:val="auto"/>
              </w:rPr>
            </w:pPr>
          </w:p>
        </w:tc>
      </w:tr>
      <w:tr>
        <w:trPr>
          <w:trHeight w:val="250"/>
        </w:trPr>
        <w:tc>
          <w:tcPr>
            <w:tcW w:w="714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2017</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
              <w:spacing w:after="0"/>
              <w:rPr>
                <w:sz w:val="20"/>
                <w:szCs w:val="20"/>
                <w:color w:val="auto"/>
              </w:rPr>
            </w:pPr>
            <w:r>
              <w:rPr>
                <w:rFonts w:ascii="Arial" w:cs="Arial" w:eastAsia="Arial" w:hAnsi="Arial"/>
                <w:sz w:val="20"/>
                <w:szCs w:val="20"/>
                <w:color w:val="auto"/>
                <w:w w:val="89"/>
              </w:rPr>
              <w:t>2016</w:t>
            </w:r>
          </w:p>
        </w:tc>
        <w:tc>
          <w:tcPr>
            <w:tcW w:w="20" w:type="dxa"/>
            <w:vAlign w:val="bottom"/>
          </w:tcPr>
          <w:p>
            <w:pPr>
              <w:spacing w:after="0"/>
              <w:rPr>
                <w:sz w:val="21"/>
                <w:szCs w:val="21"/>
                <w:color w:val="auto"/>
              </w:rPr>
            </w:pPr>
          </w:p>
        </w:tc>
      </w:tr>
      <w:tr>
        <w:trPr>
          <w:trHeight w:val="250"/>
        </w:trPr>
        <w:tc>
          <w:tcPr>
            <w:tcW w:w="7140" w:type="dxa"/>
            <w:vAlign w:val="bottom"/>
            <w:shd w:val="clear" w:color="auto" w:fill="CCEEFF"/>
          </w:tcPr>
          <w:p>
            <w:pPr>
              <w:spacing w:after="0"/>
              <w:rPr>
                <w:sz w:val="20"/>
                <w:szCs w:val="20"/>
                <w:color w:val="auto"/>
              </w:rPr>
            </w:pPr>
            <w:r>
              <w:rPr>
                <w:rFonts w:ascii="Arial" w:cs="Arial" w:eastAsia="Arial" w:hAnsi="Arial"/>
                <w:sz w:val="20"/>
                <w:szCs w:val="20"/>
                <w:color w:val="auto"/>
              </w:rPr>
              <w:t>Stock-based compensation within operations and maintenance expense</w:t>
            </w:r>
          </w:p>
        </w:tc>
        <w:tc>
          <w:tcPr>
            <w:tcW w:w="4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w w:val="95"/>
              </w:rPr>
              <w:t>4,817</w:t>
            </w: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4,351</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3,823</w:t>
            </w:r>
          </w:p>
        </w:tc>
        <w:tc>
          <w:tcPr>
            <w:tcW w:w="20" w:type="dxa"/>
            <w:vAlign w:val="bottom"/>
          </w:tcPr>
          <w:p>
            <w:pPr>
              <w:spacing w:after="0"/>
              <w:rPr>
                <w:sz w:val="21"/>
                <w:szCs w:val="21"/>
                <w:color w:val="auto"/>
              </w:rPr>
            </w:pPr>
          </w:p>
        </w:tc>
      </w:tr>
      <w:tr>
        <w:trPr>
          <w:trHeight w:val="274"/>
        </w:trPr>
        <w:tc>
          <w:tcPr>
            <w:tcW w:w="7140" w:type="dxa"/>
            <w:vAlign w:val="bottom"/>
          </w:tcPr>
          <w:p>
            <w:pPr>
              <w:spacing w:after="0"/>
              <w:rPr>
                <w:sz w:val="20"/>
                <w:szCs w:val="20"/>
                <w:color w:val="auto"/>
              </w:rPr>
            </w:pPr>
            <w:r>
              <w:rPr>
                <w:rFonts w:ascii="Arial" w:cs="Arial" w:eastAsia="Arial" w:hAnsi="Arial"/>
                <w:sz w:val="20"/>
                <w:szCs w:val="20"/>
                <w:color w:val="auto"/>
              </w:rPr>
              <w:t>Income tax benefit</w:t>
            </w:r>
          </w:p>
        </w:tc>
        <w:tc>
          <w:tcPr>
            <w:tcW w:w="46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20"/>
                <w:szCs w:val="20"/>
                <w:color w:val="auto"/>
                <w:w w:val="95"/>
              </w:rPr>
              <w:t>1,344</w:t>
            </w:r>
          </w:p>
        </w:tc>
        <w:tc>
          <w:tcPr>
            <w:tcW w:w="28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20"/>
                <w:szCs w:val="20"/>
                <w:color w:val="auto"/>
              </w:rPr>
              <w:t>1,766</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1,552</w:t>
            </w:r>
          </w:p>
        </w:tc>
        <w:tc>
          <w:tcPr>
            <w:tcW w:w="20" w:type="dxa"/>
            <w:vAlign w:val="bottom"/>
          </w:tcPr>
          <w:p>
            <w:pPr>
              <w:spacing w:after="0"/>
              <w:rPr>
                <w:sz w:val="23"/>
                <w:szCs w:val="23"/>
                <w:color w:val="auto"/>
              </w:rPr>
            </w:pPr>
          </w:p>
        </w:tc>
      </w:tr>
      <w:tr>
        <w:trPr>
          <w:trHeight w:val="874"/>
        </w:trPr>
        <w:tc>
          <w:tcPr>
            <w:tcW w:w="7140" w:type="dxa"/>
            <w:vAlign w:val="bottom"/>
          </w:tcPr>
          <w:p>
            <w:pPr>
              <w:ind w:left="496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7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71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nonvested PSU transactions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20"/>
                <w:szCs w:val="20"/>
                <w:color w:val="auto"/>
                <w:w w:val="87"/>
              </w:rPr>
              <w:t>Weighted</w:t>
            </w:r>
          </w:p>
        </w:tc>
      </w:tr>
      <w:tr>
        <w:trPr>
          <w:trHeight w:val="230"/>
        </w:trPr>
        <w:tc>
          <w:tcPr>
            <w:tcW w:w="73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20"/>
                <w:szCs w:val="20"/>
                <w:color w:val="auto"/>
              </w:rPr>
              <w:t>Number of</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20"/>
                <w:szCs w:val="20"/>
                <w:color w:val="auto"/>
                <w:w w:val="89"/>
              </w:rPr>
              <w:t>Average Fair</w:t>
            </w:r>
          </w:p>
        </w:tc>
      </w:tr>
      <w:tr>
        <w:trPr>
          <w:trHeight w:val="246"/>
        </w:trPr>
        <w:tc>
          <w:tcPr>
            <w:tcW w:w="734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20"/>
                <w:szCs w:val="20"/>
                <w:color w:val="auto"/>
              </w:rPr>
              <w:t>Share Units</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Value</w:t>
            </w:r>
          </w:p>
        </w:tc>
      </w:tr>
      <w:tr>
        <w:trPr>
          <w:trHeight w:val="250"/>
        </w:trPr>
        <w:tc>
          <w:tcPr>
            <w:tcW w:w="7340" w:type="dxa"/>
            <w:vAlign w:val="bottom"/>
            <w:shd w:val="clear" w:color="auto" w:fill="CCEEFF"/>
          </w:tcPr>
          <w:p>
            <w:pPr>
              <w:spacing w:after="0"/>
              <w:rPr>
                <w:sz w:val="20"/>
                <w:szCs w:val="20"/>
                <w:color w:val="auto"/>
              </w:rPr>
            </w:pPr>
            <w:r>
              <w:rPr>
                <w:rFonts w:ascii="Arial" w:cs="Arial" w:eastAsia="Arial" w:hAnsi="Arial"/>
                <w:sz w:val="20"/>
                <w:szCs w:val="20"/>
                <w:color w:val="auto"/>
              </w:rPr>
              <w:t>Nonvested share units at beginning of period</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452,333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26.16</w:t>
            </w:r>
          </w:p>
        </w:tc>
      </w:tr>
      <w:tr>
        <w:trPr>
          <w:trHeight w:val="270"/>
        </w:trPr>
        <w:tc>
          <w:tcPr>
            <w:tcW w:w="7340" w:type="dxa"/>
            <w:vAlign w:val="bottom"/>
          </w:tcPr>
          <w:p>
            <w:pPr>
              <w:ind w:left="100"/>
              <w:spacing w:after="0"/>
              <w:rPr>
                <w:sz w:val="20"/>
                <w:szCs w:val="20"/>
                <w:color w:val="auto"/>
              </w:rPr>
            </w:pPr>
            <w:r>
              <w:rPr>
                <w:rFonts w:ascii="Arial" w:cs="Arial" w:eastAsia="Arial" w:hAnsi="Arial"/>
                <w:sz w:val="20"/>
                <w:szCs w:val="20"/>
                <w:color w:val="auto"/>
              </w:rPr>
              <w:t>Granted</w:t>
            </w:r>
          </w:p>
        </w:tc>
        <w:tc>
          <w:tcPr>
            <w:tcW w:w="1280" w:type="dxa"/>
            <w:vAlign w:val="bottom"/>
          </w:tcPr>
          <w:p>
            <w:pPr>
              <w:jc w:val="right"/>
              <w:spacing w:after="0"/>
              <w:rPr>
                <w:sz w:val="20"/>
                <w:szCs w:val="20"/>
                <w:color w:val="auto"/>
              </w:rPr>
            </w:pPr>
            <w:r>
              <w:rPr>
                <w:rFonts w:ascii="Arial" w:cs="Arial" w:eastAsia="Arial" w:hAnsi="Arial"/>
                <w:sz w:val="20"/>
                <w:szCs w:val="20"/>
                <w:color w:val="auto"/>
              </w:rPr>
              <w:t>93,339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37.42</w:t>
            </w:r>
          </w:p>
        </w:tc>
      </w:tr>
      <w:tr>
        <w:trPr>
          <w:trHeight w:val="270"/>
        </w:trPr>
        <w:tc>
          <w:tcPr>
            <w:tcW w:w="73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Performance criteria adjustment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44,821</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32.52</w:t>
            </w:r>
          </w:p>
        </w:tc>
      </w:tr>
      <w:tr>
        <w:trPr>
          <w:trHeight w:val="270"/>
        </w:trPr>
        <w:tc>
          <w:tcPr>
            <w:tcW w:w="7340" w:type="dxa"/>
            <w:vAlign w:val="bottom"/>
          </w:tcPr>
          <w:p>
            <w:pPr>
              <w:ind w:left="100"/>
              <w:spacing w:after="0"/>
              <w:rPr>
                <w:sz w:val="20"/>
                <w:szCs w:val="20"/>
                <w:color w:val="auto"/>
              </w:rPr>
            </w:pPr>
            <w:r>
              <w:rPr>
                <w:rFonts w:ascii="Arial" w:cs="Arial" w:eastAsia="Arial" w:hAnsi="Arial"/>
                <w:sz w:val="20"/>
                <w:szCs w:val="20"/>
                <w:color w:val="auto"/>
              </w:rPr>
              <w:t>Forfeited</w:t>
            </w: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(20,402)</w:t>
            </w: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32.31</w:t>
            </w:r>
          </w:p>
        </w:tc>
      </w:tr>
      <w:tr>
        <w:trPr>
          <w:trHeight w:val="270"/>
        </w:trPr>
        <w:tc>
          <w:tcPr>
            <w:tcW w:w="73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Share units vested in prior period and issued in current period</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9,400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26.54</w:t>
            </w:r>
          </w:p>
        </w:tc>
      </w:tr>
      <w:tr>
        <w:trPr>
          <w:trHeight w:val="270"/>
        </w:trPr>
        <w:tc>
          <w:tcPr>
            <w:tcW w:w="7340" w:type="dxa"/>
            <w:vAlign w:val="bottom"/>
          </w:tcPr>
          <w:p>
            <w:pPr>
              <w:ind w:left="100"/>
              <w:spacing w:after="0"/>
              <w:rPr>
                <w:sz w:val="20"/>
                <w:szCs w:val="20"/>
                <w:color w:val="auto"/>
              </w:rPr>
            </w:pPr>
            <w:r>
              <w:rPr>
                <w:rFonts w:ascii="Arial" w:cs="Arial" w:eastAsia="Arial" w:hAnsi="Arial"/>
                <w:sz w:val="20"/>
                <w:szCs w:val="20"/>
                <w:color w:val="auto"/>
              </w:rPr>
              <w:t>Share units issued</w:t>
            </w: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(136,081)</w:t>
            </w: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31.70</w:t>
            </w:r>
          </w:p>
        </w:tc>
      </w:tr>
      <w:tr>
        <w:trPr>
          <w:trHeight w:val="244"/>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Nonvested share units at end of period</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443,410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27.20</w:t>
            </w:r>
          </w:p>
        </w:tc>
      </w:tr>
    </w:tbl>
    <w:p>
      <w:pPr>
        <w:spacing w:after="0" w:line="294"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A portion of the fair value of PSUs was estimated at the grant date based on the probability of satisfying the market-based conditions associated with the PSUs using the Monte Carlo valuation method, which assesses the probabilities of various outcomes of market conditions. The other portion of the fair value of the PSUs associated with performance-based conditions was based on the fair market value of the Company’s stock at the grant date, regardless of whether the market-based condition is satisfied. The fair value of each PSU grant is amortized into compensation expense on a straight-line basis over their respective vesting periods, generally 36 months. The accrual of compensation costs is based on an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 The following table provides the assumptions used in the pricing model for the grant, the resulting grant date fair value of PSUs, and the intrinsic value and fair value of PSUs that vested during the year:</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0" w:type="dxa"/>
            <w:vAlign w:val="bottom"/>
            <w:gridSpan w:val="4"/>
          </w:tcPr>
          <w:p>
            <w:pPr>
              <w:jc w:val="right"/>
              <w:ind w:right="21"/>
              <w:spacing w:after="0"/>
              <w:rPr>
                <w:sz w:val="20"/>
                <w:szCs w:val="20"/>
                <w:color w:val="auto"/>
              </w:rPr>
            </w:pPr>
            <w:r>
              <w:rPr>
                <w:rFonts w:ascii="Arial" w:cs="Arial" w:eastAsia="Arial" w:hAnsi="Arial"/>
                <w:sz w:val="20"/>
                <w:szCs w:val="20"/>
                <w:color w:val="auto"/>
              </w:rPr>
              <w:t>Years ended December 31,</w:t>
            </w:r>
          </w:p>
        </w:tc>
        <w:tc>
          <w:tcPr>
            <w:tcW w:w="920" w:type="dxa"/>
            <w:vAlign w:val="bottom"/>
          </w:tcPr>
          <w:p>
            <w:pPr>
              <w:spacing w:after="0"/>
              <w:rPr>
                <w:sz w:val="21"/>
                <w:szCs w:val="21"/>
                <w:color w:val="auto"/>
              </w:rPr>
            </w:pPr>
          </w:p>
        </w:tc>
      </w:tr>
      <w:tr>
        <w:trPr>
          <w:trHeight w:val="23"/>
        </w:trPr>
        <w:tc>
          <w:tcPr>
            <w:tcW w:w="5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9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2018</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2017</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2016</w:t>
            </w:r>
          </w:p>
        </w:tc>
      </w:tr>
      <w:tr>
        <w:trPr>
          <w:trHeight w:val="250"/>
        </w:trPr>
        <w:tc>
          <w:tcPr>
            <w:tcW w:w="5940" w:type="dxa"/>
            <w:vAlign w:val="bottom"/>
            <w:shd w:val="clear" w:color="auto" w:fill="CCEEFF"/>
          </w:tcPr>
          <w:p>
            <w:pPr>
              <w:spacing w:after="0"/>
              <w:rPr>
                <w:sz w:val="20"/>
                <w:szCs w:val="20"/>
                <w:color w:val="auto"/>
              </w:rPr>
            </w:pPr>
            <w:r>
              <w:rPr>
                <w:rFonts w:ascii="Arial" w:cs="Arial" w:eastAsia="Arial" w:hAnsi="Arial"/>
                <w:sz w:val="20"/>
                <w:szCs w:val="20"/>
                <w:color w:val="auto"/>
              </w:rPr>
              <w:t>Expected term (years)</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3.0</w:t>
            </w: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3.0</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w:t>
            </w:r>
          </w:p>
        </w:tc>
      </w:tr>
      <w:tr>
        <w:trPr>
          <w:trHeight w:val="270"/>
        </w:trPr>
        <w:tc>
          <w:tcPr>
            <w:tcW w:w="5940" w:type="dxa"/>
            <w:vAlign w:val="bottom"/>
          </w:tcPr>
          <w:p>
            <w:pPr>
              <w:spacing w:after="0"/>
              <w:rPr>
                <w:sz w:val="20"/>
                <w:szCs w:val="20"/>
                <w:color w:val="auto"/>
              </w:rPr>
            </w:pPr>
            <w:r>
              <w:rPr>
                <w:rFonts w:ascii="Arial" w:cs="Arial" w:eastAsia="Arial" w:hAnsi="Arial"/>
                <w:sz w:val="20"/>
                <w:szCs w:val="20"/>
                <w:color w:val="auto"/>
              </w:rPr>
              <w:t>Risk-free interest rate</w:t>
            </w:r>
          </w:p>
        </w:tc>
        <w:tc>
          <w:tcPr>
            <w:tcW w:w="4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2.43%</w:t>
            </w:r>
          </w:p>
        </w:tc>
        <w:tc>
          <w:tcPr>
            <w:tcW w:w="38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1.49%</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0.91%</w:t>
            </w:r>
          </w:p>
        </w:tc>
      </w:tr>
      <w:tr>
        <w:trPr>
          <w:trHeight w:val="270"/>
        </w:trPr>
        <w:tc>
          <w:tcPr>
            <w:tcW w:w="5940" w:type="dxa"/>
            <w:vAlign w:val="bottom"/>
            <w:shd w:val="clear" w:color="auto" w:fill="CCEEFF"/>
          </w:tcPr>
          <w:p>
            <w:pPr>
              <w:spacing w:after="0"/>
              <w:rPr>
                <w:sz w:val="20"/>
                <w:szCs w:val="20"/>
                <w:color w:val="auto"/>
              </w:rPr>
            </w:pPr>
            <w:r>
              <w:rPr>
                <w:rFonts w:ascii="Arial" w:cs="Arial" w:eastAsia="Arial" w:hAnsi="Arial"/>
                <w:sz w:val="20"/>
                <w:szCs w:val="20"/>
                <w:color w:val="auto"/>
              </w:rPr>
              <w:t>Expected volatility</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17.2%</w:t>
            </w: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17.9%</w:t>
            </w: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17.9%</w:t>
            </w:r>
          </w:p>
        </w:tc>
      </w:tr>
      <w:tr>
        <w:trPr>
          <w:trHeight w:val="270"/>
        </w:trPr>
        <w:tc>
          <w:tcPr>
            <w:tcW w:w="5940" w:type="dxa"/>
            <w:vAlign w:val="bottom"/>
          </w:tcPr>
          <w:p>
            <w:pPr>
              <w:spacing w:after="0"/>
              <w:rPr>
                <w:sz w:val="20"/>
                <w:szCs w:val="20"/>
                <w:color w:val="auto"/>
              </w:rPr>
            </w:pPr>
            <w:r>
              <w:rPr>
                <w:rFonts w:ascii="Arial" w:cs="Arial" w:eastAsia="Arial" w:hAnsi="Arial"/>
                <w:sz w:val="20"/>
                <w:szCs w:val="20"/>
                <w:color w:val="auto"/>
              </w:rPr>
              <w:t>Weighted average fair value of PSUs granted</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37.42</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30.79</w:t>
            </w:r>
          </w:p>
        </w:tc>
        <w:tc>
          <w:tcPr>
            <w:tcW w:w="5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28.89</w:t>
            </w:r>
          </w:p>
        </w:tc>
      </w:tr>
      <w:tr>
        <w:trPr>
          <w:trHeight w:val="270"/>
        </w:trPr>
        <w:tc>
          <w:tcPr>
            <w:tcW w:w="5940" w:type="dxa"/>
            <w:vAlign w:val="bottom"/>
            <w:shd w:val="clear" w:color="auto" w:fill="CCEEFF"/>
          </w:tcPr>
          <w:p>
            <w:pPr>
              <w:spacing w:after="0"/>
              <w:rPr>
                <w:sz w:val="20"/>
                <w:szCs w:val="20"/>
                <w:color w:val="auto"/>
              </w:rPr>
            </w:pPr>
            <w:r>
              <w:rPr>
                <w:rFonts w:ascii="Arial" w:cs="Arial" w:eastAsia="Arial" w:hAnsi="Arial"/>
                <w:sz w:val="20"/>
                <w:szCs w:val="20"/>
                <w:color w:val="auto"/>
              </w:rPr>
              <w:t>Intrinsic value of vested PSUs</w:t>
            </w:r>
          </w:p>
        </w:tc>
        <w:tc>
          <w:tcPr>
            <w:tcW w:w="4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4,704</w:t>
            </w: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3,926</w:t>
            </w:r>
          </w:p>
        </w:tc>
        <w:tc>
          <w:tcPr>
            <w:tcW w:w="54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5,912</w:t>
            </w:r>
          </w:p>
        </w:tc>
      </w:tr>
      <w:tr>
        <w:trPr>
          <w:trHeight w:val="274"/>
        </w:trPr>
        <w:tc>
          <w:tcPr>
            <w:tcW w:w="5940" w:type="dxa"/>
            <w:vAlign w:val="bottom"/>
          </w:tcPr>
          <w:p>
            <w:pPr>
              <w:spacing w:after="0"/>
              <w:rPr>
                <w:sz w:val="20"/>
                <w:szCs w:val="20"/>
                <w:color w:val="auto"/>
              </w:rPr>
            </w:pPr>
            <w:r>
              <w:rPr>
                <w:rFonts w:ascii="Arial" w:cs="Arial" w:eastAsia="Arial" w:hAnsi="Arial"/>
                <w:sz w:val="20"/>
                <w:szCs w:val="20"/>
                <w:color w:val="auto"/>
              </w:rPr>
              <w:t>Fair value of vested PSUs</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3,613</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3,207</w:t>
            </w:r>
          </w:p>
        </w:tc>
        <w:tc>
          <w:tcPr>
            <w:tcW w:w="5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5,104</w:t>
            </w:r>
          </w:p>
        </w:tc>
      </w:tr>
    </w:tbl>
    <w:p>
      <w:pPr>
        <w:spacing w:after="0" w:line="209"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As of December 31, 2018, $5,350 of unrecognized compensation costs related to PSUs is expected to be recognized over a weighted average period of approximately 1.8 years. The aggregate intrinsic value of PSUs as of December 31, 2018 was $15,160. The aggregate intrinsic value of PSUs is based on the number of nonvested share units and the market value of the Company’s common stock as of the period end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b w:val="1"/>
          <w:bCs w:val="1"/>
          <w:i w:val="1"/>
          <w:iCs w:val="1"/>
          <w:color w:val="auto"/>
        </w:rPr>
        <w:t xml:space="preserve">Restricted Stock Units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restricted stock unit (“RSU”) represents the right to receive a share of the Company’s common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stock and is valued based on the fair market value of the Company’s stock on the date of grant. RSUs are eligible to be earned at the end of a specified restricted period, generally three years, beginning on the date of grant. In some cases, the right to receive the shares is subject to specific performance goals established at the time the grant is made.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40" w:type="dxa"/>
            <w:vAlign w:val="bottom"/>
          </w:tcPr>
          <w:p>
            <w:pPr>
              <w:spacing w:after="0"/>
              <w:rPr>
                <w:sz w:val="21"/>
                <w:szCs w:val="21"/>
                <w:color w:val="auto"/>
              </w:rPr>
            </w:pPr>
          </w:p>
        </w:tc>
        <w:tc>
          <w:tcPr>
            <w:tcW w:w="2980" w:type="dxa"/>
            <w:vAlign w:val="bottom"/>
            <w:tcBorders>
              <w:bottom w:val="single" w:sz="8" w:color="auto"/>
            </w:tcBorders>
            <w:gridSpan w:val="5"/>
          </w:tcPr>
          <w:p>
            <w:pPr>
              <w:jc w:val="right"/>
              <w:ind w:right="341"/>
              <w:spacing w:after="0"/>
              <w:rPr>
                <w:sz w:val="20"/>
                <w:szCs w:val="20"/>
                <w:color w:val="auto"/>
              </w:rPr>
            </w:pPr>
            <w:r>
              <w:rPr>
                <w:rFonts w:ascii="Arial" w:cs="Arial" w:eastAsia="Arial" w:hAnsi="Arial"/>
                <w:sz w:val="20"/>
                <w:szCs w:val="20"/>
                <w:color w:val="auto"/>
              </w:rPr>
              <w:t>Years ended December 31,</w:t>
            </w:r>
          </w:p>
        </w:tc>
      </w:tr>
      <w:tr>
        <w:trPr>
          <w:trHeight w:val="250"/>
        </w:trPr>
        <w:tc>
          <w:tcPr>
            <w:tcW w:w="714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2018</w:t>
            </w: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2017</w:t>
            </w: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2016</w:t>
            </w:r>
          </w:p>
        </w:tc>
      </w:tr>
      <w:tr>
        <w:trPr>
          <w:trHeight w:val="250"/>
        </w:trPr>
        <w:tc>
          <w:tcPr>
            <w:tcW w:w="7140" w:type="dxa"/>
            <w:vAlign w:val="bottom"/>
            <w:shd w:val="clear" w:color="auto" w:fill="CCEEFF"/>
          </w:tcPr>
          <w:p>
            <w:pPr>
              <w:spacing w:after="0"/>
              <w:rPr>
                <w:sz w:val="20"/>
                <w:szCs w:val="20"/>
                <w:color w:val="auto"/>
              </w:rPr>
            </w:pPr>
            <w:r>
              <w:rPr>
                <w:rFonts w:ascii="Arial" w:cs="Arial" w:eastAsia="Arial" w:hAnsi="Arial"/>
                <w:sz w:val="20"/>
                <w:szCs w:val="20"/>
                <w:color w:val="auto"/>
              </w:rPr>
              <w:t>Stock-based compensation within operations and maintenance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1,605</w:t>
            </w:r>
          </w:p>
        </w:tc>
        <w:tc>
          <w:tcPr>
            <w:tcW w:w="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1,183</w:t>
            </w: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1,061</w:t>
            </w:r>
          </w:p>
        </w:tc>
      </w:tr>
      <w:tr>
        <w:trPr>
          <w:trHeight w:val="274"/>
        </w:trPr>
        <w:tc>
          <w:tcPr>
            <w:tcW w:w="7140" w:type="dxa"/>
            <w:vAlign w:val="bottom"/>
          </w:tcPr>
          <w:p>
            <w:pPr>
              <w:spacing w:after="0"/>
              <w:rPr>
                <w:sz w:val="20"/>
                <w:szCs w:val="20"/>
                <w:color w:val="auto"/>
              </w:rPr>
            </w:pPr>
            <w:r>
              <w:rPr>
                <w:rFonts w:ascii="Arial" w:cs="Arial" w:eastAsia="Arial" w:hAnsi="Arial"/>
                <w:sz w:val="20"/>
                <w:szCs w:val="20"/>
                <w:color w:val="auto"/>
              </w:rPr>
              <w:t>Income tax benefit</w:t>
            </w:r>
          </w:p>
        </w:tc>
        <w:tc>
          <w:tcPr>
            <w:tcW w:w="1040" w:type="dxa"/>
            <w:vAlign w:val="bottom"/>
          </w:tcPr>
          <w:p>
            <w:pPr>
              <w:jc w:val="right"/>
              <w:spacing w:after="0"/>
              <w:rPr>
                <w:sz w:val="20"/>
                <w:szCs w:val="20"/>
                <w:color w:val="auto"/>
              </w:rPr>
            </w:pPr>
            <w:r>
              <w:rPr>
                <w:rFonts w:ascii="Arial" w:cs="Arial" w:eastAsia="Arial" w:hAnsi="Arial"/>
                <w:sz w:val="20"/>
                <w:szCs w:val="20"/>
                <w:color w:val="auto"/>
              </w:rPr>
              <w:t>456</w:t>
            </w: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489</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438</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nonvested RSU transactions for the year ended December 31,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20"/>
                <w:szCs w:val="20"/>
                <w:color w:val="auto"/>
                <w:w w:val="89"/>
              </w:rPr>
              <w:t>Weighted</w:t>
            </w:r>
          </w:p>
        </w:tc>
      </w:tr>
      <w:tr>
        <w:trPr>
          <w:trHeight w:val="230"/>
        </w:trPr>
        <w:tc>
          <w:tcPr>
            <w:tcW w:w="5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20"/>
                <w:szCs w:val="20"/>
                <w:color w:val="auto"/>
              </w:rPr>
              <w:t>Number of</w:t>
            </w:r>
          </w:p>
        </w:tc>
        <w:tc>
          <w:tcPr>
            <w:tcW w:w="24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20"/>
                <w:szCs w:val="20"/>
                <w:color w:val="auto"/>
                <w:w w:val="89"/>
              </w:rPr>
              <w:t>Average Fair</w:t>
            </w:r>
          </w:p>
        </w:tc>
      </w:tr>
      <w:tr>
        <w:trPr>
          <w:trHeight w:val="246"/>
        </w:trPr>
        <w:tc>
          <w:tcPr>
            <w:tcW w:w="57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20"/>
                <w:szCs w:val="20"/>
                <w:color w:val="auto"/>
              </w:rPr>
              <w:t>Stock Units</w:t>
            </w: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61"/>
              <w:spacing w:after="0"/>
              <w:rPr>
                <w:sz w:val="20"/>
                <w:szCs w:val="20"/>
                <w:color w:val="auto"/>
              </w:rPr>
            </w:pPr>
            <w:r>
              <w:rPr>
                <w:rFonts w:ascii="Arial" w:cs="Arial" w:eastAsia="Arial" w:hAnsi="Arial"/>
                <w:sz w:val="20"/>
                <w:szCs w:val="20"/>
                <w:color w:val="auto"/>
                <w:w w:val="85"/>
              </w:rPr>
              <w:t>Value</w:t>
            </w:r>
          </w:p>
        </w:tc>
      </w:tr>
      <w:tr>
        <w:trPr>
          <w:trHeight w:val="250"/>
        </w:trPr>
        <w:tc>
          <w:tcPr>
            <w:tcW w:w="5780" w:type="dxa"/>
            <w:vAlign w:val="bottom"/>
            <w:shd w:val="clear" w:color="auto" w:fill="CCEEFF"/>
          </w:tcPr>
          <w:p>
            <w:pPr>
              <w:spacing w:after="0"/>
              <w:rPr>
                <w:sz w:val="20"/>
                <w:szCs w:val="20"/>
                <w:color w:val="auto"/>
              </w:rPr>
            </w:pPr>
            <w:r>
              <w:rPr>
                <w:rFonts w:ascii="Arial" w:cs="Arial" w:eastAsia="Arial" w:hAnsi="Arial"/>
                <w:sz w:val="20"/>
                <w:szCs w:val="20"/>
                <w:color w:val="auto"/>
              </w:rPr>
              <w:t>Nonvested stock units at beginning of period</w:t>
            </w:r>
          </w:p>
        </w:tc>
        <w:tc>
          <w:tcPr>
            <w:tcW w:w="1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116,787</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29.46</w:t>
            </w:r>
          </w:p>
        </w:tc>
      </w:tr>
      <w:tr>
        <w:trPr>
          <w:trHeight w:val="270"/>
        </w:trPr>
        <w:tc>
          <w:tcPr>
            <w:tcW w:w="5780" w:type="dxa"/>
            <w:vAlign w:val="bottom"/>
          </w:tcPr>
          <w:p>
            <w:pPr>
              <w:ind w:left="100"/>
              <w:spacing w:after="0"/>
              <w:rPr>
                <w:sz w:val="20"/>
                <w:szCs w:val="20"/>
                <w:color w:val="auto"/>
              </w:rPr>
            </w:pPr>
            <w:r>
              <w:rPr>
                <w:rFonts w:ascii="Arial" w:cs="Arial" w:eastAsia="Arial" w:hAnsi="Arial"/>
                <w:sz w:val="20"/>
                <w:szCs w:val="20"/>
                <w:color w:val="auto"/>
              </w:rPr>
              <w:t>Granted</w:t>
            </w:r>
          </w:p>
        </w:tc>
        <w:tc>
          <w:tcPr>
            <w:tcW w:w="1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68,082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35.15</w:t>
            </w:r>
          </w:p>
        </w:tc>
      </w:tr>
      <w:tr>
        <w:trPr>
          <w:trHeight w:val="270"/>
        </w:trPr>
        <w:tc>
          <w:tcPr>
            <w:tcW w:w="5780" w:type="dxa"/>
            <w:vAlign w:val="bottom"/>
            <w:shd w:val="clear" w:color="auto" w:fill="CCEEFF"/>
          </w:tcPr>
          <w:p>
            <w:pPr>
              <w:ind w:left="100"/>
              <w:spacing w:after="0"/>
              <w:rPr>
                <w:sz w:val="20"/>
                <w:szCs w:val="20"/>
                <w:color w:val="auto"/>
              </w:rPr>
            </w:pPr>
            <w:r>
              <w:rPr>
                <w:rFonts w:ascii="Arial" w:cs="Arial" w:eastAsia="Arial" w:hAnsi="Arial"/>
                <w:sz w:val="20"/>
                <w:szCs w:val="20"/>
                <w:color w:val="auto"/>
              </w:rPr>
              <w:t>Stock units vested in prior period and issued in current period</w:t>
            </w:r>
          </w:p>
        </w:tc>
        <w:tc>
          <w:tcPr>
            <w:tcW w:w="1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1,467</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31.47</w:t>
            </w:r>
          </w:p>
        </w:tc>
      </w:tr>
      <w:tr>
        <w:trPr>
          <w:trHeight w:val="270"/>
        </w:trPr>
        <w:tc>
          <w:tcPr>
            <w:tcW w:w="5780" w:type="dxa"/>
            <w:vAlign w:val="bottom"/>
          </w:tcPr>
          <w:p>
            <w:pPr>
              <w:ind w:left="100"/>
              <w:spacing w:after="0"/>
              <w:rPr>
                <w:sz w:val="20"/>
                <w:szCs w:val="20"/>
                <w:color w:val="auto"/>
              </w:rPr>
            </w:pPr>
            <w:r>
              <w:rPr>
                <w:rFonts w:ascii="Arial" w:cs="Arial" w:eastAsia="Arial" w:hAnsi="Arial"/>
                <w:sz w:val="20"/>
                <w:szCs w:val="20"/>
                <w:color w:val="auto"/>
              </w:rPr>
              <w:t>Stock units vested and issued</w:t>
            </w:r>
          </w:p>
        </w:tc>
        <w:tc>
          <w:tcPr>
            <w:tcW w:w="1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(48,311)</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27.06</w:t>
            </w:r>
          </w:p>
        </w:tc>
      </w:tr>
      <w:tr>
        <w:trPr>
          <w:trHeight w:val="270"/>
        </w:trPr>
        <w:tc>
          <w:tcPr>
            <w:tcW w:w="5780" w:type="dxa"/>
            <w:vAlign w:val="bottom"/>
            <w:shd w:val="clear" w:color="auto" w:fill="CCEEFF"/>
          </w:tcPr>
          <w:p>
            <w:pPr>
              <w:ind w:left="100"/>
              <w:spacing w:after="0"/>
              <w:rPr>
                <w:sz w:val="20"/>
                <w:szCs w:val="20"/>
                <w:color w:val="auto"/>
              </w:rPr>
            </w:pPr>
            <w:r>
              <w:rPr>
                <w:rFonts w:ascii="Arial" w:cs="Arial" w:eastAsia="Arial" w:hAnsi="Arial"/>
                <w:sz w:val="20"/>
                <w:szCs w:val="20"/>
                <w:color w:val="auto"/>
              </w:rPr>
              <w:t>Forfeited</w:t>
            </w:r>
          </w:p>
        </w:tc>
        <w:tc>
          <w:tcPr>
            <w:tcW w:w="1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(7,940)</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33.05</w:t>
            </w:r>
          </w:p>
        </w:tc>
      </w:tr>
      <w:tr>
        <w:trPr>
          <w:trHeight w:val="244"/>
        </w:trPr>
        <w:tc>
          <w:tcPr>
            <w:tcW w:w="5780" w:type="dxa"/>
            <w:vAlign w:val="bottom"/>
          </w:tcPr>
          <w:p>
            <w:pPr>
              <w:spacing w:after="0"/>
              <w:rPr>
                <w:sz w:val="20"/>
                <w:szCs w:val="20"/>
                <w:color w:val="auto"/>
              </w:rPr>
            </w:pPr>
            <w:r>
              <w:rPr>
                <w:rFonts w:ascii="Arial" w:cs="Arial" w:eastAsia="Arial" w:hAnsi="Arial"/>
                <w:sz w:val="20"/>
                <w:szCs w:val="20"/>
                <w:color w:val="auto"/>
              </w:rPr>
              <w:t>Nonvested stock units at end of period</w:t>
            </w:r>
          </w:p>
        </w:tc>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130,085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33.13</w:t>
            </w:r>
          </w:p>
        </w:tc>
      </w:tr>
      <w:tr>
        <w:trPr>
          <w:trHeight w:val="463"/>
        </w:trPr>
        <w:tc>
          <w:tcPr>
            <w:tcW w:w="5780" w:type="dxa"/>
            <w:vAlign w:val="bottom"/>
          </w:tcPr>
          <w:p>
            <w:pPr>
              <w:spacing w:after="0"/>
              <w:rPr>
                <w:sz w:val="20"/>
                <w:szCs w:val="20"/>
                <w:color w:val="auto"/>
              </w:rPr>
            </w:pPr>
            <w:r>
              <w:rPr>
                <w:rFonts w:ascii="Arial" w:cs="Arial" w:eastAsia="Arial" w:hAnsi="Arial"/>
                <w:sz w:val="20"/>
                <w:szCs w:val="20"/>
                <w:color w:val="auto"/>
              </w:rPr>
              <w:t>The following table summarizes the value of RSUs:</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5780" w:type="dxa"/>
            <w:vAlign w:val="bottom"/>
          </w:tcPr>
          <w:p>
            <w:pPr>
              <w:spacing w:after="0"/>
              <w:rPr>
                <w:sz w:val="24"/>
                <w:szCs w:val="24"/>
                <w:color w:val="auto"/>
              </w:rPr>
            </w:pPr>
          </w:p>
        </w:tc>
        <w:tc>
          <w:tcPr>
            <w:tcW w:w="3420" w:type="dxa"/>
            <w:vAlign w:val="bottom"/>
            <w:gridSpan w:val="7"/>
          </w:tcPr>
          <w:p>
            <w:pPr>
              <w:jc w:val="right"/>
              <w:ind w:right="101"/>
              <w:spacing w:after="0"/>
              <w:rPr>
                <w:sz w:val="20"/>
                <w:szCs w:val="20"/>
                <w:color w:val="auto"/>
              </w:rPr>
            </w:pPr>
            <w:r>
              <w:rPr>
                <w:rFonts w:ascii="Arial" w:cs="Arial" w:eastAsia="Arial" w:hAnsi="Arial"/>
                <w:sz w:val="20"/>
                <w:szCs w:val="20"/>
                <w:color w:val="auto"/>
              </w:rPr>
              <w:t>Years ended December 31,</w:t>
            </w:r>
          </w:p>
        </w:tc>
        <w:tc>
          <w:tcPr>
            <w:tcW w:w="920" w:type="dxa"/>
            <w:vAlign w:val="bottom"/>
          </w:tcPr>
          <w:p>
            <w:pPr>
              <w:spacing w:after="0"/>
              <w:rPr>
                <w:sz w:val="24"/>
                <w:szCs w:val="24"/>
                <w:color w:val="auto"/>
              </w:rPr>
            </w:pPr>
          </w:p>
        </w:tc>
      </w:tr>
      <w:tr>
        <w:trPr>
          <w:trHeight w:val="23"/>
        </w:trPr>
        <w:tc>
          <w:tcPr>
            <w:tcW w:w="5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7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4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2017</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2016</w:t>
            </w:r>
          </w:p>
        </w:tc>
      </w:tr>
      <w:tr>
        <w:trPr>
          <w:trHeight w:val="250"/>
        </w:trPr>
        <w:tc>
          <w:tcPr>
            <w:tcW w:w="5780" w:type="dxa"/>
            <w:vAlign w:val="bottom"/>
            <w:shd w:val="clear" w:color="auto" w:fill="CCEEFF"/>
          </w:tcPr>
          <w:p>
            <w:pPr>
              <w:spacing w:after="0"/>
              <w:rPr>
                <w:sz w:val="20"/>
                <w:szCs w:val="20"/>
                <w:color w:val="auto"/>
              </w:rPr>
            </w:pPr>
            <w:r>
              <w:rPr>
                <w:rFonts w:ascii="Arial" w:cs="Arial" w:eastAsia="Arial" w:hAnsi="Arial"/>
                <w:sz w:val="20"/>
                <w:szCs w:val="20"/>
                <w:color w:val="auto"/>
              </w:rPr>
              <w:t>Weighted average fair value of RSUs granted</w:t>
            </w:r>
          </w:p>
        </w:tc>
        <w:tc>
          <w:tcPr>
            <w:tcW w:w="1180" w:type="dxa"/>
            <w:vAlign w:val="bottom"/>
            <w:shd w:val="clear" w:color="auto" w:fill="CCEEFF"/>
          </w:tcPr>
          <w:p>
            <w:pPr>
              <w:jc w:val="right"/>
              <w:ind w:right="801"/>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3"/>
              </w:rPr>
              <w:t>35.15</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100" w:type="dxa"/>
            <w:vAlign w:val="bottom"/>
            <w:gridSpan w:val="3"/>
            <w:shd w:val="clear" w:color="auto" w:fill="CCEEFF"/>
          </w:tcPr>
          <w:p>
            <w:pPr>
              <w:jc w:val="right"/>
              <w:ind w:right="1"/>
              <w:spacing w:after="0"/>
              <w:rPr>
                <w:sz w:val="20"/>
                <w:szCs w:val="20"/>
                <w:color w:val="auto"/>
              </w:rPr>
            </w:pPr>
            <w:r>
              <w:rPr>
                <w:rFonts w:ascii="Arial" w:cs="Arial" w:eastAsia="Arial" w:hAnsi="Arial"/>
                <w:sz w:val="20"/>
                <w:szCs w:val="20"/>
                <w:color w:val="auto"/>
              </w:rPr>
              <w:t>30.37</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32.08</w:t>
            </w:r>
          </w:p>
        </w:tc>
      </w:tr>
      <w:tr>
        <w:trPr>
          <w:trHeight w:val="270"/>
        </w:trPr>
        <w:tc>
          <w:tcPr>
            <w:tcW w:w="5780" w:type="dxa"/>
            <w:vAlign w:val="bottom"/>
          </w:tcPr>
          <w:p>
            <w:pPr>
              <w:spacing w:after="0"/>
              <w:rPr>
                <w:sz w:val="20"/>
                <w:szCs w:val="20"/>
                <w:color w:val="auto"/>
              </w:rPr>
            </w:pPr>
            <w:r>
              <w:rPr>
                <w:rFonts w:ascii="Arial" w:cs="Arial" w:eastAsia="Arial" w:hAnsi="Arial"/>
                <w:sz w:val="20"/>
                <w:szCs w:val="20"/>
                <w:color w:val="auto"/>
              </w:rPr>
              <w:t>Intrinsic value of vested RSUs</w:t>
            </w:r>
          </w:p>
        </w:tc>
        <w:tc>
          <w:tcPr>
            <w:tcW w:w="11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w w:val="83"/>
              </w:rPr>
              <w:t>1,605</w:t>
            </w:r>
          </w:p>
        </w:tc>
        <w:tc>
          <w:tcPr>
            <w:tcW w:w="380" w:type="dxa"/>
            <w:vAlign w:val="bottom"/>
          </w:tcPr>
          <w:p>
            <w:pPr>
              <w:spacing w:after="0"/>
              <w:rPr>
                <w:sz w:val="23"/>
                <w:szCs w:val="23"/>
                <w:color w:val="auto"/>
              </w:rPr>
            </w:pPr>
          </w:p>
        </w:tc>
        <w:tc>
          <w:tcPr>
            <w:tcW w:w="1100" w:type="dxa"/>
            <w:vAlign w:val="bottom"/>
            <w:gridSpan w:val="3"/>
          </w:tcPr>
          <w:p>
            <w:pPr>
              <w:jc w:val="right"/>
              <w:ind w:right="1"/>
              <w:spacing w:after="0"/>
              <w:rPr>
                <w:sz w:val="20"/>
                <w:szCs w:val="20"/>
                <w:color w:val="auto"/>
              </w:rPr>
            </w:pPr>
            <w:r>
              <w:rPr>
                <w:rFonts w:ascii="Arial" w:cs="Arial" w:eastAsia="Arial" w:hAnsi="Arial"/>
                <w:sz w:val="20"/>
                <w:szCs w:val="20"/>
                <w:color w:val="auto"/>
              </w:rPr>
              <w:t>896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805</w:t>
            </w:r>
          </w:p>
        </w:tc>
      </w:tr>
      <w:tr>
        <w:trPr>
          <w:trHeight w:val="270"/>
        </w:trPr>
        <w:tc>
          <w:tcPr>
            <w:tcW w:w="5780" w:type="dxa"/>
            <w:vAlign w:val="bottom"/>
            <w:shd w:val="clear" w:color="auto" w:fill="CCEEFF"/>
          </w:tcPr>
          <w:p>
            <w:pPr>
              <w:spacing w:after="0"/>
              <w:rPr>
                <w:sz w:val="20"/>
                <w:szCs w:val="20"/>
                <w:color w:val="auto"/>
              </w:rPr>
            </w:pPr>
            <w:r>
              <w:rPr>
                <w:rFonts w:ascii="Arial" w:cs="Arial" w:eastAsia="Arial" w:hAnsi="Arial"/>
                <w:sz w:val="20"/>
                <w:szCs w:val="20"/>
                <w:color w:val="auto"/>
              </w:rPr>
              <w:t>Fair value of vested RSUs</w:t>
            </w:r>
          </w:p>
        </w:tc>
        <w:tc>
          <w:tcPr>
            <w:tcW w:w="11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3"/>
              </w:rPr>
              <w:t>1,268</w:t>
            </w:r>
          </w:p>
        </w:tc>
        <w:tc>
          <w:tcPr>
            <w:tcW w:w="38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1"/>
              <w:spacing w:after="0"/>
              <w:rPr>
                <w:sz w:val="20"/>
                <w:szCs w:val="20"/>
                <w:color w:val="auto"/>
              </w:rPr>
            </w:pPr>
            <w:r>
              <w:rPr>
                <w:rFonts w:ascii="Arial" w:cs="Arial" w:eastAsia="Arial" w:hAnsi="Arial"/>
                <w:sz w:val="20"/>
                <w:szCs w:val="20"/>
                <w:color w:val="auto"/>
              </w:rPr>
              <w:t>751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605</w:t>
            </w:r>
          </w:p>
        </w:tc>
      </w:tr>
    </w:tbl>
    <w:p>
      <w:pPr>
        <w:spacing w:after="0" w:line="213" w:lineRule="exact"/>
        <w:rPr>
          <w:sz w:val="20"/>
          <w:szCs w:val="20"/>
          <w:color w:val="auto"/>
        </w:rPr>
      </w:pPr>
    </w:p>
    <w:p>
      <w:pPr>
        <w:jc w:val="both"/>
        <w:ind w:right="360"/>
        <w:spacing w:after="0" w:line="246" w:lineRule="auto"/>
        <w:rPr>
          <w:sz w:val="20"/>
          <w:szCs w:val="20"/>
          <w:color w:val="auto"/>
        </w:rPr>
      </w:pPr>
      <w:r>
        <w:rPr>
          <w:rFonts w:ascii="Arial" w:cs="Arial" w:eastAsia="Arial" w:hAnsi="Arial"/>
          <w:sz w:val="20"/>
          <w:szCs w:val="20"/>
          <w:color w:val="auto"/>
        </w:rPr>
        <w:t>As of December 31, 2018, $1,927 of unrecognized compensation costs related to RSUs is expected to be recognized over a weighted average period of approximately 1.4 years. The aggregate intrinsic value of RSUs as of December 31, 2018 was $4,448. The aggregate intrinsic value of RSUs is based on the number of nonvested stock units and the market value of the Company’s common stock as of the period end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 xml:space="preserve">Stock Options – </w:t>
      </w:r>
      <w:r>
        <w:rPr>
          <w:rFonts w:ascii="Arial" w:cs="Arial" w:eastAsia="Arial" w:hAnsi="Arial"/>
          <w:sz w:val="18"/>
          <w:szCs w:val="18"/>
          <w:color w:val="auto"/>
        </w:rPr>
        <w:t>A stock option represents the option to purchase a number of shares of common stock of the Company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ten years from the grant date. The vesting of stock options granted in 2018 and 2017 are subject to the achievement of the following performance goal: the Company achieves at least an adjusted return on equity equal to 150 basis points below the return on equity granted by the Pennsylvania Public Utility Commission during the Company’s Pennsylvania subsidiary’s last rate proceeding. The adjusted return on equity equals net income, excluding net income or loss from acquisitions which have not yet been incorporated into a rate application as of the last year end, divided by equity which excludes equity applicable to acquisitions which are not yet incorporated in a rate application during the award period.</w:t>
      </w:r>
    </w:p>
    <w:p>
      <w:pPr>
        <w:spacing w:after="0" w:line="18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fair value of each stock option is amortized into compensation expense using the graded vesting method, which results in the recognition of compensation costs over the requisite service period for each separately vesting tranche of the stock options as though the stock options were, in substance, multiple stock option grants. The following table provides compensation expense and income tax benefit for stock options: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5"/>
          </w:tcPr>
          <w:p>
            <w:pPr>
              <w:ind w:left="100"/>
              <w:spacing w:after="0"/>
              <w:rPr>
                <w:sz w:val="20"/>
                <w:szCs w:val="20"/>
                <w:color w:val="auto"/>
              </w:rPr>
            </w:pPr>
            <w:r>
              <w:rPr>
                <w:rFonts w:ascii="Arial" w:cs="Arial" w:eastAsia="Arial" w:hAnsi="Arial"/>
                <w:sz w:val="20"/>
                <w:szCs w:val="20"/>
                <w:color w:val="auto"/>
              </w:rPr>
              <w:t>Years ended December 31,</w:t>
            </w:r>
          </w:p>
        </w:tc>
      </w:tr>
      <w:tr>
        <w:trPr>
          <w:trHeight w:val="250"/>
        </w:trPr>
        <w:tc>
          <w:tcPr>
            <w:tcW w:w="7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2016</w:t>
            </w:r>
          </w:p>
        </w:tc>
      </w:tr>
      <w:tr>
        <w:trPr>
          <w:trHeight w:val="250"/>
        </w:trPr>
        <w:tc>
          <w:tcPr>
            <w:tcW w:w="7160" w:type="dxa"/>
            <w:vAlign w:val="bottom"/>
          </w:tcPr>
          <w:p>
            <w:pPr>
              <w:spacing w:after="0"/>
              <w:rPr>
                <w:sz w:val="20"/>
                <w:szCs w:val="20"/>
                <w:color w:val="auto"/>
              </w:rPr>
            </w:pPr>
            <w:r>
              <w:rPr>
                <w:rFonts w:ascii="Arial" w:cs="Arial" w:eastAsia="Arial" w:hAnsi="Arial"/>
                <w:sz w:val="20"/>
                <w:szCs w:val="20"/>
                <w:color w:val="auto"/>
              </w:rPr>
              <w:t>Stock-based compensation within operations and maintenance expenses</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546</w:t>
            </w:r>
          </w:p>
        </w:tc>
        <w:tc>
          <w:tcPr>
            <w:tcW w:w="2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245</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160" w:type="dxa"/>
            <w:vAlign w:val="bottom"/>
            <w:shd w:val="clear" w:color="auto" w:fill="CCEEFF"/>
          </w:tcPr>
          <w:p>
            <w:pPr>
              <w:spacing w:after="0"/>
              <w:rPr>
                <w:sz w:val="20"/>
                <w:szCs w:val="20"/>
                <w:color w:val="auto"/>
              </w:rPr>
            </w:pPr>
            <w:r>
              <w:rPr>
                <w:rFonts w:ascii="Arial" w:cs="Arial" w:eastAsia="Arial" w:hAnsi="Arial"/>
                <w:sz w:val="20"/>
                <w:szCs w:val="20"/>
                <w:color w:val="auto"/>
              </w:rPr>
              <w:t>Income tax benefit</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184</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208</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There were no stock options granted during the year ended December 31, 2016.</w:t>
      </w:r>
    </w:p>
    <w:p>
      <w:pPr>
        <w:spacing w:after="0" w:line="229"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Options under the plans were issued at the closing market price of the stock on the day of the grant. The fair value of options was estimated at the grant date using the Black-Scholes option-pricing model, which relies on assumptions that require management’s judgment. The following table provides the assumptions used in the pricing model for grants and the resulting grant date fair value of stock options granted in the period reported: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20"/>
                <w:szCs w:val="20"/>
                <w:color w:val="auto"/>
                <w:w w:val="88"/>
              </w:rPr>
              <w:t>Years ended December 31,</w:t>
            </w:r>
          </w:p>
        </w:tc>
      </w:tr>
      <w:tr>
        <w:trPr>
          <w:trHeight w:val="250"/>
        </w:trPr>
        <w:tc>
          <w:tcPr>
            <w:tcW w:w="73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2018</w:t>
            </w: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20"/>
                <w:szCs w:val="20"/>
                <w:color w:val="auto"/>
              </w:rPr>
              <w:t>2017</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20"/>
                <w:szCs w:val="20"/>
                <w:color w:val="auto"/>
              </w:rPr>
              <w:t>Expected term (years)</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5.46</w:t>
            </w:r>
          </w:p>
        </w:tc>
        <w:tc>
          <w:tcPr>
            <w:tcW w:w="4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5.45</w:t>
            </w:r>
          </w:p>
        </w:tc>
      </w:tr>
      <w:tr>
        <w:trPr>
          <w:trHeight w:val="270"/>
        </w:trPr>
        <w:tc>
          <w:tcPr>
            <w:tcW w:w="7320" w:type="dxa"/>
            <w:vAlign w:val="bottom"/>
          </w:tcPr>
          <w:p>
            <w:pPr>
              <w:spacing w:after="0"/>
              <w:rPr>
                <w:sz w:val="20"/>
                <w:szCs w:val="20"/>
                <w:color w:val="auto"/>
              </w:rPr>
            </w:pPr>
            <w:r>
              <w:rPr>
                <w:rFonts w:ascii="Arial" w:cs="Arial" w:eastAsia="Arial" w:hAnsi="Arial"/>
                <w:sz w:val="20"/>
                <w:szCs w:val="20"/>
                <w:color w:val="auto"/>
              </w:rPr>
              <w:t>Risk-free interest rate</w:t>
            </w:r>
          </w:p>
        </w:tc>
        <w:tc>
          <w:tcPr>
            <w:tcW w:w="280" w:type="dxa"/>
            <w:vAlign w:val="bottom"/>
          </w:tcPr>
          <w:p>
            <w:pPr>
              <w:spacing w:after="0"/>
              <w:rPr>
                <w:sz w:val="23"/>
                <w:szCs w:val="23"/>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2.72%</w:t>
            </w:r>
          </w:p>
        </w:tc>
        <w:tc>
          <w:tcPr>
            <w:tcW w:w="4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2.01%</w:t>
            </w:r>
          </w:p>
        </w:tc>
      </w:tr>
      <w:tr>
        <w:trPr>
          <w:trHeight w:val="270"/>
        </w:trPr>
        <w:tc>
          <w:tcPr>
            <w:tcW w:w="7320" w:type="dxa"/>
            <w:vAlign w:val="bottom"/>
            <w:shd w:val="clear" w:color="auto" w:fill="CCEEFF"/>
          </w:tcPr>
          <w:p>
            <w:pPr>
              <w:spacing w:after="0"/>
              <w:rPr>
                <w:sz w:val="20"/>
                <w:szCs w:val="20"/>
                <w:color w:val="auto"/>
              </w:rPr>
            </w:pPr>
            <w:r>
              <w:rPr>
                <w:rFonts w:ascii="Arial" w:cs="Arial" w:eastAsia="Arial" w:hAnsi="Arial"/>
                <w:sz w:val="20"/>
                <w:szCs w:val="20"/>
                <w:color w:val="auto"/>
              </w:rPr>
              <w:t>Expected volatility</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17.2%</w:t>
            </w:r>
          </w:p>
        </w:tc>
        <w:tc>
          <w:tcPr>
            <w:tcW w:w="4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w:t>
            </w:r>
          </w:p>
        </w:tc>
      </w:tr>
      <w:tr>
        <w:trPr>
          <w:trHeight w:val="270"/>
        </w:trPr>
        <w:tc>
          <w:tcPr>
            <w:tcW w:w="7320" w:type="dxa"/>
            <w:vAlign w:val="bottom"/>
          </w:tcPr>
          <w:p>
            <w:pPr>
              <w:spacing w:after="0"/>
              <w:rPr>
                <w:sz w:val="20"/>
                <w:szCs w:val="20"/>
                <w:color w:val="auto"/>
              </w:rPr>
            </w:pPr>
            <w:r>
              <w:rPr>
                <w:rFonts w:ascii="Arial" w:cs="Arial" w:eastAsia="Arial" w:hAnsi="Arial"/>
                <w:sz w:val="20"/>
                <w:szCs w:val="20"/>
                <w:color w:val="auto"/>
              </w:rPr>
              <w:t>Dividend yield</w:t>
            </w:r>
          </w:p>
        </w:tc>
        <w:tc>
          <w:tcPr>
            <w:tcW w:w="280" w:type="dxa"/>
            <w:vAlign w:val="bottom"/>
          </w:tcPr>
          <w:p>
            <w:pPr>
              <w:spacing w:after="0"/>
              <w:rPr>
                <w:sz w:val="23"/>
                <w:szCs w:val="23"/>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2.37%</w:t>
            </w:r>
          </w:p>
        </w:tc>
        <w:tc>
          <w:tcPr>
            <w:tcW w:w="4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2.51%</w:t>
            </w:r>
          </w:p>
        </w:tc>
      </w:tr>
      <w:tr>
        <w:trPr>
          <w:trHeight w:val="270"/>
        </w:trPr>
        <w:tc>
          <w:tcPr>
            <w:tcW w:w="7320" w:type="dxa"/>
            <w:vAlign w:val="bottom"/>
            <w:shd w:val="clear" w:color="auto" w:fill="CCEEFF"/>
          </w:tcPr>
          <w:p>
            <w:pPr>
              <w:spacing w:after="0"/>
              <w:rPr>
                <w:sz w:val="20"/>
                <w:szCs w:val="20"/>
                <w:color w:val="auto"/>
              </w:rPr>
            </w:pPr>
            <w:r>
              <w:rPr>
                <w:rFonts w:ascii="Arial" w:cs="Arial" w:eastAsia="Arial" w:hAnsi="Arial"/>
                <w:sz w:val="20"/>
                <w:szCs w:val="20"/>
                <w:color w:val="auto"/>
              </w:rPr>
              <w:t>Grant date fair value per option</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5.10</w:t>
            </w:r>
          </w:p>
        </w:tc>
        <w:tc>
          <w:tcPr>
            <w:tcW w:w="480" w:type="dxa"/>
            <w:vAlign w:val="bottom"/>
            <w:shd w:val="clear" w:color="auto" w:fill="CCEEFF"/>
          </w:tcPr>
          <w:p>
            <w:pPr>
              <w:ind w:left="28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4.07</w:t>
            </w:r>
          </w:p>
        </w:tc>
      </w:tr>
    </w:tbl>
    <w:p>
      <w:pPr>
        <w:spacing w:after="0" w:line="199"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 The Company assumes that forfeitures will be minimal, and recognizes forfeitures as they occur, which results in a reduction in compensation expense.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stock option transactions for the year ended December 31, 2018:</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center"/>
              <w:ind w:right="41"/>
              <w:spacing w:after="0"/>
              <w:rPr>
                <w:sz w:val="20"/>
                <w:szCs w:val="20"/>
                <w:color w:val="auto"/>
              </w:rPr>
            </w:pPr>
            <w:r>
              <w:rPr>
                <w:rFonts w:ascii="Arial" w:cs="Arial" w:eastAsia="Arial" w:hAnsi="Arial"/>
                <w:sz w:val="20"/>
                <w:szCs w:val="20"/>
                <w:color w:val="auto"/>
                <w:w w:val="89"/>
              </w:rPr>
              <w:t>Weighted</w:t>
            </w:r>
          </w:p>
        </w:tc>
        <w:tc>
          <w:tcPr>
            <w:tcW w:w="1200" w:type="dxa"/>
            <w:vAlign w:val="bottom"/>
          </w:tcPr>
          <w:p>
            <w:pPr>
              <w:jc w:val="center"/>
              <w:ind w:right="1"/>
              <w:spacing w:after="0"/>
              <w:rPr>
                <w:sz w:val="20"/>
                <w:szCs w:val="20"/>
                <w:color w:val="auto"/>
              </w:rPr>
            </w:pPr>
            <w:r>
              <w:rPr>
                <w:rFonts w:ascii="Arial" w:cs="Arial" w:eastAsia="Arial" w:hAnsi="Arial"/>
                <w:sz w:val="20"/>
                <w:szCs w:val="20"/>
                <w:color w:val="auto"/>
                <w:w w:val="87"/>
              </w:rPr>
              <w:t>Weighted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center"/>
              <w:ind w:right="21"/>
              <w:spacing w:after="0"/>
              <w:rPr>
                <w:sz w:val="20"/>
                <w:szCs w:val="20"/>
                <w:color w:val="auto"/>
              </w:rPr>
            </w:pPr>
            <w:r>
              <w:rPr>
                <w:rFonts w:ascii="Arial" w:cs="Arial" w:eastAsia="Arial" w:hAnsi="Arial"/>
                <w:sz w:val="20"/>
                <w:szCs w:val="20"/>
                <w:color w:val="auto"/>
                <w:w w:val="88"/>
              </w:rPr>
              <w:t>Average</w:t>
            </w:r>
          </w:p>
        </w:tc>
        <w:tc>
          <w:tcPr>
            <w:tcW w:w="1200" w:type="dxa"/>
            <w:vAlign w:val="bottom"/>
          </w:tcPr>
          <w:p>
            <w:pPr>
              <w:jc w:val="center"/>
              <w:ind w:right="1"/>
              <w:spacing w:after="0"/>
              <w:rPr>
                <w:sz w:val="20"/>
                <w:szCs w:val="20"/>
                <w:color w:val="auto"/>
              </w:rPr>
            </w:pPr>
            <w:r>
              <w:rPr>
                <w:rFonts w:ascii="Arial" w:cs="Arial" w:eastAsia="Arial" w:hAnsi="Arial"/>
                <w:sz w:val="20"/>
                <w:szCs w:val="20"/>
                <w:color w:val="auto"/>
                <w:w w:val="88"/>
              </w:rPr>
              <w:t>Average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center"/>
              <w:ind w:right="41"/>
              <w:spacing w:after="0"/>
              <w:rPr>
                <w:sz w:val="20"/>
                <w:szCs w:val="20"/>
                <w:color w:val="auto"/>
              </w:rPr>
            </w:pPr>
            <w:r>
              <w:rPr>
                <w:rFonts w:ascii="Arial" w:cs="Arial" w:eastAsia="Arial" w:hAnsi="Arial"/>
                <w:sz w:val="20"/>
                <w:szCs w:val="20"/>
                <w:color w:val="auto"/>
                <w:w w:val="88"/>
              </w:rPr>
              <w:t>Exercise</w:t>
            </w:r>
          </w:p>
        </w:tc>
        <w:tc>
          <w:tcPr>
            <w:tcW w:w="1200" w:type="dxa"/>
            <w:vAlign w:val="bottom"/>
          </w:tcPr>
          <w:p>
            <w:pPr>
              <w:jc w:val="center"/>
              <w:ind w:right="1"/>
              <w:spacing w:after="0"/>
              <w:rPr>
                <w:sz w:val="20"/>
                <w:szCs w:val="20"/>
                <w:color w:val="auto"/>
              </w:rPr>
            </w:pPr>
            <w:r>
              <w:rPr>
                <w:rFonts w:ascii="Arial" w:cs="Arial" w:eastAsia="Arial" w:hAnsi="Arial"/>
                <w:sz w:val="20"/>
                <w:szCs w:val="20"/>
                <w:color w:val="auto"/>
                <w:w w:val="89"/>
              </w:rPr>
              <w:t>Remaining</w:t>
            </w:r>
          </w:p>
        </w:tc>
        <w:tc>
          <w:tcPr>
            <w:tcW w:w="200" w:type="dxa"/>
            <w:vAlign w:val="bottom"/>
          </w:tcPr>
          <w:p>
            <w:pPr>
              <w:spacing w:after="0"/>
              <w:rPr>
                <w:sz w:val="19"/>
                <w:szCs w:val="19"/>
                <w:color w:val="auto"/>
              </w:rPr>
            </w:pPr>
          </w:p>
        </w:tc>
        <w:tc>
          <w:tcPr>
            <w:tcW w:w="1240" w:type="dxa"/>
            <w:vAlign w:val="bottom"/>
          </w:tcPr>
          <w:p>
            <w:pPr>
              <w:jc w:val="right"/>
              <w:ind w:right="123"/>
              <w:spacing w:after="0"/>
              <w:rPr>
                <w:sz w:val="20"/>
                <w:szCs w:val="20"/>
                <w:color w:val="auto"/>
              </w:rPr>
            </w:pPr>
            <w:r>
              <w:rPr>
                <w:rFonts w:ascii="Arial" w:cs="Arial" w:eastAsia="Arial" w:hAnsi="Arial"/>
                <w:sz w:val="20"/>
                <w:szCs w:val="20"/>
                <w:color w:val="auto"/>
              </w:rPr>
              <w:t>Aggregate</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6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Shares</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7"/>
              </w:rPr>
              <w:t>Price</w:t>
            </w:r>
          </w:p>
        </w:tc>
        <w:tc>
          <w:tcPr>
            <w:tcW w:w="1200" w:type="dxa"/>
            <w:vAlign w:val="bottom"/>
            <w:tcBorders>
              <w:bottom w:val="single" w:sz="8" w:color="auto"/>
            </w:tcBorders>
          </w:tcPr>
          <w:p>
            <w:pPr>
              <w:jc w:val="center"/>
              <w:ind w:right="1"/>
              <w:spacing w:after="0"/>
              <w:rPr>
                <w:sz w:val="20"/>
                <w:szCs w:val="20"/>
                <w:color w:val="auto"/>
              </w:rPr>
            </w:pPr>
            <w:r>
              <w:rPr>
                <w:rFonts w:ascii="Arial" w:cs="Arial" w:eastAsia="Arial" w:hAnsi="Arial"/>
                <w:sz w:val="20"/>
                <w:szCs w:val="20"/>
                <w:color w:val="auto"/>
                <w:w w:val="93"/>
              </w:rPr>
              <w:t>Life (years)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Intrinsic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Outstanding, beginning of year</w:t>
            </w:r>
          </w:p>
        </w:tc>
        <w:tc>
          <w:tcPr>
            <w:tcW w:w="148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364,932</w:t>
            </w:r>
          </w:p>
        </w:tc>
        <w:tc>
          <w:tcPr>
            <w:tcW w:w="2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19.83</w:t>
            </w: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Arial" w:cs="Arial" w:eastAsia="Arial" w:hAnsi="Arial"/>
                <w:sz w:val="20"/>
                <w:szCs w:val="20"/>
                <w:color w:val="auto"/>
              </w:rPr>
              <w:t>Granted</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169,455</w:t>
            </w:r>
          </w:p>
        </w:tc>
        <w:tc>
          <w:tcPr>
            <w:tcW w:w="2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34.56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20"/>
                <w:szCs w:val="20"/>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(19,359)</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32.99</w:t>
            </w: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Arial" w:cs="Arial" w:eastAsia="Arial" w:hAnsi="Arial"/>
                <w:sz w:val="20"/>
                <w:szCs w:val="20"/>
                <w:color w:val="auto"/>
              </w:rPr>
              <w:t>Expired / Cancelled</w:t>
            </w:r>
          </w:p>
        </w:tc>
        <w:tc>
          <w:tcPr>
            <w:tcW w:w="1480" w:type="dxa"/>
            <w:vAlign w:val="bottom"/>
          </w:tcPr>
          <w:p>
            <w:pPr>
              <w:jc w:val="right"/>
              <w:spacing w:after="0"/>
              <w:rPr>
                <w:sz w:val="20"/>
                <w:szCs w:val="20"/>
                <w:color w:val="auto"/>
              </w:rPr>
            </w:pPr>
            <w:r>
              <w:rPr>
                <w:rFonts w:ascii="Arial" w:cs="Arial" w:eastAsia="Arial" w:hAnsi="Arial"/>
                <w:sz w:val="20"/>
                <w:szCs w:val="20"/>
                <w:color w:val="auto"/>
              </w:rPr>
              <w:t>(248)</w:t>
            </w:r>
          </w:p>
        </w:tc>
        <w:tc>
          <w:tcPr>
            <w:tcW w:w="2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30.47</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20"/>
                <w:szCs w:val="20"/>
                <w:color w:val="auto"/>
              </w:rPr>
              <w:t>Exercised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(91,808)</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15.90</w:t>
            </w:r>
          </w:p>
        </w:tc>
        <w:tc>
          <w:tcPr>
            <w:tcW w:w="1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tcPr>
          <w:p>
            <w:pPr>
              <w:spacing w:after="0" w:line="223" w:lineRule="exact"/>
              <w:rPr>
                <w:sz w:val="20"/>
                <w:szCs w:val="20"/>
                <w:color w:val="auto"/>
              </w:rPr>
            </w:pPr>
            <w:r>
              <w:rPr>
                <w:rFonts w:ascii="Arial" w:cs="Arial" w:eastAsia="Arial" w:hAnsi="Arial"/>
                <w:sz w:val="20"/>
                <w:szCs w:val="20"/>
                <w:color w:val="auto"/>
              </w:rPr>
              <w:t>Outstanding at end of year</w:t>
            </w:r>
          </w:p>
        </w:tc>
        <w:tc>
          <w:tcPr>
            <w:tcW w:w="14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422,972</w:t>
            </w: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25.97</w:t>
            </w:r>
          </w:p>
        </w:tc>
        <w:tc>
          <w:tcPr>
            <w:tcW w:w="1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5.7</w:t>
            </w: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3,534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20"/>
                <w:szCs w:val="20"/>
                <w:color w:val="auto"/>
              </w:rPr>
              <w:t>Exercisable at end of year</w:t>
            </w: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196,267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17.50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The intrinsic value of stock options is the amount by which the market price of the stock on a given date, such as at the end of the period or on the day of exercise, exceeded the closing market price of stock on the date of grant. The following table summarizes the intrinsic value of stock options exercised and the fair value of stock options which vested: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20"/>
                <w:szCs w:val="20"/>
                <w:color w:val="auto"/>
              </w:rPr>
              <w:t>Years ended December 31,</w:t>
            </w:r>
          </w:p>
        </w:tc>
        <w:tc>
          <w:tcPr>
            <w:tcW w:w="1080" w:type="dxa"/>
            <w:vAlign w:val="bottom"/>
            <w:tcBorders>
              <w:bottom w:val="single" w:sz="8" w:color="auto"/>
            </w:tcBorders>
          </w:tcPr>
          <w:p>
            <w:pPr>
              <w:spacing w:after="0"/>
              <w:rPr>
                <w:sz w:val="21"/>
                <w:szCs w:val="21"/>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2018</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2017</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2016</w:t>
            </w:r>
          </w:p>
        </w:tc>
      </w:tr>
      <w:tr>
        <w:trPr>
          <w:trHeight w:val="223"/>
        </w:trPr>
        <w:tc>
          <w:tcPr>
            <w:tcW w:w="52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Intrinsic value of options exercised</w:t>
            </w:r>
          </w:p>
        </w:tc>
        <w:tc>
          <w:tcPr>
            <w:tcW w:w="560" w:type="dxa"/>
            <w:vAlign w:val="bottom"/>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1,806</w:t>
            </w:r>
          </w:p>
        </w:tc>
        <w:tc>
          <w:tcPr>
            <w:tcW w:w="460" w:type="dxa"/>
            <w:vAlign w:val="bottom"/>
            <w:shd w:val="clear" w:color="auto" w:fill="CCEEFF"/>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2,767</w:t>
            </w:r>
          </w:p>
        </w:tc>
        <w:tc>
          <w:tcPr>
            <w:tcW w:w="420" w:type="dxa"/>
            <w:vAlign w:val="bottom"/>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2,945</w:t>
            </w:r>
          </w:p>
        </w:tc>
      </w:tr>
      <w:tr>
        <w:trPr>
          <w:trHeight w:val="274"/>
        </w:trPr>
        <w:tc>
          <w:tcPr>
            <w:tcW w:w="5240" w:type="dxa"/>
            <w:vAlign w:val="bottom"/>
          </w:tcPr>
          <w:p>
            <w:pPr>
              <w:spacing w:after="0"/>
              <w:rPr>
                <w:sz w:val="20"/>
                <w:szCs w:val="20"/>
                <w:color w:val="auto"/>
              </w:rPr>
            </w:pPr>
            <w:r>
              <w:rPr>
                <w:rFonts w:ascii="Arial" w:cs="Arial" w:eastAsia="Arial" w:hAnsi="Arial"/>
                <w:sz w:val="20"/>
                <w:szCs w:val="20"/>
                <w:color w:val="auto"/>
              </w:rPr>
              <w:t>Fair value of options vested</w:t>
            </w:r>
          </w:p>
        </w:tc>
        <w:tc>
          <w:tcPr>
            <w:tcW w:w="560" w:type="dxa"/>
            <w:vAlign w:val="bottom"/>
          </w:tcPr>
          <w:p>
            <w:pPr>
              <w:spacing w:after="0"/>
              <w:rPr>
                <w:sz w:val="23"/>
                <w:szCs w:val="23"/>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156</w:t>
            </w:r>
          </w:p>
        </w:tc>
        <w:tc>
          <w:tcPr>
            <w:tcW w:w="46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the options outstanding and options exercisable as of December 31, 2018:</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740" w:type="dxa"/>
            <w:vAlign w:val="bottom"/>
            <w:gridSpan w:val="4"/>
          </w:tcPr>
          <w:p>
            <w:pPr>
              <w:ind w:left="100"/>
              <w:spacing w:after="0"/>
              <w:rPr>
                <w:sz w:val="20"/>
                <w:szCs w:val="20"/>
                <w:color w:val="auto"/>
              </w:rPr>
            </w:pPr>
            <w:r>
              <w:rPr>
                <w:rFonts w:ascii="Arial" w:cs="Arial" w:eastAsia="Arial" w:hAnsi="Arial"/>
                <w:sz w:val="20"/>
                <w:szCs w:val="20"/>
                <w:color w:val="auto"/>
              </w:rPr>
              <w:t>Options Outstanding</w:t>
            </w:r>
          </w:p>
        </w:tc>
        <w:tc>
          <w:tcPr>
            <w:tcW w:w="3080" w:type="dxa"/>
            <w:vAlign w:val="bottom"/>
            <w:gridSpan w:val="4"/>
          </w:tcPr>
          <w:p>
            <w:pPr>
              <w:jc w:val="right"/>
              <w:ind w:right="641"/>
              <w:spacing w:after="0"/>
              <w:rPr>
                <w:sz w:val="20"/>
                <w:szCs w:val="20"/>
                <w:color w:val="auto"/>
              </w:rPr>
            </w:pPr>
            <w:r>
              <w:rPr>
                <w:rFonts w:ascii="Arial" w:cs="Arial" w:eastAsia="Arial" w:hAnsi="Arial"/>
                <w:sz w:val="20"/>
                <w:szCs w:val="20"/>
                <w:color w:val="auto"/>
              </w:rPr>
              <w:t>Options Exercisable</w:t>
            </w: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Weighted</w:t>
            </w: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88"/>
              </w:rPr>
              <w:t>Average</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94"/>
              </w:rPr>
              <w:t>Remaining Life</w:t>
            </w:r>
          </w:p>
        </w:tc>
        <w:tc>
          <w:tcPr>
            <w:tcW w:w="240" w:type="dxa"/>
            <w:vAlign w:val="bottom"/>
          </w:tcPr>
          <w:p>
            <w:pPr>
              <w:spacing w:after="0"/>
              <w:rPr>
                <w:sz w:val="19"/>
                <w:szCs w:val="19"/>
                <w:color w:val="auto"/>
              </w:rPr>
            </w:pPr>
          </w:p>
        </w:tc>
        <w:tc>
          <w:tcPr>
            <w:tcW w:w="2160" w:type="dxa"/>
            <w:vAlign w:val="bottom"/>
            <w:gridSpan w:val="2"/>
          </w:tcPr>
          <w:p>
            <w:pPr>
              <w:jc w:val="center"/>
              <w:ind w:right="620"/>
              <w:spacing w:after="0"/>
              <w:rPr>
                <w:sz w:val="20"/>
                <w:szCs w:val="20"/>
                <w:color w:val="auto"/>
              </w:rPr>
            </w:pPr>
            <w:r>
              <w:rPr>
                <w:rFonts w:ascii="Arial" w:cs="Arial" w:eastAsia="Arial" w:hAnsi="Arial"/>
                <w:sz w:val="20"/>
                <w:szCs w:val="20"/>
                <w:color w:val="auto"/>
                <w:w w:val="88"/>
              </w:rPr>
              <w:t>Weighted Average</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w w:val="89"/>
              </w:rPr>
              <w:t>Weighted Average</w:t>
            </w:r>
          </w:p>
        </w:tc>
        <w:tc>
          <w:tcPr>
            <w:tcW w:w="0" w:type="dxa"/>
            <w:vAlign w:val="bottom"/>
          </w:tcPr>
          <w:p>
            <w:pPr>
              <w:spacing w:after="0"/>
              <w:rPr>
                <w:sz w:val="1"/>
                <w:szCs w:val="1"/>
                <w:color w:val="auto"/>
              </w:rPr>
            </w:pPr>
          </w:p>
        </w:tc>
      </w:tr>
      <w:tr>
        <w:trPr>
          <w:trHeight w:val="246"/>
        </w:trPr>
        <w:tc>
          <w:tcPr>
            <w:tcW w:w="1960" w:type="dxa"/>
            <w:vAlign w:val="bottom"/>
            <w:vMerge w:val="restart"/>
          </w:tcPr>
          <w:p>
            <w:pPr>
              <w:jc w:val="right"/>
              <w:ind w:right="561"/>
              <w:spacing w:after="0"/>
              <w:rPr>
                <w:sz w:val="20"/>
                <w:szCs w:val="20"/>
                <w:color w:val="auto"/>
              </w:rPr>
            </w:pPr>
            <w:r>
              <w:rPr>
                <w:rFonts w:ascii="Arial" w:cs="Arial" w:eastAsia="Arial" w:hAnsi="Arial"/>
                <w:sz w:val="20"/>
                <w:szCs w:val="20"/>
                <w:color w:val="auto"/>
                <w:w w:val="87"/>
              </w:rPr>
              <w:t>Range of prices:</w:t>
            </w:r>
          </w:p>
        </w:tc>
        <w:tc>
          <w:tcPr>
            <w:tcW w:w="1340" w:type="dxa"/>
            <w:vAlign w:val="bottom"/>
          </w:tcPr>
          <w:p>
            <w:pPr>
              <w:jc w:val="right"/>
              <w:ind w:right="301"/>
              <w:spacing w:after="0"/>
              <w:rPr>
                <w:sz w:val="20"/>
                <w:szCs w:val="20"/>
                <w:color w:val="auto"/>
              </w:rPr>
            </w:pPr>
            <w:r>
              <w:rPr>
                <w:rFonts w:ascii="Arial" w:cs="Arial" w:eastAsia="Arial" w:hAnsi="Arial"/>
                <w:sz w:val="20"/>
                <w:szCs w:val="20"/>
                <w:color w:val="auto"/>
              </w:rPr>
              <w:t>Shares</w:t>
            </w:r>
          </w:p>
        </w:tc>
        <w:tc>
          <w:tcPr>
            <w:tcW w:w="1340" w:type="dxa"/>
            <w:vAlign w:val="bottom"/>
          </w:tcPr>
          <w:p>
            <w:pPr>
              <w:jc w:val="center"/>
              <w:spacing w:after="0"/>
              <w:rPr>
                <w:sz w:val="20"/>
                <w:szCs w:val="20"/>
                <w:color w:val="auto"/>
              </w:rPr>
            </w:pPr>
            <w:r>
              <w:rPr>
                <w:rFonts w:ascii="Arial" w:cs="Arial" w:eastAsia="Arial" w:hAnsi="Arial"/>
                <w:sz w:val="20"/>
                <w:szCs w:val="20"/>
                <w:color w:val="auto"/>
                <w:w w:val="86"/>
              </w:rPr>
              <w:t>(years)</w:t>
            </w:r>
          </w:p>
        </w:tc>
        <w:tc>
          <w:tcPr>
            <w:tcW w:w="240" w:type="dxa"/>
            <w:vAlign w:val="bottom"/>
          </w:tcPr>
          <w:p>
            <w:pPr>
              <w:spacing w:after="0"/>
              <w:rPr>
                <w:sz w:val="21"/>
                <w:szCs w:val="21"/>
                <w:color w:val="auto"/>
              </w:rPr>
            </w:pPr>
          </w:p>
        </w:tc>
        <w:tc>
          <w:tcPr>
            <w:tcW w:w="2160" w:type="dxa"/>
            <w:vAlign w:val="bottom"/>
            <w:gridSpan w:val="2"/>
          </w:tcPr>
          <w:p>
            <w:pPr>
              <w:jc w:val="center"/>
              <w:ind w:right="620"/>
              <w:spacing w:after="0"/>
              <w:rPr>
                <w:sz w:val="20"/>
                <w:szCs w:val="20"/>
                <w:color w:val="auto"/>
              </w:rPr>
            </w:pPr>
            <w:r>
              <w:rPr>
                <w:rFonts w:ascii="Arial" w:cs="Arial" w:eastAsia="Arial" w:hAnsi="Arial"/>
                <w:sz w:val="20"/>
                <w:szCs w:val="20"/>
                <w:color w:val="auto"/>
                <w:w w:val="89"/>
              </w:rPr>
              <w:t>Exercise Price</w:t>
            </w:r>
          </w:p>
        </w:tc>
        <w:tc>
          <w:tcPr>
            <w:tcW w:w="1260" w:type="dxa"/>
            <w:vAlign w:val="bottom"/>
            <w:gridSpan w:val="2"/>
          </w:tcPr>
          <w:p>
            <w:pPr>
              <w:jc w:val="right"/>
              <w:ind w:right="400"/>
              <w:spacing w:after="0"/>
              <w:rPr>
                <w:sz w:val="20"/>
                <w:szCs w:val="20"/>
                <w:color w:val="auto"/>
              </w:rPr>
            </w:pPr>
            <w:r>
              <w:rPr>
                <w:rFonts w:ascii="Arial" w:cs="Arial" w:eastAsia="Arial" w:hAnsi="Arial"/>
                <w:sz w:val="20"/>
                <w:szCs w:val="20"/>
                <w:color w:val="auto"/>
              </w:rPr>
              <w:t>Shares</w:t>
            </w:r>
          </w:p>
        </w:tc>
        <w:tc>
          <w:tcPr>
            <w:tcW w:w="220" w:type="dxa"/>
            <w:vAlign w:val="bottom"/>
          </w:tcPr>
          <w:p>
            <w:pPr>
              <w:spacing w:after="0"/>
              <w:rPr>
                <w:sz w:val="21"/>
                <w:szCs w:val="21"/>
                <w:color w:val="auto"/>
              </w:rPr>
            </w:pPr>
          </w:p>
        </w:tc>
        <w:tc>
          <w:tcPr>
            <w:tcW w:w="1600" w:type="dxa"/>
            <w:vAlign w:val="bottom"/>
          </w:tcPr>
          <w:p>
            <w:pPr>
              <w:jc w:val="right"/>
              <w:ind w:right="161"/>
              <w:spacing w:after="0"/>
              <w:rPr>
                <w:sz w:val="20"/>
                <w:szCs w:val="20"/>
                <w:color w:val="auto"/>
              </w:rPr>
            </w:pPr>
            <w:r>
              <w:rPr>
                <w:rFonts w:ascii="Arial" w:cs="Arial" w:eastAsia="Arial" w:hAnsi="Arial"/>
                <w:sz w:val="20"/>
                <w:szCs w:val="20"/>
                <w:color w:val="auto"/>
              </w:rPr>
              <w:t>Exercise Price</w:t>
            </w:r>
          </w:p>
        </w:tc>
        <w:tc>
          <w:tcPr>
            <w:tcW w:w="0" w:type="dxa"/>
            <w:vAlign w:val="bottom"/>
          </w:tcPr>
          <w:p>
            <w:pPr>
              <w:spacing w:after="0"/>
              <w:rPr>
                <w:sz w:val="1"/>
                <w:szCs w:val="1"/>
                <w:color w:val="auto"/>
              </w:rPr>
            </w:pPr>
          </w:p>
        </w:tc>
      </w:tr>
      <w:tr>
        <w:trPr>
          <w:trHeight w:val="210"/>
        </w:trPr>
        <w:tc>
          <w:tcPr>
            <w:tcW w:w="1960" w:type="dxa"/>
            <w:vAlign w:val="bottom"/>
            <w:vMerge w:val="continue"/>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jc w:val="right"/>
              <w:ind w:right="601"/>
              <w:spacing w:after="0"/>
              <w:rPr>
                <w:sz w:val="20"/>
                <w:szCs w:val="20"/>
                <w:color w:val="auto"/>
              </w:rPr>
            </w:pPr>
            <w:r>
              <w:rPr>
                <w:rFonts w:ascii="Arial" w:cs="Arial" w:eastAsia="Arial" w:hAnsi="Arial"/>
                <w:sz w:val="20"/>
                <w:szCs w:val="20"/>
                <w:color w:val="auto"/>
                <w:w w:val="96"/>
              </w:rPr>
              <w:t>$13.00 - 13.99</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89,770</w:t>
            </w: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13.72</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89,770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13.72</w:t>
            </w:r>
          </w:p>
        </w:tc>
        <w:tc>
          <w:tcPr>
            <w:tcW w:w="0" w:type="dxa"/>
            <w:vAlign w:val="bottom"/>
          </w:tcPr>
          <w:p>
            <w:pPr>
              <w:spacing w:after="0"/>
              <w:rPr>
                <w:sz w:val="1"/>
                <w:szCs w:val="1"/>
                <w:color w:val="auto"/>
              </w:rPr>
            </w:pPr>
          </w:p>
        </w:tc>
      </w:tr>
      <w:tr>
        <w:trPr>
          <w:trHeight w:val="230"/>
        </w:trPr>
        <w:tc>
          <w:tcPr>
            <w:tcW w:w="1960" w:type="dxa"/>
            <w:vAlign w:val="bottom"/>
          </w:tcPr>
          <w:p>
            <w:pPr>
              <w:jc w:val="right"/>
              <w:ind w:right="601"/>
              <w:spacing w:after="0"/>
              <w:rPr>
                <w:sz w:val="20"/>
                <w:szCs w:val="20"/>
                <w:color w:val="auto"/>
              </w:rPr>
            </w:pPr>
            <w:r>
              <w:rPr>
                <w:rFonts w:ascii="Arial" w:cs="Arial" w:eastAsia="Arial" w:hAnsi="Arial"/>
                <w:sz w:val="20"/>
                <w:szCs w:val="20"/>
                <w:color w:val="auto"/>
                <w:w w:val="96"/>
              </w:rPr>
              <w:t>$14.00 - 15.99</w:t>
            </w:r>
          </w:p>
        </w:tc>
        <w:tc>
          <w:tcPr>
            <w:tcW w:w="1340" w:type="dxa"/>
            <w:vAlign w:val="bottom"/>
          </w:tcPr>
          <w:p>
            <w:pPr>
              <w:jc w:val="right"/>
              <w:spacing w:after="0"/>
              <w:rPr>
                <w:sz w:val="20"/>
                <w:szCs w:val="20"/>
                <w:color w:val="auto"/>
              </w:rPr>
            </w:pPr>
            <w:r>
              <w:rPr>
                <w:rFonts w:ascii="Arial" w:cs="Arial" w:eastAsia="Arial" w:hAnsi="Arial"/>
                <w:sz w:val="20"/>
                <w:szCs w:val="20"/>
                <w:color w:val="auto"/>
              </w:rPr>
              <w:t>68,719</w:t>
            </w: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0.2</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15.30</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68,719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15.30</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jc w:val="right"/>
              <w:ind w:right="601"/>
              <w:spacing w:after="0"/>
              <w:rPr>
                <w:sz w:val="20"/>
                <w:szCs w:val="20"/>
                <w:color w:val="auto"/>
              </w:rPr>
            </w:pPr>
            <w:r>
              <w:rPr>
                <w:rFonts w:ascii="Arial" w:cs="Arial" w:eastAsia="Arial" w:hAnsi="Arial"/>
                <w:sz w:val="20"/>
                <w:szCs w:val="20"/>
                <w:color w:val="auto"/>
                <w:w w:val="96"/>
              </w:rPr>
              <w:t>$16.00 - 30.99</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107,095</w:t>
            </w: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8.2</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30.47</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30.47</w:t>
            </w:r>
          </w:p>
        </w:tc>
        <w:tc>
          <w:tcPr>
            <w:tcW w:w="0" w:type="dxa"/>
            <w:vAlign w:val="bottom"/>
          </w:tcPr>
          <w:p>
            <w:pPr>
              <w:spacing w:after="0"/>
              <w:rPr>
                <w:sz w:val="1"/>
                <w:szCs w:val="1"/>
                <w:color w:val="auto"/>
              </w:rPr>
            </w:pPr>
          </w:p>
        </w:tc>
      </w:tr>
      <w:tr>
        <w:trPr>
          <w:trHeight w:val="230"/>
        </w:trPr>
        <w:tc>
          <w:tcPr>
            <w:tcW w:w="1960" w:type="dxa"/>
            <w:vAlign w:val="bottom"/>
          </w:tcPr>
          <w:p>
            <w:pPr>
              <w:jc w:val="right"/>
              <w:ind w:right="601"/>
              <w:spacing w:after="0"/>
              <w:rPr>
                <w:sz w:val="20"/>
                <w:szCs w:val="20"/>
                <w:color w:val="auto"/>
              </w:rPr>
            </w:pPr>
            <w:r>
              <w:rPr>
                <w:rFonts w:ascii="Arial" w:cs="Arial" w:eastAsia="Arial" w:hAnsi="Arial"/>
                <w:sz w:val="20"/>
                <w:szCs w:val="20"/>
                <w:color w:val="auto"/>
                <w:w w:val="96"/>
              </w:rPr>
              <w:t>$31.00 - 34.99</w:t>
            </w:r>
          </w:p>
        </w:tc>
        <w:tc>
          <w:tcPr>
            <w:tcW w:w="1340" w:type="dxa"/>
            <w:vAlign w:val="bottom"/>
          </w:tcPr>
          <w:p>
            <w:pPr>
              <w:jc w:val="right"/>
              <w:spacing w:after="0"/>
              <w:rPr>
                <w:sz w:val="20"/>
                <w:szCs w:val="20"/>
                <w:color w:val="auto"/>
              </w:rPr>
            </w:pPr>
            <w:r>
              <w:rPr>
                <w:rFonts w:ascii="Arial" w:cs="Arial" w:eastAsia="Arial" w:hAnsi="Arial"/>
                <w:sz w:val="20"/>
                <w:szCs w:val="20"/>
                <w:color w:val="auto"/>
              </w:rPr>
              <w:t>157,388</w:t>
            </w: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9.2</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34.56</w:t>
            </w:r>
          </w:p>
        </w:tc>
        <w:tc>
          <w:tcPr>
            <w:tcW w:w="5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422,972</w:t>
            </w:r>
          </w:p>
        </w:tc>
        <w:tc>
          <w:tcPr>
            <w:tcW w:w="1340" w:type="dxa"/>
            <w:vAlign w:val="bottom"/>
            <w:tcBorders>
              <w:top w:val="single" w:sz="8" w:color="CCEEFF"/>
              <w:bottom w:val="single" w:sz="8" w:color="CCEEFF"/>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5.7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25.97</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196,267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17.50</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right="80"/>
        <w:spacing w:after="0" w:line="316" w:lineRule="auto"/>
        <w:rPr>
          <w:sz w:val="20"/>
          <w:szCs w:val="20"/>
          <w:color w:val="auto"/>
        </w:rPr>
      </w:pPr>
      <w:r>
        <w:rPr>
          <w:rFonts w:ascii="Arial" w:cs="Arial" w:eastAsia="Arial" w:hAnsi="Arial"/>
          <w:sz w:val="18"/>
          <w:szCs w:val="18"/>
          <w:color w:val="auto"/>
        </w:rPr>
        <w:t>As of December 31, 2018, there was $453 of total unrecognized compensation costs related to nonvested stock options granted under the plans. The cost is expected to be recognized over a weighted average period of approximately 1.5 years.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i w:val="1"/>
          <w:iCs w:val="1"/>
          <w:color w:val="auto"/>
        </w:rPr>
        <w:t xml:space="preserve">Stock Awards </w:t>
      </w:r>
      <w:r>
        <w:rPr>
          <w:rFonts w:ascii="Arial" w:cs="Arial" w:eastAsia="Arial" w:hAnsi="Arial"/>
          <w:sz w:val="18"/>
          <w:szCs w:val="18"/>
          <w:color w:val="auto"/>
        </w:rPr>
        <w:t>– Stock awards represent the issuance of the Company’s common stock, without restriction. Stock awards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to the Company’s non-employee directors. The issuance of stock awards results in compensation expense which is equal to the fair market value of the stock on the grant date, and is expensed immediately upon grant. The following table provides compensation cost and income tax benefit for stock-based compensation related to stock awards: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jc w:val="right"/>
              <w:ind w:right="341"/>
              <w:spacing w:after="0"/>
              <w:rPr>
                <w:sz w:val="20"/>
                <w:szCs w:val="20"/>
                <w:color w:val="auto"/>
              </w:rPr>
            </w:pPr>
            <w:r>
              <w:rPr>
                <w:rFonts w:ascii="Arial" w:cs="Arial" w:eastAsia="Arial" w:hAnsi="Arial"/>
                <w:sz w:val="20"/>
                <w:szCs w:val="20"/>
                <w:color w:val="auto"/>
                <w:w w:val="89"/>
              </w:rPr>
              <w:t>Years ended December 31,</w:t>
            </w:r>
          </w:p>
        </w:tc>
      </w:tr>
      <w:tr>
        <w:trPr>
          <w:trHeight w:val="250"/>
        </w:trPr>
        <w:tc>
          <w:tcPr>
            <w:tcW w:w="7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2018</w:t>
            </w: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2017</w:t>
            </w: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2016</w:t>
            </w:r>
          </w:p>
        </w:tc>
      </w:tr>
      <w:tr>
        <w:trPr>
          <w:trHeight w:val="291"/>
        </w:trPr>
        <w:tc>
          <w:tcPr>
            <w:tcW w:w="7140" w:type="dxa"/>
            <w:vAlign w:val="bottom"/>
            <w:shd w:val="clear" w:color="auto" w:fill="CCEEFF"/>
          </w:tcPr>
          <w:p>
            <w:pPr>
              <w:spacing w:after="0"/>
              <w:rPr>
                <w:sz w:val="20"/>
                <w:szCs w:val="20"/>
                <w:color w:val="auto"/>
              </w:rPr>
            </w:pPr>
            <w:r>
              <w:rPr>
                <w:rFonts w:ascii="Arial" w:cs="Arial" w:eastAsia="Arial" w:hAnsi="Arial"/>
                <w:sz w:val="20"/>
                <w:szCs w:val="20"/>
                <w:color w:val="auto"/>
              </w:rPr>
              <w:t>Stock-based compensation within operations and maintenance expense</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600</w:t>
            </w:r>
          </w:p>
        </w:tc>
        <w:tc>
          <w:tcPr>
            <w:tcW w:w="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563</w:t>
            </w: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506</w:t>
            </w:r>
          </w:p>
        </w:tc>
      </w:tr>
      <w:tr>
        <w:trPr>
          <w:trHeight w:val="274"/>
        </w:trPr>
        <w:tc>
          <w:tcPr>
            <w:tcW w:w="7140" w:type="dxa"/>
            <w:vAlign w:val="bottom"/>
          </w:tcPr>
          <w:p>
            <w:pPr>
              <w:spacing w:after="0"/>
              <w:rPr>
                <w:sz w:val="20"/>
                <w:szCs w:val="20"/>
                <w:color w:val="auto"/>
              </w:rPr>
            </w:pPr>
            <w:r>
              <w:rPr>
                <w:rFonts w:ascii="Arial" w:cs="Arial" w:eastAsia="Arial" w:hAnsi="Arial"/>
                <w:sz w:val="20"/>
                <w:szCs w:val="20"/>
                <w:color w:val="auto"/>
              </w:rPr>
              <w:t>Income tax benefit</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173</w:t>
            </w: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233</w:t>
            </w: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210</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value of stock awards:</w:t>
      </w:r>
    </w:p>
    <w:p>
      <w:pPr>
        <w:spacing w:after="0" w:line="351" w:lineRule="exact"/>
        <w:rPr>
          <w:sz w:val="20"/>
          <w:szCs w:val="20"/>
          <w:color w:val="auto"/>
        </w:rPr>
      </w:pPr>
    </w:p>
    <w:p>
      <w:pPr>
        <w:ind w:left="7360"/>
        <w:spacing w:after="0"/>
        <w:rPr>
          <w:sz w:val="20"/>
          <w:szCs w:val="20"/>
          <w:color w:val="auto"/>
        </w:rPr>
      </w:pPr>
      <w:r>
        <w:rPr>
          <w:rFonts w:ascii="Arial" w:cs="Arial" w:eastAsia="Arial" w:hAnsi="Arial"/>
          <w:sz w:val="20"/>
          <w:szCs w:val="20"/>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10160</wp:posOffset>
            </wp:positionV>
            <wp:extent cx="21355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ind w:left="7240"/>
        <w:spacing w:after="0"/>
        <w:tabs>
          <w:tab w:leader="none" w:pos="8340" w:val="left"/>
          <w:tab w:leader="none" w:pos="9460" w:val="left"/>
        </w:tabs>
        <w:rPr>
          <w:sz w:val="20"/>
          <w:szCs w:val="20"/>
          <w:color w:val="auto"/>
        </w:rPr>
      </w:pPr>
      <w:r>
        <w:rPr>
          <w:rFonts w:ascii="Arial" w:cs="Arial" w:eastAsia="Arial" w:hAnsi="Arial"/>
          <w:sz w:val="20"/>
          <w:szCs w:val="20"/>
          <w:color w:val="auto"/>
        </w:rPr>
        <w:t>2018</w:t>
      </w:r>
      <w:r>
        <w:rPr>
          <w:sz w:val="20"/>
          <w:szCs w:val="20"/>
          <w:color w:val="auto"/>
        </w:rPr>
        <w:tab/>
      </w:r>
      <w:r>
        <w:rPr>
          <w:rFonts w:ascii="Arial" w:cs="Arial" w:eastAsia="Arial" w:hAnsi="Arial"/>
          <w:sz w:val="20"/>
          <w:szCs w:val="20"/>
          <w:color w:val="auto"/>
        </w:rPr>
        <w:t>2017</w:t>
      </w:r>
      <w:r>
        <w:rPr>
          <w:sz w:val="20"/>
          <w:szCs w:val="20"/>
          <w:color w:val="auto"/>
        </w:rPr>
        <w:tab/>
      </w:r>
      <w:r>
        <w:rPr>
          <w:rFonts w:ascii="Arial" w:cs="Arial" w:eastAsia="Arial" w:hAnsi="Arial"/>
          <w:sz w:val="16"/>
          <w:szCs w:val="16"/>
          <w:color w:val="auto"/>
        </w:rPr>
        <w:t>2016</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Intrinsic and fair value of stock awards vested</w:t>
            </w:r>
          </w:p>
        </w:tc>
        <w:tc>
          <w:tcPr>
            <w:tcW w:w="4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600</w:t>
            </w:r>
          </w:p>
        </w:tc>
        <w:tc>
          <w:tcPr>
            <w:tcW w:w="3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563</w:t>
            </w:r>
          </w:p>
        </w:tc>
        <w:tc>
          <w:tcPr>
            <w:tcW w:w="3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506</w:t>
            </w:r>
          </w:p>
        </w:tc>
      </w:tr>
      <w:tr>
        <w:trPr>
          <w:trHeight w:val="274"/>
        </w:trPr>
        <w:tc>
          <w:tcPr>
            <w:tcW w:w="6740" w:type="dxa"/>
            <w:vAlign w:val="bottom"/>
          </w:tcPr>
          <w:p>
            <w:pPr>
              <w:spacing w:after="0"/>
              <w:rPr>
                <w:sz w:val="20"/>
                <w:szCs w:val="20"/>
                <w:color w:val="auto"/>
              </w:rPr>
            </w:pPr>
            <w:r>
              <w:rPr>
                <w:rFonts w:ascii="Arial" w:cs="Arial" w:eastAsia="Arial" w:hAnsi="Arial"/>
                <w:sz w:val="20"/>
                <w:szCs w:val="20"/>
                <w:color w:val="auto"/>
              </w:rPr>
              <w:t>Weighted average fair value of stock awards granted</w:t>
            </w:r>
          </w:p>
        </w:tc>
        <w:tc>
          <w:tcPr>
            <w:tcW w:w="46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Arial" w:cs="Arial" w:eastAsia="Arial" w:hAnsi="Arial"/>
                <w:sz w:val="20"/>
                <w:szCs w:val="20"/>
                <w:color w:val="auto"/>
              </w:rPr>
              <w:t>34.95</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34.42</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31.87</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stock award transactions for year ended December 31, 2018:</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Weighted</w:t>
            </w:r>
          </w:p>
        </w:tc>
      </w:tr>
      <w:tr>
        <w:trPr>
          <w:trHeight w:val="230"/>
        </w:trPr>
        <w:tc>
          <w:tcPr>
            <w:tcW w:w="4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Number of</w:t>
            </w:r>
          </w:p>
        </w:tc>
        <w:tc>
          <w:tcPr>
            <w:tcW w:w="1220" w:type="dxa"/>
            <w:vAlign w:val="bottom"/>
            <w:gridSpan w:val="2"/>
          </w:tcPr>
          <w:p>
            <w:pPr>
              <w:jc w:val="center"/>
              <w:ind w:right="80"/>
              <w:spacing w:after="0"/>
              <w:rPr>
                <w:sz w:val="20"/>
                <w:szCs w:val="20"/>
                <w:color w:val="auto"/>
              </w:rPr>
            </w:pPr>
            <w:r>
              <w:rPr>
                <w:rFonts w:ascii="Arial" w:cs="Arial" w:eastAsia="Arial" w:hAnsi="Arial"/>
                <w:sz w:val="20"/>
                <w:szCs w:val="20"/>
                <w:color w:val="auto"/>
                <w:w w:val="89"/>
              </w:rPr>
              <w:t>Average Fair</w:t>
            </w:r>
          </w:p>
        </w:tc>
      </w:tr>
      <w:tr>
        <w:trPr>
          <w:trHeight w:val="246"/>
        </w:trPr>
        <w:tc>
          <w:tcPr>
            <w:tcW w:w="434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20"/>
                <w:szCs w:val="20"/>
                <w:color w:val="auto"/>
                <w:w w:val="89"/>
              </w:rPr>
              <w:t>Stock Awards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Value</w:t>
            </w:r>
          </w:p>
        </w:tc>
        <w:tc>
          <w:tcPr>
            <w:tcW w:w="20" w:type="dxa"/>
            <w:vAlign w:val="bottom"/>
          </w:tcPr>
          <w:p>
            <w:pPr>
              <w:spacing w:after="0"/>
              <w:rPr>
                <w:sz w:val="21"/>
                <w:szCs w:val="21"/>
                <w:color w:val="auto"/>
              </w:rPr>
            </w:pPr>
          </w:p>
        </w:tc>
      </w:tr>
      <w:tr>
        <w:trPr>
          <w:trHeight w:val="250"/>
        </w:trPr>
        <w:tc>
          <w:tcPr>
            <w:tcW w:w="4340" w:type="dxa"/>
            <w:vAlign w:val="bottom"/>
            <w:shd w:val="clear" w:color="auto" w:fill="CCEEFF"/>
          </w:tcPr>
          <w:p>
            <w:pPr>
              <w:spacing w:after="0"/>
              <w:rPr>
                <w:sz w:val="20"/>
                <w:szCs w:val="20"/>
                <w:color w:val="auto"/>
              </w:rPr>
            </w:pPr>
            <w:r>
              <w:rPr>
                <w:rFonts w:ascii="Arial" w:cs="Arial" w:eastAsia="Arial" w:hAnsi="Arial"/>
                <w:sz w:val="20"/>
                <w:szCs w:val="20"/>
                <w:color w:val="auto"/>
              </w:rPr>
              <w:t>Nonvested stock awards at beginning of period</w:t>
            </w:r>
          </w:p>
        </w:tc>
        <w:tc>
          <w:tcPr>
            <w:tcW w:w="4580" w:type="dxa"/>
            <w:vAlign w:val="bottom"/>
            <w:gridSpan w:val="3"/>
            <w:shd w:val="clear" w:color="auto" w:fill="CCEEFF"/>
          </w:tcPr>
          <w:p>
            <w:pPr>
              <w:jc w:val="right"/>
              <w:ind w:right="60"/>
              <w:spacing w:after="0"/>
              <w:rPr>
                <w:sz w:val="20"/>
                <w:szCs w:val="20"/>
                <w:color w:val="auto"/>
              </w:rPr>
            </w:pPr>
            <w:r>
              <w:rPr>
                <w:rFonts w:ascii="Arial" w:cs="Arial" w:eastAsia="Arial" w:hAnsi="Arial"/>
                <w:sz w:val="20"/>
                <w:szCs w:val="20"/>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70"/>
        </w:trPr>
        <w:tc>
          <w:tcPr>
            <w:tcW w:w="4340" w:type="dxa"/>
            <w:vAlign w:val="bottom"/>
          </w:tcPr>
          <w:p>
            <w:pPr>
              <w:ind w:left="100"/>
              <w:spacing w:after="0"/>
              <w:rPr>
                <w:sz w:val="20"/>
                <w:szCs w:val="20"/>
                <w:color w:val="auto"/>
              </w:rPr>
            </w:pPr>
            <w:r>
              <w:rPr>
                <w:rFonts w:ascii="Arial" w:cs="Arial" w:eastAsia="Arial" w:hAnsi="Arial"/>
                <w:sz w:val="20"/>
                <w:szCs w:val="20"/>
                <w:color w:val="auto"/>
              </w:rPr>
              <w:t>Granted</w:t>
            </w:r>
          </w:p>
        </w:tc>
        <w:tc>
          <w:tcPr>
            <w:tcW w:w="4280" w:type="dxa"/>
            <w:vAlign w:val="bottom"/>
            <w:gridSpan w:val="2"/>
          </w:tcPr>
          <w:p>
            <w:pPr>
              <w:jc w:val="right"/>
              <w:spacing w:after="0"/>
              <w:rPr>
                <w:sz w:val="20"/>
                <w:szCs w:val="20"/>
                <w:color w:val="auto"/>
              </w:rPr>
            </w:pPr>
            <w:r>
              <w:rPr>
                <w:rFonts w:ascii="Arial" w:cs="Arial" w:eastAsia="Arial" w:hAnsi="Arial"/>
                <w:sz w:val="20"/>
                <w:szCs w:val="20"/>
                <w:color w:val="auto"/>
              </w:rPr>
              <w:t>17,171</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34.95</w:t>
            </w:r>
          </w:p>
        </w:tc>
        <w:tc>
          <w:tcPr>
            <w:tcW w:w="20" w:type="dxa"/>
            <w:vAlign w:val="bottom"/>
          </w:tcPr>
          <w:p>
            <w:pPr>
              <w:spacing w:after="0"/>
              <w:rPr>
                <w:sz w:val="23"/>
                <w:szCs w:val="23"/>
                <w:color w:val="auto"/>
              </w:rPr>
            </w:pPr>
          </w:p>
        </w:tc>
      </w:tr>
      <w:tr>
        <w:trPr>
          <w:trHeight w:val="270"/>
        </w:trPr>
        <w:tc>
          <w:tcPr>
            <w:tcW w:w="43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Vested</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(17,171)</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34.95</w:t>
            </w:r>
          </w:p>
        </w:tc>
        <w:tc>
          <w:tcPr>
            <w:tcW w:w="20" w:type="dxa"/>
            <w:vAlign w:val="bottom"/>
          </w:tcPr>
          <w:p>
            <w:pPr>
              <w:spacing w:after="0"/>
              <w:rPr>
                <w:sz w:val="23"/>
                <w:szCs w:val="23"/>
                <w:color w:val="auto"/>
              </w:rPr>
            </w:pPr>
          </w:p>
        </w:tc>
      </w:tr>
      <w:tr>
        <w:trPr>
          <w:trHeight w:val="244"/>
        </w:trPr>
        <w:tc>
          <w:tcPr>
            <w:tcW w:w="4340" w:type="dxa"/>
            <w:vAlign w:val="bottom"/>
          </w:tcPr>
          <w:p>
            <w:pPr>
              <w:spacing w:after="0"/>
              <w:rPr>
                <w:sz w:val="20"/>
                <w:szCs w:val="20"/>
                <w:color w:val="auto"/>
              </w:rPr>
            </w:pPr>
            <w:r>
              <w:rPr>
                <w:rFonts w:ascii="Arial" w:cs="Arial" w:eastAsia="Arial" w:hAnsi="Arial"/>
                <w:sz w:val="20"/>
                <w:szCs w:val="20"/>
                <w:color w:val="auto"/>
              </w:rPr>
              <w:t>Nonvested stock awards at end of period</w:t>
            </w:r>
          </w:p>
        </w:tc>
        <w:tc>
          <w:tcPr>
            <w:tcW w:w="310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r>
      <w:tr>
        <w:trPr>
          <w:trHeight w:val="905"/>
        </w:trPr>
        <w:tc>
          <w:tcPr>
            <w:tcW w:w="4340" w:type="dxa"/>
            <w:vAlign w:val="bottom"/>
          </w:tcPr>
          <w:p>
            <w:pPr>
              <w:spacing w:after="0"/>
              <w:rPr>
                <w:sz w:val="24"/>
                <w:szCs w:val="24"/>
                <w:color w:val="auto"/>
              </w:rPr>
            </w:pPr>
          </w:p>
        </w:tc>
        <w:tc>
          <w:tcPr>
            <w:tcW w:w="3100" w:type="dxa"/>
            <w:vAlign w:val="bottom"/>
          </w:tcPr>
          <w:p>
            <w:pPr>
              <w:jc w:val="right"/>
              <w:ind w:right="2203"/>
              <w:spacing w:after="0"/>
              <w:rPr>
                <w:sz w:val="20"/>
                <w:szCs w:val="20"/>
                <w:color w:val="auto"/>
              </w:rPr>
            </w:pPr>
            <w:r>
              <w:rPr>
                <w:rFonts w:ascii="Arial" w:cs="Arial" w:eastAsia="Arial" w:hAnsi="Arial"/>
                <w:sz w:val="18"/>
                <w:szCs w:val="18"/>
                <w:color w:val="auto"/>
              </w:rPr>
              <w:t>93</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34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34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of dollars, except per share amounts)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15 – </w:t>
      </w:r>
      <w:r>
        <w:rPr>
          <w:rFonts w:ascii="Arial" w:cs="Arial" w:eastAsia="Arial" w:hAnsi="Arial"/>
          <w:sz w:val="20"/>
          <w:szCs w:val="20"/>
          <w:b w:val="1"/>
          <w:bCs w:val="1"/>
          <w:i w:val="1"/>
          <w:iCs w:val="1"/>
          <w:color w:val="auto"/>
        </w:rPr>
        <w:t>Pension Plans and Other Post-retirement Benefits</w:t>
      </w:r>
    </w:p>
    <w:p>
      <w:pPr>
        <w:spacing w:after="0" w:line="235"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The Company maintains a qualified, defined benefit pension plan that covers its full-time employees who were hired prior to April 1, 2003. Retirement benefits under the plan are generally based on the employee’s total years of service and compensation during the last five years of employment. The Company’s policy is to fund the plan annually at a level which is deductible for income tax purposes and which provides assets sufficient to meet its pension obligations over time. To offset some limitations imposed by the Internal Revenue Code with respect to payments under qualified plans, the Company has a non-qualified Supplemental Pension Benefit Plan for Salaried Employees in order to prevent some employees from being penalized by these limitations, and to provide certain retirement benefits based on employee’s years of service and compensation. The net pension costs and obligations of the qualified and non-qualified plans are included in the tables which follow. Employees hired after April 1, 2003 may participate in a defined contribution plan that provides a Company matching contribution on amounts contributed by participants and an annual profit-sharing contribution based upon a percentage of the eligible participants’ compensation.</w:t>
      </w:r>
    </w:p>
    <w:p>
      <w:pPr>
        <w:spacing w:after="0" w:line="20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Effective July 1, 2015, the Company added a permanent lump sum option to the form of benefit payments offered to participants of the qualified defined benefit pension plan upon retirement or termination. The plan paid $14,872 and $8,858 to participants who elected this option during 2018 and 2017.</w:t>
      </w:r>
    </w:p>
    <w:p>
      <w:pPr>
        <w:spacing w:after="0" w:line="200"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In addition to providing pension benefits, the Company offers post-retirement benefits other than pensions to employees hired before April 1, 2003 and retiring with a minimum level of service. These benefits include continuation of medical and prescription drug benefits, or a cash contribution toward such benefits, for eligible retirees and life insurance benefits for eligible retirees. The Company funds these benefits through various trust accounts. The benefits of retired officers and other eligible retirees are paid by the Company and not from plan assets due to limitations imposed by the Internal Revenue Code.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2018 and 2016, the Company recognized settlement losses of $5,931 and $2,895, respectively, which resulted from lump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sum payments from the qualified or non-qualified plans exceeding the threshold of service and interest cost for the period. A</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settlement loss is the recognition of unrecognized pension benefit costs that would have been incurred in subsequent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periods. The Company recorded these settlement losses as regulatory assets, as it is probable of recovery in future rates, which</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will be amortized into pension benefit costs.</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5" w:right="9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The following benefit payments, which reflect expected future service, as appropriate, are expected to be paid in the years indicated: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00" w:type="dxa"/>
            <w:vAlign w:val="bottom"/>
            <w:vMerge w:val="restart"/>
          </w:tcPr>
          <w:p>
            <w:pPr>
              <w:spacing w:after="0"/>
              <w:rPr>
                <w:sz w:val="20"/>
                <w:szCs w:val="20"/>
                <w:color w:val="auto"/>
              </w:rPr>
            </w:pPr>
            <w:r>
              <w:rPr>
                <w:rFonts w:ascii="Arial" w:cs="Arial" w:eastAsia="Arial" w:hAnsi="Arial"/>
                <w:sz w:val="20"/>
                <w:szCs w:val="20"/>
                <w:color w:val="auto"/>
              </w:rPr>
              <w:t>Years:</w:t>
            </w:r>
          </w:p>
        </w:tc>
        <w:tc>
          <w:tcPr>
            <w:tcW w:w="200" w:type="dxa"/>
            <w:vAlign w:val="bottom"/>
          </w:tcPr>
          <w:p>
            <w:pPr>
              <w:spacing w:after="0"/>
              <w:rPr>
                <w:sz w:val="21"/>
                <w:szCs w:val="21"/>
                <w:color w:val="auto"/>
              </w:rPr>
            </w:pPr>
          </w:p>
        </w:tc>
        <w:tc>
          <w:tcPr>
            <w:tcW w:w="1820" w:type="dxa"/>
            <w:vAlign w:val="bottom"/>
            <w:gridSpan w:val="2"/>
          </w:tcPr>
          <w:p>
            <w:pPr>
              <w:ind w:left="20"/>
              <w:spacing w:after="0"/>
              <w:rPr>
                <w:sz w:val="20"/>
                <w:szCs w:val="20"/>
                <w:color w:val="auto"/>
              </w:rPr>
            </w:pPr>
            <w:r>
              <w:rPr>
                <w:rFonts w:ascii="Arial" w:cs="Arial" w:eastAsia="Arial" w:hAnsi="Arial"/>
                <w:sz w:val="20"/>
                <w:szCs w:val="20"/>
                <w:color w:val="auto"/>
              </w:rPr>
              <w:t>Pension Benefits</w:t>
            </w:r>
          </w:p>
        </w:tc>
        <w:tc>
          <w:tcPr>
            <w:tcW w:w="2800" w:type="dxa"/>
            <w:vAlign w:val="bottom"/>
            <w:gridSpan w:val="2"/>
          </w:tcPr>
          <w:p>
            <w:pPr>
              <w:jc w:val="right"/>
              <w:ind w:right="101"/>
              <w:spacing w:after="0"/>
              <w:rPr>
                <w:sz w:val="20"/>
                <w:szCs w:val="20"/>
                <w:color w:val="auto"/>
              </w:rPr>
            </w:pPr>
            <w:r>
              <w:rPr>
                <w:rFonts w:ascii="Arial" w:cs="Arial" w:eastAsia="Arial" w:hAnsi="Arial"/>
                <w:sz w:val="20"/>
                <w:szCs w:val="20"/>
                <w:color w:val="auto"/>
                <w:w w:val="95"/>
              </w:rPr>
              <w:t>Other Post-retirement Benefits</w:t>
            </w: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20"/>
                <w:szCs w:val="20"/>
                <w:color w:val="auto"/>
              </w:rPr>
              <w:t>2019</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19,965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1"/>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2,326</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20"/>
                <w:szCs w:val="20"/>
                <w:color w:val="auto"/>
              </w:rPr>
              <w:t>2020</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21,382</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2,620</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20"/>
                <w:szCs w:val="20"/>
                <w:color w:val="auto"/>
              </w:rPr>
              <w:t>2021</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20,331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2,831</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20"/>
                <w:szCs w:val="20"/>
                <w:color w:val="auto"/>
              </w:rPr>
              <w:t>2022</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21,368</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3,043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20"/>
                <w:szCs w:val="20"/>
                <w:color w:val="auto"/>
              </w:rPr>
              <w:t>2023</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21,603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3,267</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0"/>
                <w:szCs w:val="20"/>
                <w:color w:val="auto"/>
              </w:rPr>
            </w:pPr>
            <w:r>
              <w:rPr>
                <w:rFonts w:ascii="Arial" w:cs="Arial" w:eastAsia="Arial" w:hAnsi="Arial"/>
                <w:sz w:val="20"/>
                <w:szCs w:val="20"/>
                <w:color w:val="auto"/>
              </w:rPr>
              <w:t>2024-2028</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104,822</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19,006</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changes in the benefit obligation and fair value of plan assets, the funded status of the plans and the assumptions used in the measurement of the company’s benefit obligation are as follows: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40" w:type="dxa"/>
            <w:vAlign w:val="bottom"/>
            <w:gridSpan w:val="4"/>
          </w:tcPr>
          <w:p>
            <w:pPr>
              <w:jc w:val="right"/>
              <w:ind w:right="900"/>
              <w:spacing w:after="0"/>
              <w:rPr>
                <w:sz w:val="20"/>
                <w:szCs w:val="20"/>
                <w:color w:val="auto"/>
              </w:rPr>
            </w:pPr>
            <w:r>
              <w:rPr>
                <w:rFonts w:ascii="Arial" w:cs="Arial" w:eastAsia="Arial" w:hAnsi="Arial"/>
                <w:sz w:val="20"/>
                <w:szCs w:val="20"/>
                <w:color w:val="auto"/>
              </w:rPr>
              <w:t>Pension Benefits</w:t>
            </w:r>
          </w:p>
        </w:tc>
        <w:tc>
          <w:tcPr>
            <w:tcW w:w="2780" w:type="dxa"/>
            <w:vAlign w:val="bottom"/>
            <w:gridSpan w:val="4"/>
          </w:tcPr>
          <w:p>
            <w:pPr>
              <w:jc w:val="right"/>
              <w:ind w:right="81"/>
              <w:spacing w:after="0"/>
              <w:rPr>
                <w:sz w:val="20"/>
                <w:szCs w:val="20"/>
                <w:color w:val="auto"/>
              </w:rPr>
            </w:pPr>
            <w:r>
              <w:rPr>
                <w:rFonts w:ascii="Arial" w:cs="Arial" w:eastAsia="Arial" w:hAnsi="Arial"/>
                <w:sz w:val="20"/>
                <w:szCs w:val="20"/>
                <w:color w:val="auto"/>
                <w:w w:val="95"/>
              </w:rPr>
              <w:t>Other Post-retirement Benefits</w:t>
            </w:r>
          </w:p>
        </w:tc>
        <w:tc>
          <w:tcPr>
            <w:tcW w:w="0" w:type="dxa"/>
            <w:vAlign w:val="bottom"/>
          </w:tcPr>
          <w:p>
            <w:pPr>
              <w:spacing w:after="0"/>
              <w:rPr>
                <w:sz w:val="1"/>
                <w:szCs w:val="1"/>
                <w:color w:val="auto"/>
              </w:rPr>
            </w:pPr>
          </w:p>
        </w:tc>
      </w:tr>
      <w:tr>
        <w:trPr>
          <w:trHeight w:val="223"/>
        </w:trPr>
        <w:tc>
          <w:tcPr>
            <w:tcW w:w="4380" w:type="dxa"/>
            <w:vAlign w:val="bottom"/>
            <w:gridSpan w:val="2"/>
            <w:vMerge w:val="restart"/>
          </w:tcPr>
          <w:p>
            <w:pPr>
              <w:spacing w:after="0"/>
              <w:rPr>
                <w:sz w:val="20"/>
                <w:szCs w:val="20"/>
                <w:color w:val="auto"/>
              </w:rPr>
            </w:pPr>
            <w:r>
              <w:rPr>
                <w:rFonts w:ascii="Arial" w:cs="Arial" w:eastAsia="Arial" w:hAnsi="Arial"/>
                <w:sz w:val="20"/>
                <w:szCs w:val="20"/>
                <w:color w:val="auto"/>
              </w:rPr>
              <w:t>Change in benefit obligation:</w:t>
            </w:r>
          </w:p>
        </w:tc>
        <w:tc>
          <w:tcPr>
            <w:tcW w:w="4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2017</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20"/>
                <w:szCs w:val="20"/>
                <w:color w:val="auto"/>
              </w:rPr>
              <w:t>Benefit obligation at January 1,</w:t>
            </w:r>
          </w:p>
        </w:tc>
        <w:tc>
          <w:tcPr>
            <w:tcW w:w="4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320,979</w:t>
            </w:r>
          </w:p>
        </w:tc>
        <w:tc>
          <w:tcPr>
            <w:tcW w:w="36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308,172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75,960</w:t>
            </w:r>
          </w:p>
        </w:tc>
        <w:tc>
          <w:tcPr>
            <w:tcW w:w="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Arial" w:cs="Arial" w:eastAsia="Arial" w:hAnsi="Arial"/>
                <w:sz w:val="20"/>
                <w:szCs w:val="20"/>
                <w:color w:val="auto"/>
              </w:rPr>
              <w:t>Service cost</w:t>
            </w:r>
          </w:p>
        </w:tc>
        <w:tc>
          <w:tcPr>
            <w:tcW w:w="4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3,249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3,174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101"/>
              <w:spacing w:after="0"/>
              <w:rPr>
                <w:sz w:val="20"/>
                <w:szCs w:val="20"/>
                <w:color w:val="auto"/>
              </w:rPr>
            </w:pPr>
            <w:r>
              <w:rPr>
                <w:rFonts w:ascii="Arial" w:cs="Arial" w:eastAsia="Arial" w:hAnsi="Arial"/>
                <w:sz w:val="20"/>
                <w:szCs w:val="20"/>
                <w:color w:val="auto"/>
              </w:rPr>
              <w:t>1,049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20"/>
                <w:szCs w:val="20"/>
                <w:color w:val="auto"/>
              </w:rPr>
              <w:t>Interest cost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11,495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12,434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2,831</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Arial" w:cs="Arial" w:eastAsia="Arial" w:hAnsi="Arial"/>
                <w:sz w:val="20"/>
                <w:szCs w:val="20"/>
                <w:color w:val="auto"/>
              </w:rPr>
              <w:t>Actuarial (gain)/loss</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(23,080)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18,516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(8,970)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4,047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20"/>
                <w:szCs w:val="20"/>
                <w:color w:val="auto"/>
              </w:rPr>
              <w:t>Plan participants' contributions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127</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Arial" w:cs="Arial" w:eastAsia="Arial" w:hAnsi="Arial"/>
                <w:sz w:val="20"/>
                <w:szCs w:val="20"/>
                <w:color w:val="auto"/>
              </w:rPr>
              <w:t>Benefits paid</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(30,679)</w:t>
            </w:r>
          </w:p>
        </w:tc>
        <w:tc>
          <w:tcPr>
            <w:tcW w:w="3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20"/>
                <w:szCs w:val="20"/>
                <w:color w:val="auto"/>
              </w:rPr>
              <w:t>(21,317)</w:t>
            </w:r>
          </w:p>
        </w:tc>
        <w:tc>
          <w:tcPr>
            <w:tcW w:w="44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(1,554)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20"/>
                <w:szCs w:val="20"/>
                <w:color w:val="auto"/>
              </w:rPr>
              <w:t>Plan amendments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tcPr>
          <w:p>
            <w:pPr>
              <w:spacing w:after="0" w:line="223" w:lineRule="exact"/>
              <w:rPr>
                <w:sz w:val="20"/>
                <w:szCs w:val="20"/>
                <w:color w:val="auto"/>
              </w:rPr>
            </w:pPr>
            <w:r>
              <w:rPr>
                <w:rFonts w:ascii="Arial" w:cs="Arial" w:eastAsia="Arial" w:hAnsi="Arial"/>
                <w:sz w:val="20"/>
                <w:szCs w:val="20"/>
                <w:color w:val="auto"/>
              </w:rPr>
              <w:t>Benefit obligation at December 31,</w:t>
            </w:r>
          </w:p>
        </w:tc>
        <w:tc>
          <w:tcPr>
            <w:tcW w:w="4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281,964</w:t>
            </w: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320,979</w:t>
            </w:r>
          </w:p>
        </w:tc>
        <w:tc>
          <w:tcPr>
            <w:tcW w:w="1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69,443</w:t>
            </w: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75,960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Change in plan assets: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20"/>
                <w:szCs w:val="20"/>
                <w:color w:val="auto"/>
              </w:rPr>
              <w:t>Fair value of plan assets at January 1,</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270,353</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242,360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47,750</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Arial" w:cs="Arial" w:eastAsia="Arial" w:hAnsi="Arial"/>
                <w:sz w:val="20"/>
                <w:szCs w:val="20"/>
                <w:color w:val="auto"/>
              </w:rPr>
              <w:t>Actual return on plan assets</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(16,852)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33,278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(2,599)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20"/>
                <w:szCs w:val="20"/>
                <w:color w:val="auto"/>
              </w:rPr>
              <w:t>Employer contributions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16,185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16,032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1,636</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Arial" w:cs="Arial" w:eastAsia="Arial" w:hAnsi="Arial"/>
                <w:sz w:val="20"/>
                <w:szCs w:val="20"/>
                <w:color w:val="auto"/>
              </w:rPr>
              <w:t>Benefits paid</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(30,679)</w:t>
            </w:r>
          </w:p>
        </w:tc>
        <w:tc>
          <w:tcPr>
            <w:tcW w:w="3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20"/>
                <w:szCs w:val="20"/>
                <w:color w:val="auto"/>
              </w:rPr>
              <w:t>(21,317)</w:t>
            </w:r>
          </w:p>
        </w:tc>
        <w:tc>
          <w:tcPr>
            <w:tcW w:w="44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(1,365)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20"/>
                <w:szCs w:val="20"/>
                <w:color w:val="auto"/>
              </w:rPr>
              <w:t>Asset transfer</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tcPr>
          <w:p>
            <w:pPr>
              <w:spacing w:after="0" w:line="223" w:lineRule="exact"/>
              <w:rPr>
                <w:sz w:val="20"/>
                <w:szCs w:val="20"/>
                <w:color w:val="auto"/>
              </w:rPr>
            </w:pPr>
            <w:r>
              <w:rPr>
                <w:rFonts w:ascii="Arial" w:cs="Arial" w:eastAsia="Arial" w:hAnsi="Arial"/>
                <w:sz w:val="20"/>
                <w:szCs w:val="20"/>
                <w:color w:val="auto"/>
              </w:rPr>
              <w:t>Fair value of plan assets at December 31,</w:t>
            </w:r>
          </w:p>
        </w:tc>
        <w:tc>
          <w:tcPr>
            <w:tcW w:w="4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239,007</w:t>
            </w: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270,353</w:t>
            </w:r>
          </w:p>
        </w:tc>
        <w:tc>
          <w:tcPr>
            <w:tcW w:w="1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45,422</w:t>
            </w: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47,750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Funded status of plan:</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20"/>
                <w:szCs w:val="20"/>
                <w:color w:val="auto"/>
              </w:rPr>
              <w:t>Net liability recognized at December 31,</w:t>
            </w:r>
          </w:p>
        </w:tc>
        <w:tc>
          <w:tcPr>
            <w:tcW w:w="420" w:type="dxa"/>
            <w:vAlign w:val="bottom"/>
            <w:tcBorders>
              <w:bottom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42,957</w:t>
            </w:r>
          </w:p>
        </w:tc>
        <w:tc>
          <w:tcPr>
            <w:tcW w:w="360" w:type="dxa"/>
            <w:vAlign w:val="bottom"/>
            <w:tcBorders>
              <w:bottom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50,626</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24,021</w:t>
            </w:r>
          </w:p>
        </w:tc>
        <w:tc>
          <w:tcPr>
            <w:tcW w:w="36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28,210</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net liability recognized on the consolidated balance sheets at December 31,:</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Pension Benefits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gridSpan w:val="4"/>
          </w:tcPr>
          <w:p>
            <w:pPr>
              <w:ind w:left="40"/>
              <w:spacing w:after="0"/>
              <w:rPr>
                <w:sz w:val="20"/>
                <w:szCs w:val="20"/>
                <w:color w:val="auto"/>
              </w:rPr>
            </w:pPr>
            <w:r>
              <w:rPr>
                <w:rFonts w:ascii="Arial" w:cs="Arial" w:eastAsia="Arial" w:hAnsi="Arial"/>
                <w:sz w:val="20"/>
                <w:szCs w:val="20"/>
                <w:color w:val="auto"/>
              </w:rPr>
              <w:t>Other Post-retirement Benefits</w:t>
            </w:r>
          </w:p>
        </w:tc>
      </w:tr>
      <w:tr>
        <w:trPr>
          <w:trHeight w:val="223"/>
        </w:trPr>
        <w:tc>
          <w:tcPr>
            <w:tcW w:w="366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23"/>
              <w:spacing w:after="0" w:line="223" w:lineRule="exact"/>
              <w:rPr>
                <w:sz w:val="20"/>
                <w:szCs w:val="20"/>
                <w:color w:val="auto"/>
              </w:rPr>
            </w:pPr>
            <w:r>
              <w:rPr>
                <w:rFonts w:ascii="Arial" w:cs="Arial" w:eastAsia="Arial" w:hAnsi="Arial"/>
                <w:sz w:val="20"/>
                <w:szCs w:val="20"/>
                <w:color w:val="auto"/>
              </w:rPr>
              <w:t>2018</w:t>
            </w:r>
          </w:p>
        </w:tc>
        <w:tc>
          <w:tcPr>
            <w:tcW w:w="6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w w:val="89"/>
              </w:rPr>
              <w:t>2017</w:t>
            </w:r>
          </w:p>
        </w:tc>
        <w:tc>
          <w:tcPr>
            <w:tcW w:w="2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w w:val="98"/>
              </w:rPr>
              <w:t>2017</w:t>
            </w:r>
          </w:p>
        </w:tc>
        <w:tc>
          <w:tcPr>
            <w:tcW w:w="20" w:type="dxa"/>
            <w:vAlign w:val="bottom"/>
          </w:tcPr>
          <w:p>
            <w:pPr>
              <w:spacing w:after="0"/>
              <w:rPr>
                <w:sz w:val="19"/>
                <w:szCs w:val="19"/>
                <w:color w:val="auto"/>
              </w:rPr>
            </w:pPr>
          </w:p>
        </w:tc>
      </w:tr>
      <w:tr>
        <w:trPr>
          <w:trHeight w:val="223"/>
        </w:trPr>
        <w:tc>
          <w:tcPr>
            <w:tcW w:w="366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Current liability</w:t>
            </w:r>
          </w:p>
        </w:tc>
        <w:tc>
          <w:tcPr>
            <w:tcW w:w="500" w:type="dxa"/>
            <w:vAlign w:val="bottom"/>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23"/>
              <w:spacing w:after="0" w:line="223" w:lineRule="exact"/>
              <w:rPr>
                <w:sz w:val="20"/>
                <w:szCs w:val="20"/>
                <w:color w:val="auto"/>
              </w:rPr>
            </w:pPr>
            <w:r>
              <w:rPr>
                <w:rFonts w:ascii="Arial" w:cs="Arial" w:eastAsia="Arial" w:hAnsi="Arial"/>
                <w:sz w:val="20"/>
                <w:szCs w:val="20"/>
                <w:color w:val="auto"/>
              </w:rPr>
              <w:t>267</w:t>
            </w:r>
          </w:p>
        </w:tc>
        <w:tc>
          <w:tcPr>
            <w:tcW w:w="620" w:type="dxa"/>
            <w:vAlign w:val="bottom"/>
            <w:shd w:val="clear" w:color="auto" w:fill="CCEEFF"/>
          </w:tcPr>
          <w:p>
            <w:pPr>
              <w:jc w:val="right"/>
              <w:ind w:right="321"/>
              <w:spacing w:after="0" w:line="223" w:lineRule="exact"/>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396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r>
      <w:tr>
        <w:trPr>
          <w:trHeight w:val="230"/>
        </w:trPr>
        <w:tc>
          <w:tcPr>
            <w:tcW w:w="366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Noncurrent liability</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42,690</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50,230</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24,021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28,210</w:t>
            </w:r>
          </w:p>
        </w:tc>
        <w:tc>
          <w:tcPr>
            <w:tcW w:w="20" w:type="dxa"/>
            <w:vAlign w:val="bottom"/>
          </w:tcPr>
          <w:p>
            <w:pPr>
              <w:spacing w:after="0"/>
              <w:rPr>
                <w:sz w:val="19"/>
                <w:szCs w:val="19"/>
                <w:color w:val="auto"/>
              </w:rPr>
            </w:pPr>
          </w:p>
        </w:tc>
      </w:tr>
      <w:tr>
        <w:trPr>
          <w:trHeight w:val="230"/>
        </w:trPr>
        <w:tc>
          <w:tcPr>
            <w:tcW w:w="366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liability recognized</w:t>
            </w:r>
          </w:p>
        </w:tc>
        <w:tc>
          <w:tcPr>
            <w:tcW w:w="500" w:type="dxa"/>
            <w:vAlign w:val="bottom"/>
            <w:tcBorders>
              <w:bottom w:val="single" w:sz="8" w:color="auto"/>
            </w:tcBorders>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23"/>
              <w:spacing w:after="0" w:line="223" w:lineRule="exact"/>
              <w:rPr>
                <w:sz w:val="20"/>
                <w:szCs w:val="20"/>
                <w:color w:val="auto"/>
              </w:rPr>
            </w:pPr>
            <w:r>
              <w:rPr>
                <w:rFonts w:ascii="Arial" w:cs="Arial" w:eastAsia="Arial" w:hAnsi="Arial"/>
                <w:sz w:val="20"/>
                <w:szCs w:val="20"/>
                <w:color w:val="auto"/>
              </w:rPr>
              <w:t>42,957</w:t>
            </w:r>
          </w:p>
        </w:tc>
        <w:tc>
          <w:tcPr>
            <w:tcW w:w="620" w:type="dxa"/>
            <w:vAlign w:val="bottom"/>
            <w:tcBorders>
              <w:bottom w:val="single" w:sz="8" w:color="auto"/>
            </w:tcBorders>
            <w:shd w:val="clear" w:color="auto" w:fill="CCEEFF"/>
          </w:tcPr>
          <w:p>
            <w:pPr>
              <w:jc w:val="right"/>
              <w:ind w:right="321"/>
              <w:spacing w:after="0" w:line="223"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50,626</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shd w:val="clear" w:color="auto" w:fill="CCEEFF"/>
          </w:tcPr>
          <w:p>
            <w:pPr>
              <w:jc w:val="right"/>
              <w:ind w:right="141"/>
              <w:spacing w:after="0" w:line="223" w:lineRule="exact"/>
              <w:rPr>
                <w:sz w:val="20"/>
                <w:szCs w:val="20"/>
                <w:color w:val="auto"/>
              </w:rPr>
            </w:pPr>
            <w:r>
              <w:rPr>
                <w:rFonts w:ascii="Arial" w:cs="Arial" w:eastAsia="Arial" w:hAnsi="Arial"/>
                <w:sz w:val="20"/>
                <w:szCs w:val="20"/>
                <w:color w:val="auto"/>
              </w:rPr>
              <w:t>24,021</w:t>
            </w:r>
          </w:p>
        </w:tc>
        <w:tc>
          <w:tcPr>
            <w:tcW w:w="3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28,210</w:t>
            </w:r>
          </w:p>
        </w:tc>
        <w:tc>
          <w:tcPr>
            <w:tcW w:w="20" w:type="dxa"/>
            <w:vAlign w:val="bottom"/>
          </w:tcPr>
          <w:p>
            <w:pPr>
              <w:spacing w:after="0"/>
              <w:rPr>
                <w:sz w:val="20"/>
                <w:szCs w:val="20"/>
                <w:color w:val="auto"/>
              </w:rPr>
            </w:pPr>
          </w:p>
        </w:tc>
      </w:tr>
      <w:tr>
        <w:trPr>
          <w:trHeight w:val="878"/>
        </w:trPr>
        <w:tc>
          <w:tcPr>
            <w:tcW w:w="3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63"/>
              <w:spacing w:after="0"/>
              <w:rPr>
                <w:sz w:val="20"/>
                <w:szCs w:val="20"/>
                <w:color w:val="auto"/>
              </w:rPr>
            </w:pPr>
            <w:r>
              <w:rPr>
                <w:rFonts w:ascii="Arial" w:cs="Arial" w:eastAsia="Arial" w:hAnsi="Arial"/>
                <w:sz w:val="18"/>
                <w:szCs w:val="18"/>
                <w:color w:val="auto"/>
              </w:rPr>
              <w:t>95</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6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36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At December 31, 2018 and 2017, the Company’s pension plans had benefit obligations in excess of its plan assets. The following tables provide the projected benefit obligation, the accumulated benefit obligation and fair market value of the plan assets as of December 31,:</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4040" w:type="dxa"/>
            <w:vAlign w:val="bottom"/>
            <w:gridSpan w:val="4"/>
          </w:tcPr>
          <w:p>
            <w:pPr>
              <w:jc w:val="center"/>
              <w:spacing w:after="0"/>
              <w:rPr>
                <w:sz w:val="20"/>
                <w:szCs w:val="20"/>
                <w:color w:val="auto"/>
              </w:rPr>
            </w:pPr>
            <w:r>
              <w:rPr>
                <w:rFonts w:ascii="Arial" w:cs="Arial" w:eastAsia="Arial" w:hAnsi="Arial"/>
                <w:sz w:val="20"/>
                <w:szCs w:val="20"/>
                <w:color w:val="auto"/>
                <w:w w:val="90"/>
              </w:rPr>
              <w:t>Projected Benefit Obligation Exceeds the Fair</w:t>
            </w:r>
          </w:p>
        </w:tc>
      </w:tr>
      <w:tr>
        <w:trPr>
          <w:trHeight w:val="246"/>
        </w:trPr>
        <w:tc>
          <w:tcPr>
            <w:tcW w:w="60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20"/>
                <w:szCs w:val="20"/>
                <w:color w:val="auto"/>
                <w:w w:val="88"/>
              </w:rPr>
              <w:t>Value of Plan Assets</w:t>
            </w:r>
          </w:p>
        </w:tc>
        <w:tc>
          <w:tcPr>
            <w:tcW w:w="1140" w:type="dxa"/>
            <w:vAlign w:val="bottom"/>
            <w:tcBorders>
              <w:bottom w:val="single" w:sz="8" w:color="auto"/>
            </w:tcBorders>
          </w:tcPr>
          <w:p>
            <w:pPr>
              <w:spacing w:after="0"/>
              <w:rPr>
                <w:sz w:val="21"/>
                <w:szCs w:val="21"/>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41"/>
              <w:spacing w:after="0" w:line="223" w:lineRule="exact"/>
              <w:rPr>
                <w:sz w:val="20"/>
                <w:szCs w:val="20"/>
                <w:color w:val="auto"/>
              </w:rPr>
            </w:pPr>
            <w:r>
              <w:rPr>
                <w:rFonts w:ascii="Arial" w:cs="Arial" w:eastAsia="Arial" w:hAnsi="Arial"/>
                <w:sz w:val="20"/>
                <w:szCs w:val="20"/>
                <w:color w:val="auto"/>
              </w:rPr>
              <w:t>2018</w:t>
            </w: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1"/>
              <w:spacing w:after="0" w:line="223" w:lineRule="exact"/>
              <w:rPr>
                <w:sz w:val="20"/>
                <w:szCs w:val="20"/>
                <w:color w:val="auto"/>
              </w:rPr>
            </w:pPr>
            <w:r>
              <w:rPr>
                <w:rFonts w:ascii="Arial" w:cs="Arial" w:eastAsia="Arial" w:hAnsi="Arial"/>
                <w:sz w:val="20"/>
                <w:szCs w:val="20"/>
                <w:color w:val="auto"/>
              </w:rPr>
              <w:t>2017</w:t>
            </w:r>
          </w:p>
        </w:tc>
      </w:tr>
      <w:tr>
        <w:trPr>
          <w:trHeight w:val="223"/>
        </w:trPr>
        <w:tc>
          <w:tcPr>
            <w:tcW w:w="608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Projected benefit obligation</w:t>
            </w:r>
          </w:p>
        </w:tc>
        <w:tc>
          <w:tcPr>
            <w:tcW w:w="640" w:type="dxa"/>
            <w:vAlign w:val="bottom"/>
            <w:shd w:val="clear" w:color="auto" w:fill="CCEEFF"/>
          </w:tcPr>
          <w:p>
            <w:pPr>
              <w:jc w:val="right"/>
              <w:ind w:right="241"/>
              <w:spacing w:after="0" w:line="223" w:lineRule="exact"/>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281,964</w:t>
            </w:r>
          </w:p>
        </w:tc>
        <w:tc>
          <w:tcPr>
            <w:tcW w:w="800" w:type="dxa"/>
            <w:vAlign w:val="bottom"/>
            <w:shd w:val="clear" w:color="auto" w:fill="CCEEFF"/>
          </w:tcPr>
          <w:p>
            <w:pPr>
              <w:jc w:val="right"/>
              <w:ind w:right="481"/>
              <w:spacing w:after="0" w:line="223" w:lineRule="exact"/>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320,979</w:t>
            </w:r>
          </w:p>
        </w:tc>
      </w:tr>
      <w:tr>
        <w:trPr>
          <w:trHeight w:val="250"/>
        </w:trPr>
        <w:tc>
          <w:tcPr>
            <w:tcW w:w="6080" w:type="dxa"/>
            <w:vAlign w:val="bottom"/>
          </w:tcPr>
          <w:p>
            <w:pPr>
              <w:spacing w:after="0"/>
              <w:rPr>
                <w:sz w:val="20"/>
                <w:szCs w:val="20"/>
                <w:color w:val="auto"/>
              </w:rPr>
            </w:pPr>
            <w:r>
              <w:rPr>
                <w:rFonts w:ascii="Arial" w:cs="Arial" w:eastAsia="Arial" w:hAnsi="Arial"/>
                <w:sz w:val="20"/>
                <w:szCs w:val="20"/>
                <w:color w:val="auto"/>
              </w:rPr>
              <w:t>Fair value of plan assets</w:t>
            </w:r>
          </w:p>
        </w:tc>
        <w:tc>
          <w:tcPr>
            <w:tcW w:w="64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239,007</w:t>
            </w:r>
          </w:p>
        </w:tc>
        <w:tc>
          <w:tcPr>
            <w:tcW w:w="8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270,353</w:t>
            </w:r>
          </w:p>
        </w:tc>
      </w:tr>
      <w:tr>
        <w:trPr>
          <w:trHeight w:val="422"/>
        </w:trPr>
        <w:tc>
          <w:tcPr>
            <w:tcW w:w="6080" w:type="dxa"/>
            <w:vAlign w:val="bottom"/>
          </w:tcPr>
          <w:p>
            <w:pPr>
              <w:spacing w:after="0"/>
              <w:rPr>
                <w:sz w:val="24"/>
                <w:szCs w:val="24"/>
                <w:color w:val="auto"/>
              </w:rPr>
            </w:pPr>
          </w:p>
        </w:tc>
        <w:tc>
          <w:tcPr>
            <w:tcW w:w="4040" w:type="dxa"/>
            <w:vAlign w:val="bottom"/>
            <w:gridSpan w:val="4"/>
          </w:tcPr>
          <w:p>
            <w:pPr>
              <w:jc w:val="center"/>
              <w:spacing w:after="0"/>
              <w:rPr>
                <w:sz w:val="20"/>
                <w:szCs w:val="20"/>
                <w:color w:val="auto"/>
              </w:rPr>
            </w:pPr>
            <w:r>
              <w:rPr>
                <w:rFonts w:ascii="Arial" w:cs="Arial" w:eastAsia="Arial" w:hAnsi="Arial"/>
                <w:sz w:val="20"/>
                <w:szCs w:val="20"/>
                <w:color w:val="auto"/>
                <w:w w:val="91"/>
              </w:rPr>
              <w:t>Accumulated Benefit Obligation Exceeds the Fair</w:t>
            </w:r>
          </w:p>
        </w:tc>
      </w:tr>
      <w:tr>
        <w:trPr>
          <w:trHeight w:val="246"/>
        </w:trPr>
        <w:tc>
          <w:tcPr>
            <w:tcW w:w="60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20"/>
                <w:szCs w:val="20"/>
                <w:color w:val="auto"/>
                <w:w w:val="88"/>
              </w:rPr>
              <w:t>Value of Plan Assets</w:t>
            </w:r>
          </w:p>
        </w:tc>
        <w:tc>
          <w:tcPr>
            <w:tcW w:w="1140" w:type="dxa"/>
            <w:vAlign w:val="bottom"/>
            <w:tcBorders>
              <w:bottom w:val="single" w:sz="8" w:color="auto"/>
            </w:tcBorders>
          </w:tcPr>
          <w:p>
            <w:pPr>
              <w:spacing w:after="0"/>
              <w:rPr>
                <w:sz w:val="21"/>
                <w:szCs w:val="21"/>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41"/>
              <w:spacing w:after="0" w:line="223" w:lineRule="exact"/>
              <w:rPr>
                <w:sz w:val="20"/>
                <w:szCs w:val="20"/>
                <w:color w:val="auto"/>
              </w:rPr>
            </w:pPr>
            <w:r>
              <w:rPr>
                <w:rFonts w:ascii="Arial" w:cs="Arial" w:eastAsia="Arial" w:hAnsi="Arial"/>
                <w:sz w:val="20"/>
                <w:szCs w:val="20"/>
                <w:color w:val="auto"/>
              </w:rPr>
              <w:t>2018</w:t>
            </w: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1"/>
              <w:spacing w:after="0" w:line="223" w:lineRule="exact"/>
              <w:rPr>
                <w:sz w:val="20"/>
                <w:szCs w:val="20"/>
                <w:color w:val="auto"/>
              </w:rPr>
            </w:pPr>
            <w:r>
              <w:rPr>
                <w:rFonts w:ascii="Arial" w:cs="Arial" w:eastAsia="Arial" w:hAnsi="Arial"/>
                <w:sz w:val="20"/>
                <w:szCs w:val="20"/>
                <w:color w:val="auto"/>
              </w:rPr>
              <w:t>2017</w:t>
            </w:r>
          </w:p>
        </w:tc>
      </w:tr>
      <w:tr>
        <w:trPr>
          <w:trHeight w:val="223"/>
        </w:trPr>
        <w:tc>
          <w:tcPr>
            <w:tcW w:w="608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Accumulated benefit obligation</w:t>
            </w:r>
          </w:p>
        </w:tc>
        <w:tc>
          <w:tcPr>
            <w:tcW w:w="640" w:type="dxa"/>
            <w:vAlign w:val="bottom"/>
            <w:shd w:val="clear" w:color="auto" w:fill="CCEEFF"/>
          </w:tcPr>
          <w:p>
            <w:pPr>
              <w:jc w:val="right"/>
              <w:ind w:right="241"/>
              <w:spacing w:after="0" w:line="223" w:lineRule="exact"/>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264,876</w:t>
            </w:r>
          </w:p>
        </w:tc>
        <w:tc>
          <w:tcPr>
            <w:tcW w:w="800" w:type="dxa"/>
            <w:vAlign w:val="bottom"/>
            <w:shd w:val="clear" w:color="auto" w:fill="CCEEFF"/>
          </w:tcPr>
          <w:p>
            <w:pPr>
              <w:jc w:val="right"/>
              <w:ind w:right="481"/>
              <w:spacing w:after="0" w:line="223" w:lineRule="exact"/>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301,473</w:t>
            </w:r>
          </w:p>
        </w:tc>
      </w:tr>
      <w:tr>
        <w:trPr>
          <w:trHeight w:val="250"/>
        </w:trPr>
        <w:tc>
          <w:tcPr>
            <w:tcW w:w="6080" w:type="dxa"/>
            <w:vAlign w:val="bottom"/>
          </w:tcPr>
          <w:p>
            <w:pPr>
              <w:spacing w:after="0"/>
              <w:rPr>
                <w:sz w:val="20"/>
                <w:szCs w:val="20"/>
                <w:color w:val="auto"/>
              </w:rPr>
            </w:pPr>
            <w:r>
              <w:rPr>
                <w:rFonts w:ascii="Arial" w:cs="Arial" w:eastAsia="Arial" w:hAnsi="Arial"/>
                <w:sz w:val="20"/>
                <w:szCs w:val="20"/>
                <w:color w:val="auto"/>
              </w:rPr>
              <w:t>Fair value of plan assets</w:t>
            </w:r>
          </w:p>
        </w:tc>
        <w:tc>
          <w:tcPr>
            <w:tcW w:w="64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239,007</w:t>
            </w:r>
          </w:p>
        </w:tc>
        <w:tc>
          <w:tcPr>
            <w:tcW w:w="8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270,353</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components of net periodic benefit costs for the years ended December 31,:</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w w:val="93"/>
              </w:rPr>
              <w:t>Pension Benefits</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Other Post-retirement Benefits</w:t>
            </w:r>
          </w:p>
        </w:tc>
        <w:tc>
          <w:tcPr>
            <w:tcW w:w="600" w:type="dxa"/>
            <w:vAlign w:val="bottom"/>
            <w:tcBorders>
              <w:bottom w:val="single" w:sz="8" w:color="auto"/>
            </w:tcBorders>
          </w:tcPr>
          <w:p>
            <w:pPr>
              <w:spacing w:after="0"/>
              <w:rPr>
                <w:sz w:val="14"/>
                <w:szCs w:val="14"/>
                <w:color w:val="auto"/>
              </w:rPr>
            </w:pPr>
          </w:p>
        </w:tc>
      </w:tr>
      <w:tr>
        <w:trPr>
          <w:trHeight w:val="210"/>
        </w:trPr>
        <w:tc>
          <w:tcPr>
            <w:tcW w:w="35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2016</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3,249</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3,174</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1,049</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1,020</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Interest cost</w:t>
            </w:r>
          </w:p>
        </w:tc>
        <w:tc>
          <w:tcPr>
            <w:tcW w:w="380" w:type="dxa"/>
            <w:vAlign w:val="bottom"/>
          </w:tcPr>
          <w:p>
            <w:pPr>
              <w:spacing w:after="0"/>
              <w:rPr>
                <w:sz w:val="19"/>
                <w:szCs w:val="19"/>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11,495</w:t>
            </w:r>
          </w:p>
        </w:tc>
        <w:tc>
          <w:tcPr>
            <w:tcW w:w="340" w:type="dxa"/>
            <w:vAlign w:val="bottom"/>
          </w:tcPr>
          <w:p>
            <w:pPr>
              <w:spacing w:after="0"/>
              <w:rPr>
                <w:sz w:val="19"/>
                <w:szCs w:val="19"/>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12,434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13,038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2,831</w:t>
            </w:r>
          </w:p>
        </w:tc>
        <w:tc>
          <w:tcPr>
            <w:tcW w:w="260" w:type="dxa"/>
            <w:vAlign w:val="bottom"/>
          </w:tcPr>
          <w:p>
            <w:pPr>
              <w:spacing w:after="0"/>
              <w:rPr>
                <w:sz w:val="19"/>
                <w:szCs w:val="19"/>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2,947</w:t>
            </w: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2,927</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Expected return on plan assets</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(17,077)</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(16,910)</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(2,706)</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(2,589)</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w:t>
            </w:r>
          </w:p>
        </w:tc>
      </w:t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Amortization of prior service cost (credit)</w:t>
            </w:r>
          </w:p>
        </w:tc>
        <w:tc>
          <w:tcPr>
            <w:tcW w:w="380" w:type="dxa"/>
            <w:vAlign w:val="bottom"/>
          </w:tcPr>
          <w:p>
            <w:pPr>
              <w:spacing w:after="0"/>
              <w:rPr>
                <w:sz w:val="19"/>
                <w:szCs w:val="19"/>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527</w:t>
            </w:r>
          </w:p>
        </w:tc>
        <w:tc>
          <w:tcPr>
            <w:tcW w:w="340" w:type="dxa"/>
            <w:vAlign w:val="bottom"/>
          </w:tcPr>
          <w:p>
            <w:pPr>
              <w:spacing w:after="0"/>
              <w:rPr>
                <w:sz w:val="19"/>
                <w:szCs w:val="19"/>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260" w:type="dxa"/>
            <w:vAlign w:val="bottom"/>
          </w:tcPr>
          <w:p>
            <w:pPr>
              <w:spacing w:after="0"/>
              <w:rPr>
                <w:sz w:val="19"/>
                <w:szCs w:val="19"/>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(509)</w:t>
            </w: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(549)</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actuarial loss</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7,291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8,003</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1,165</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Settlement loss</w:t>
            </w:r>
          </w:p>
        </w:tc>
        <w:tc>
          <w:tcPr>
            <w:tcW w:w="380" w:type="dxa"/>
            <w:vAlign w:val="bottom"/>
          </w:tcPr>
          <w:p>
            <w:pPr>
              <w:spacing w:after="0"/>
              <w:rPr>
                <w:sz w:val="19"/>
                <w:szCs w:val="19"/>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5,931</w:t>
            </w:r>
          </w:p>
        </w:tc>
        <w:tc>
          <w:tcPr>
            <w:tcW w:w="34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2,895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Special termination benefits</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500" w:type="dxa"/>
            <w:vAlign w:val="bottom"/>
          </w:tcPr>
          <w:p>
            <w:pPr>
              <w:spacing w:after="0"/>
              <w:rPr>
                <w:sz w:val="20"/>
                <w:szCs w:val="20"/>
                <w:color w:val="auto"/>
              </w:rPr>
            </w:pPr>
            <w:r>
              <w:rPr>
                <w:rFonts w:ascii="Arial" w:cs="Arial" w:eastAsia="Arial" w:hAnsi="Arial"/>
                <w:sz w:val="14"/>
                <w:szCs w:val="14"/>
                <w:color w:val="auto"/>
              </w:rPr>
              <w:t>Net periodic benefit cost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10,282</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7,113</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10,235</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1,847</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2,034</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w:t>
            </w:r>
          </w:p>
        </w:tc>
      </w:tr>
    </w:tbl>
    <w:p>
      <w:pPr>
        <w:spacing w:after="0" w:line="213"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Company records the underfunded status of its pension and other post-retirement benefit plans on its consolidated balance sheets and records a regulatory asset for these costs that would otherwise be charged to stockholders’ equity, as the Company anticipates recoverability of the costs through customer rates to be probable. The Company’s pension and other post-retirement benefit plans were underfunded at December 31, 2018 and 2017. Changes in the plans’ funded status will affect the assets and liabilities recorded on the balance sheet. Due to the Company’s regulatory treatment, the recognition of the funded status is recorded as a regulatory asset pursuant to the FASB’s accounting guidance for regulated operations.</w:t>
      </w:r>
    </w:p>
    <w:p>
      <w:pPr>
        <w:spacing w:after="0" w:line="179"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following table provides the amounts recognized in regulatory assets that have not been recognized as components of net periodic benefit cost as of December 31,:</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20" w:type="dxa"/>
            <w:vAlign w:val="bottom"/>
            <w:gridSpan w:val="4"/>
          </w:tcPr>
          <w:p>
            <w:pPr>
              <w:ind w:left="280"/>
              <w:spacing w:after="0"/>
              <w:rPr>
                <w:sz w:val="20"/>
                <w:szCs w:val="20"/>
                <w:color w:val="auto"/>
              </w:rPr>
            </w:pPr>
            <w:r>
              <w:rPr>
                <w:rFonts w:ascii="Arial" w:cs="Arial" w:eastAsia="Arial" w:hAnsi="Arial"/>
                <w:sz w:val="20"/>
                <w:szCs w:val="20"/>
                <w:color w:val="auto"/>
              </w:rPr>
              <w:t>Pension Benefits</w:t>
            </w:r>
          </w:p>
        </w:tc>
        <w:tc>
          <w:tcPr>
            <w:tcW w:w="300" w:type="dxa"/>
            <w:vAlign w:val="bottom"/>
          </w:tcPr>
          <w:p>
            <w:pPr>
              <w:spacing w:after="0"/>
              <w:rPr>
                <w:sz w:val="21"/>
                <w:szCs w:val="21"/>
                <w:color w:val="auto"/>
              </w:rPr>
            </w:pPr>
          </w:p>
        </w:tc>
        <w:tc>
          <w:tcPr>
            <w:tcW w:w="2920" w:type="dxa"/>
            <w:vAlign w:val="bottom"/>
            <w:gridSpan w:val="3"/>
          </w:tcPr>
          <w:p>
            <w:pPr>
              <w:jc w:val="right"/>
              <w:ind w:right="301"/>
              <w:spacing w:after="0"/>
              <w:rPr>
                <w:sz w:val="20"/>
                <w:szCs w:val="20"/>
                <w:color w:val="auto"/>
              </w:rPr>
            </w:pPr>
            <w:r>
              <w:rPr>
                <w:rFonts w:ascii="Arial" w:cs="Arial" w:eastAsia="Arial" w:hAnsi="Arial"/>
                <w:sz w:val="20"/>
                <w:szCs w:val="20"/>
                <w:color w:val="auto"/>
                <w:w w:val="92"/>
              </w:rPr>
              <w:t>Other Post-retirement Benefits</w:t>
            </w:r>
          </w:p>
        </w:tc>
        <w:tc>
          <w:tcPr>
            <w:tcW w:w="20" w:type="dxa"/>
            <w:vAlign w:val="bottom"/>
          </w:tcPr>
          <w:p>
            <w:pPr>
              <w:spacing w:after="0"/>
              <w:rPr>
                <w:sz w:val="21"/>
                <w:szCs w:val="2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23"/>
              <w:spacing w:after="0" w:line="223" w:lineRule="exact"/>
              <w:rPr>
                <w:sz w:val="20"/>
                <w:szCs w:val="20"/>
                <w:color w:val="auto"/>
              </w:rPr>
            </w:pPr>
            <w:r>
              <w:rPr>
                <w:rFonts w:ascii="Arial" w:cs="Arial" w:eastAsia="Arial" w:hAnsi="Arial"/>
                <w:sz w:val="20"/>
                <w:szCs w:val="20"/>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2018</w:t>
            </w:r>
          </w:p>
        </w:tc>
        <w:tc>
          <w:tcPr>
            <w:tcW w:w="5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2017</w:t>
            </w:r>
          </w:p>
        </w:tc>
        <w:tc>
          <w:tcPr>
            <w:tcW w:w="20" w:type="dxa"/>
            <w:vAlign w:val="bottom"/>
          </w:tcPr>
          <w:p>
            <w:pPr>
              <w:spacing w:after="0"/>
              <w:rPr>
                <w:sz w:val="19"/>
                <w:szCs w:val="19"/>
                <w:color w:val="auto"/>
              </w:rPr>
            </w:pPr>
          </w:p>
        </w:tc>
      </w:tr>
      <w:tr>
        <w:trPr>
          <w:trHeight w:val="223"/>
        </w:trPr>
        <w:tc>
          <w:tcPr>
            <w:tcW w:w="396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actuarial loss</w:t>
            </w:r>
          </w:p>
        </w:tc>
        <w:tc>
          <w:tcPr>
            <w:tcW w:w="420" w:type="dxa"/>
            <w:vAlign w:val="bottom"/>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ind w:right="3"/>
              <w:spacing w:after="0" w:line="223" w:lineRule="exact"/>
              <w:rPr>
                <w:sz w:val="20"/>
                <w:szCs w:val="20"/>
                <w:color w:val="auto"/>
              </w:rPr>
            </w:pPr>
            <w:r>
              <w:rPr>
                <w:rFonts w:ascii="Arial" w:cs="Arial" w:eastAsia="Arial" w:hAnsi="Arial"/>
                <w:sz w:val="20"/>
                <w:szCs w:val="20"/>
                <w:color w:val="auto"/>
              </w:rPr>
              <w:t>85,510</w:t>
            </w:r>
          </w:p>
        </w:tc>
        <w:tc>
          <w:tcPr>
            <w:tcW w:w="380" w:type="dxa"/>
            <w:vAlign w:val="bottom"/>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86,750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center"/>
              <w:spacing w:after="0" w:line="223" w:lineRule="exact"/>
              <w:rPr>
                <w:sz w:val="20"/>
                <w:szCs w:val="20"/>
                <w:color w:val="auto"/>
              </w:rPr>
            </w:pPr>
            <w:r>
              <w:rPr>
                <w:rFonts w:ascii="Arial" w:cs="Arial" w:eastAsia="Arial" w:hAnsi="Arial"/>
                <w:sz w:val="20"/>
                <w:szCs w:val="20"/>
                <w:color w:val="auto"/>
                <w:w w:val="88"/>
              </w:rPr>
              <w:t>10,876</w:t>
            </w:r>
          </w:p>
        </w:tc>
        <w:tc>
          <w:tcPr>
            <w:tcW w:w="56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center"/>
              <w:ind w:left="21"/>
              <w:spacing w:after="0" w:line="223" w:lineRule="exact"/>
              <w:rPr>
                <w:sz w:val="20"/>
                <w:szCs w:val="20"/>
                <w:color w:val="auto"/>
              </w:rPr>
            </w:pPr>
            <w:r>
              <w:rPr>
                <w:rFonts w:ascii="Arial" w:cs="Arial" w:eastAsia="Arial" w:hAnsi="Arial"/>
                <w:sz w:val="20"/>
                <w:szCs w:val="20"/>
                <w:color w:val="auto"/>
                <w:w w:val="88"/>
              </w:rPr>
              <w:t>15,724</w:t>
            </w:r>
          </w:p>
        </w:tc>
        <w:tc>
          <w:tcPr>
            <w:tcW w:w="20" w:type="dxa"/>
            <w:vAlign w:val="bottom"/>
          </w:tcPr>
          <w:p>
            <w:pPr>
              <w:spacing w:after="0"/>
              <w:rPr>
                <w:sz w:val="19"/>
                <w:szCs w:val="19"/>
                <w:color w:val="auto"/>
              </w:rPr>
            </w:pPr>
          </w:p>
        </w:tc>
      </w:tr>
      <w:tr>
        <w:trPr>
          <w:trHeight w:val="230"/>
        </w:trPr>
        <w:tc>
          <w:tcPr>
            <w:tcW w:w="396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Prior service cost (credit)</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2,734</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3,262</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(1,360)</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21"/>
              <w:spacing w:after="0"/>
              <w:rPr>
                <w:sz w:val="20"/>
                <w:szCs w:val="20"/>
                <w:color w:val="auto"/>
              </w:rPr>
            </w:pPr>
            <w:r>
              <w:rPr>
                <w:rFonts w:ascii="Arial" w:cs="Arial" w:eastAsia="Arial" w:hAnsi="Arial"/>
                <w:sz w:val="20"/>
                <w:szCs w:val="20"/>
                <w:color w:val="auto"/>
                <w:w w:val="91"/>
              </w:rPr>
              <w:t>(1,869)</w:t>
            </w:r>
          </w:p>
        </w:tc>
        <w:tc>
          <w:tcPr>
            <w:tcW w:w="20" w:type="dxa"/>
            <w:vAlign w:val="bottom"/>
          </w:tcPr>
          <w:p>
            <w:pPr>
              <w:spacing w:after="0"/>
              <w:rPr>
                <w:sz w:val="19"/>
                <w:szCs w:val="19"/>
                <w:color w:val="auto"/>
              </w:rPr>
            </w:pPr>
          </w:p>
        </w:tc>
      </w:tr>
      <w:tr>
        <w:trPr>
          <w:trHeight w:val="230"/>
        </w:trPr>
        <w:tc>
          <w:tcPr>
            <w:tcW w:w="396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Total recognized in regulatory assets</w:t>
            </w:r>
          </w:p>
        </w:tc>
        <w:tc>
          <w:tcPr>
            <w:tcW w:w="42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CCEEFF"/>
          </w:tcPr>
          <w:p>
            <w:pPr>
              <w:jc w:val="right"/>
              <w:ind w:right="3"/>
              <w:spacing w:after="0" w:line="223" w:lineRule="exact"/>
              <w:rPr>
                <w:sz w:val="20"/>
                <w:szCs w:val="20"/>
                <w:color w:val="auto"/>
              </w:rPr>
            </w:pPr>
            <w:r>
              <w:rPr>
                <w:rFonts w:ascii="Arial" w:cs="Arial" w:eastAsia="Arial" w:hAnsi="Arial"/>
                <w:sz w:val="20"/>
                <w:szCs w:val="20"/>
                <w:color w:val="auto"/>
              </w:rPr>
              <w:t>88,244</w:t>
            </w:r>
          </w:p>
        </w:tc>
        <w:tc>
          <w:tcPr>
            <w:tcW w:w="380" w:type="dxa"/>
            <w:vAlign w:val="bottom"/>
            <w:tcBorders>
              <w:bottom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90,012</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7"/>
              </w:rPr>
              <w:t>9,516</w:t>
            </w:r>
          </w:p>
        </w:tc>
        <w:tc>
          <w:tcPr>
            <w:tcW w:w="56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center"/>
              <w:ind w:left="21"/>
              <w:spacing w:after="0" w:line="223" w:lineRule="exact"/>
              <w:rPr>
                <w:sz w:val="20"/>
                <w:szCs w:val="20"/>
                <w:color w:val="auto"/>
              </w:rPr>
            </w:pPr>
            <w:r>
              <w:rPr>
                <w:rFonts w:ascii="Arial" w:cs="Arial" w:eastAsia="Arial" w:hAnsi="Arial"/>
                <w:sz w:val="20"/>
                <w:szCs w:val="20"/>
                <w:color w:val="auto"/>
                <w:w w:val="88"/>
              </w:rPr>
              <w:t>13,855</w:t>
            </w:r>
          </w:p>
        </w:tc>
        <w:tc>
          <w:tcPr>
            <w:tcW w:w="20" w:type="dxa"/>
            <w:vAlign w:val="bottom"/>
          </w:tcPr>
          <w:p>
            <w:pPr>
              <w:spacing w:after="0"/>
              <w:rPr>
                <w:sz w:val="20"/>
                <w:szCs w:val="20"/>
                <w:color w:val="auto"/>
              </w:rPr>
            </w:pPr>
          </w:p>
        </w:tc>
      </w:tr>
      <w:tr>
        <w:trPr>
          <w:trHeight w:val="878"/>
        </w:trPr>
        <w:tc>
          <w:tcPr>
            <w:tcW w:w="3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123"/>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9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39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following table provides the estimated net actuarial loss and prior service cost for the Company’s pension plans that will be amortized from regulatory asset into net periodic benefit cost for the year ending December 31, 2018:</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8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Pension Benefits</w:t>
            </w:r>
          </w:p>
        </w:tc>
        <w:tc>
          <w:tcPr>
            <w:tcW w:w="50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70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w w:val="94"/>
              </w:rPr>
              <w:t>Other Post-retirement Benefits</w:t>
            </w:r>
          </w:p>
        </w:tc>
      </w:tr>
      <w:tr>
        <w:trPr>
          <w:trHeight w:val="223"/>
        </w:trPr>
        <w:tc>
          <w:tcPr>
            <w:tcW w:w="488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actuarial loss</w:t>
            </w:r>
          </w:p>
        </w:tc>
        <w:tc>
          <w:tcPr>
            <w:tcW w:w="1820" w:type="dxa"/>
            <w:vAlign w:val="bottom"/>
            <w:shd w:val="clear" w:color="auto" w:fill="CCEEFF"/>
          </w:tcPr>
          <w:p>
            <w:pPr>
              <w:jc w:val="right"/>
              <w:ind w:right="1441"/>
              <w:spacing w:after="0" w:line="223" w:lineRule="exact"/>
              <w:rPr>
                <w:sz w:val="20"/>
                <w:szCs w:val="20"/>
                <w:color w:val="auto"/>
              </w:rPr>
            </w:pPr>
            <w:r>
              <w:rPr>
                <w:rFonts w:ascii="Arial" w:cs="Arial" w:eastAsia="Arial" w:hAnsi="Arial"/>
                <w:sz w:val="20"/>
                <w:szCs w:val="20"/>
                <w:color w:val="auto"/>
              </w:rPr>
              <w:t>$</w:t>
            </w:r>
          </w:p>
        </w:tc>
        <w:tc>
          <w:tcPr>
            <w:tcW w:w="5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83"/>
              </w:rPr>
              <w:t>7,927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81"/>
              <w:spacing w:after="0" w:line="223" w:lineRule="exact"/>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664</w:t>
            </w:r>
          </w:p>
        </w:tc>
      </w:tr>
      <w:tr>
        <w:trPr>
          <w:trHeight w:val="250"/>
        </w:trPr>
        <w:tc>
          <w:tcPr>
            <w:tcW w:w="4880" w:type="dxa"/>
            <w:vAlign w:val="bottom"/>
          </w:tcPr>
          <w:p>
            <w:pPr>
              <w:spacing w:after="0"/>
              <w:rPr>
                <w:sz w:val="20"/>
                <w:szCs w:val="20"/>
                <w:color w:val="auto"/>
              </w:rPr>
            </w:pPr>
            <w:r>
              <w:rPr>
                <w:rFonts w:ascii="Arial" w:cs="Arial" w:eastAsia="Arial" w:hAnsi="Arial"/>
                <w:sz w:val="20"/>
                <w:szCs w:val="20"/>
                <w:color w:val="auto"/>
              </w:rPr>
              <w:t>Prior service cost (credit)</w:t>
            </w:r>
          </w:p>
        </w:tc>
        <w:tc>
          <w:tcPr>
            <w:tcW w:w="1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620</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(464)</w:t>
            </w:r>
          </w:p>
        </w:tc>
      </w:tr>
    </w:tbl>
    <w:p>
      <w:pPr>
        <w:spacing w:after="0" w:line="192"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Accounting for pensions and other post-retirement benefits requires an extensive use of assumptions about the discount rate, expected return on plan assets, the rate of future compensation increases received by the Company’s employees, mortality, turnover and medical costs. Each assumption is reviewed annually with assistance from the Company’s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 expense that the Company recognizes.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The significant assumptions related to the Company’s benefit obligations are as follows: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70"/>
              <w:spacing w:after="0"/>
              <w:rPr>
                <w:sz w:val="20"/>
                <w:szCs w:val="20"/>
                <w:color w:val="auto"/>
              </w:rPr>
            </w:pPr>
            <w:r>
              <w:rPr>
                <w:rFonts w:ascii="Arial" w:cs="Arial" w:eastAsia="Arial" w:hAnsi="Arial"/>
                <w:sz w:val="18"/>
                <w:szCs w:val="18"/>
                <w:color w:val="auto"/>
              </w:rPr>
              <w:t>Other Post-</w:t>
            </w:r>
          </w:p>
        </w:tc>
      </w:tr>
      <w:tr>
        <w:trPr>
          <w:trHeight w:val="230"/>
        </w:trPr>
        <w:tc>
          <w:tcPr>
            <w:tcW w:w="6660" w:type="dxa"/>
            <w:vAlign w:val="bottom"/>
          </w:tcPr>
          <w:p>
            <w:pPr>
              <w:spacing w:after="0"/>
              <w:rPr>
                <w:sz w:val="20"/>
                <w:szCs w:val="20"/>
                <w:color w:val="auto"/>
              </w:rPr>
            </w:pPr>
          </w:p>
        </w:tc>
        <w:tc>
          <w:tcPr>
            <w:tcW w:w="1920" w:type="dxa"/>
            <w:vAlign w:val="bottom"/>
            <w:gridSpan w:val="3"/>
          </w:tcPr>
          <w:p>
            <w:pPr>
              <w:jc w:val="right"/>
              <w:ind w:right="420"/>
              <w:spacing w:after="0"/>
              <w:rPr>
                <w:sz w:val="20"/>
                <w:szCs w:val="20"/>
                <w:color w:val="auto"/>
              </w:rPr>
            </w:pPr>
            <w:r>
              <w:rPr>
                <w:rFonts w:ascii="Arial" w:cs="Arial" w:eastAsia="Arial" w:hAnsi="Arial"/>
                <w:sz w:val="18"/>
                <w:szCs w:val="18"/>
                <w:color w:val="auto"/>
              </w:rPr>
              <w:t>Pension Benefits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w w:val="95"/>
              </w:rPr>
              <w:t>retirement Benefits</w:t>
            </w:r>
          </w:p>
        </w:tc>
      </w:tr>
      <w:tr>
        <w:trPr>
          <w:trHeight w:val="210"/>
        </w:trPr>
        <w:tc>
          <w:tcPr>
            <w:tcW w:w="66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r>
      <w:tr>
        <w:trPr>
          <w:trHeight w:val="439"/>
        </w:trPr>
        <w:tc>
          <w:tcPr>
            <w:tcW w:w="6660" w:type="dxa"/>
            <w:vAlign w:val="bottom"/>
          </w:tcPr>
          <w:p>
            <w:pPr>
              <w:spacing w:after="0"/>
              <w:rPr>
                <w:sz w:val="20"/>
                <w:szCs w:val="20"/>
                <w:color w:val="auto"/>
              </w:rPr>
            </w:pPr>
            <w:r>
              <w:rPr>
                <w:rFonts w:ascii="Arial" w:cs="Arial" w:eastAsia="Arial" w:hAnsi="Arial"/>
                <w:sz w:val="18"/>
                <w:szCs w:val="18"/>
                <w:color w:val="auto"/>
                <w:w w:val="91"/>
              </w:rPr>
              <w:t>Weighted Average Assumptions Used to Determine Benefit Obligations as of December 31,</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6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Discount rate</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6660" w:type="dxa"/>
            <w:vAlign w:val="bottom"/>
          </w:tcPr>
          <w:p>
            <w:pPr>
              <w:ind w:left="100"/>
              <w:spacing w:after="0"/>
              <w:rPr>
                <w:sz w:val="20"/>
                <w:szCs w:val="20"/>
                <w:color w:val="auto"/>
              </w:rPr>
            </w:pPr>
            <w:r>
              <w:rPr>
                <w:rFonts w:ascii="Arial" w:cs="Arial" w:eastAsia="Arial" w:hAnsi="Arial"/>
                <w:sz w:val="18"/>
                <w:szCs w:val="18"/>
                <w:color w:val="auto"/>
              </w:rPr>
              <w:t>Rate of compensation increase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3.0-4.0%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3.0-4.0%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458"/>
        </w:trPr>
        <w:tc>
          <w:tcPr>
            <w:tcW w:w="6660" w:type="dxa"/>
            <w:vAlign w:val="bottom"/>
          </w:tcPr>
          <w:p>
            <w:pPr>
              <w:spacing w:after="0"/>
              <w:rPr>
                <w:sz w:val="20"/>
                <w:szCs w:val="20"/>
                <w:color w:val="auto"/>
              </w:rPr>
            </w:pPr>
            <w:r>
              <w:rPr>
                <w:rFonts w:ascii="Arial" w:cs="Arial" w:eastAsia="Arial" w:hAnsi="Arial"/>
                <w:sz w:val="18"/>
                <w:szCs w:val="18"/>
                <w:color w:val="auto"/>
                <w:w w:val="98"/>
              </w:rPr>
              <w:t>Assumed Health Care Cost Trend Rates Used to Determine Benefit Obligations as of</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December 31,</w:t>
            </w: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0"/>
        </w:trPr>
        <w:tc>
          <w:tcPr>
            <w:tcW w:w="6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Health care cost trend rate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6660" w:type="dxa"/>
            <w:vAlign w:val="bottom"/>
          </w:tcPr>
          <w:p>
            <w:pPr>
              <w:ind w:left="100"/>
              <w:spacing w:after="0"/>
              <w:rPr>
                <w:sz w:val="20"/>
                <w:szCs w:val="20"/>
                <w:color w:val="auto"/>
              </w:rPr>
            </w:pPr>
            <w:r>
              <w:rPr>
                <w:rFonts w:ascii="Arial" w:cs="Arial" w:eastAsia="Arial" w:hAnsi="Arial"/>
                <w:sz w:val="18"/>
                <w:szCs w:val="18"/>
                <w:color w:val="auto"/>
              </w:rPr>
              <w:t>Rate to which the cost trend is assumed to decline (the ultimate trend rate)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Year that the rate reaches the ultimate trend rate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 – Assumption is not applicable.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 significant assumptions related to the Company’s net periodic benefit costs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Pension Benefits</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Other Post-retirement Benefits</w:t>
            </w:r>
          </w:p>
        </w:tc>
        <w:tc>
          <w:tcPr>
            <w:tcW w:w="0" w:type="dxa"/>
            <w:vAlign w:val="bottom"/>
          </w:tcPr>
          <w:p>
            <w:pPr>
              <w:spacing w:after="0"/>
              <w:rPr>
                <w:sz w:val="1"/>
                <w:szCs w:val="1"/>
                <w:color w:val="auto"/>
              </w:rPr>
            </w:pPr>
          </w:p>
        </w:tc>
      </w:tr>
      <w:tr>
        <w:trPr>
          <w:trHeight w:val="25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 Average Assumptions Used to Determine Net</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2016</w:t>
            </w:r>
          </w:p>
        </w:tc>
        <w:tc>
          <w:tcPr>
            <w:tcW w:w="160" w:type="dxa"/>
            <w:vAlign w:val="bottom"/>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82"/>
        </w:trPr>
        <w:tc>
          <w:tcPr>
            <w:tcW w:w="412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w w:val="95"/>
              </w:rPr>
              <w:t>Periodic Benefit Costs for Years Ended December 31,</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Discount rate</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3.66%</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3.73%</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6.75%</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7.00%</w:t>
            </w:r>
          </w:p>
        </w:tc>
        <w:tc>
          <w:tcPr>
            <w:tcW w:w="680" w:type="dxa"/>
            <w:vAlign w:val="bottom"/>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23"/>
                <w:szCs w:val="23"/>
                <w:color w:val="auto"/>
              </w:rPr>
            </w:pP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rPr>
              <w:t>4.25-6.75%   4.67-7.00%</w:t>
            </w:r>
          </w:p>
        </w:tc>
        <w:tc>
          <w:tcPr>
            <w:tcW w:w="960" w:type="dxa"/>
            <w:vAlign w:val="bottom"/>
          </w:tcPr>
          <w:p>
            <w:pPr>
              <w:jc w:val="right"/>
              <w:spacing w:after="0"/>
              <w:rPr>
                <w:sz w:val="20"/>
                <w:szCs w:val="20"/>
                <w:color w:val="auto"/>
              </w:rPr>
            </w:pPr>
            <w:r>
              <w:rPr>
                <w:rFonts w:ascii="Arial" w:cs="Arial" w:eastAsia="Arial" w:hAnsi="Arial"/>
                <w:sz w:val="18"/>
                <w:szCs w:val="18"/>
                <w:color w:val="auto"/>
              </w:rPr>
              <w:t>4.83-7.25%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Rate of compensation increase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3.0-4.0%</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3.0-4.0%</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4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Assumed Health Care Cost Trend Rates Used to</w:t>
            </w:r>
          </w:p>
        </w:tc>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4"/>
              </w:rPr>
              <w:t>Determine Net Periodic Benefit Costs for Years Ended</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10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Health care cost trend rate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1"/>
              </w:rPr>
              <w:t>Rate to which the cost trend is assumed to decline (the</w:t>
            </w:r>
          </w:p>
        </w:tc>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ultimate trend rate)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Year that the rate reaches the ultimate trend rate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2023</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2021</w:t>
            </w:r>
          </w:p>
        </w:tc>
        <w:tc>
          <w:tcPr>
            <w:tcW w:w="96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 – Assumption is not applicable</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Assumed health-care trend rates have a significant effect on the expense and liabilities for other post-retirement benefit</w:t>
      </w:r>
    </w:p>
    <w:p>
      <w:pPr>
        <w:spacing w:after="0" w:line="27" w:lineRule="exact"/>
        <w:rPr>
          <w:sz w:val="20"/>
          <w:szCs w:val="20"/>
          <w:color w:val="auto"/>
        </w:rPr>
      </w:pPr>
    </w:p>
    <w:p>
      <w:pPr>
        <w:jc w:val="both"/>
        <w:ind w:right="40"/>
        <w:spacing w:after="0" w:line="244" w:lineRule="auto"/>
        <w:rPr>
          <w:sz w:val="20"/>
          <w:szCs w:val="20"/>
          <w:color w:val="auto"/>
        </w:rPr>
      </w:pPr>
      <w:r>
        <w:rPr>
          <w:rFonts w:ascii="Arial" w:cs="Arial" w:eastAsia="Arial" w:hAnsi="Arial"/>
          <w:sz w:val="20"/>
          <w:szCs w:val="20"/>
          <w:color w:val="auto"/>
        </w:rPr>
        <w:t>plans. The health care trend rate is based on historical rates and expected market conditions. A one-percentage point change in the assumed health-care cost trend rates would have the following effects: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1-Percentage-</w:t>
            </w:r>
          </w:p>
        </w:tc>
        <w:tc>
          <w:tcPr>
            <w:tcW w:w="1460" w:type="dxa"/>
            <w:vAlign w:val="bottom"/>
            <w:gridSpan w:val="2"/>
          </w:tcPr>
          <w:p>
            <w:pPr>
              <w:jc w:val="right"/>
              <w:ind w:right="81"/>
              <w:spacing w:after="0"/>
              <w:rPr>
                <w:sz w:val="20"/>
                <w:szCs w:val="20"/>
                <w:color w:val="auto"/>
              </w:rPr>
            </w:pPr>
            <w:r>
              <w:rPr>
                <w:rFonts w:ascii="Arial" w:cs="Arial" w:eastAsia="Arial" w:hAnsi="Arial"/>
                <w:sz w:val="20"/>
                <w:szCs w:val="20"/>
                <w:color w:val="auto"/>
                <w:w w:val="99"/>
              </w:rPr>
              <w:t>1-Percentage-</w:t>
            </w:r>
          </w:p>
        </w:tc>
        <w:tc>
          <w:tcPr>
            <w:tcW w:w="0" w:type="dxa"/>
            <w:vAlign w:val="bottom"/>
          </w:tcPr>
          <w:p>
            <w:pPr>
              <w:spacing w:after="0"/>
              <w:rPr>
                <w:sz w:val="1"/>
                <w:szCs w:val="1"/>
                <w:color w:val="auto"/>
              </w:rPr>
            </w:pPr>
          </w:p>
        </w:tc>
      </w:tr>
      <w:tr>
        <w:trPr>
          <w:trHeight w:val="246"/>
        </w:trPr>
        <w:tc>
          <w:tcPr>
            <w:tcW w:w="7080" w:type="dxa"/>
            <w:vAlign w:val="bottom"/>
          </w:tcPr>
          <w:p>
            <w:pPr>
              <w:spacing w:after="0"/>
              <w:rPr>
                <w:sz w:val="21"/>
                <w:szCs w:val="21"/>
                <w:color w:val="auto"/>
              </w:rPr>
            </w:pP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Point Increase</w:t>
            </w:r>
          </w:p>
        </w:tc>
        <w:tc>
          <w:tcPr>
            <w:tcW w:w="1460" w:type="dxa"/>
            <w:vAlign w:val="bottom"/>
            <w:gridSpan w:val="2"/>
          </w:tcPr>
          <w:p>
            <w:pPr>
              <w:jc w:val="right"/>
              <w:ind w:right="41"/>
              <w:spacing w:after="0"/>
              <w:rPr>
                <w:sz w:val="20"/>
                <w:szCs w:val="20"/>
                <w:color w:val="auto"/>
              </w:rPr>
            </w:pPr>
            <w:r>
              <w:rPr>
                <w:rFonts w:ascii="Arial" w:cs="Arial" w:eastAsia="Arial" w:hAnsi="Arial"/>
                <w:sz w:val="20"/>
                <w:szCs w:val="20"/>
                <w:color w:val="auto"/>
                <w:w w:val="95"/>
              </w:rPr>
              <w:t>Point Decrease</w:t>
            </w:r>
          </w:p>
        </w:tc>
        <w:tc>
          <w:tcPr>
            <w:tcW w:w="0" w:type="dxa"/>
            <w:vAlign w:val="bottom"/>
          </w:tcPr>
          <w:p>
            <w:pPr>
              <w:spacing w:after="0"/>
              <w:rPr>
                <w:sz w:val="1"/>
                <w:szCs w:val="1"/>
                <w:color w:val="auto"/>
              </w:rPr>
            </w:pPr>
          </w:p>
        </w:tc>
      </w:tr>
      <w:tr>
        <w:trPr>
          <w:trHeight w:val="193"/>
        </w:trPr>
        <w:tc>
          <w:tcPr>
            <w:tcW w:w="70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20"/>
                <w:szCs w:val="20"/>
                <w:color w:val="auto"/>
                <w:w w:val="99"/>
              </w:rPr>
              <w:t>Effect on the health-care component of the accrued other post-retirement benefit</w:t>
            </w:r>
          </w:p>
        </w:tc>
        <w:tc>
          <w:tcPr>
            <w:tcW w:w="520" w:type="dxa"/>
            <w:vAlign w:val="bottom"/>
            <w:tcBorders>
              <w:top w:val="single" w:sz="8" w:color="auto"/>
            </w:tcBorders>
            <w:vMerge w:val="restart"/>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4,348</w:t>
            </w:r>
          </w:p>
        </w:tc>
        <w:tc>
          <w:tcPr>
            <w:tcW w:w="2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vMerge w:val="restart"/>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(3,917)</w:t>
            </w:r>
          </w:p>
        </w:tc>
        <w:tc>
          <w:tcPr>
            <w:tcW w:w="0" w:type="dxa"/>
            <w:vAlign w:val="bottom"/>
          </w:tcPr>
          <w:p>
            <w:pPr>
              <w:spacing w:after="0"/>
              <w:rPr>
                <w:sz w:val="1"/>
                <w:szCs w:val="1"/>
                <w:color w:val="auto"/>
              </w:rPr>
            </w:pPr>
          </w:p>
        </w:tc>
      </w:tr>
      <w:tr>
        <w:trPr>
          <w:trHeight w:val="253"/>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obligation</w:t>
            </w:r>
          </w:p>
        </w:tc>
        <w:tc>
          <w:tcPr>
            <w:tcW w:w="52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line="186" w:lineRule="exact"/>
              <w:rPr>
                <w:sz w:val="20"/>
                <w:szCs w:val="20"/>
                <w:color w:val="auto"/>
              </w:rPr>
            </w:pPr>
            <w:r>
              <w:rPr>
                <w:rFonts w:ascii="Arial" w:cs="Arial" w:eastAsia="Arial" w:hAnsi="Arial"/>
                <w:sz w:val="20"/>
                <w:szCs w:val="20"/>
                <w:color w:val="auto"/>
                <w:w w:val="90"/>
              </w:rPr>
              <w:t>Effect on aggregate service and interest cost components of net periodic post-retirement</w:t>
            </w:r>
          </w:p>
        </w:tc>
        <w:tc>
          <w:tcPr>
            <w:tcW w:w="520" w:type="dxa"/>
            <w:vAlign w:val="bottom"/>
            <w:vMerge w:val="restart"/>
          </w:tcPr>
          <w:p>
            <w:pPr>
              <w:jc w:val="right"/>
              <w:ind w:right="241"/>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255</w:t>
            </w:r>
          </w:p>
        </w:tc>
        <w:tc>
          <w:tcPr>
            <w:tcW w:w="240" w:type="dxa"/>
            <w:vAlign w:val="bottom"/>
          </w:tcPr>
          <w:p>
            <w:pPr>
              <w:spacing w:after="0"/>
              <w:rPr>
                <w:sz w:val="16"/>
                <w:szCs w:val="16"/>
                <w:color w:val="auto"/>
              </w:rPr>
            </w:pPr>
          </w:p>
        </w:tc>
        <w:tc>
          <w:tcPr>
            <w:tcW w:w="520" w:type="dxa"/>
            <w:vAlign w:val="bottom"/>
            <w:vMerge w:val="restart"/>
          </w:tcPr>
          <w:p>
            <w:pPr>
              <w:jc w:val="right"/>
              <w:ind w:right="241"/>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(233)</w:t>
            </w:r>
          </w:p>
        </w:tc>
        <w:tc>
          <w:tcPr>
            <w:tcW w:w="0" w:type="dxa"/>
            <w:vAlign w:val="bottom"/>
          </w:tcPr>
          <w:p>
            <w:pPr>
              <w:spacing w:after="0"/>
              <w:rPr>
                <w:sz w:val="1"/>
                <w:szCs w:val="1"/>
                <w:color w:val="auto"/>
              </w:rPr>
            </w:pPr>
          </w:p>
        </w:tc>
      </w:tr>
      <w:tr>
        <w:trPr>
          <w:trHeight w:val="245"/>
        </w:trPr>
        <w:tc>
          <w:tcPr>
            <w:tcW w:w="7080" w:type="dxa"/>
            <w:vAlign w:val="bottom"/>
          </w:tcPr>
          <w:p>
            <w:pPr>
              <w:spacing w:after="0"/>
              <w:rPr>
                <w:sz w:val="20"/>
                <w:szCs w:val="20"/>
                <w:color w:val="auto"/>
              </w:rPr>
            </w:pPr>
            <w:r>
              <w:rPr>
                <w:rFonts w:ascii="Arial" w:cs="Arial" w:eastAsia="Arial" w:hAnsi="Arial"/>
                <w:sz w:val="20"/>
                <w:szCs w:val="20"/>
                <w:color w:val="auto"/>
              </w:rPr>
              <w:t>health-care benefit cost</w:t>
            </w:r>
          </w:p>
        </w:tc>
        <w:tc>
          <w:tcPr>
            <w:tcW w:w="5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Company’s discount rate assumption, which is utilized to calculate the present value of the projected benefit payments of our post-retirement benefits, was determined by selecting a hypothetical portfolio of high quality corporate bonds appropriate to match the projected benefit payments of the plans. The selected bond portfolio was derived from a universe of Aa-graded corporate bonds, all of which were noncallable (or callable with make-whole provisions), and have at least $50,000 in outstanding value. The discount rate was then developed as the rate that equates the market value of the bonds purchased to the discounted value of the plan’s benefit payments. The Company’s pension expense and liability (benefit obligations) increases as the discount rate is reduced.</w:t>
      </w:r>
    </w:p>
    <w:p>
      <w:pPr>
        <w:spacing w:after="0" w:line="207"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The Company’s expected return on plan assets is determined by evaluating the asset class return expectations with its advisors as well as actual, long-term, historical results of our asset returns. The Company’s market related value of plan assets is equal to the fair value of the plan’s assets as of the last day of its fiscal year, and is a determinant for the expected return on plan assets which is a component of post-retirement benefits expense. The Company’s pension expense increases as the expected return on plan assets decreases. For 2018, the Company used a 6.75% expected return on plan assets assumption which will decrease to 6.50% for 2019. The Company believes its actual long-term asset allocation on average will approximate the targeted allocation. The Company’s investment strategy is to earn a reasonable rate of return while maintaining risk at acceptable levels. Risk is managed through fixed income investments to manage interest rate exposures that impact the valuation of liabilities and through the diversification of investments across and within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various asset categories. Investment returns are compared to a total plan benchmark constructed by applying the plan’s asset allocation target weightings to passive index returns representative of the respective asset classes in which the plan invests. The Retirement and Employee Benefits Committee meets quarterly to review plan investments and management monitors investment performance quarterly through a performance report prepared by an external consulting firm.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Company’s pension plan asset allocation and the target allocation by asset class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5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360" w:type="dxa"/>
            <w:vAlign w:val="bottom"/>
            <w:gridSpan w:val="3"/>
          </w:tcPr>
          <w:p>
            <w:pPr>
              <w:ind w:left="840"/>
              <w:spacing w:after="0"/>
              <w:rPr>
                <w:sz w:val="20"/>
                <w:szCs w:val="20"/>
                <w:color w:val="auto"/>
              </w:rPr>
            </w:pPr>
            <w:r>
              <w:rPr>
                <w:rFonts w:ascii="Arial" w:cs="Arial" w:eastAsia="Arial" w:hAnsi="Arial"/>
                <w:sz w:val="20"/>
                <w:szCs w:val="20"/>
                <w:color w:val="auto"/>
              </w:rPr>
              <w:t>Percentage of Plan Assets at December 31,</w:t>
            </w:r>
          </w:p>
        </w:tc>
      </w:tr>
      <w:tr>
        <w:trPr>
          <w:trHeight w:val="250"/>
        </w:trPr>
        <w:tc>
          <w:tcPr>
            <w:tcW w:w="2540" w:type="dxa"/>
            <w:vAlign w:val="bottom"/>
          </w:tcPr>
          <w:p>
            <w:pPr>
              <w:spacing w:after="0"/>
              <w:rPr>
                <w:sz w:val="21"/>
                <w:szCs w:val="21"/>
                <w:color w:val="auto"/>
              </w:rPr>
            </w:pPr>
          </w:p>
        </w:tc>
        <w:tc>
          <w:tcPr>
            <w:tcW w:w="2220" w:type="dxa"/>
            <w:vAlign w:val="bottom"/>
            <w:gridSpan w:val="2"/>
          </w:tcPr>
          <w:p>
            <w:pPr>
              <w:ind w:left="280"/>
              <w:spacing w:after="0"/>
              <w:rPr>
                <w:sz w:val="20"/>
                <w:szCs w:val="20"/>
                <w:color w:val="auto"/>
              </w:rPr>
            </w:pPr>
            <w:r>
              <w:rPr>
                <w:rFonts w:ascii="Arial" w:cs="Arial" w:eastAsia="Arial" w:hAnsi="Arial"/>
                <w:sz w:val="20"/>
                <w:szCs w:val="20"/>
                <w:color w:val="auto"/>
              </w:rPr>
              <w:t>Target Allocation</w:t>
            </w:r>
          </w:p>
        </w:tc>
        <w:tc>
          <w:tcPr>
            <w:tcW w:w="3060" w:type="dxa"/>
            <w:vAlign w:val="bottom"/>
            <w:tcBorders>
              <w:top w:val="single" w:sz="8" w:color="auto"/>
            </w:tcBorders>
          </w:tcPr>
          <w:p>
            <w:pPr>
              <w:jc w:val="right"/>
              <w:ind w:right="1501"/>
              <w:spacing w:after="0"/>
              <w:rPr>
                <w:sz w:val="20"/>
                <w:szCs w:val="20"/>
                <w:color w:val="auto"/>
              </w:rPr>
            </w:pPr>
            <w:r>
              <w:rPr>
                <w:rFonts w:ascii="Arial" w:cs="Arial" w:eastAsia="Arial" w:hAnsi="Arial"/>
                <w:sz w:val="20"/>
                <w:szCs w:val="20"/>
                <w:color w:val="auto"/>
              </w:rPr>
              <w:t>2018</w:t>
            </w:r>
          </w:p>
        </w:tc>
        <w:tc>
          <w:tcPr>
            <w:tcW w:w="2040" w:type="dxa"/>
            <w:vAlign w:val="bottom"/>
            <w:tcBorders>
              <w:top w:val="single" w:sz="8" w:color="auto"/>
            </w:tcBorders>
          </w:tcPr>
          <w:p>
            <w:pPr>
              <w:jc w:val="right"/>
              <w:ind w:right="981"/>
              <w:spacing w:after="0"/>
              <w:rPr>
                <w:sz w:val="20"/>
                <w:szCs w:val="20"/>
                <w:color w:val="auto"/>
              </w:rPr>
            </w:pPr>
            <w:r>
              <w:rPr>
                <w:rFonts w:ascii="Arial" w:cs="Arial" w:eastAsia="Arial" w:hAnsi="Arial"/>
                <w:sz w:val="20"/>
                <w:szCs w:val="20"/>
                <w:color w:val="auto"/>
              </w:rPr>
              <w:t>2017</w:t>
            </w:r>
          </w:p>
        </w:tc>
        <w:tc>
          <w:tcPr>
            <w:tcW w:w="260" w:type="dxa"/>
            <w:vAlign w:val="bottom"/>
          </w:tcPr>
          <w:p>
            <w:pPr>
              <w:spacing w:after="0"/>
              <w:rPr>
                <w:sz w:val="21"/>
                <w:szCs w:val="21"/>
                <w:color w:val="auto"/>
              </w:rPr>
            </w:pPr>
          </w:p>
        </w:tc>
      </w:tr>
      <w:tr>
        <w:trPr>
          <w:trHeight w:val="223"/>
        </w:trPr>
        <w:tc>
          <w:tcPr>
            <w:tcW w:w="25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Return seeking assets</w:t>
            </w:r>
          </w:p>
        </w:tc>
        <w:tc>
          <w:tcPr>
            <w:tcW w:w="1960" w:type="dxa"/>
            <w:vAlign w:val="bottom"/>
            <w:tcBorders>
              <w:top w:val="single" w:sz="8" w:color="auto"/>
            </w:tcBorders>
            <w:shd w:val="clear" w:color="auto" w:fill="CCEEFF"/>
          </w:tcPr>
          <w:p>
            <w:pPr>
              <w:ind w:left="1140"/>
              <w:spacing w:after="0" w:line="223" w:lineRule="exact"/>
              <w:rPr>
                <w:sz w:val="20"/>
                <w:szCs w:val="20"/>
                <w:color w:val="auto"/>
              </w:rPr>
            </w:pPr>
            <w:r>
              <w:rPr>
                <w:rFonts w:ascii="Arial" w:cs="Arial" w:eastAsia="Arial" w:hAnsi="Arial"/>
                <w:sz w:val="20"/>
                <w:szCs w:val="20"/>
                <w:color w:val="auto"/>
                <w:w w:val="88"/>
              </w:rPr>
              <w:t>50 to 70%</w:t>
            </w:r>
          </w:p>
        </w:tc>
        <w:tc>
          <w:tcPr>
            <w:tcW w:w="26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jc w:val="right"/>
              <w:ind w:right="461"/>
              <w:spacing w:after="0" w:line="223" w:lineRule="exact"/>
              <w:rPr>
                <w:sz w:val="20"/>
                <w:szCs w:val="20"/>
                <w:color w:val="auto"/>
              </w:rPr>
            </w:pPr>
            <w:r>
              <w:rPr>
                <w:rFonts w:ascii="Arial" w:cs="Arial" w:eastAsia="Arial" w:hAnsi="Arial"/>
                <w:sz w:val="20"/>
                <w:szCs w:val="20"/>
                <w:color w:val="auto"/>
              </w:rPr>
              <w:t>58%</w:t>
            </w:r>
          </w:p>
        </w:tc>
        <w:tc>
          <w:tcPr>
            <w:tcW w:w="20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64%</w:t>
            </w:r>
          </w:p>
        </w:tc>
        <w:tc>
          <w:tcPr>
            <w:tcW w:w="260" w:type="dxa"/>
            <w:vAlign w:val="bottom"/>
            <w:tcBorders>
              <w:top w:val="single" w:sz="8" w:color="CCEEFF"/>
            </w:tcBorders>
            <w:shd w:val="clear" w:color="auto" w:fill="CCEEFF"/>
          </w:tcPr>
          <w:p>
            <w:pPr>
              <w:spacing w:after="0"/>
              <w:rPr>
                <w:sz w:val="19"/>
                <w:szCs w:val="19"/>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20"/>
                <w:szCs w:val="20"/>
                <w:color w:val="auto"/>
              </w:rPr>
              <w:t>Liability hedging assets</w:t>
            </w:r>
          </w:p>
        </w:tc>
        <w:tc>
          <w:tcPr>
            <w:tcW w:w="2220" w:type="dxa"/>
            <w:vAlign w:val="bottom"/>
            <w:gridSpan w:val="2"/>
          </w:tcPr>
          <w:p>
            <w:pPr>
              <w:ind w:left="1140"/>
              <w:spacing w:after="0"/>
              <w:rPr>
                <w:sz w:val="20"/>
                <w:szCs w:val="20"/>
                <w:color w:val="auto"/>
              </w:rPr>
            </w:pPr>
            <w:r>
              <w:rPr>
                <w:rFonts w:ascii="Arial" w:cs="Arial" w:eastAsia="Arial" w:hAnsi="Arial"/>
                <w:sz w:val="20"/>
                <w:szCs w:val="20"/>
                <w:color w:val="auto"/>
              </w:rPr>
              <w:t>30 to 50%</w:t>
            </w:r>
          </w:p>
        </w:tc>
        <w:tc>
          <w:tcPr>
            <w:tcW w:w="3060" w:type="dxa"/>
            <w:vAlign w:val="bottom"/>
          </w:tcPr>
          <w:p>
            <w:pPr>
              <w:jc w:val="right"/>
              <w:ind w:right="461"/>
              <w:spacing w:after="0"/>
              <w:rPr>
                <w:sz w:val="20"/>
                <w:szCs w:val="20"/>
                <w:color w:val="auto"/>
              </w:rPr>
            </w:pPr>
            <w:r>
              <w:rPr>
                <w:rFonts w:ascii="Arial" w:cs="Arial" w:eastAsia="Arial" w:hAnsi="Arial"/>
                <w:sz w:val="20"/>
                <w:szCs w:val="20"/>
                <w:color w:val="auto"/>
              </w:rPr>
              <w:t>42%</w:t>
            </w:r>
          </w:p>
        </w:tc>
        <w:tc>
          <w:tcPr>
            <w:tcW w:w="2040" w:type="dxa"/>
            <w:vAlign w:val="bottom"/>
          </w:tcPr>
          <w:p>
            <w:pPr>
              <w:jc w:val="right"/>
              <w:spacing w:after="0"/>
              <w:rPr>
                <w:sz w:val="20"/>
                <w:szCs w:val="20"/>
                <w:color w:val="auto"/>
              </w:rPr>
            </w:pPr>
            <w:r>
              <w:rPr>
                <w:rFonts w:ascii="Arial" w:cs="Arial" w:eastAsia="Arial" w:hAnsi="Arial"/>
                <w:sz w:val="20"/>
                <w:szCs w:val="20"/>
                <w:color w:val="auto"/>
              </w:rPr>
              <w:t>36%</w:t>
            </w:r>
          </w:p>
        </w:tc>
        <w:tc>
          <w:tcPr>
            <w:tcW w:w="260" w:type="dxa"/>
            <w:vAlign w:val="bottom"/>
          </w:tcPr>
          <w:p>
            <w:pPr>
              <w:spacing w:after="0"/>
              <w:rPr>
                <w:sz w:val="21"/>
                <w:szCs w:val="21"/>
                <w:color w:val="auto"/>
              </w:rPr>
            </w:pPr>
          </w:p>
        </w:tc>
      </w:tr>
      <w:tr>
        <w:trPr>
          <w:trHeight w:val="230"/>
        </w:trPr>
        <w:tc>
          <w:tcPr>
            <w:tcW w:w="25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Total</w:t>
            </w:r>
          </w:p>
        </w:tc>
        <w:tc>
          <w:tcPr>
            <w:tcW w:w="1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060" w:type="dxa"/>
            <w:vAlign w:val="bottom"/>
            <w:tcBorders>
              <w:top w:val="single" w:sz="8" w:color="auto"/>
              <w:bottom w:val="single" w:sz="8" w:color="auto"/>
            </w:tcBorders>
            <w:shd w:val="clear" w:color="auto" w:fill="CCEEFF"/>
          </w:tcPr>
          <w:p>
            <w:pPr>
              <w:jc w:val="right"/>
              <w:ind w:right="461"/>
              <w:spacing w:after="0" w:line="223" w:lineRule="exact"/>
              <w:rPr>
                <w:sz w:val="20"/>
                <w:szCs w:val="20"/>
                <w:color w:val="auto"/>
              </w:rPr>
            </w:pPr>
            <w:r>
              <w:rPr>
                <w:rFonts w:ascii="Arial" w:cs="Arial" w:eastAsia="Arial" w:hAnsi="Arial"/>
                <w:sz w:val="20"/>
                <w:szCs w:val="20"/>
                <w:color w:val="auto"/>
              </w:rPr>
              <w:t>100%</w:t>
            </w:r>
          </w:p>
        </w:tc>
        <w:tc>
          <w:tcPr>
            <w:tcW w:w="20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the Company’s pension plans’ assets at December 31, 2018 by asset class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Assets measured at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99"/>
              </w:rPr>
              <w:t>Level 2</w:t>
            </w:r>
          </w:p>
        </w:tc>
        <w:tc>
          <w:tcPr>
            <w:tcW w:w="2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9"/>
              </w:rPr>
              <w:t>Level 3</w:t>
            </w:r>
          </w:p>
        </w:tc>
        <w:tc>
          <w:tcPr>
            <w:tcW w:w="260" w:type="dxa"/>
            <w:vAlign w:val="bottom"/>
          </w:tcPr>
          <w:p>
            <w:pPr>
              <w:spacing w:after="0"/>
              <w:rPr>
                <w:sz w:val="20"/>
                <w:szCs w:val="20"/>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NAV (a)</w:t>
            </w:r>
          </w:p>
        </w:tc>
        <w:tc>
          <w:tcPr>
            <w:tcW w:w="3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4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12,268</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Return seeking assets:</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Global equities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48,040</w:t>
            </w:r>
          </w:p>
        </w:tc>
      </w:tr>
      <w:tr>
        <w:trPr>
          <w:trHeight w:val="230"/>
        </w:trPr>
        <w:tc>
          <w:tcPr>
            <w:tcW w:w="3380" w:type="dxa"/>
            <w:vAlign w:val="bottom"/>
          </w:tcPr>
          <w:p>
            <w:pPr>
              <w:ind w:left="100"/>
              <w:spacing w:after="0"/>
              <w:rPr>
                <w:sz w:val="20"/>
                <w:szCs w:val="20"/>
                <w:color w:val="auto"/>
              </w:rPr>
            </w:pPr>
            <w:r>
              <w:rPr>
                <w:rFonts w:ascii="Arial" w:cs="Arial" w:eastAsia="Arial" w:hAnsi="Arial"/>
                <w:sz w:val="18"/>
                <w:szCs w:val="18"/>
                <w:color w:val="auto"/>
              </w:rPr>
              <w:t>Real estate securities</w:t>
            </w:r>
          </w:p>
        </w:tc>
        <w:tc>
          <w:tcPr>
            <w:tcW w:w="4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15,766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15,766</w:t>
            </w:r>
          </w:p>
        </w:tc>
      </w:tr>
      <w:tr>
        <w:trPr>
          <w:trHeight w:val="230"/>
        </w:trPr>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Hedge / diversifying strategies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37,591</w:t>
            </w:r>
          </w:p>
        </w:tc>
      </w:tr>
      <w:tr>
        <w:trPr>
          <w:trHeight w:val="230"/>
        </w:trPr>
        <w:tc>
          <w:tcPr>
            <w:tcW w:w="3380" w:type="dxa"/>
            <w:vAlign w:val="bottom"/>
          </w:tcPr>
          <w:p>
            <w:pPr>
              <w:ind w:left="100"/>
              <w:spacing w:after="0"/>
              <w:rPr>
                <w:sz w:val="20"/>
                <w:szCs w:val="20"/>
                <w:color w:val="auto"/>
              </w:rPr>
            </w:pPr>
            <w:r>
              <w:rPr>
                <w:rFonts w:ascii="Arial" w:cs="Arial" w:eastAsia="Arial" w:hAnsi="Arial"/>
                <w:sz w:val="18"/>
                <w:szCs w:val="18"/>
                <w:color w:val="auto"/>
              </w:rPr>
              <w:t>Credit</w:t>
            </w:r>
          </w:p>
        </w:tc>
        <w:tc>
          <w:tcPr>
            <w:tcW w:w="4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25,772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25,772</w:t>
            </w: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Liability hedging assets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97,756</w:t>
            </w:r>
          </w:p>
        </w:tc>
      </w:tr>
      <w:tr>
        <w:trPr>
          <w:trHeight w:val="230"/>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1,814</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r>
      <w:tr>
        <w:trPr>
          <w:trHeight w:val="217"/>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pension assets</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224,925</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239,007</w:t>
            </w:r>
          </w:p>
        </w:tc>
      </w:tr>
    </w:tbl>
    <w:p>
      <w:pPr>
        <w:spacing w:after="0" w:line="213" w:lineRule="exact"/>
        <w:rPr>
          <w:sz w:val="20"/>
          <w:szCs w:val="20"/>
          <w:color w:val="auto"/>
        </w:rPr>
      </w:pPr>
    </w:p>
    <w:p>
      <w:pPr>
        <w:ind w:left="640" w:right="220" w:hanging="320"/>
        <w:spacing w:after="0" w:line="260" w:lineRule="auto"/>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Assets that are measured at fair value using the NAV per share practical expedient have not been classified in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the Company’s pension plans’ assets at December 31, 2017 by asset class are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Assets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measured at</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vMerge w:val="restart"/>
          </w:tcPr>
          <w:p>
            <w:pPr>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NAV (a)</w:t>
            </w:r>
          </w:p>
        </w:tc>
        <w:tc>
          <w:tcPr>
            <w:tcW w:w="4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500" w:type="dxa"/>
            <w:vAlign w:val="bottom"/>
            <w:vMerge w:val="continue"/>
          </w:tcPr>
          <w:p>
            <w:pPr>
              <w:spacing w:after="0"/>
              <w:rPr>
                <w:sz w:val="18"/>
                <w:szCs w:val="18"/>
                <w:color w:val="auto"/>
              </w:rPr>
            </w:pP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26,902</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Return seeking assets: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00"/>
              <w:spacing w:after="0"/>
              <w:rPr>
                <w:sz w:val="20"/>
                <w:szCs w:val="20"/>
                <w:color w:val="auto"/>
              </w:rPr>
            </w:pPr>
            <w:r>
              <w:rPr>
                <w:rFonts w:ascii="Arial" w:cs="Arial" w:eastAsia="Arial" w:hAnsi="Arial"/>
                <w:sz w:val="18"/>
                <w:szCs w:val="18"/>
                <w:color w:val="auto"/>
              </w:rPr>
              <w:t>Global equities</w:t>
            </w: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66,281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66,281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Real estate securities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30"/>
        </w:trPr>
        <w:tc>
          <w:tcPr>
            <w:tcW w:w="3500" w:type="dxa"/>
            <w:vAlign w:val="bottom"/>
          </w:tcPr>
          <w:p>
            <w:pPr>
              <w:ind w:left="100"/>
              <w:spacing w:after="0"/>
              <w:rPr>
                <w:sz w:val="20"/>
                <w:szCs w:val="20"/>
                <w:color w:val="auto"/>
              </w:rPr>
            </w:pPr>
            <w:r>
              <w:rPr>
                <w:rFonts w:ascii="Arial" w:cs="Arial" w:eastAsia="Arial" w:hAnsi="Arial"/>
                <w:sz w:val="18"/>
                <w:szCs w:val="18"/>
                <w:color w:val="auto"/>
              </w:rPr>
              <w:t>Hedge / diversifying strategies</w:t>
            </w: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38,143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38,143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Liability hedging assets</w:t>
            </w: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91,872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91,872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4,650</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8"/>
                <w:szCs w:val="18"/>
                <w:color w:val="auto"/>
              </w:rPr>
              <w:t>Total pension assets</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31,552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238,801</w:t>
            </w:r>
          </w:p>
        </w:tc>
        <w:tc>
          <w:tcPr>
            <w:tcW w:w="220" w:type="dxa"/>
            <w:vAlign w:val="bottom"/>
          </w:tcPr>
          <w:p>
            <w:pPr>
              <w:spacing w:after="0"/>
              <w:rPr>
                <w:sz w:val="18"/>
                <w:szCs w:val="18"/>
                <w:color w:val="auto"/>
              </w:rPr>
            </w:pP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270,353</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Equity securities include our common stock in the amounts of $12,393 or 5.1% and 16,471 or 6.1% of total pension plans’ assets as of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ind w:right="700"/>
        <w:spacing w:after="0" w:line="260" w:lineRule="auto"/>
        <w:rPr>
          <w:sz w:val="20"/>
          <w:szCs w:val="20"/>
          <w:color w:val="auto"/>
        </w:rPr>
      </w:pPr>
      <w:r>
        <w:rPr>
          <w:rFonts w:ascii="Arial" w:cs="Arial" w:eastAsia="Arial" w:hAnsi="Arial"/>
          <w:sz w:val="20"/>
          <w:szCs w:val="20"/>
          <w:color w:val="auto"/>
        </w:rPr>
        <w:t>The asset allocation for the Company’s other post-retirement benefit plans and the target allocation by asset class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5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360" w:type="dxa"/>
            <w:vAlign w:val="bottom"/>
            <w:gridSpan w:val="3"/>
          </w:tcPr>
          <w:p>
            <w:pPr>
              <w:ind w:left="840"/>
              <w:spacing w:after="0"/>
              <w:rPr>
                <w:sz w:val="20"/>
                <w:szCs w:val="20"/>
                <w:color w:val="auto"/>
              </w:rPr>
            </w:pPr>
            <w:r>
              <w:rPr>
                <w:rFonts w:ascii="Arial" w:cs="Arial" w:eastAsia="Arial" w:hAnsi="Arial"/>
                <w:sz w:val="20"/>
                <w:szCs w:val="20"/>
                <w:color w:val="auto"/>
              </w:rPr>
              <w:t>Percentage of Plan Assets at December 31,</w:t>
            </w:r>
          </w:p>
        </w:tc>
      </w:tr>
      <w:tr>
        <w:trPr>
          <w:trHeight w:val="250"/>
        </w:trPr>
        <w:tc>
          <w:tcPr>
            <w:tcW w:w="2540" w:type="dxa"/>
            <w:vAlign w:val="bottom"/>
          </w:tcPr>
          <w:p>
            <w:pPr>
              <w:spacing w:after="0"/>
              <w:rPr>
                <w:sz w:val="21"/>
                <w:szCs w:val="21"/>
                <w:color w:val="auto"/>
              </w:rPr>
            </w:pPr>
          </w:p>
        </w:tc>
        <w:tc>
          <w:tcPr>
            <w:tcW w:w="2220" w:type="dxa"/>
            <w:vAlign w:val="bottom"/>
            <w:gridSpan w:val="2"/>
          </w:tcPr>
          <w:p>
            <w:pPr>
              <w:ind w:left="280"/>
              <w:spacing w:after="0"/>
              <w:rPr>
                <w:sz w:val="20"/>
                <w:szCs w:val="20"/>
                <w:color w:val="auto"/>
              </w:rPr>
            </w:pPr>
            <w:r>
              <w:rPr>
                <w:rFonts w:ascii="Arial" w:cs="Arial" w:eastAsia="Arial" w:hAnsi="Arial"/>
                <w:sz w:val="20"/>
                <w:szCs w:val="20"/>
                <w:color w:val="auto"/>
              </w:rPr>
              <w:t>Target Allocation</w:t>
            </w:r>
          </w:p>
        </w:tc>
        <w:tc>
          <w:tcPr>
            <w:tcW w:w="3060" w:type="dxa"/>
            <w:vAlign w:val="bottom"/>
            <w:tcBorders>
              <w:top w:val="single" w:sz="8" w:color="auto"/>
            </w:tcBorders>
          </w:tcPr>
          <w:p>
            <w:pPr>
              <w:jc w:val="right"/>
              <w:ind w:right="1501"/>
              <w:spacing w:after="0"/>
              <w:rPr>
                <w:sz w:val="20"/>
                <w:szCs w:val="20"/>
                <w:color w:val="auto"/>
              </w:rPr>
            </w:pPr>
            <w:r>
              <w:rPr>
                <w:rFonts w:ascii="Arial" w:cs="Arial" w:eastAsia="Arial" w:hAnsi="Arial"/>
                <w:sz w:val="20"/>
                <w:szCs w:val="20"/>
                <w:color w:val="auto"/>
              </w:rPr>
              <w:t>2018</w:t>
            </w:r>
          </w:p>
        </w:tc>
        <w:tc>
          <w:tcPr>
            <w:tcW w:w="2040" w:type="dxa"/>
            <w:vAlign w:val="bottom"/>
            <w:tcBorders>
              <w:top w:val="single" w:sz="8" w:color="auto"/>
            </w:tcBorders>
          </w:tcPr>
          <w:p>
            <w:pPr>
              <w:jc w:val="right"/>
              <w:ind w:right="981"/>
              <w:spacing w:after="0"/>
              <w:rPr>
                <w:sz w:val="20"/>
                <w:szCs w:val="20"/>
                <w:color w:val="auto"/>
              </w:rPr>
            </w:pPr>
            <w:r>
              <w:rPr>
                <w:rFonts w:ascii="Arial" w:cs="Arial" w:eastAsia="Arial" w:hAnsi="Arial"/>
                <w:sz w:val="20"/>
                <w:szCs w:val="20"/>
                <w:color w:val="auto"/>
              </w:rPr>
              <w:t>2017</w:t>
            </w:r>
          </w:p>
        </w:tc>
        <w:tc>
          <w:tcPr>
            <w:tcW w:w="260" w:type="dxa"/>
            <w:vAlign w:val="bottom"/>
          </w:tcPr>
          <w:p>
            <w:pPr>
              <w:spacing w:after="0"/>
              <w:rPr>
                <w:sz w:val="21"/>
                <w:szCs w:val="21"/>
                <w:color w:val="auto"/>
              </w:rPr>
            </w:pPr>
          </w:p>
        </w:tc>
      </w:tr>
      <w:tr>
        <w:trPr>
          <w:trHeight w:val="223"/>
        </w:trPr>
        <w:tc>
          <w:tcPr>
            <w:tcW w:w="25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Return seeking assets</w:t>
            </w:r>
          </w:p>
        </w:tc>
        <w:tc>
          <w:tcPr>
            <w:tcW w:w="1960" w:type="dxa"/>
            <w:vAlign w:val="bottom"/>
            <w:tcBorders>
              <w:top w:val="single" w:sz="8" w:color="auto"/>
            </w:tcBorders>
            <w:shd w:val="clear" w:color="auto" w:fill="CCEEFF"/>
          </w:tcPr>
          <w:p>
            <w:pPr>
              <w:ind w:left="1140"/>
              <w:spacing w:after="0" w:line="223" w:lineRule="exact"/>
              <w:rPr>
                <w:sz w:val="20"/>
                <w:szCs w:val="20"/>
                <w:color w:val="auto"/>
              </w:rPr>
            </w:pPr>
            <w:r>
              <w:rPr>
                <w:rFonts w:ascii="Arial" w:cs="Arial" w:eastAsia="Arial" w:hAnsi="Arial"/>
                <w:sz w:val="20"/>
                <w:szCs w:val="20"/>
                <w:color w:val="auto"/>
                <w:w w:val="88"/>
              </w:rPr>
              <w:t>50 to 70%</w:t>
            </w:r>
          </w:p>
        </w:tc>
        <w:tc>
          <w:tcPr>
            <w:tcW w:w="26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jc w:val="right"/>
              <w:ind w:right="461"/>
              <w:spacing w:after="0" w:line="223" w:lineRule="exact"/>
              <w:rPr>
                <w:sz w:val="20"/>
                <w:szCs w:val="20"/>
                <w:color w:val="auto"/>
              </w:rPr>
            </w:pPr>
            <w:r>
              <w:rPr>
                <w:rFonts w:ascii="Arial" w:cs="Arial" w:eastAsia="Arial" w:hAnsi="Arial"/>
                <w:sz w:val="20"/>
                <w:szCs w:val="20"/>
                <w:color w:val="auto"/>
              </w:rPr>
              <w:t>60%</w:t>
            </w:r>
          </w:p>
        </w:tc>
        <w:tc>
          <w:tcPr>
            <w:tcW w:w="20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62%</w:t>
            </w:r>
          </w:p>
        </w:tc>
        <w:tc>
          <w:tcPr>
            <w:tcW w:w="260" w:type="dxa"/>
            <w:vAlign w:val="bottom"/>
            <w:tcBorders>
              <w:top w:val="single" w:sz="8" w:color="CCEEFF"/>
            </w:tcBorders>
            <w:shd w:val="clear" w:color="auto" w:fill="CCEEFF"/>
          </w:tcPr>
          <w:p>
            <w:pPr>
              <w:spacing w:after="0"/>
              <w:rPr>
                <w:sz w:val="19"/>
                <w:szCs w:val="19"/>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20"/>
                <w:szCs w:val="20"/>
                <w:color w:val="auto"/>
              </w:rPr>
              <w:t>Liability hedging assets</w:t>
            </w:r>
          </w:p>
        </w:tc>
        <w:tc>
          <w:tcPr>
            <w:tcW w:w="2220" w:type="dxa"/>
            <w:vAlign w:val="bottom"/>
            <w:gridSpan w:val="2"/>
          </w:tcPr>
          <w:p>
            <w:pPr>
              <w:ind w:left="1140"/>
              <w:spacing w:after="0"/>
              <w:rPr>
                <w:sz w:val="20"/>
                <w:szCs w:val="20"/>
                <w:color w:val="auto"/>
              </w:rPr>
            </w:pPr>
            <w:r>
              <w:rPr>
                <w:rFonts w:ascii="Arial" w:cs="Arial" w:eastAsia="Arial" w:hAnsi="Arial"/>
                <w:sz w:val="20"/>
                <w:szCs w:val="20"/>
                <w:color w:val="auto"/>
              </w:rPr>
              <w:t>30 to 50%</w:t>
            </w:r>
          </w:p>
        </w:tc>
        <w:tc>
          <w:tcPr>
            <w:tcW w:w="3060" w:type="dxa"/>
            <w:vAlign w:val="bottom"/>
          </w:tcPr>
          <w:p>
            <w:pPr>
              <w:jc w:val="right"/>
              <w:ind w:right="461"/>
              <w:spacing w:after="0"/>
              <w:rPr>
                <w:sz w:val="20"/>
                <w:szCs w:val="20"/>
                <w:color w:val="auto"/>
              </w:rPr>
            </w:pPr>
            <w:r>
              <w:rPr>
                <w:rFonts w:ascii="Arial" w:cs="Arial" w:eastAsia="Arial" w:hAnsi="Arial"/>
                <w:sz w:val="20"/>
                <w:szCs w:val="20"/>
                <w:color w:val="auto"/>
              </w:rPr>
              <w:t>40%</w:t>
            </w:r>
          </w:p>
        </w:tc>
        <w:tc>
          <w:tcPr>
            <w:tcW w:w="2040" w:type="dxa"/>
            <w:vAlign w:val="bottom"/>
          </w:tcPr>
          <w:p>
            <w:pPr>
              <w:jc w:val="right"/>
              <w:spacing w:after="0"/>
              <w:rPr>
                <w:sz w:val="20"/>
                <w:szCs w:val="20"/>
                <w:color w:val="auto"/>
              </w:rPr>
            </w:pPr>
            <w:r>
              <w:rPr>
                <w:rFonts w:ascii="Arial" w:cs="Arial" w:eastAsia="Arial" w:hAnsi="Arial"/>
                <w:sz w:val="20"/>
                <w:szCs w:val="20"/>
                <w:color w:val="auto"/>
              </w:rPr>
              <w:t>38%</w:t>
            </w:r>
          </w:p>
        </w:tc>
        <w:tc>
          <w:tcPr>
            <w:tcW w:w="260" w:type="dxa"/>
            <w:vAlign w:val="bottom"/>
          </w:tcPr>
          <w:p>
            <w:pPr>
              <w:spacing w:after="0"/>
              <w:rPr>
                <w:sz w:val="19"/>
                <w:szCs w:val="19"/>
                <w:color w:val="auto"/>
              </w:rPr>
            </w:pPr>
          </w:p>
        </w:tc>
      </w:tr>
      <w:tr>
        <w:trPr>
          <w:trHeight w:val="230"/>
        </w:trPr>
        <w:tc>
          <w:tcPr>
            <w:tcW w:w="25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Total</w:t>
            </w:r>
          </w:p>
        </w:tc>
        <w:tc>
          <w:tcPr>
            <w:tcW w:w="1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060" w:type="dxa"/>
            <w:vAlign w:val="bottom"/>
            <w:tcBorders>
              <w:top w:val="single" w:sz="8" w:color="auto"/>
              <w:bottom w:val="single" w:sz="8" w:color="auto"/>
            </w:tcBorders>
            <w:shd w:val="clear" w:color="auto" w:fill="CCEEFF"/>
          </w:tcPr>
          <w:p>
            <w:pPr>
              <w:jc w:val="right"/>
              <w:ind w:right="461"/>
              <w:spacing w:after="0" w:line="223" w:lineRule="exact"/>
              <w:rPr>
                <w:sz w:val="20"/>
                <w:szCs w:val="20"/>
                <w:color w:val="auto"/>
              </w:rPr>
            </w:pPr>
            <w:r>
              <w:rPr>
                <w:rFonts w:ascii="Arial" w:cs="Arial" w:eastAsia="Arial" w:hAnsi="Arial"/>
                <w:sz w:val="20"/>
                <w:szCs w:val="20"/>
                <w:color w:val="auto"/>
              </w:rPr>
              <w:t>100%</w:t>
            </w:r>
          </w:p>
        </w:tc>
        <w:tc>
          <w:tcPr>
            <w:tcW w:w="20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other post-retirement benefit plans’ assets at December 31, 2018 by asset class are as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Assets measured at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99"/>
              </w:rPr>
              <w:t>Level 2</w:t>
            </w:r>
          </w:p>
        </w:tc>
        <w:tc>
          <w:tcPr>
            <w:tcW w:w="2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9"/>
              </w:rPr>
              <w:t>Level 3</w:t>
            </w:r>
          </w:p>
        </w:tc>
        <w:tc>
          <w:tcPr>
            <w:tcW w:w="260" w:type="dxa"/>
            <w:vAlign w:val="bottom"/>
          </w:tcPr>
          <w:p>
            <w:pPr>
              <w:spacing w:after="0"/>
              <w:rPr>
                <w:sz w:val="20"/>
                <w:szCs w:val="20"/>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NAV (a)</w:t>
            </w:r>
          </w:p>
        </w:tc>
        <w:tc>
          <w:tcPr>
            <w:tcW w:w="3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Return seeking assets:</w:t>
            </w: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3380" w:type="dxa"/>
            <w:vAlign w:val="bottom"/>
          </w:tcPr>
          <w:p>
            <w:pPr>
              <w:ind w:left="100"/>
              <w:spacing w:after="0"/>
              <w:rPr>
                <w:sz w:val="20"/>
                <w:szCs w:val="20"/>
                <w:color w:val="auto"/>
              </w:rPr>
            </w:pPr>
            <w:r>
              <w:rPr>
                <w:rFonts w:ascii="Arial" w:cs="Arial" w:eastAsia="Arial" w:hAnsi="Arial"/>
                <w:sz w:val="18"/>
                <w:szCs w:val="18"/>
                <w:color w:val="auto"/>
              </w:rPr>
              <w:t>Global equities</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13,882</w:t>
            </w:r>
          </w:p>
        </w:tc>
        <w:tc>
          <w:tcPr>
            <w:tcW w:w="220" w:type="dxa"/>
            <w:vAlign w:val="bottom"/>
          </w:tcPr>
          <w:p>
            <w:pPr>
              <w:spacing w:after="0"/>
              <w:rPr>
                <w:sz w:val="19"/>
                <w:szCs w:val="19"/>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22,293</w:t>
            </w:r>
          </w:p>
        </w:tc>
      </w:tr>
      <w:tr>
        <w:trPr>
          <w:trHeight w:val="230"/>
        </w:trPr>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Real estate securities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1,967</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Liability hedging assets</w:t>
            </w:r>
          </w:p>
        </w:tc>
        <w:tc>
          <w:tcPr>
            <w:tcW w:w="4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5,075</w:t>
            </w:r>
          </w:p>
        </w:tc>
        <w:tc>
          <w:tcPr>
            <w:tcW w:w="2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8,806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13,881</w:t>
            </w: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4,216</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r>
      <w:tr>
        <w:trPr>
          <w:trHeight w:val="217"/>
        </w:trPr>
        <w:tc>
          <w:tcPr>
            <w:tcW w:w="3380" w:type="dxa"/>
            <w:vAlign w:val="bottom"/>
          </w:tcPr>
          <w:p>
            <w:pPr>
              <w:spacing w:after="0"/>
              <w:rPr>
                <w:sz w:val="20"/>
                <w:szCs w:val="20"/>
                <w:color w:val="auto"/>
              </w:rPr>
            </w:pPr>
            <w:r>
              <w:rPr>
                <w:rFonts w:ascii="Arial" w:cs="Arial" w:eastAsia="Arial" w:hAnsi="Arial"/>
                <w:sz w:val="18"/>
                <w:szCs w:val="18"/>
                <w:color w:val="auto"/>
              </w:rPr>
              <w:t>Total other post-retirement assets</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25,753</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45,422</w:t>
            </w:r>
          </w:p>
        </w:tc>
      </w:tr>
    </w:tbl>
    <w:p>
      <w:pPr>
        <w:spacing w:after="0" w:line="213" w:lineRule="exact"/>
        <w:rPr>
          <w:sz w:val="20"/>
          <w:szCs w:val="20"/>
          <w:color w:val="auto"/>
        </w:rPr>
      </w:pPr>
    </w:p>
    <w:p>
      <w:pPr>
        <w:ind w:left="640" w:right="240" w:hanging="320"/>
        <w:spacing w:after="0" w:line="246" w:lineRule="auto"/>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Assets that are measured at fair value using the NAV per share practical expedient have not been classified in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other post-retirement benefit plans’ assets at December 31, 2017 by asset class are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Assets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measured at</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vMerge w:val="restart"/>
          </w:tcPr>
          <w:p>
            <w:pPr>
              <w:spacing w:after="0"/>
              <w:rPr>
                <w:sz w:val="20"/>
                <w:szCs w:val="20"/>
                <w:color w:val="auto"/>
              </w:rPr>
            </w:pPr>
            <w:r>
              <w:rPr>
                <w:rFonts w:ascii="Arial" w:cs="Arial" w:eastAsia="Arial" w:hAnsi="Arial"/>
                <w:sz w:val="18"/>
                <w:szCs w:val="18"/>
                <w:color w:val="auto"/>
              </w:rPr>
              <w:t>Return seeking assets:</w:t>
            </w:r>
          </w:p>
        </w:tc>
        <w:tc>
          <w:tcPr>
            <w:tcW w:w="3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Level 1</w:t>
            </w:r>
          </w:p>
        </w:tc>
        <w:tc>
          <w:tcPr>
            <w:tcW w:w="38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w w:val="92"/>
              </w:rPr>
              <w:t>Level 2</w:t>
            </w:r>
          </w:p>
        </w:tc>
        <w:tc>
          <w:tcPr>
            <w:tcW w:w="2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NAV (a)</w:t>
            </w:r>
          </w:p>
        </w:tc>
        <w:tc>
          <w:tcPr>
            <w:tcW w:w="4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0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Global equities</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00"/>
              <w:spacing w:after="0"/>
              <w:rPr>
                <w:sz w:val="20"/>
                <w:szCs w:val="20"/>
                <w:color w:val="auto"/>
              </w:rPr>
            </w:pPr>
            <w:r>
              <w:rPr>
                <w:rFonts w:ascii="Arial" w:cs="Arial" w:eastAsia="Arial" w:hAnsi="Arial"/>
                <w:sz w:val="18"/>
                <w:szCs w:val="18"/>
                <w:color w:val="auto"/>
              </w:rPr>
              <w:t>Real estate securities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1,731</w:t>
            </w:r>
          </w:p>
        </w:tc>
        <w:tc>
          <w:tcPr>
            <w:tcW w:w="3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Liability hedging assets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post-retirement assets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3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of dollars,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Techniques Used to Determine Fair Value</w:t>
      </w:r>
    </w:p>
    <w:p>
      <w:pPr>
        <w:spacing w:after="0" w:line="229" w:lineRule="exact"/>
        <w:rPr>
          <w:sz w:val="20"/>
          <w:szCs w:val="20"/>
          <w:color w:val="auto"/>
        </w:rPr>
      </w:pPr>
    </w:p>
    <w:p>
      <w:pPr>
        <w:ind w:left="640" w:right="460" w:hanging="320"/>
        <w:spacing w:after="0" w:line="260" w:lineRule="auto"/>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 xml:space="preserve">Common Stocks </w:t>
      </w:r>
      <w:r>
        <w:rPr>
          <w:rFonts w:ascii="Arial" w:cs="Arial" w:eastAsia="Arial" w:hAnsi="Arial"/>
          <w:sz w:val="20"/>
          <w:szCs w:val="20"/>
          <w:color w:val="auto"/>
        </w:rPr>
        <w:t>- Investments in common stocks are valued using unadjusted quoted prices obtained from active</w:t>
      </w:r>
      <w:r>
        <w:rPr>
          <w:rFonts w:ascii="Arial" w:cs="Arial" w:eastAsia="Arial" w:hAnsi="Arial"/>
          <w:sz w:val="20"/>
          <w:szCs w:val="20"/>
          <w:i w:val="1"/>
          <w:iCs w:val="1"/>
          <w:color w:val="auto"/>
        </w:rPr>
        <w:t xml:space="preserve"> </w:t>
      </w:r>
      <w:r>
        <w:rPr>
          <w:rFonts w:ascii="Arial" w:cs="Arial" w:eastAsia="Arial" w:hAnsi="Arial"/>
          <w:sz w:val="20"/>
          <w:szCs w:val="20"/>
          <w:color w:val="auto"/>
        </w:rPr>
        <w:t>markets.</w:t>
      </w:r>
    </w:p>
    <w:p>
      <w:pPr>
        <w:spacing w:after="0" w:line="68" w:lineRule="exact"/>
        <w:rPr>
          <w:rFonts w:ascii="Arial" w:cs="Arial" w:eastAsia="Arial" w:hAnsi="Arial"/>
          <w:sz w:val="20"/>
          <w:szCs w:val="20"/>
          <w:color w:val="auto"/>
        </w:rPr>
      </w:pPr>
    </w:p>
    <w:p>
      <w:pPr>
        <w:ind w:left="640" w:hanging="320"/>
        <w:spacing w:after="0"/>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 xml:space="preserve">Return Seeking Assets – </w:t>
      </w:r>
      <w:r>
        <w:rPr>
          <w:rFonts w:ascii="Arial" w:cs="Arial" w:eastAsia="Arial" w:hAnsi="Arial"/>
          <w:sz w:val="20"/>
          <w:szCs w:val="20"/>
          <w:color w:val="auto"/>
        </w:rPr>
        <w:t>Investments in return seeking assets consists of the following:</w:t>
      </w:r>
    </w:p>
    <w:p>
      <w:pPr>
        <w:spacing w:after="0" w:line="108" w:lineRule="exact"/>
        <w:rPr>
          <w:sz w:val="20"/>
          <w:szCs w:val="20"/>
          <w:color w:val="auto"/>
        </w:rPr>
      </w:pPr>
    </w:p>
    <w:p>
      <w:pPr>
        <w:ind w:left="1300" w:right="120" w:hanging="331"/>
        <w:spacing w:after="0" w:line="330" w:lineRule="auto"/>
        <w:tabs>
          <w:tab w:leader="none" w:pos="1300" w:val="left"/>
        </w:tabs>
        <w:numPr>
          <w:ilvl w:val="1"/>
          <w:numId w:val="53"/>
        </w:numPr>
        <w:rPr>
          <w:rFonts w:ascii="Courier New" w:cs="Courier New" w:eastAsia="Courier New" w:hAnsi="Courier New"/>
          <w:sz w:val="16"/>
          <w:szCs w:val="16"/>
          <w:color w:val="auto"/>
        </w:rPr>
      </w:pPr>
      <w:r>
        <w:rPr>
          <w:rFonts w:ascii="Arial" w:cs="Arial" w:eastAsia="Arial" w:hAnsi="Arial"/>
          <w:sz w:val="16"/>
          <w:szCs w:val="16"/>
          <w:color w:val="auto"/>
        </w:rPr>
        <w:t>Global equities, which consist of common and preferred shares of stock, traded on U.S. or foreign exchanges that are valued using unadjusted quoted prices obtained from active markets, or commingled fund vehicles, consisting of such securities valued using NAV, which are not classified within the fair value hierarchy.</w:t>
      </w:r>
    </w:p>
    <w:p>
      <w:pPr>
        <w:spacing w:after="0" w:line="18" w:lineRule="exact"/>
        <w:rPr>
          <w:rFonts w:ascii="Courier New" w:cs="Courier New" w:eastAsia="Courier New" w:hAnsi="Courier New"/>
          <w:sz w:val="16"/>
          <w:szCs w:val="16"/>
          <w:color w:val="auto"/>
        </w:rPr>
      </w:pPr>
    </w:p>
    <w:p>
      <w:pPr>
        <w:ind w:left="1300" w:right="40" w:hanging="331"/>
        <w:spacing w:after="0"/>
        <w:tabs>
          <w:tab w:leader="none" w:pos="1300" w:val="left"/>
        </w:tabs>
        <w:numPr>
          <w:ilvl w:val="1"/>
          <w:numId w:val="53"/>
        </w:numPr>
        <w:rPr>
          <w:rFonts w:ascii="Courier New" w:cs="Courier New" w:eastAsia="Courier New" w:hAnsi="Courier New"/>
          <w:sz w:val="20"/>
          <w:szCs w:val="20"/>
          <w:color w:val="auto"/>
        </w:rPr>
      </w:pPr>
      <w:r>
        <w:rPr>
          <w:rFonts w:ascii="Arial" w:cs="Arial" w:eastAsia="Arial" w:hAnsi="Arial"/>
          <w:sz w:val="20"/>
          <w:szCs w:val="20"/>
          <w:color w:val="auto"/>
        </w:rPr>
        <w:t>Real estate securities, which consist of securities, traded on U.S. or foreign exchanges that are valued using unadjusted quoted prices obtained from active markets, or for real estate commingle fund vehicles that are not publicly quoted, the fund administrators value the funds using the NAV per fund share, derived from the quoted prices in active markets of the underlying securities and are not classified within the fair value hierarchy.</w:t>
      </w:r>
    </w:p>
    <w:p>
      <w:pPr>
        <w:spacing w:after="0" w:line="88" w:lineRule="exact"/>
        <w:rPr>
          <w:rFonts w:ascii="Courier New" w:cs="Courier New" w:eastAsia="Courier New" w:hAnsi="Courier New"/>
          <w:sz w:val="20"/>
          <w:szCs w:val="20"/>
          <w:color w:val="auto"/>
        </w:rPr>
      </w:pPr>
    </w:p>
    <w:p>
      <w:pPr>
        <w:ind w:left="1300" w:hanging="331"/>
        <w:spacing w:after="0"/>
        <w:tabs>
          <w:tab w:leader="none" w:pos="1300" w:val="left"/>
        </w:tabs>
        <w:numPr>
          <w:ilvl w:val="1"/>
          <w:numId w:val="53"/>
        </w:numPr>
        <w:rPr>
          <w:rFonts w:ascii="Courier New" w:cs="Courier New" w:eastAsia="Courier New" w:hAnsi="Courier New"/>
          <w:sz w:val="20"/>
          <w:szCs w:val="20"/>
          <w:color w:val="auto"/>
        </w:rPr>
      </w:pPr>
      <w:r>
        <w:rPr>
          <w:rFonts w:ascii="Arial" w:cs="Arial" w:eastAsia="Arial" w:hAnsi="Arial"/>
          <w:sz w:val="20"/>
          <w:szCs w:val="20"/>
          <w:color w:val="auto"/>
        </w:rPr>
        <w:t>Hedge / diversifying strategies, which consist of a multi-manager fund vehicle having underlying exposures that collectively seek to provide low correlation of return to equity and fixed income markets, thereby offering diversification. As a multi-manager fund investment, NAV is derived from underlying manager NAVs, which are derived from the quoted prices in active markets of the underlying securities and are not classified within the fair value hierarchy.</w:t>
      </w:r>
    </w:p>
    <w:p>
      <w:pPr>
        <w:spacing w:after="0" w:line="88" w:lineRule="exact"/>
        <w:rPr>
          <w:rFonts w:ascii="Courier New" w:cs="Courier New" w:eastAsia="Courier New" w:hAnsi="Courier New"/>
          <w:sz w:val="20"/>
          <w:szCs w:val="20"/>
          <w:color w:val="auto"/>
        </w:rPr>
      </w:pPr>
    </w:p>
    <w:p>
      <w:pPr>
        <w:ind w:left="1300" w:right="80" w:hanging="331"/>
        <w:spacing w:after="0" w:line="275" w:lineRule="auto"/>
        <w:tabs>
          <w:tab w:leader="none" w:pos="1300" w:val="left"/>
        </w:tabs>
        <w:numPr>
          <w:ilvl w:val="1"/>
          <w:numId w:val="53"/>
        </w:numPr>
        <w:rPr>
          <w:rFonts w:ascii="Courier New" w:cs="Courier New" w:eastAsia="Courier New" w:hAnsi="Courier New"/>
          <w:sz w:val="18"/>
          <w:szCs w:val="18"/>
          <w:color w:val="auto"/>
        </w:rPr>
      </w:pPr>
      <w:r>
        <w:rPr>
          <w:rFonts w:ascii="Arial" w:cs="Arial" w:eastAsia="Arial" w:hAnsi="Arial"/>
          <w:sz w:val="18"/>
          <w:szCs w:val="18"/>
          <w:color w:val="auto"/>
        </w:rPr>
        <w:t>Credit, which consist of certain opportunistic, return-oriented credits which primarily include below investment grade bonds (i.e. high yield bonds), bank loans, and securitized debt. Credits are valued using the NAV per fund share, derived from either quoted prices in active markets of the underlying securities, or less active markets, or quotes of similar assets, and are not classified within the fair value hierarchy.</w:t>
      </w:r>
    </w:p>
    <w:p>
      <w:pPr>
        <w:spacing w:after="0" w:line="59" w:lineRule="exact"/>
        <w:rPr>
          <w:rFonts w:ascii="Courier New" w:cs="Courier New" w:eastAsia="Courier New" w:hAnsi="Courier New"/>
          <w:sz w:val="18"/>
          <w:szCs w:val="18"/>
          <w:color w:val="auto"/>
        </w:rPr>
      </w:pPr>
    </w:p>
    <w:p>
      <w:pPr>
        <w:ind w:left="640" w:right="260" w:hanging="320"/>
        <w:spacing w:after="0" w:line="272"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Liability Hedging Assets – </w:t>
      </w:r>
      <w:r>
        <w:rPr>
          <w:rFonts w:ascii="Arial" w:cs="Arial" w:eastAsia="Arial" w:hAnsi="Arial"/>
          <w:sz w:val="18"/>
          <w:szCs w:val="18"/>
          <w:color w:val="auto"/>
        </w:rPr>
        <w:t>Investments in liability hedging assets consist of funds investing in high-quality fixed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(i.e. U.S. Treasury securities and government bonds), and for funds for which market quotations are readily available, are valued at the last reported closing price on the primary market or exchange on which they are</w:t>
      </w:r>
    </w:p>
    <w:p>
      <w:pPr>
        <w:spacing w:after="0" w:line="1" w:lineRule="exact"/>
        <w:rPr>
          <w:rFonts w:ascii="Arial" w:cs="Arial" w:eastAsia="Arial" w:hAnsi="Arial"/>
          <w:sz w:val="18"/>
          <w:szCs w:val="18"/>
          <w:color w:val="auto"/>
        </w:rPr>
      </w:pPr>
    </w:p>
    <w:p>
      <w:pPr>
        <w:ind w:left="640" w:right="20"/>
        <w:spacing w:after="0" w:line="241" w:lineRule="auto"/>
        <w:rPr>
          <w:rFonts w:ascii="Arial" w:cs="Arial" w:eastAsia="Arial" w:hAnsi="Arial"/>
          <w:sz w:val="18"/>
          <w:szCs w:val="18"/>
          <w:color w:val="auto"/>
        </w:rPr>
      </w:pPr>
      <w:r>
        <w:rPr>
          <w:rFonts w:ascii="Arial" w:cs="Arial" w:eastAsia="Arial" w:hAnsi="Arial"/>
          <w:sz w:val="20"/>
          <w:szCs w:val="20"/>
          <w:color w:val="auto"/>
        </w:rPr>
        <w:t>traded. Funds for which market quotations are not readily available, are valued using the NAV per fund share, derived from the quoted prices in active markets of the underlying securities and are not classified within the fair value hierarchy.</w:t>
      </w:r>
    </w:p>
    <w:p>
      <w:pPr>
        <w:spacing w:after="0" w:line="87" w:lineRule="exact"/>
        <w:rPr>
          <w:rFonts w:ascii="Arial" w:cs="Arial" w:eastAsia="Arial" w:hAnsi="Arial"/>
          <w:sz w:val="18"/>
          <w:szCs w:val="18"/>
          <w:color w:val="auto"/>
        </w:rPr>
      </w:pPr>
    </w:p>
    <w:p>
      <w:pPr>
        <w:ind w:left="640" w:right="340" w:hanging="320"/>
        <w:spacing w:after="0" w:line="269" w:lineRule="auto"/>
        <w:tabs>
          <w:tab w:leader="none" w:pos="640"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 xml:space="preserve">Cash and Cash Equivalents – </w:t>
      </w:r>
      <w:r>
        <w:rPr>
          <w:rFonts w:ascii="Arial" w:cs="Arial" w:eastAsia="Arial" w:hAnsi="Arial"/>
          <w:sz w:val="19"/>
          <w:szCs w:val="19"/>
          <w:color w:val="auto"/>
        </w:rPr>
        <w:t>Investments in cash and cash equivalents are comprised of both uninvested cash and</w:t>
      </w:r>
      <w:r>
        <w:rPr>
          <w:rFonts w:ascii="Arial" w:cs="Arial" w:eastAsia="Arial" w:hAnsi="Arial"/>
          <w:sz w:val="19"/>
          <w:szCs w:val="19"/>
          <w:i w:val="1"/>
          <w:iCs w:val="1"/>
          <w:color w:val="auto"/>
        </w:rPr>
        <w:t xml:space="preserve"> </w:t>
      </w:r>
      <w:r>
        <w:rPr>
          <w:rFonts w:ascii="Arial" w:cs="Arial" w:eastAsia="Arial" w:hAnsi="Arial"/>
          <w:sz w:val="19"/>
          <w:szCs w:val="19"/>
          <w:color w:val="auto"/>
        </w:rPr>
        <w:t>money market funds. The uninvested cash is valued based on its carrying value, and the money market funds are valued utilizing the net asset value per unit obtained from published market prices.</w:t>
      </w:r>
    </w:p>
    <w:p>
      <w:pPr>
        <w:spacing w:after="0" w:line="292"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Funding requirements for qualified defined benefit pension plans are determined by government regulations and not by accounting pronouncements. In accordance with funding rules and the Company’s funding policy, during 2019 our pension contribution is expected to be $8,222.</w:t>
      </w:r>
    </w:p>
    <w:p>
      <w:pPr>
        <w:spacing w:after="0" w:line="200"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The Company has a 401(k) savings plan, which is a defined contribution plan and covers substantially all employees. The Company makes matching contributions that are based on a percentage of an employee’s contribution, subject to specific limitations, as well as, non-discretionary contributions based on eligible hourly wages for certain union employees, discretionary year-end contributions based on an employee’s eligible compensation, and employer profit sharing contributions. Participants may diversify their Company matching account balances into other investments offered under the 401(k) savings plan. The Company’s contributions, which are recorded as compensation expense, were $6,096, $5,374, and $4,988, for the years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0"/>
          </w:cols>
          <w:pgMar w:left="900" w:top="125" w:right="9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16 – </w:t>
      </w:r>
      <w:r>
        <w:rPr>
          <w:rFonts w:ascii="Arial" w:cs="Arial" w:eastAsia="Arial" w:hAnsi="Arial"/>
          <w:sz w:val="20"/>
          <w:szCs w:val="20"/>
          <w:b w:val="1"/>
          <w:bCs w:val="1"/>
          <w:i w:val="1"/>
          <w:iCs w:val="1"/>
          <w:color w:val="auto"/>
        </w:rPr>
        <w:t>Water and Wastewater Rates</w:t>
      </w:r>
    </w:p>
    <w:p>
      <w:pPr>
        <w:spacing w:after="0" w:line="23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On June 7, 2012, Aqua Pennsylvania reached a settlement agreement in its rate filing with the Pennsylvania Public Utility Commission, which in addition to a water rate increase, provided for a reduction in current income tax expense as a result of the recognition of qualifying income tax benefits upon Aqua Pennsylvania changing its tax accounting method to permit the expensing of qualifying utility asset improvement costs that historically have been capitalized and depreciated for book and tax purposes. In December 2012, Aqua Pennsylvania implemented this change which provides for the flow-through of income tax benefits that resulted in a substantial reduction in income tax expense and greater net income and cash flow. This change allowed Aqua Pennsylvania to suspend its water Distribution System Improvement Charges in 2013 and lengthen the amount of time until the next Aqua Pennsylvania rate case. Beginning on October 1, 2017, Aqua Pennsylvania initiated a water infrastructure rehabilitation surcharge for the capital invested since the last rate proceeding and in August 2018 filed for a base rate increase in water and wastewater rates for its customers. The base rate case is being reviewed by the Pennsylvania Public Utility Commission. In February 2019, the Company filed a settlement for this base rate case. Rates from this settlement for approximately $47,000 are expected to go into effect in May 2019. The settlement agreement is subject to approval by the administrative law judge and the Pennsylvania Public Utilities Commission.</w:t>
      </w:r>
    </w:p>
    <w:p>
      <w:pPr>
        <w:spacing w:after="0" w:line="187"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The Company’s operating subsidiaries were allowed annualized rate increases of $11,558 in 2018, $7,558 in 2017, and $3,434 in 2016, represented by five, five, and six rate decisions, respectively. Revenues from these increases realized in the year of grant were approximately $7,270, $6,343, and $1,788 in 2018, 2017, and 2016, respectively.</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Seven states in which the Company operates permit water utilities, and in six states wastewater utilities, to add a surcharge to their water or wastewater bills to offset the additional depreciation and capital costs related to infrastructure system replacement and rehabilitation projects completed and placed into service between base rate filings. Currently, New Jersey allows for an infrastructure rehabilitation surcharge for water utilities, while Pennsylvania, Illinois, Ohio, Indiana, and North Carolina allow for the use of an infrastructure rehabilitation surcharge for both water and wastewater utility systems, and Aqua Virginia is piloting an infrastructure rehabilitation surcharge for its water and wastewater utilities to be implemented in 2019, pursuant to the final order issued in Aqua Virginia’s 2018 rate case. The surcharge for infrastructure system replacements and rehabilitations is typically adjusted periodically based on additional qualified capital expenditures completed or anticipated in a future period, is capped as a percentage of base rates, generally at 5% to 12.75%, and is reset to zero when new base rates that reflect the costs of those additions become effective or when a utility’s earnings exceed a regulatory benchmark. The surcharge for infrastructure system replacements and rehabilitations provided revenues in 2018, 2017, and 2016 of $31,836, $10,255, and $7,379,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17 – </w:t>
      </w:r>
      <w:r>
        <w:rPr>
          <w:rFonts w:ascii="Arial" w:cs="Arial" w:eastAsia="Arial" w:hAnsi="Arial"/>
          <w:sz w:val="20"/>
          <w:szCs w:val="20"/>
          <w:b w:val="1"/>
          <w:bCs w:val="1"/>
          <w:i w:val="1"/>
          <w:iCs w:val="1"/>
          <w:color w:val="auto"/>
        </w:rPr>
        <w:t>Segment Information</w:t>
      </w:r>
    </w:p>
    <w:p>
      <w:pPr>
        <w:spacing w:after="0" w:line="235"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The Company has ten operating segments and one reportable segment. The Regulated segment, the Company’s single reportable segment, is comprised of eight operating segments representing our water and wastewater regulated utility companies which are organized by the states where we provide water and wastewater services. These operating segments are aggregated into one reportable segment since each of these operating segments has the following similarities: economic characteristics, nature of services, production processes, customers, water distribution or wastewater collection methods, and the nature of the regulatory environment.</w:t>
      </w:r>
    </w:p>
    <w:p>
      <w:pPr>
        <w:spacing w:after="0" w:line="192"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Two operating segments are included within the Other category below. These segments are not quantitatively significant and are comprised of Aqua Infrastructure and Aqua Resources. In addition to these segments, Other is comprised of other business activities not included in the reportable segment, including corporate costs that have not been allocated to the Regulated segment, because they would not be recoverable as a cost of utility service, and intersegment eliminations. Corporate costs include general and administrative expenses, and interest expense.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information about the Company’s reportable segment:</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2018</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2017</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38"/>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auto"/>
                <w:w w:val="93"/>
              </w:rPr>
              <w:t>Other and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auto"/>
                <w:w w:val="93"/>
              </w:rPr>
              <w:t>Other and</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8"/>
        </w:trPr>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Regulated</w:t>
            </w:r>
          </w:p>
        </w:tc>
        <w:tc>
          <w:tcPr>
            <w:tcW w:w="180" w:type="dxa"/>
            <w:vAlign w:val="bottom"/>
          </w:tcPr>
          <w:p>
            <w:pPr>
              <w:spacing w:after="0"/>
              <w:rPr>
                <w:sz w:val="19"/>
                <w:szCs w:val="19"/>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auto"/>
                <w:w w:val="98"/>
              </w:rPr>
              <w:t>Eliminations</w:t>
            </w:r>
          </w:p>
        </w:tc>
        <w:tc>
          <w:tcPr>
            <w:tcW w:w="18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Consolidated</w:t>
            </w:r>
          </w:p>
        </w:tc>
        <w:tc>
          <w:tcPr>
            <w:tcW w:w="260" w:type="dxa"/>
            <w:vAlign w:val="bottom"/>
          </w:tcPr>
          <w:p>
            <w:pPr>
              <w:spacing w:after="0"/>
              <w:rPr>
                <w:sz w:val="19"/>
                <w:szCs w:val="19"/>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Regulated</w:t>
            </w:r>
          </w:p>
        </w:tc>
        <w:tc>
          <w:tcPr>
            <w:tcW w:w="180" w:type="dxa"/>
            <w:vAlign w:val="bottom"/>
          </w:tcPr>
          <w:p>
            <w:pPr>
              <w:spacing w:after="0"/>
              <w:rPr>
                <w:sz w:val="19"/>
                <w:szCs w:val="19"/>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auto"/>
                <w:w w:val="98"/>
              </w:rPr>
              <w:t>Eliminations</w:t>
            </w:r>
          </w:p>
        </w:tc>
        <w:tc>
          <w:tcPr>
            <w:tcW w:w="18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w w:val="95"/>
              </w:rPr>
              <w:t>Consolidated</w:t>
            </w:r>
          </w:p>
        </w:tc>
      </w:tr>
      <w:tr>
        <w:trPr>
          <w:trHeight w:val="223"/>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834,638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3,453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838,091</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804,905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809,525</w:t>
            </w:r>
          </w:p>
        </w:tc>
      </w:tr>
      <w:tr>
        <w:trPr>
          <w:trHeight w:val="243"/>
        </w:trPr>
        <w:tc>
          <w:tcPr>
            <w:tcW w:w="320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292,232</w:t>
            </w:r>
          </w:p>
        </w:tc>
        <w:tc>
          <w:tcPr>
            <w:tcW w:w="1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16,246</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308,478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282,009</w:t>
            </w:r>
          </w:p>
        </w:tc>
        <w:tc>
          <w:tcPr>
            <w:tcW w:w="1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244</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282,253</w:t>
            </w: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145,977</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146,032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136,246</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136,302</w:t>
            </w:r>
          </w:p>
        </w:tc>
      </w:tr>
      <w:tr>
        <w:trPr>
          <w:trHeight w:val="243"/>
        </w:trPr>
        <w:tc>
          <w:tcPr>
            <w:tcW w:w="3200" w:type="dxa"/>
            <w:vAlign w:val="bottom"/>
          </w:tcPr>
          <w:p>
            <w:pPr>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401</w:t>
            </w:r>
          </w:p>
        </w:tc>
        <w:tc>
          <w:tcPr>
            <w:tcW w:w="1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240</w:t>
            </w:r>
          </w:p>
        </w:tc>
        <w:tc>
          <w:tcPr>
            <w:tcW w:w="1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422</w:t>
            </w: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338,388</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(15,210)</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323,178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331,888</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2,032</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333,920</w:t>
            </w:r>
          </w:p>
        </w:tc>
      </w:tr>
      <w:tr>
        <w:trPr>
          <w:trHeight w:val="243"/>
        </w:trPr>
        <w:tc>
          <w:tcPr>
            <w:tcW w:w="3200" w:type="dxa"/>
            <w:vAlign w:val="bottom"/>
          </w:tcPr>
          <w:p>
            <w:pPr>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89,112</w:t>
            </w:r>
          </w:p>
        </w:tc>
        <w:tc>
          <w:tcPr>
            <w:tcW w:w="1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9,790</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98,902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81,974</w:t>
            </w:r>
          </w:p>
        </w:tc>
        <w:tc>
          <w:tcPr>
            <w:tcW w:w="1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6,367</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88,341</w:t>
            </w: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Allowance for funds used during construction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13,023</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15,211</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15,211</w:t>
            </w:r>
          </w:p>
        </w:tc>
      </w:tr>
      <w:tr>
        <w:trPr>
          <w:trHeight w:val="243"/>
        </w:trPr>
        <w:tc>
          <w:tcPr>
            <w:tcW w:w="3200" w:type="dxa"/>
            <w:vAlign w:val="bottom"/>
          </w:tcPr>
          <w:p>
            <w:pPr>
              <w:spacing w:after="0"/>
              <w:rPr>
                <w:sz w:val="20"/>
                <w:szCs w:val="20"/>
                <w:color w:val="auto"/>
              </w:rPr>
            </w:pPr>
            <w:r>
              <w:rPr>
                <w:rFonts w:ascii="Arial" w:cs="Arial" w:eastAsia="Arial" w:hAnsi="Arial"/>
                <w:sz w:val="14"/>
                <w:szCs w:val="14"/>
                <w:color w:val="auto"/>
              </w:rPr>
              <w:t>Equity earnings in joint venture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2,081</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2,081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331</w:t>
            </w: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 (benefit)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4,158</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(17,827)</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(13,669)</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14,107</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2,807</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16,914</w:t>
            </w:r>
          </w:p>
        </w:tc>
      </w:tr>
      <w:tr>
        <w:trPr>
          <w:trHeight w:val="243"/>
        </w:trPr>
        <w:tc>
          <w:tcPr>
            <w:tcW w:w="320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259,160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(67,172)</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191,988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246,548</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(6,810)</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239,738</w:t>
            </w: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495,730</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495,737</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478,077</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478,089</w:t>
            </w:r>
          </w:p>
        </w:tc>
      </w:tr>
      <w:tr>
        <w:trPr>
          <w:trHeight w:val="258"/>
        </w:trPr>
        <w:tc>
          <w:tcPr>
            <w:tcW w:w="3200" w:type="dxa"/>
            <w:vAlign w:val="bottom"/>
          </w:tcPr>
          <w:p>
            <w:pPr>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6,807,960</w:t>
            </w:r>
          </w:p>
        </w:tc>
        <w:tc>
          <w:tcPr>
            <w:tcW w:w="1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156,536</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6,964,496</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6,236,109</w:t>
            </w:r>
          </w:p>
        </w:tc>
        <w:tc>
          <w:tcPr>
            <w:tcW w:w="1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96,354</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6,332,463</w:t>
            </w:r>
          </w:p>
        </w:tc>
      </w:tr>
      <w:tr>
        <w:trPr>
          <w:trHeight w:val="471"/>
        </w:trPr>
        <w:tc>
          <w:tcPr>
            <w:tcW w:w="3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2016</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auto"/>
                <w:w w:val="93"/>
              </w:rPr>
              <w:t>Other and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8"/>
        </w:trPr>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Regulated</w:t>
            </w:r>
          </w:p>
        </w:tc>
        <w:tc>
          <w:tcPr>
            <w:tcW w:w="180" w:type="dxa"/>
            <w:vAlign w:val="bottom"/>
          </w:tcPr>
          <w:p>
            <w:pPr>
              <w:spacing w:after="0"/>
              <w:rPr>
                <w:sz w:val="19"/>
                <w:szCs w:val="19"/>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auto"/>
                <w:w w:val="98"/>
              </w:rPr>
              <w:t>Eliminations</w:t>
            </w:r>
          </w:p>
        </w:tc>
        <w:tc>
          <w:tcPr>
            <w:tcW w:w="18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Consolidated</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800,107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19,768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819,875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320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277,634</w:t>
            </w:r>
          </w:p>
        </w:tc>
        <w:tc>
          <w:tcPr>
            <w:tcW w:w="1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19,550</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297,184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131,835</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130,987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3200" w:type="dxa"/>
            <w:vAlign w:val="bottom"/>
          </w:tcPr>
          <w:p>
            <w:pPr>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2,076</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334,646</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333,298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3200" w:type="dxa"/>
            <w:vAlign w:val="bottom"/>
          </w:tcPr>
          <w:p>
            <w:pPr>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76,222</w:t>
            </w:r>
          </w:p>
        </w:tc>
        <w:tc>
          <w:tcPr>
            <w:tcW w:w="1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4,372</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80,594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Allowance for funds used during construction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8,815</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3200" w:type="dxa"/>
            <w:vAlign w:val="bottom"/>
          </w:tcPr>
          <w:p>
            <w:pPr>
              <w:spacing w:after="0"/>
              <w:rPr>
                <w:sz w:val="20"/>
                <w:szCs w:val="20"/>
                <w:color w:val="auto"/>
              </w:rPr>
            </w:pPr>
            <w:r>
              <w:rPr>
                <w:rFonts w:ascii="Arial" w:cs="Arial" w:eastAsia="Arial" w:hAnsi="Arial"/>
                <w:sz w:val="14"/>
                <w:szCs w:val="14"/>
                <w:color w:val="auto"/>
              </w:rPr>
              <w:t>Equity earnings in joint venture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976</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 (benefit)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24,956</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320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234,922</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(740)</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234,182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381,965</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1,031</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382,996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8"/>
        </w:trPr>
        <w:tc>
          <w:tcPr>
            <w:tcW w:w="3200" w:type="dxa"/>
            <w:vAlign w:val="bottom"/>
          </w:tcPr>
          <w:p>
            <w:pPr>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6,066,477</w:t>
            </w:r>
          </w:p>
        </w:tc>
        <w:tc>
          <w:tcPr>
            <w:tcW w:w="1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92,514</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6,158,991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Selected Quarterly Financial Data (Unaudited)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Second</w:t>
            </w:r>
          </w:p>
        </w:tc>
        <w:tc>
          <w:tcPr>
            <w:tcW w:w="220" w:type="dxa"/>
            <w:vAlign w:val="bottom"/>
          </w:tcPr>
          <w:p>
            <w:pPr>
              <w:spacing w:after="0"/>
              <w:rPr>
                <w:sz w:val="14"/>
                <w:szCs w:val="14"/>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Third</w:t>
            </w:r>
          </w:p>
        </w:tc>
        <w:tc>
          <w:tcPr>
            <w:tcW w:w="24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Fourth</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5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Quarter</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Quarter</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Quarter</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Year</w:t>
            </w:r>
          </w:p>
        </w:tc>
      </w:tr>
      <w:tr>
        <w:trPr>
          <w:trHeight w:val="210"/>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194,347</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211,860</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226,137</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205,747</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838,091</w:t>
            </w:r>
          </w:p>
        </w:tc>
      </w:tr>
      <w:tr>
        <w:trPr>
          <w:trHeight w:val="230"/>
        </w:trPr>
        <w:tc>
          <w:tcPr>
            <w:tcW w:w="536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26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73,946</w:t>
            </w:r>
          </w:p>
        </w:tc>
        <w:tc>
          <w:tcPr>
            <w:tcW w:w="22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73,515</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68,624</w:t>
            </w:r>
          </w:p>
        </w:tc>
        <w:tc>
          <w:tcPr>
            <w:tcW w:w="24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92,393</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308,478</w:t>
            </w: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69,337</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86,754</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104,293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62,794</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323,178</w:t>
            </w:r>
          </w:p>
        </w:tc>
      </w:tr>
      <w:tr>
        <w:trPr>
          <w:trHeight w:val="230"/>
        </w:trPr>
        <w:tc>
          <w:tcPr>
            <w:tcW w:w="536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50,839</w:t>
            </w:r>
          </w:p>
        </w:tc>
        <w:tc>
          <w:tcPr>
            <w:tcW w:w="22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66,590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78,216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191,988</w:t>
            </w: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Basic net income (loss) per common share</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0.29</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0.37</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230"/>
        </w:trPr>
        <w:tc>
          <w:tcPr>
            <w:tcW w:w="5360" w:type="dxa"/>
            <w:vAlign w:val="bottom"/>
          </w:tcPr>
          <w:p>
            <w:pPr>
              <w:spacing w:after="0"/>
              <w:rPr>
                <w:sz w:val="20"/>
                <w:szCs w:val="20"/>
                <w:color w:val="auto"/>
              </w:rPr>
            </w:pPr>
            <w:r>
              <w:rPr>
                <w:rFonts w:ascii="Arial" w:cs="Arial" w:eastAsia="Arial" w:hAnsi="Arial"/>
                <w:sz w:val="14"/>
                <w:szCs w:val="14"/>
                <w:color w:val="auto"/>
              </w:rPr>
              <w:t>Diluted net income (loss) per common share</w:t>
            </w:r>
          </w:p>
        </w:tc>
        <w:tc>
          <w:tcPr>
            <w:tcW w:w="26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0.29</w:t>
            </w:r>
          </w:p>
        </w:tc>
        <w:tc>
          <w:tcPr>
            <w:tcW w:w="22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0.37</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Dividend paid per common share</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0.2047</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0.2047</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0.2190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0.2190</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0.8474</w:t>
            </w:r>
          </w:p>
        </w:tc>
      </w:tr>
      <w:tr>
        <w:trPr>
          <w:trHeight w:val="245"/>
        </w:trPr>
        <w:tc>
          <w:tcPr>
            <w:tcW w:w="5360" w:type="dxa"/>
            <w:vAlign w:val="bottom"/>
          </w:tcPr>
          <w:p>
            <w:pPr>
              <w:spacing w:after="0"/>
              <w:rPr>
                <w:sz w:val="20"/>
                <w:szCs w:val="20"/>
                <w:color w:val="auto"/>
              </w:rPr>
            </w:pPr>
            <w:r>
              <w:rPr>
                <w:rFonts w:ascii="Arial" w:cs="Arial" w:eastAsia="Arial" w:hAnsi="Arial"/>
                <w:sz w:val="14"/>
                <w:szCs w:val="14"/>
                <w:color w:val="auto"/>
              </w:rPr>
              <w:t>Dividend declared per common share</w:t>
            </w:r>
          </w:p>
        </w:tc>
        <w:tc>
          <w:tcPr>
            <w:tcW w:w="26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0.2047</w:t>
            </w:r>
          </w:p>
        </w:tc>
        <w:tc>
          <w:tcPr>
            <w:tcW w:w="22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0.2047</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0.2190</w:t>
            </w:r>
          </w:p>
        </w:tc>
        <w:tc>
          <w:tcPr>
            <w:tcW w:w="24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0.2190</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0.8474</w:t>
            </w:r>
          </w:p>
        </w:tc>
      </w:tr>
      <w:tr>
        <w:trPr>
          <w:trHeight w:val="444"/>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187,787</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203,418</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215,008</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203,312</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809,525</w:t>
            </w:r>
          </w:p>
        </w:tc>
      </w:tr>
      <w:tr>
        <w:trPr>
          <w:trHeight w:val="230"/>
        </w:trPr>
        <w:tc>
          <w:tcPr>
            <w:tcW w:w="536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26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67,890</w:t>
            </w:r>
          </w:p>
        </w:tc>
        <w:tc>
          <w:tcPr>
            <w:tcW w:w="22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69,615</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66,744</w:t>
            </w:r>
          </w:p>
        </w:tc>
        <w:tc>
          <w:tcPr>
            <w:tcW w:w="24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78,004</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282,253</w:t>
            </w: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71,134</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85,850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98,724</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78,212</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333,920</w:t>
            </w:r>
          </w:p>
        </w:tc>
      </w:tr>
      <w:tr>
        <w:trPr>
          <w:trHeight w:val="230"/>
        </w:trPr>
        <w:tc>
          <w:tcPr>
            <w:tcW w:w="5360" w:type="dxa"/>
            <w:vAlign w:val="bottom"/>
          </w:tcPr>
          <w:p>
            <w:pPr>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49,072</w:t>
            </w:r>
          </w:p>
        </w:tc>
        <w:tc>
          <w:tcPr>
            <w:tcW w:w="22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60,968</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76,225</w:t>
            </w:r>
          </w:p>
        </w:tc>
        <w:tc>
          <w:tcPr>
            <w:tcW w:w="24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53,473</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239,738</w:t>
            </w: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Basic net income per common share</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0.28</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0.34</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0.30</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230"/>
        </w:trPr>
        <w:tc>
          <w:tcPr>
            <w:tcW w:w="5360" w:type="dxa"/>
            <w:vAlign w:val="bottom"/>
          </w:tcPr>
          <w:p>
            <w:pPr>
              <w:spacing w:after="0"/>
              <w:rPr>
                <w:sz w:val="20"/>
                <w:szCs w:val="20"/>
                <w:color w:val="auto"/>
              </w:rPr>
            </w:pPr>
            <w:r>
              <w:rPr>
                <w:rFonts w:ascii="Arial" w:cs="Arial" w:eastAsia="Arial" w:hAnsi="Arial"/>
                <w:sz w:val="14"/>
                <w:szCs w:val="14"/>
                <w:color w:val="auto"/>
              </w:rPr>
              <w:t>Diluted net income per common share</w:t>
            </w:r>
          </w:p>
        </w:tc>
        <w:tc>
          <w:tcPr>
            <w:tcW w:w="26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0.28</w:t>
            </w:r>
          </w:p>
        </w:tc>
        <w:tc>
          <w:tcPr>
            <w:tcW w:w="22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0.34</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0.43</w:t>
            </w:r>
          </w:p>
        </w:tc>
        <w:tc>
          <w:tcPr>
            <w:tcW w:w="24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0.30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Dividend paid per common share</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0.1913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0.1913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0.2047</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0.2047</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0.7920</w:t>
            </w:r>
          </w:p>
        </w:tc>
      </w:tr>
      <w:tr>
        <w:trPr>
          <w:trHeight w:val="245"/>
        </w:trPr>
        <w:tc>
          <w:tcPr>
            <w:tcW w:w="5360" w:type="dxa"/>
            <w:vAlign w:val="bottom"/>
          </w:tcPr>
          <w:p>
            <w:pPr>
              <w:spacing w:after="0"/>
              <w:rPr>
                <w:sz w:val="20"/>
                <w:szCs w:val="20"/>
                <w:color w:val="auto"/>
              </w:rPr>
            </w:pPr>
            <w:r>
              <w:rPr>
                <w:rFonts w:ascii="Arial" w:cs="Arial" w:eastAsia="Arial" w:hAnsi="Arial"/>
                <w:sz w:val="14"/>
                <w:szCs w:val="14"/>
                <w:color w:val="auto"/>
              </w:rPr>
              <w:t>Dividend declared per common share</w:t>
            </w:r>
          </w:p>
        </w:tc>
        <w:tc>
          <w:tcPr>
            <w:tcW w:w="26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0.1913</w:t>
            </w:r>
          </w:p>
        </w:tc>
        <w:tc>
          <w:tcPr>
            <w:tcW w:w="22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0.1913</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0.2047</w:t>
            </w:r>
          </w:p>
        </w:tc>
        <w:tc>
          <w:tcPr>
            <w:tcW w:w="24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0.2047</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0.7920</w:t>
            </w:r>
          </w:p>
        </w:tc>
      </w:tr>
    </w:tbl>
    <w:p>
      <w:pPr>
        <w:spacing w:after="0" w:line="238"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i w:val="1"/>
          <w:iCs w:val="1"/>
          <w:color w:val="auto"/>
        </w:rPr>
        <w:t>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05" w:name="page106"/>
    <w:bookmarkEnd w:id="105"/>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ind w:left="4"/>
        <w:spacing w:after="0"/>
        <w:tabs>
          <w:tab w:leader="none" w:pos="1163" w:val="left"/>
        </w:tabs>
        <w:rPr>
          <w:sz w:val="20"/>
          <w:szCs w:val="20"/>
          <w:color w:val="auto"/>
        </w:rPr>
      </w:pPr>
      <w:r>
        <w:rPr>
          <w:rFonts w:ascii="Arial" w:cs="Arial" w:eastAsia="Arial" w:hAnsi="Arial"/>
          <w:sz w:val="20"/>
          <w:szCs w:val="20"/>
          <w:color w:val="auto"/>
        </w:rPr>
        <w:t>Item 9A.</w:t>
      </w:r>
      <w:r>
        <w:rPr>
          <w:sz w:val="20"/>
          <w:szCs w:val="20"/>
          <w:color w:val="auto"/>
        </w:rPr>
        <w:tab/>
      </w:r>
      <w:r>
        <w:rPr>
          <w:rFonts w:ascii="Arial" w:cs="Arial" w:eastAsia="Arial" w:hAnsi="Arial"/>
          <w:sz w:val="16"/>
          <w:szCs w:val="16"/>
          <w:i w:val="1"/>
          <w:iCs w:val="1"/>
          <w:color w:val="auto"/>
        </w:rPr>
        <w:t>Controls and Procedures</w:t>
      </w:r>
    </w:p>
    <w:p>
      <w:pPr>
        <w:spacing w:after="0" w:line="148" w:lineRule="exact"/>
        <w:rPr>
          <w:sz w:val="20"/>
          <w:szCs w:val="20"/>
          <w:color w:val="auto"/>
        </w:rPr>
      </w:pPr>
    </w:p>
    <w:p>
      <w:pPr>
        <w:ind w:left="4" w:right="40" w:hanging="4"/>
        <w:spacing w:after="0" w:line="269" w:lineRule="auto"/>
        <w:tabs>
          <w:tab w:leader="none" w:pos="27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xml:space="preserve"> – Our management, with the participation of our Chief Executive Officer and Chief Financial Officer, evaluated the effectiveness of our disclosure controls and procedures as of the end of the period covered by this Annual Report. Based on that evaluation, the Chief Executive Officer and Chief Financial Officer concluded that our disclosure controls and procedures as of the end of the period covered by this Annual Report are effective to provide reasonable assurance that the information required to be disclosed by us in reports filed under the Securities Exchange Act of 1934 is (i) recorded, processed, summarized and reported within the time periods specified in the SEC’s rules and forms and</w:t>
      </w:r>
    </w:p>
    <w:p>
      <w:pPr>
        <w:spacing w:after="0" w:line="1" w:lineRule="exact"/>
        <w:rPr>
          <w:rFonts w:ascii="Arial" w:cs="Arial" w:eastAsia="Arial" w:hAnsi="Arial"/>
          <w:sz w:val="18"/>
          <w:szCs w:val="18"/>
          <w:color w:val="auto"/>
        </w:rPr>
      </w:pPr>
    </w:p>
    <w:p>
      <w:pPr>
        <w:ind w:left="4" w:right="20" w:hanging="4"/>
        <w:spacing w:after="0" w:line="241" w:lineRule="auto"/>
        <w:tabs>
          <w:tab w:leader="none" w:pos="295" w:val="left"/>
        </w:tabs>
        <w:numPr>
          <w:ilvl w:val="0"/>
          <w:numId w:val="55"/>
        </w:numPr>
        <w:rPr>
          <w:rFonts w:ascii="Arial" w:cs="Arial" w:eastAsia="Arial" w:hAnsi="Arial"/>
          <w:sz w:val="20"/>
          <w:szCs w:val="20"/>
          <w:color w:val="auto"/>
        </w:rPr>
      </w:pPr>
      <w:r>
        <w:rPr>
          <w:rFonts w:ascii="Arial" w:cs="Arial" w:eastAsia="Arial" w:hAnsi="Arial"/>
          <w:sz w:val="20"/>
          <w:szCs w:val="20"/>
          <w:color w:val="auto"/>
        </w:rPr>
        <w:t>accumulated and communicated to our management, including the Chief Executive Officer and Chief Financial Officer, as appropriate to allow timely decisions regarding disclosure. A controls system cannot provide absolute assurance, however, that the objectives of the controls system are met, and no evaluation of controls can provide absolute assurance that all control issues and instances of fraud, if any, within a company have been detected.</w:t>
      </w:r>
    </w:p>
    <w:p>
      <w:pPr>
        <w:spacing w:after="0" w:line="208" w:lineRule="exact"/>
        <w:rPr>
          <w:rFonts w:ascii="Arial" w:cs="Arial" w:eastAsia="Arial" w:hAnsi="Arial"/>
          <w:sz w:val="20"/>
          <w:szCs w:val="20"/>
          <w:color w:val="auto"/>
        </w:rPr>
      </w:pPr>
    </w:p>
    <w:p>
      <w:pPr>
        <w:ind w:left="284" w:hanging="284"/>
        <w:spacing w:after="0"/>
        <w:tabs>
          <w:tab w:leader="none" w:pos="284"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Management’s Report on Internal Control Over Financial Reporting</w:t>
      </w:r>
    </w:p>
    <w:p>
      <w:pPr>
        <w:spacing w:after="0" w:line="16" w:lineRule="exact"/>
        <w:rPr>
          <w:sz w:val="20"/>
          <w:szCs w:val="20"/>
          <w:color w:val="auto"/>
        </w:rPr>
      </w:pPr>
    </w:p>
    <w:p>
      <w:pPr>
        <w:ind w:left="4" w:right="80"/>
        <w:spacing w:after="0" w:line="26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The Company’s internal control over financial reporting is a process designed to provide reasonable assurance regarding the reliability of our financial reporting and the preparation of financial statements for external purposes in accordance with accounting principles generally accepted in the United States of America. The Company’s internal control over financial reporting includes those policies and procedures that</w:t>
      </w:r>
    </w:p>
    <w:p>
      <w:pPr>
        <w:spacing w:after="0" w:line="1" w:lineRule="exact"/>
        <w:rPr>
          <w:sz w:val="20"/>
          <w:szCs w:val="20"/>
          <w:color w:val="auto"/>
        </w:rPr>
      </w:pPr>
    </w:p>
    <w:p>
      <w:pPr>
        <w:ind w:left="4" w:hanging="4"/>
        <w:spacing w:after="0" w:line="272" w:lineRule="auto"/>
        <w:tabs>
          <w:tab w:leader="none" w:pos="284"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left="4" w:right="360"/>
        <w:spacing w:after="0" w:line="34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color w:val="auto"/>
        </w:rPr>
        <w:t xml:space="preserve">In assessing the effectiveness of internal control over financial reporting,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As a result of management’s assessment and based on the criteria in the framework, management has concluded that, as of December 31, 2018, the Company’s internal control over financial reporting was effective.</w:t>
      </w:r>
    </w:p>
    <w:p>
      <w:pPr>
        <w:spacing w:after="0" w:line="243" w:lineRule="exact"/>
        <w:rPr>
          <w:sz w:val="20"/>
          <w:szCs w:val="20"/>
          <w:color w:val="auto"/>
        </w:rPr>
      </w:pPr>
    </w:p>
    <w:p>
      <w:pPr>
        <w:ind w:left="4" w:right="500" w:hanging="4"/>
        <w:spacing w:after="0" w:line="250" w:lineRule="auto"/>
        <w:tabs>
          <w:tab w:leader="none" w:pos="27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Attestation Report of the Registered Public Accounting Firm –</w:t>
      </w:r>
      <w:r>
        <w:rPr>
          <w:rFonts w:ascii="Arial" w:cs="Arial" w:eastAsia="Arial" w:hAnsi="Arial"/>
          <w:sz w:val="20"/>
          <w:szCs w:val="20"/>
          <w:color w:val="auto"/>
        </w:rPr>
        <w:t xml:space="preserve"> The effectiveness of our internal control over financial reporting as of December 31, 2018 has been audited by PricewaterhouseCoopers LLP, an independent registered public accounting firm, as stated in their report which is included herein.</w:t>
      </w:r>
    </w:p>
    <w:p>
      <w:pPr>
        <w:spacing w:after="0" w:line="199" w:lineRule="exact"/>
        <w:rPr>
          <w:rFonts w:ascii="Arial" w:cs="Arial" w:eastAsia="Arial" w:hAnsi="Arial"/>
          <w:sz w:val="20"/>
          <w:szCs w:val="20"/>
          <w:color w:val="auto"/>
        </w:rPr>
      </w:pPr>
    </w:p>
    <w:p>
      <w:pPr>
        <w:ind w:left="4" w:right="60" w:hanging="4"/>
        <w:spacing w:after="0" w:line="250" w:lineRule="auto"/>
        <w:tabs>
          <w:tab w:leader="none" w:pos="28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Changes in Internal Control Over Financial Reporting</w:t>
      </w:r>
      <w:r>
        <w:rPr>
          <w:rFonts w:ascii="Arial" w:cs="Arial" w:eastAsia="Arial" w:hAnsi="Arial"/>
          <w:sz w:val="20"/>
          <w:szCs w:val="20"/>
          <w:color w:val="auto"/>
        </w:rPr>
        <w:t xml:space="preserve"> – No change in our internal control over financial reporting occurred during our last fiscal quarter that has materially affected, or is reasonably likely to materially affect, our internal control over financial reporting.</w:t>
      </w:r>
    </w:p>
    <w:p>
      <w:pPr>
        <w:spacing w:after="0" w:line="227" w:lineRule="exact"/>
        <w:rPr>
          <w:sz w:val="20"/>
          <w:szCs w:val="20"/>
          <w:color w:val="auto"/>
        </w:rPr>
      </w:pPr>
    </w:p>
    <w:p>
      <w:pPr>
        <w:ind w:left="4"/>
        <w:spacing w:after="0"/>
        <w:tabs>
          <w:tab w:leader="none" w:pos="1243" w:val="left"/>
        </w:tabs>
        <w:rPr>
          <w:sz w:val="20"/>
          <w:szCs w:val="20"/>
          <w:color w:val="auto"/>
        </w:rPr>
      </w:pPr>
      <w:r>
        <w:rPr>
          <w:rFonts w:ascii="Arial" w:cs="Arial" w:eastAsia="Arial" w:hAnsi="Arial"/>
          <w:sz w:val="20"/>
          <w:szCs w:val="20"/>
          <w:color w:val="auto"/>
        </w:rPr>
        <w:t>Item 9B.</w:t>
      </w:r>
      <w:r>
        <w:rPr>
          <w:sz w:val="20"/>
          <w:szCs w:val="20"/>
          <w:color w:val="auto"/>
        </w:rPr>
        <w:tab/>
      </w:r>
      <w:r>
        <w:rPr>
          <w:rFonts w:ascii="Arial" w:cs="Arial" w:eastAsia="Arial" w:hAnsi="Arial"/>
          <w:sz w:val="18"/>
          <w:szCs w:val="18"/>
          <w:i w:val="1"/>
          <w:iCs w:val="1"/>
          <w:color w:val="auto"/>
        </w:rPr>
        <w:t>Other Information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25" w:right="8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PART III</w:t>
      </w:r>
    </w:p>
    <w:p>
      <w:pPr>
        <w:spacing w:after="0" w:line="81"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8"/>
          <w:szCs w:val="18"/>
          <w:i w:val="1"/>
          <w:iCs w:val="1"/>
          <w:color w:val="auto"/>
        </w:rPr>
        <w:t>Directors, Executive Officers and Corporate Governance</w:t>
      </w:r>
    </w:p>
    <w:p>
      <w:pPr>
        <w:spacing w:after="0" w:line="10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information appearing in the sections captioned </w:t>
      </w:r>
      <w:r>
        <w:rPr>
          <w:rFonts w:ascii="Arial" w:cs="Arial" w:eastAsia="Arial" w:hAnsi="Arial"/>
          <w:sz w:val="18"/>
          <w:szCs w:val="18"/>
          <w:i w:val="1"/>
          <w:iCs w:val="1"/>
          <w:color w:val="auto"/>
        </w:rPr>
        <w:t>Information Regarding Nominees and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 –</w:t>
      </w:r>
      <w:r>
        <w:rPr>
          <w:rFonts w:ascii="Arial" w:cs="Arial" w:eastAsia="Arial" w:hAnsi="Arial"/>
          <w:sz w:val="18"/>
          <w:szCs w:val="18"/>
          <w:color w:val="auto"/>
        </w:rPr>
        <w:t xml:space="preserve"> </w:t>
      </w:r>
      <w:r>
        <w:rPr>
          <w:rFonts w:ascii="Arial" w:cs="Arial" w:eastAsia="Arial" w:hAnsi="Arial"/>
          <w:sz w:val="18"/>
          <w:szCs w:val="18"/>
          <w:i w:val="1"/>
          <w:iCs w:val="1"/>
          <w:color w:val="auto"/>
        </w:rPr>
        <w:t>Code of Ethics</w:t>
      </w:r>
      <w:r>
        <w:rPr>
          <w:rFonts w:ascii="Arial" w:cs="Arial" w:eastAsia="Arial" w:hAnsi="Arial"/>
          <w:sz w:val="18"/>
          <w:szCs w:val="18"/>
          <w:color w:val="auto"/>
        </w:rPr>
        <w:t>, –</w:t>
      </w:r>
      <w:r>
        <w:rPr>
          <w:rFonts w:ascii="Arial" w:cs="Arial" w:eastAsia="Arial" w:hAnsi="Arial"/>
          <w:sz w:val="18"/>
          <w:szCs w:val="18"/>
          <w:i w:val="1"/>
          <w:iCs w:val="1"/>
          <w:color w:val="auto"/>
        </w:rPr>
        <w:t xml:space="preserve"> Board and Board Committees</w:t>
      </w:r>
      <w:r>
        <w:rPr>
          <w:rFonts w:ascii="Arial" w:cs="Arial" w:eastAsia="Arial" w:hAnsi="Arial"/>
          <w:sz w:val="18"/>
          <w:szCs w:val="18"/>
          <w:color w:val="auto"/>
        </w:rPr>
        <w:t>, and</w:t>
      </w:r>
      <w:r>
        <w:rPr>
          <w:rFonts w:ascii="Arial" w:cs="Arial" w:eastAsia="Arial" w:hAnsi="Arial"/>
          <w:sz w:val="18"/>
          <w:szCs w:val="18"/>
          <w:i w:val="1"/>
          <w:iCs w:val="1"/>
          <w:color w:val="auto"/>
        </w:rPr>
        <w:t xml:space="preserve"> Section 16(a) Beneficial Ownership Reporting Compliance </w:t>
      </w:r>
      <w:r>
        <w:rPr>
          <w:rFonts w:ascii="Arial" w:cs="Arial" w:eastAsia="Arial" w:hAnsi="Arial"/>
          <w:sz w:val="18"/>
          <w:szCs w:val="18"/>
          <w:color w:val="auto"/>
        </w:rPr>
        <w:t>of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definitive Proxy Statement relating to our 2019, annual meeting of shareholders, to be filed within 120 days after the end of the fiscal year covered by this Annual Report on Form 10-K (the “Form 10-K), is incorporated by reference herein.</w:t>
      </w:r>
    </w:p>
    <w:p>
      <w:pPr>
        <w:spacing w:after="0" w:line="175"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We make available free of charge within the Corporate Governance portion of the investor relations section of our web site, at www.aquaamerica.com, our Corporate Governance Guidelines, the Charters of each Committee of our Board of Directors, and our Code of Ethical Business Conduct (the “Code of Ethics”). Amendments to the Code of Ethics, and any grant of a waiver from a provision of the Code requiring disclosure under applicable rules of the SEC, will be disclosed on our web site. The reference to our web site is intended to be an inactive textual reference only, and the contents of such web site are not incorporated by reference herein and should not be considered part of this or any other report that we file with or furnish to the SEC.</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07" w:name="page108"/>
    <w:bookmarkEnd w:id="10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left="4"/>
        <w:spacing w:after="0"/>
        <w:rPr>
          <w:sz w:val="20"/>
          <w:szCs w:val="20"/>
          <w:color w:val="auto"/>
        </w:rPr>
      </w:pPr>
      <w:r>
        <w:rPr>
          <w:rFonts w:ascii="Arial" w:cs="Arial" w:eastAsia="Arial" w:hAnsi="Arial"/>
          <w:sz w:val="20"/>
          <w:szCs w:val="20"/>
          <w:u w:val="single" w:color="auto"/>
          <w:color w:val="auto"/>
        </w:rPr>
        <w:t>Our Executive Officers</w:t>
      </w:r>
    </w:p>
    <w:p>
      <w:pPr>
        <w:spacing w:after="0" w:line="148" w:lineRule="exact"/>
        <w:rPr>
          <w:sz w:val="20"/>
          <w:szCs w:val="20"/>
          <w:color w:val="auto"/>
        </w:rPr>
      </w:pPr>
    </w:p>
    <w:p>
      <w:pPr>
        <w:ind w:left="4" w:right="300"/>
        <w:spacing w:after="0" w:line="260" w:lineRule="auto"/>
        <w:rPr>
          <w:sz w:val="20"/>
          <w:szCs w:val="20"/>
          <w:color w:val="auto"/>
        </w:rPr>
      </w:pPr>
      <w:r>
        <w:rPr>
          <w:rFonts w:ascii="Arial" w:cs="Arial" w:eastAsia="Arial" w:hAnsi="Arial"/>
          <w:sz w:val="20"/>
          <w:szCs w:val="20"/>
          <w:color w:val="auto"/>
        </w:rPr>
        <w:t>The following table and the notes thereto set forth information with respect to our executive officers, including their names, ages, positions with Aqua America and business experience during the last five years:</w:t>
      </w:r>
    </w:p>
    <w:p>
      <w:pPr>
        <w:spacing w:after="0" w:line="200" w:lineRule="exact"/>
        <w:rPr>
          <w:sz w:val="20"/>
          <w:szCs w:val="20"/>
          <w:color w:val="auto"/>
        </w:rPr>
      </w:pPr>
    </w:p>
    <w:p>
      <w:pPr>
        <w:spacing w:after="0" w:line="399" w:lineRule="exact"/>
        <w:rPr>
          <w:sz w:val="20"/>
          <w:szCs w:val="20"/>
          <w:color w:val="auto"/>
        </w:rPr>
      </w:pPr>
    </w:p>
    <w:tbl>
      <w:tblPr>
        <w:tblLayout w:type="fixed"/>
        <w:tblInd w:w="124" w:type="dxa"/>
        <w:tblCellMar>
          <w:top w:w="0" w:type="dxa"/>
          <w:left w:w="0" w:type="dxa"/>
          <w:bottom w:w="0" w:type="dxa"/>
          <w:right w:w="0" w:type="dxa"/>
        </w:tblCellMar>
      </w:tblPr>
      <w:tr>
        <w:trPr>
          <w:trHeight w:val="230"/>
        </w:trPr>
        <w:tc>
          <w:tcPr>
            <w:tcW w:w="2620" w:type="dxa"/>
            <w:vAlign w:val="bottom"/>
            <w:gridSpan w:val="2"/>
          </w:tcPr>
          <w:p>
            <w:pPr>
              <w:spacing w:after="0"/>
              <w:rPr>
                <w:sz w:val="20"/>
                <w:szCs w:val="20"/>
                <w:color w:val="auto"/>
              </w:rPr>
            </w:pPr>
            <w:r>
              <w:rPr>
                <w:rFonts w:ascii="Arial" w:cs="Arial" w:eastAsia="Arial" w:hAnsi="Arial"/>
                <w:sz w:val="20"/>
                <w:szCs w:val="20"/>
                <w:color w:val="auto"/>
              </w:rPr>
              <w:t>Name</w:t>
            </w:r>
          </w:p>
        </w:tc>
        <w:tc>
          <w:tcPr>
            <w:tcW w:w="520" w:type="dxa"/>
            <w:vAlign w:val="bottom"/>
            <w:gridSpan w:val="2"/>
          </w:tcPr>
          <w:p>
            <w:pPr>
              <w:spacing w:after="0"/>
              <w:rPr>
                <w:sz w:val="20"/>
                <w:szCs w:val="20"/>
                <w:color w:val="auto"/>
              </w:rPr>
            </w:pPr>
            <w:r>
              <w:rPr>
                <w:rFonts w:ascii="Arial" w:cs="Arial" w:eastAsia="Arial" w:hAnsi="Arial"/>
                <w:sz w:val="20"/>
                <w:szCs w:val="20"/>
                <w:color w:val="auto"/>
              </w:rPr>
              <w:t>Age</w:t>
            </w: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rPr>
              <w:t>Position with Aqua America (1)</w:t>
            </w:r>
          </w:p>
        </w:tc>
      </w:tr>
      <w:tr>
        <w:trPr>
          <w:trHeight w:val="20"/>
        </w:trPr>
        <w:tc>
          <w:tcPr>
            <w:tcW w:w="4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33"/>
        </w:trPr>
        <w:tc>
          <w:tcPr>
            <w:tcW w:w="2620" w:type="dxa"/>
            <w:vAlign w:val="bottom"/>
            <w:gridSpan w:val="2"/>
          </w:tcPr>
          <w:p>
            <w:pPr>
              <w:spacing w:after="0"/>
              <w:rPr>
                <w:sz w:val="20"/>
                <w:szCs w:val="20"/>
                <w:color w:val="auto"/>
              </w:rPr>
            </w:pPr>
            <w:r>
              <w:rPr>
                <w:rFonts w:ascii="Arial" w:cs="Arial" w:eastAsia="Arial" w:hAnsi="Arial"/>
                <w:sz w:val="20"/>
                <w:szCs w:val="20"/>
                <w:color w:val="auto"/>
              </w:rPr>
              <w:t>Christopher H. Franklin</w:t>
            </w:r>
          </w:p>
        </w:tc>
        <w:tc>
          <w:tcPr>
            <w:tcW w:w="340" w:type="dxa"/>
            <w:vAlign w:val="bottom"/>
          </w:tcPr>
          <w:p>
            <w:pPr>
              <w:spacing w:after="0"/>
              <w:rPr>
                <w:sz w:val="20"/>
                <w:szCs w:val="20"/>
                <w:color w:val="auto"/>
              </w:rPr>
            </w:pPr>
            <w:r>
              <w:rPr>
                <w:rFonts w:ascii="Arial" w:cs="Arial" w:eastAsia="Arial" w:hAnsi="Arial"/>
                <w:sz w:val="20"/>
                <w:szCs w:val="20"/>
                <w:color w:val="auto"/>
              </w:rPr>
              <w:t>53</w:t>
            </w:r>
          </w:p>
        </w:tc>
        <w:tc>
          <w:tcPr>
            <w:tcW w:w="180" w:type="dxa"/>
            <w:vAlign w:val="bottom"/>
          </w:tcPr>
          <w:p>
            <w:pPr>
              <w:spacing w:after="0"/>
              <w:rPr>
                <w:sz w:val="20"/>
                <w:szCs w:val="20"/>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1"/>
              </w:rPr>
              <w:t>Chairman (January 2018 to present); President and Chief Executive Officer (July</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4"/>
              </w:rPr>
              <w:t>2015 to present); Executive Vice President and President and Chief Operating</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1"/>
              </w:rPr>
              <w:t>Officer, Regulated Operations (January 2012 to July 2015); Regional President –</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6"/>
              </w:rPr>
              <w:t>Midwest and Southern Operations and Senior Vice President, Corporate and</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0"/>
              </w:rPr>
              <w:t>Public Affairs (January 2010 to January 2012); Regional President, Aqua America</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3"/>
              </w:rPr>
              <w:t>– Southern Operations and Senior Vice President, Public Affairs and Customer</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2"/>
              </w:rPr>
              <w:t>Operations (February 2007 to January 2010); Vice President, Public Affairs and</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3"/>
              </w:rPr>
              <w:t>Customer Operations (May 2005 to February 2007); Vice President, Corporate</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2"/>
              </w:rPr>
              <w:t>and Public Affairs (February 1997 to May 2005); Manager Corporate and Public</w:t>
            </w:r>
          </w:p>
        </w:tc>
      </w:tr>
      <w:tr>
        <w:trPr>
          <w:trHeight w:val="250"/>
        </w:trPr>
        <w:tc>
          <w:tcPr>
            <w:tcW w:w="4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rPr>
              <w:t>Affairs (December 1992 to February 1997)</w:t>
            </w:r>
          </w:p>
        </w:tc>
      </w:tr>
      <w:tr>
        <w:trPr>
          <w:trHeight w:val="641"/>
        </w:trPr>
        <w:tc>
          <w:tcPr>
            <w:tcW w:w="2620" w:type="dxa"/>
            <w:vAlign w:val="bottom"/>
            <w:gridSpan w:val="2"/>
          </w:tcPr>
          <w:p>
            <w:pPr>
              <w:spacing w:after="0"/>
              <w:rPr>
                <w:sz w:val="20"/>
                <w:szCs w:val="20"/>
                <w:color w:val="auto"/>
              </w:rPr>
            </w:pPr>
            <w:r>
              <w:rPr>
                <w:rFonts w:ascii="Arial" w:cs="Arial" w:eastAsia="Arial" w:hAnsi="Arial"/>
                <w:sz w:val="20"/>
                <w:szCs w:val="20"/>
                <w:color w:val="auto"/>
              </w:rPr>
              <w:t>Daniel J. Schuller</w:t>
            </w:r>
          </w:p>
        </w:tc>
        <w:tc>
          <w:tcPr>
            <w:tcW w:w="340" w:type="dxa"/>
            <w:vAlign w:val="bottom"/>
          </w:tcPr>
          <w:p>
            <w:pPr>
              <w:spacing w:after="0"/>
              <w:rPr>
                <w:sz w:val="20"/>
                <w:szCs w:val="20"/>
                <w:color w:val="auto"/>
              </w:rPr>
            </w:pPr>
            <w:r>
              <w:rPr>
                <w:rFonts w:ascii="Arial" w:cs="Arial" w:eastAsia="Arial" w:hAnsi="Arial"/>
                <w:sz w:val="20"/>
                <w:szCs w:val="20"/>
                <w:color w:val="auto"/>
              </w:rPr>
              <w:t>49</w:t>
            </w:r>
          </w:p>
        </w:tc>
        <w:tc>
          <w:tcPr>
            <w:tcW w:w="180" w:type="dxa"/>
            <w:vAlign w:val="bottom"/>
          </w:tcPr>
          <w:p>
            <w:pPr>
              <w:spacing w:after="0"/>
              <w:rPr>
                <w:sz w:val="24"/>
                <w:szCs w:val="24"/>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2"/>
              </w:rPr>
              <w:t>Executive Vice President and Chief Financial Officer (October 2018 to present);</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5"/>
              </w:rPr>
              <w:t>Executive Vice President, Strategy and Corporate Development (July 2015 to</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rPr>
              <w:t>October 2018); Investment Principal – J.P. Morgan Asset Management –</w:t>
            </w:r>
          </w:p>
        </w:tc>
      </w:tr>
      <w:tr>
        <w:trPr>
          <w:trHeight w:val="250"/>
        </w:trPr>
        <w:tc>
          <w:tcPr>
            <w:tcW w:w="4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rPr>
              <w:t>Infrastructure Investments Group (2007 to 2015)</w:t>
            </w:r>
          </w:p>
        </w:tc>
      </w:tr>
      <w:tr>
        <w:trPr>
          <w:trHeight w:val="641"/>
        </w:trPr>
        <w:tc>
          <w:tcPr>
            <w:tcW w:w="2620" w:type="dxa"/>
            <w:vAlign w:val="bottom"/>
            <w:gridSpan w:val="2"/>
          </w:tcPr>
          <w:p>
            <w:pPr>
              <w:spacing w:after="0"/>
              <w:rPr>
                <w:sz w:val="20"/>
                <w:szCs w:val="20"/>
                <w:color w:val="auto"/>
              </w:rPr>
            </w:pPr>
            <w:r>
              <w:rPr>
                <w:rFonts w:ascii="Arial" w:cs="Arial" w:eastAsia="Arial" w:hAnsi="Arial"/>
                <w:sz w:val="20"/>
                <w:szCs w:val="20"/>
                <w:color w:val="auto"/>
              </w:rPr>
              <w:t>Richard S. Fox</w:t>
            </w:r>
          </w:p>
        </w:tc>
        <w:tc>
          <w:tcPr>
            <w:tcW w:w="340" w:type="dxa"/>
            <w:vAlign w:val="bottom"/>
          </w:tcPr>
          <w:p>
            <w:pPr>
              <w:spacing w:after="0"/>
              <w:rPr>
                <w:sz w:val="20"/>
                <w:szCs w:val="20"/>
                <w:color w:val="auto"/>
              </w:rPr>
            </w:pPr>
            <w:r>
              <w:rPr>
                <w:rFonts w:ascii="Arial" w:cs="Arial" w:eastAsia="Arial" w:hAnsi="Arial"/>
                <w:sz w:val="20"/>
                <w:szCs w:val="20"/>
                <w:color w:val="auto"/>
              </w:rPr>
              <w:t>57</w:t>
            </w:r>
          </w:p>
        </w:tc>
        <w:tc>
          <w:tcPr>
            <w:tcW w:w="180" w:type="dxa"/>
            <w:vAlign w:val="bottom"/>
          </w:tcPr>
          <w:p>
            <w:pPr>
              <w:spacing w:after="0"/>
              <w:rPr>
                <w:sz w:val="24"/>
                <w:szCs w:val="24"/>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6"/>
              </w:rPr>
              <w:t>Executive Vice President and Chief Operating Officer (July 2015 to present);</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4"/>
              </w:rPr>
              <w:t>Regional President, Regulated Utilities (January 2012 to July 2015); President</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9"/>
              </w:rPr>
              <w:t>Aqua Utilities, Florida, Inc. (August 2011 to January 2012); Vice President,</w:t>
            </w:r>
          </w:p>
        </w:tc>
      </w:tr>
      <w:tr>
        <w:trPr>
          <w:trHeight w:val="250"/>
        </w:trPr>
        <w:tc>
          <w:tcPr>
            <w:tcW w:w="4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rPr>
              <w:t>Customer Service (June 2002 to August 2011)</w:t>
            </w:r>
          </w:p>
        </w:tc>
      </w:tr>
      <w:tr>
        <w:trPr>
          <w:trHeight w:val="654"/>
        </w:trPr>
        <w:tc>
          <w:tcPr>
            <w:tcW w:w="2620" w:type="dxa"/>
            <w:vAlign w:val="bottom"/>
            <w:gridSpan w:val="2"/>
          </w:tcPr>
          <w:p>
            <w:pPr>
              <w:spacing w:after="0"/>
              <w:rPr>
                <w:sz w:val="20"/>
                <w:szCs w:val="20"/>
                <w:color w:val="auto"/>
              </w:rPr>
            </w:pPr>
            <w:r>
              <w:rPr>
                <w:rFonts w:ascii="Arial" w:cs="Arial" w:eastAsia="Arial" w:hAnsi="Arial"/>
                <w:sz w:val="20"/>
                <w:szCs w:val="20"/>
                <w:color w:val="auto"/>
              </w:rPr>
              <w:t>Christopher P. Luning</w:t>
            </w:r>
          </w:p>
        </w:tc>
        <w:tc>
          <w:tcPr>
            <w:tcW w:w="340" w:type="dxa"/>
            <w:vAlign w:val="bottom"/>
          </w:tcPr>
          <w:p>
            <w:pPr>
              <w:spacing w:after="0"/>
              <w:rPr>
                <w:sz w:val="20"/>
                <w:szCs w:val="20"/>
                <w:color w:val="auto"/>
              </w:rPr>
            </w:pPr>
            <w:r>
              <w:rPr>
                <w:rFonts w:ascii="Arial" w:cs="Arial" w:eastAsia="Arial" w:hAnsi="Arial"/>
                <w:sz w:val="20"/>
                <w:szCs w:val="20"/>
                <w:color w:val="auto"/>
              </w:rPr>
              <w:t>51</w:t>
            </w:r>
          </w:p>
        </w:tc>
        <w:tc>
          <w:tcPr>
            <w:tcW w:w="180" w:type="dxa"/>
            <w:vAlign w:val="bottom"/>
          </w:tcPr>
          <w:p>
            <w:pPr>
              <w:spacing w:after="0"/>
              <w:rPr>
                <w:sz w:val="24"/>
                <w:szCs w:val="24"/>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3"/>
              </w:rPr>
              <w:t>Senior Vice President, General Counsel, and Secretary (April 2012 to present);</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4"/>
              </w:rPr>
              <w:t>Vice President Corporate Development and Corporate Counsel (June 2008 to</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7"/>
              </w:rPr>
              <w:t>April 2012); Vice President and Deputy General Counsel (May 2005 to June</w:t>
            </w:r>
          </w:p>
        </w:tc>
      </w:tr>
      <w:tr>
        <w:trPr>
          <w:trHeight w:val="250"/>
        </w:trPr>
        <w:tc>
          <w:tcPr>
            <w:tcW w:w="4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rPr>
              <w:t>2008); Assistant General Counsel (March 2003 to May 2005)</w:t>
            </w:r>
          </w:p>
        </w:tc>
      </w:tr>
      <w:tr>
        <w:trPr>
          <w:trHeight w:val="654"/>
        </w:trPr>
        <w:tc>
          <w:tcPr>
            <w:tcW w:w="2620" w:type="dxa"/>
            <w:vAlign w:val="bottom"/>
            <w:gridSpan w:val="2"/>
          </w:tcPr>
          <w:p>
            <w:pPr>
              <w:spacing w:after="0"/>
              <w:rPr>
                <w:sz w:val="20"/>
                <w:szCs w:val="20"/>
                <w:color w:val="auto"/>
              </w:rPr>
            </w:pPr>
            <w:r>
              <w:rPr>
                <w:rFonts w:ascii="Arial" w:cs="Arial" w:eastAsia="Arial" w:hAnsi="Arial"/>
                <w:sz w:val="20"/>
                <w:szCs w:val="20"/>
                <w:color w:val="auto"/>
              </w:rPr>
              <w:t>Matthew R. Rhodes</w:t>
            </w:r>
          </w:p>
        </w:tc>
        <w:tc>
          <w:tcPr>
            <w:tcW w:w="340" w:type="dxa"/>
            <w:vAlign w:val="bottom"/>
          </w:tcPr>
          <w:p>
            <w:pPr>
              <w:spacing w:after="0"/>
              <w:rPr>
                <w:sz w:val="20"/>
                <w:szCs w:val="20"/>
                <w:color w:val="auto"/>
              </w:rPr>
            </w:pPr>
            <w:r>
              <w:rPr>
                <w:rFonts w:ascii="Arial" w:cs="Arial" w:eastAsia="Arial" w:hAnsi="Arial"/>
                <w:sz w:val="20"/>
                <w:szCs w:val="20"/>
                <w:color w:val="auto"/>
              </w:rPr>
              <w:t>41</w:t>
            </w:r>
          </w:p>
        </w:tc>
        <w:tc>
          <w:tcPr>
            <w:tcW w:w="180" w:type="dxa"/>
            <w:vAlign w:val="bottom"/>
          </w:tcPr>
          <w:p>
            <w:pPr>
              <w:spacing w:after="0"/>
              <w:rPr>
                <w:sz w:val="24"/>
                <w:szCs w:val="24"/>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4"/>
              </w:rPr>
              <w:t>Executive Vice President, Strategy and Corporate Development (June 2018 to</w:t>
            </w:r>
          </w:p>
        </w:tc>
      </w:tr>
      <w:tr>
        <w:trPr>
          <w:trHeight w:val="230"/>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3"/>
              </w:rPr>
              <w:t>present); Managing Director - Goldman Sachs, Global Natural Resources (July</w:t>
            </w:r>
          </w:p>
        </w:tc>
      </w:tr>
      <w:tr>
        <w:trPr>
          <w:trHeight w:val="250"/>
        </w:trPr>
        <w:tc>
          <w:tcPr>
            <w:tcW w:w="4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rPr>
              <w:t>2007 to April 2018)</w:t>
            </w:r>
          </w:p>
        </w:tc>
      </w:tr>
      <w:tr>
        <w:trPr>
          <w:trHeight w:val="641"/>
        </w:trPr>
        <w:tc>
          <w:tcPr>
            <w:tcW w:w="2620" w:type="dxa"/>
            <w:vAlign w:val="bottom"/>
            <w:gridSpan w:val="2"/>
          </w:tcPr>
          <w:p>
            <w:pPr>
              <w:spacing w:after="0"/>
              <w:rPr>
                <w:sz w:val="20"/>
                <w:szCs w:val="20"/>
                <w:color w:val="auto"/>
              </w:rPr>
            </w:pPr>
            <w:r>
              <w:rPr>
                <w:rFonts w:ascii="Arial" w:cs="Arial" w:eastAsia="Arial" w:hAnsi="Arial"/>
                <w:sz w:val="20"/>
                <w:szCs w:val="20"/>
                <w:color w:val="auto"/>
              </w:rPr>
              <w:t>Robert A. Rubin</w:t>
            </w:r>
          </w:p>
        </w:tc>
        <w:tc>
          <w:tcPr>
            <w:tcW w:w="340" w:type="dxa"/>
            <w:vAlign w:val="bottom"/>
          </w:tcPr>
          <w:p>
            <w:pPr>
              <w:spacing w:after="0"/>
              <w:rPr>
                <w:sz w:val="20"/>
                <w:szCs w:val="20"/>
                <w:color w:val="auto"/>
              </w:rPr>
            </w:pPr>
            <w:r>
              <w:rPr>
                <w:rFonts w:ascii="Arial" w:cs="Arial" w:eastAsia="Arial" w:hAnsi="Arial"/>
                <w:sz w:val="20"/>
                <w:szCs w:val="20"/>
                <w:color w:val="auto"/>
              </w:rPr>
              <w:t>56</w:t>
            </w:r>
          </w:p>
        </w:tc>
        <w:tc>
          <w:tcPr>
            <w:tcW w:w="180" w:type="dxa"/>
            <w:vAlign w:val="bottom"/>
          </w:tcPr>
          <w:p>
            <w:pPr>
              <w:spacing w:after="0"/>
              <w:rPr>
                <w:sz w:val="24"/>
                <w:szCs w:val="24"/>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2"/>
              </w:rPr>
              <w:t>Senior Vice President, Controller and Chief Accounting Officer (January 2012 to</w:t>
            </w:r>
          </w:p>
        </w:tc>
      </w:tr>
      <w:tr>
        <w:trPr>
          <w:trHeight w:val="246"/>
        </w:trPr>
        <w:tc>
          <w:tcPr>
            <w:tcW w:w="4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40" w:type="dxa"/>
            <w:vAlign w:val="bottom"/>
            <w:gridSpan w:val="3"/>
          </w:tcPr>
          <w:p>
            <w:pPr>
              <w:ind w:left="200"/>
              <w:spacing w:after="0"/>
              <w:rPr>
                <w:sz w:val="20"/>
                <w:szCs w:val="20"/>
                <w:color w:val="auto"/>
              </w:rPr>
            </w:pPr>
            <w:r>
              <w:rPr>
                <w:rFonts w:ascii="Arial" w:cs="Arial" w:eastAsia="Arial" w:hAnsi="Arial"/>
                <w:sz w:val="20"/>
                <w:szCs w:val="20"/>
                <w:color w:val="auto"/>
                <w:w w:val="93"/>
              </w:rPr>
              <w:t>present); Vice President, Controller and Chief Accounting Officer (May 2005 to</w:t>
            </w:r>
          </w:p>
        </w:tc>
      </w:tr>
    </w:tbl>
    <w:p>
      <w:pPr>
        <w:ind w:left="3464" w:right="260"/>
        <w:spacing w:after="0" w:line="260" w:lineRule="auto"/>
        <w:rPr>
          <w:sz w:val="20"/>
          <w:szCs w:val="20"/>
          <w:color w:val="auto"/>
        </w:rPr>
      </w:pPr>
      <w:r>
        <w:rPr>
          <w:rFonts w:ascii="Arial" w:cs="Arial" w:eastAsia="Arial" w:hAnsi="Arial"/>
          <w:sz w:val="19"/>
          <w:szCs w:val="19"/>
          <w:color w:val="auto"/>
        </w:rPr>
        <w:t>January 2012); Controller and Chief Accounting Officer (March 2004 to May 2005); Controller (March 1999 to March 2004); Assistant Controller (June 1994 to March 1999); Accounting Manager (June 1989 to June 1994)</w:t>
      </w:r>
    </w:p>
    <w:p>
      <w:pPr>
        <w:spacing w:after="0" w:line="219" w:lineRule="exact"/>
        <w:rPr>
          <w:sz w:val="20"/>
          <w:szCs w:val="20"/>
          <w:color w:val="auto"/>
        </w:rPr>
      </w:pPr>
    </w:p>
    <w:p>
      <w:pPr>
        <w:ind w:left="324" w:right="360" w:hanging="324"/>
        <w:spacing w:after="0" w:line="208" w:lineRule="auto"/>
        <w:tabs>
          <w:tab w:leader="none" w:pos="324"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 addition to the capacities indicated, the individuals named in the above table hold other offices or directorships with subsidiaries of the Company. Officers serve at the discretion of the Board of Directors.</w:t>
      </w:r>
    </w:p>
    <w:p>
      <w:pPr>
        <w:spacing w:after="0" w:line="236" w:lineRule="exact"/>
        <w:rPr>
          <w:sz w:val="20"/>
          <w:szCs w:val="20"/>
          <w:color w:val="auto"/>
        </w:rPr>
      </w:pPr>
    </w:p>
    <w:p>
      <w:pPr>
        <w:ind w:left="4"/>
        <w:spacing w:after="0"/>
        <w:tabs>
          <w:tab w:leader="none" w:pos="1163" w:val="left"/>
        </w:tabs>
        <w:rPr>
          <w:sz w:val="20"/>
          <w:szCs w:val="20"/>
          <w:color w:val="auto"/>
        </w:rPr>
      </w:pPr>
      <w:r>
        <w:rPr>
          <w:rFonts w:ascii="Arial" w:cs="Arial" w:eastAsia="Arial" w:hAnsi="Arial"/>
          <w:sz w:val="20"/>
          <w:szCs w:val="20"/>
          <w:color w:val="auto"/>
        </w:rPr>
        <w:t>Item 11.</w:t>
      </w:r>
      <w:r>
        <w:rPr>
          <w:sz w:val="20"/>
          <w:szCs w:val="20"/>
          <w:color w:val="auto"/>
        </w:rPr>
        <w:tab/>
      </w:r>
      <w:r>
        <w:rPr>
          <w:rFonts w:ascii="Arial" w:cs="Arial" w:eastAsia="Arial" w:hAnsi="Arial"/>
          <w:sz w:val="16"/>
          <w:szCs w:val="16"/>
          <w:i w:val="1"/>
          <w:iCs w:val="1"/>
          <w:color w:val="auto"/>
        </w:rPr>
        <w:t>Executive Compensation</w:t>
      </w:r>
    </w:p>
    <w:p>
      <w:pPr>
        <w:spacing w:after="0" w:line="189" w:lineRule="exact"/>
        <w:rPr>
          <w:sz w:val="20"/>
          <w:szCs w:val="20"/>
          <w:color w:val="auto"/>
        </w:rPr>
      </w:pPr>
    </w:p>
    <w:p>
      <w:pPr>
        <w:ind w:left="4"/>
        <w:spacing w:after="0" w:line="250" w:lineRule="auto"/>
        <w:rPr>
          <w:sz w:val="20"/>
          <w:szCs w:val="20"/>
          <w:color w:val="auto"/>
        </w:rPr>
      </w:pPr>
      <w:r>
        <w:rPr>
          <w:rFonts w:ascii="Arial" w:cs="Arial" w:eastAsia="Arial" w:hAnsi="Arial"/>
          <w:sz w:val="20"/>
          <w:szCs w:val="20"/>
          <w:color w:val="auto"/>
        </w:rPr>
        <w:t xml:space="preserve">The information appearing in the sections captioned </w:t>
      </w:r>
      <w:r>
        <w:rPr>
          <w:rFonts w:ascii="Arial" w:cs="Arial" w:eastAsia="Arial" w:hAnsi="Arial"/>
          <w:sz w:val="20"/>
          <w:szCs w:val="20"/>
          <w:i w:val="1"/>
          <w:iCs w:val="1"/>
          <w:color w:val="auto"/>
        </w:rPr>
        <w:t>Executive Compensation</w:t>
      </w:r>
      <w:r>
        <w:rPr>
          <w:rFonts w:ascii="Arial" w:cs="Arial" w:eastAsia="Arial" w:hAnsi="Arial"/>
          <w:sz w:val="20"/>
          <w:szCs w:val="20"/>
          <w:color w:val="auto"/>
        </w:rPr>
        <w:t xml:space="preserve"> and </w:t>
      </w:r>
      <w:r>
        <w:rPr>
          <w:rFonts w:ascii="Arial" w:cs="Arial" w:eastAsia="Arial" w:hAnsi="Arial"/>
          <w:sz w:val="20"/>
          <w:szCs w:val="20"/>
          <w:i w:val="1"/>
          <w:iCs w:val="1"/>
          <w:color w:val="auto"/>
        </w:rPr>
        <w:t>Director Compensation</w:t>
      </w:r>
      <w:r>
        <w:rPr>
          <w:rFonts w:ascii="Arial" w:cs="Arial" w:eastAsia="Arial" w:hAnsi="Arial"/>
          <w:sz w:val="20"/>
          <w:szCs w:val="20"/>
          <w:color w:val="auto"/>
        </w:rPr>
        <w:t xml:space="preserve"> of the definitive Proxy Statement relating to our 2019 annual meeting of shareholders, to be filed within 120 days after the end of the fiscal year covered by this Form 10-K, is incorporated by reference herein.</w:t>
      </w:r>
    </w:p>
    <w:p>
      <w:pPr>
        <w:spacing w:after="0" w:line="105" w:lineRule="exact"/>
        <w:rPr>
          <w:sz w:val="20"/>
          <w:szCs w:val="20"/>
          <w:color w:val="auto"/>
        </w:rPr>
      </w:pPr>
    </w:p>
    <w:p>
      <w:pPr>
        <w:ind w:left="4"/>
        <w:spacing w:after="0"/>
        <w:tabs>
          <w:tab w:leader="none" w:pos="1083" w:val="left"/>
        </w:tabs>
        <w:rPr>
          <w:sz w:val="20"/>
          <w:szCs w:val="20"/>
          <w:color w:val="auto"/>
        </w:rPr>
      </w:pPr>
      <w:r>
        <w:rPr>
          <w:rFonts w:ascii="Arial" w:cs="Arial" w:eastAsia="Arial" w:hAnsi="Arial"/>
          <w:sz w:val="20"/>
          <w:szCs w:val="20"/>
          <w:color w:val="auto"/>
        </w:rPr>
        <w:t>Item 12.</w:t>
      </w:r>
      <w:r>
        <w:rPr>
          <w:sz w:val="20"/>
          <w:szCs w:val="20"/>
          <w:color w:val="auto"/>
        </w:rPr>
        <w:tab/>
      </w:r>
      <w:r>
        <w:rPr>
          <w:rFonts w:ascii="Arial" w:cs="Arial" w:eastAsia="Arial" w:hAnsi="Arial"/>
          <w:sz w:val="18"/>
          <w:szCs w:val="18"/>
          <w:i w:val="1"/>
          <w:iCs w:val="1"/>
          <w:color w:val="auto"/>
        </w:rPr>
        <w:t>Security Ownership of Certain Beneficial Owners and Management and Related Stockholder Matters</w:t>
      </w:r>
    </w:p>
    <w:p>
      <w:pPr>
        <w:spacing w:after="0" w:line="3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4"/>
          </w:cols>
          <w:pgMar w:left="896" w:top="125" w:right="919" w:bottom="1440" w:gutter="0" w:footer="0" w:header="0"/>
        </w:sectPr>
      </w:pPr>
    </w:p>
    <w:bookmarkStart w:id="108" w:name="page109"/>
    <w:bookmarkEnd w:id="108"/>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left="4" w:right="100"/>
        <w:spacing w:after="0" w:line="250" w:lineRule="auto"/>
        <w:rPr>
          <w:sz w:val="20"/>
          <w:szCs w:val="20"/>
          <w:color w:val="auto"/>
        </w:rPr>
      </w:pPr>
      <w:r>
        <w:rPr>
          <w:rFonts w:ascii="Arial" w:cs="Arial" w:eastAsia="Arial" w:hAnsi="Arial"/>
          <w:sz w:val="20"/>
          <w:szCs w:val="20"/>
          <w:u w:val="single" w:color="auto"/>
          <w:color w:val="auto"/>
        </w:rPr>
        <w:t>Ownership of Common Stock</w:t>
      </w:r>
      <w:r>
        <w:rPr>
          <w:rFonts w:ascii="Arial" w:cs="Arial" w:eastAsia="Arial" w:hAnsi="Arial"/>
          <w:sz w:val="20"/>
          <w:szCs w:val="20"/>
          <w:color w:val="auto"/>
        </w:rPr>
        <w:t xml:space="preserve"> - The information appearing in the section captioned Ownership of Common Stock of the Proxy Statement relating to our 2019 annual meeting of shareholders, to be filed within 120 days after the end of the fiscal year covered by this Form 10-K, is incorporated by reference herein.</w:t>
      </w:r>
    </w:p>
    <w:p>
      <w:pPr>
        <w:spacing w:after="0" w:line="200" w:lineRule="exact"/>
        <w:rPr>
          <w:sz w:val="20"/>
          <w:szCs w:val="20"/>
          <w:color w:val="auto"/>
        </w:rPr>
      </w:pPr>
    </w:p>
    <w:p>
      <w:pPr>
        <w:ind w:left="4" w:right="60"/>
        <w:spacing w:after="0" w:line="260" w:lineRule="auto"/>
        <w:rPr>
          <w:sz w:val="20"/>
          <w:szCs w:val="20"/>
          <w:color w:val="auto"/>
        </w:rPr>
      </w:pPr>
      <w:r>
        <w:rPr>
          <w:rFonts w:ascii="Arial" w:cs="Arial" w:eastAsia="Arial" w:hAnsi="Arial"/>
          <w:sz w:val="20"/>
          <w:szCs w:val="20"/>
          <w:u w:val="single" w:color="auto"/>
          <w:color w:val="auto"/>
        </w:rPr>
        <w:t>Securities Authorized for Issuance under Equity Compensation Plans</w:t>
      </w:r>
      <w:r>
        <w:rPr>
          <w:rFonts w:ascii="Arial" w:cs="Arial" w:eastAsia="Arial" w:hAnsi="Arial"/>
          <w:sz w:val="20"/>
          <w:szCs w:val="20"/>
          <w:color w:val="auto"/>
        </w:rPr>
        <w:t xml:space="preserve"> - The following table provides information for our equity compensation plans as of December 31, 2018:</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250"/>
        </w:trPr>
        <w:tc>
          <w:tcPr>
            <w:tcW w:w="1120" w:type="dxa"/>
            <w:vAlign w:val="bottom"/>
          </w:tcPr>
          <w:p>
            <w:pPr>
              <w:spacing w:after="0"/>
              <w:rPr>
                <w:sz w:val="21"/>
                <w:szCs w:val="21"/>
                <w:color w:val="auto"/>
              </w:rPr>
            </w:pPr>
          </w:p>
        </w:tc>
        <w:tc>
          <w:tcPr>
            <w:tcW w:w="5340" w:type="dxa"/>
            <w:vAlign w:val="bottom"/>
            <w:gridSpan w:val="2"/>
          </w:tcPr>
          <w:p>
            <w:pPr>
              <w:jc w:val="right"/>
              <w:ind w:right="82"/>
              <w:spacing w:after="0"/>
              <w:rPr>
                <w:sz w:val="20"/>
                <w:szCs w:val="20"/>
                <w:color w:val="auto"/>
              </w:rPr>
            </w:pPr>
            <w:r>
              <w:rPr>
                <w:rFonts w:ascii="Arial" w:cs="Arial" w:eastAsia="Arial" w:hAnsi="Arial"/>
                <w:sz w:val="20"/>
                <w:szCs w:val="20"/>
                <w:color w:val="auto"/>
              </w:rPr>
              <w:t>Equity Compensation Plan Information</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465"/>
        </w:trPr>
        <w:tc>
          <w:tcPr>
            <w:tcW w:w="1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1660" w:type="dxa"/>
            <w:vAlign w:val="bottom"/>
            <w:gridSpan w:val="2"/>
          </w:tcPr>
          <w:p>
            <w:pPr>
              <w:jc w:val="center"/>
              <w:spacing w:after="0"/>
              <w:rPr>
                <w:sz w:val="20"/>
                <w:szCs w:val="20"/>
                <w:color w:val="auto"/>
              </w:rPr>
            </w:pPr>
            <w:r>
              <w:rPr>
                <w:rFonts w:ascii="Arial" w:cs="Arial" w:eastAsia="Arial" w:hAnsi="Arial"/>
                <w:sz w:val="20"/>
                <w:szCs w:val="20"/>
                <w:color w:val="auto"/>
                <w:w w:val="88"/>
              </w:rPr>
              <w:t>Weighted-average</w:t>
            </w:r>
          </w:p>
        </w:tc>
        <w:tc>
          <w:tcPr>
            <w:tcW w:w="2000" w:type="dxa"/>
            <w:vAlign w:val="bottom"/>
          </w:tcPr>
          <w:p>
            <w:pPr>
              <w:spacing w:after="0"/>
              <w:rPr>
                <w:sz w:val="20"/>
                <w:szCs w:val="20"/>
                <w:color w:val="auto"/>
              </w:rPr>
            </w:pPr>
            <w:r>
              <w:rPr>
                <w:rFonts w:ascii="Arial" w:cs="Arial" w:eastAsia="Arial" w:hAnsi="Arial"/>
                <w:sz w:val="20"/>
                <w:szCs w:val="20"/>
                <w:color w:val="auto"/>
              </w:rPr>
              <w:t>Number of securities</w:t>
            </w:r>
          </w:p>
        </w:tc>
      </w:tr>
      <w:tr>
        <w:trPr>
          <w:trHeight w:val="230"/>
        </w:trPr>
        <w:tc>
          <w:tcPr>
            <w:tcW w:w="1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89"/>
              </w:rPr>
              <w:t>securities to be</w:t>
            </w:r>
          </w:p>
        </w:tc>
        <w:tc>
          <w:tcPr>
            <w:tcW w:w="160" w:type="dxa"/>
            <w:vAlign w:val="bottom"/>
          </w:tcPr>
          <w:p>
            <w:pPr>
              <w:spacing w:after="0"/>
              <w:rPr>
                <w:sz w:val="19"/>
                <w:szCs w:val="19"/>
                <w:color w:val="auto"/>
              </w:rPr>
            </w:pPr>
          </w:p>
        </w:tc>
        <w:tc>
          <w:tcPr>
            <w:tcW w:w="1500" w:type="dxa"/>
            <w:vAlign w:val="bottom"/>
          </w:tcPr>
          <w:p>
            <w:pPr>
              <w:jc w:val="center"/>
              <w:ind w:right="83"/>
              <w:spacing w:after="0"/>
              <w:rPr>
                <w:sz w:val="20"/>
                <w:szCs w:val="20"/>
                <w:color w:val="auto"/>
              </w:rPr>
            </w:pPr>
            <w:r>
              <w:rPr>
                <w:rFonts w:ascii="Arial" w:cs="Arial" w:eastAsia="Arial" w:hAnsi="Arial"/>
                <w:sz w:val="20"/>
                <w:szCs w:val="20"/>
                <w:color w:val="auto"/>
                <w:w w:val="90"/>
              </w:rPr>
              <w:t>exercise price of</w:t>
            </w:r>
          </w:p>
        </w:tc>
        <w:tc>
          <w:tcPr>
            <w:tcW w:w="2000" w:type="dxa"/>
            <w:vAlign w:val="bottom"/>
          </w:tcPr>
          <w:p>
            <w:pPr>
              <w:spacing w:after="0"/>
              <w:rPr>
                <w:sz w:val="20"/>
                <w:szCs w:val="20"/>
                <w:color w:val="auto"/>
              </w:rPr>
            </w:pPr>
            <w:r>
              <w:rPr>
                <w:rFonts w:ascii="Arial" w:cs="Arial" w:eastAsia="Arial" w:hAnsi="Arial"/>
                <w:sz w:val="20"/>
                <w:szCs w:val="20"/>
                <w:color w:val="auto"/>
                <w:w w:val="98"/>
              </w:rPr>
              <w:t>remaining available for</w:t>
            </w:r>
          </w:p>
        </w:tc>
      </w:tr>
      <w:tr>
        <w:trPr>
          <w:trHeight w:val="230"/>
        </w:trPr>
        <w:tc>
          <w:tcPr>
            <w:tcW w:w="1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87"/>
              </w:rPr>
              <w:t>issued upon</w:t>
            </w:r>
          </w:p>
        </w:tc>
        <w:tc>
          <w:tcPr>
            <w:tcW w:w="3660" w:type="dxa"/>
            <w:vAlign w:val="bottom"/>
            <w:gridSpan w:val="3"/>
          </w:tcPr>
          <w:p>
            <w:pPr>
              <w:ind w:left="20"/>
              <w:spacing w:after="0"/>
              <w:rPr>
                <w:sz w:val="20"/>
                <w:szCs w:val="20"/>
                <w:color w:val="auto"/>
              </w:rPr>
            </w:pPr>
            <w:r>
              <w:rPr>
                <w:rFonts w:ascii="Arial" w:cs="Arial" w:eastAsia="Arial" w:hAnsi="Arial"/>
                <w:sz w:val="20"/>
                <w:szCs w:val="20"/>
                <w:color w:val="auto"/>
                <w:w w:val="96"/>
              </w:rPr>
              <w:t>outstanding options, future issuance under</w:t>
            </w:r>
          </w:p>
        </w:tc>
      </w:tr>
      <w:tr>
        <w:trPr>
          <w:trHeight w:val="230"/>
        </w:trPr>
        <w:tc>
          <w:tcPr>
            <w:tcW w:w="1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88"/>
              </w:rPr>
              <w:t>exercise of</w:t>
            </w:r>
          </w:p>
        </w:tc>
        <w:tc>
          <w:tcPr>
            <w:tcW w:w="3660" w:type="dxa"/>
            <w:vAlign w:val="bottom"/>
            <w:gridSpan w:val="3"/>
          </w:tcPr>
          <w:p>
            <w:pPr>
              <w:ind w:left="60"/>
              <w:spacing w:after="0"/>
              <w:rPr>
                <w:sz w:val="20"/>
                <w:szCs w:val="20"/>
                <w:color w:val="auto"/>
              </w:rPr>
            </w:pPr>
            <w:r>
              <w:rPr>
                <w:rFonts w:ascii="Arial" w:cs="Arial" w:eastAsia="Arial" w:hAnsi="Arial"/>
                <w:sz w:val="20"/>
                <w:szCs w:val="20"/>
                <w:color w:val="auto"/>
                <w:w w:val="99"/>
              </w:rPr>
              <w:t>warrants and rights equity compensation</w:t>
            </w:r>
          </w:p>
        </w:tc>
      </w:tr>
      <w:tr>
        <w:trPr>
          <w:trHeight w:val="230"/>
        </w:trPr>
        <w:tc>
          <w:tcPr>
            <w:tcW w:w="1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88"/>
              </w:rPr>
              <w:t>outstanding</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plans (excluding</w:t>
            </w:r>
          </w:p>
        </w:tc>
      </w:tr>
      <w:tr>
        <w:trPr>
          <w:trHeight w:val="230"/>
        </w:trPr>
        <w:tc>
          <w:tcPr>
            <w:tcW w:w="1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89"/>
              </w:rPr>
              <w:t>options, warrants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securities reflected in</w:t>
            </w:r>
          </w:p>
        </w:tc>
      </w:tr>
      <w:tr>
        <w:trPr>
          <w:trHeight w:val="230"/>
        </w:trPr>
        <w:tc>
          <w:tcPr>
            <w:tcW w:w="1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1"/>
              </w:rPr>
              <w:t>and rights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column (a))</w:t>
            </w:r>
          </w:p>
        </w:tc>
      </w:tr>
      <w:tr>
        <w:trPr>
          <w:trHeight w:val="246"/>
        </w:trPr>
        <w:tc>
          <w:tcPr>
            <w:tcW w:w="5040" w:type="dxa"/>
            <w:vAlign w:val="bottom"/>
            <w:gridSpan w:val="2"/>
          </w:tcPr>
          <w:p>
            <w:pPr>
              <w:spacing w:after="0"/>
              <w:rPr>
                <w:sz w:val="20"/>
                <w:szCs w:val="20"/>
                <w:color w:val="auto"/>
              </w:rPr>
            </w:pPr>
            <w:r>
              <w:rPr>
                <w:rFonts w:ascii="Arial" w:cs="Arial" w:eastAsia="Arial" w:hAnsi="Arial"/>
                <w:sz w:val="20"/>
                <w:szCs w:val="20"/>
                <w:color w:val="auto"/>
              </w:rPr>
              <w:t>Plan Category</w:t>
            </w:r>
          </w:p>
        </w:tc>
        <w:tc>
          <w:tcPr>
            <w:tcW w:w="1420" w:type="dxa"/>
            <w:vAlign w:val="bottom"/>
          </w:tcPr>
          <w:p>
            <w:pPr>
              <w:jc w:val="center"/>
              <w:spacing w:after="0"/>
              <w:rPr>
                <w:sz w:val="20"/>
                <w:szCs w:val="20"/>
                <w:color w:val="auto"/>
              </w:rPr>
            </w:pPr>
            <w:r>
              <w:rPr>
                <w:rFonts w:ascii="Arial" w:cs="Arial" w:eastAsia="Arial" w:hAnsi="Arial"/>
                <w:sz w:val="20"/>
                <w:szCs w:val="20"/>
                <w:color w:val="auto"/>
                <w:w w:val="89"/>
              </w:rPr>
              <w:t>(a)</w:t>
            </w:r>
          </w:p>
        </w:tc>
        <w:tc>
          <w:tcPr>
            <w:tcW w:w="160" w:type="dxa"/>
            <w:vAlign w:val="bottom"/>
          </w:tcPr>
          <w:p>
            <w:pPr>
              <w:spacing w:after="0"/>
              <w:rPr>
                <w:sz w:val="21"/>
                <w:szCs w:val="21"/>
                <w:color w:val="auto"/>
              </w:rPr>
            </w:pPr>
          </w:p>
        </w:tc>
        <w:tc>
          <w:tcPr>
            <w:tcW w:w="1500" w:type="dxa"/>
            <w:vAlign w:val="bottom"/>
          </w:tcPr>
          <w:p>
            <w:pPr>
              <w:jc w:val="center"/>
              <w:ind w:right="83"/>
              <w:spacing w:after="0"/>
              <w:rPr>
                <w:sz w:val="20"/>
                <w:szCs w:val="20"/>
                <w:color w:val="auto"/>
              </w:rPr>
            </w:pPr>
            <w:r>
              <w:rPr>
                <w:rFonts w:ascii="Arial" w:cs="Arial" w:eastAsia="Arial" w:hAnsi="Arial"/>
                <w:sz w:val="20"/>
                <w:szCs w:val="20"/>
                <w:color w:val="auto"/>
                <w:w w:val="97"/>
              </w:rPr>
              <w:t>(b)</w:t>
            </w:r>
          </w:p>
        </w:tc>
        <w:tc>
          <w:tcPr>
            <w:tcW w:w="2000" w:type="dxa"/>
            <w:vAlign w:val="bottom"/>
          </w:tcPr>
          <w:p>
            <w:pPr>
              <w:ind w:left="860"/>
              <w:spacing w:after="0"/>
              <w:rPr>
                <w:sz w:val="20"/>
                <w:szCs w:val="20"/>
                <w:color w:val="auto"/>
              </w:rPr>
            </w:pPr>
            <w:r>
              <w:rPr>
                <w:rFonts w:ascii="Arial" w:cs="Arial" w:eastAsia="Arial" w:hAnsi="Arial"/>
                <w:sz w:val="20"/>
                <w:szCs w:val="20"/>
                <w:color w:val="auto"/>
              </w:rPr>
              <w:t>(c)</w:t>
            </w:r>
          </w:p>
        </w:tc>
      </w:tr>
      <w:tr>
        <w:trPr>
          <w:trHeight w:val="21"/>
        </w:trPr>
        <w:tc>
          <w:tcPr>
            <w:tcW w:w="112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50"/>
        </w:trPr>
        <w:tc>
          <w:tcPr>
            <w:tcW w:w="50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Equity compensation plans approved by security holders</w:t>
            </w:r>
          </w:p>
        </w:tc>
        <w:tc>
          <w:tcPr>
            <w:tcW w:w="1420" w:type="dxa"/>
            <w:vAlign w:val="bottom"/>
            <w:shd w:val="clear" w:color="auto" w:fill="CCEEFF"/>
          </w:tcPr>
          <w:p>
            <w:pPr>
              <w:ind w:left="420"/>
              <w:spacing w:after="0"/>
              <w:rPr>
                <w:sz w:val="20"/>
                <w:szCs w:val="20"/>
                <w:color w:val="auto"/>
              </w:rPr>
            </w:pPr>
            <w:r>
              <w:rPr>
                <w:rFonts w:ascii="Arial" w:cs="Arial" w:eastAsia="Arial" w:hAnsi="Arial"/>
                <w:sz w:val="20"/>
                <w:szCs w:val="20"/>
                <w:color w:val="auto"/>
                <w:w w:val="95"/>
              </w:rPr>
              <w:t>996,467 (1)</w:t>
            </w:r>
          </w:p>
        </w:tc>
        <w:tc>
          <w:tcPr>
            <w:tcW w:w="160" w:type="dxa"/>
            <w:vAlign w:val="bottom"/>
            <w:shd w:val="clear" w:color="auto" w:fill="CCEEFF"/>
          </w:tcPr>
          <w:p>
            <w:pPr>
              <w:ind w:left="60"/>
              <w:spacing w:after="0"/>
              <w:rPr>
                <w:sz w:val="20"/>
                <w:szCs w:val="20"/>
                <w:color w:val="auto"/>
              </w:rPr>
            </w:pPr>
            <w:r>
              <w:rPr>
                <w:rFonts w:ascii="Arial" w:cs="Arial" w:eastAsia="Arial" w:hAnsi="Arial"/>
                <w:sz w:val="20"/>
                <w:szCs w:val="20"/>
                <w:color w:val="auto"/>
                <w:w w:val="71"/>
              </w:rPr>
              <w:t>$</w:t>
            </w:r>
          </w:p>
        </w:tc>
        <w:tc>
          <w:tcPr>
            <w:tcW w:w="1500" w:type="dxa"/>
            <w:vAlign w:val="bottom"/>
            <w:shd w:val="clear" w:color="auto" w:fill="CCEEFF"/>
          </w:tcPr>
          <w:p>
            <w:pPr>
              <w:ind w:left="700"/>
              <w:spacing w:after="0"/>
              <w:rPr>
                <w:sz w:val="20"/>
                <w:szCs w:val="20"/>
                <w:color w:val="auto"/>
              </w:rPr>
            </w:pPr>
            <w:r>
              <w:rPr>
                <w:rFonts w:ascii="Arial" w:cs="Arial" w:eastAsia="Arial" w:hAnsi="Arial"/>
                <w:sz w:val="20"/>
                <w:szCs w:val="20"/>
                <w:color w:val="auto"/>
                <w:w w:val="97"/>
              </w:rPr>
              <w:t>25.97 (2)</w:t>
            </w: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3,374,238</w:t>
            </w:r>
          </w:p>
        </w:tc>
      </w:tr>
      <w:tr>
        <w:trPr>
          <w:trHeight w:val="270"/>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w w:val="94"/>
              </w:rPr>
              <w:t>Equity compensation plans not approved by security holders</w:t>
            </w:r>
          </w:p>
        </w:tc>
        <w:tc>
          <w:tcPr>
            <w:tcW w:w="1420" w:type="dxa"/>
            <w:vAlign w:val="bottom"/>
            <w:tcBorders>
              <w:bottom w:val="single" w:sz="8" w:color="auto"/>
            </w:tcBorders>
          </w:tcPr>
          <w:p>
            <w:pPr>
              <w:jc w:val="right"/>
              <w:ind w:right="26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263"/>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Total</w:t>
            </w:r>
          </w:p>
        </w:tc>
        <w:tc>
          <w:tcPr>
            <w:tcW w:w="14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20"/>
                <w:szCs w:val="20"/>
                <w:color w:val="auto"/>
              </w:rPr>
              <w:t>996,467</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20"/>
                <w:szCs w:val="20"/>
                <w:color w:val="auto"/>
                <w:w w:val="71"/>
              </w:rPr>
              <w:t>$</w:t>
            </w:r>
          </w:p>
        </w:tc>
        <w:tc>
          <w:tcPr>
            <w:tcW w:w="15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20"/>
                <w:szCs w:val="20"/>
                <w:color w:val="auto"/>
              </w:rPr>
              <w:t>25.97</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3,374,238</w:t>
            </w:r>
          </w:p>
        </w:tc>
      </w:tr>
    </w:tbl>
    <w:p>
      <w:pPr>
        <w:spacing w:after="0" w:line="199" w:lineRule="exact"/>
        <w:rPr>
          <w:sz w:val="20"/>
          <w:szCs w:val="20"/>
          <w:color w:val="auto"/>
        </w:rPr>
      </w:pPr>
    </w:p>
    <w:p>
      <w:pPr>
        <w:ind w:left="324" w:right="320" w:hanging="324"/>
        <w:spacing w:after="0" w:line="333" w:lineRule="auto"/>
        <w:tabs>
          <w:tab w:leader="none" w:pos="324"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422,972 shares issuable upon exercise of outstanding options, 443,410 shares issuable upon conversion of outstanding performance share units, and 130,085 shares issuable upon conversion of outstanding restricted share units.</w:t>
      </w:r>
    </w:p>
    <w:p>
      <w:pPr>
        <w:spacing w:after="0" w:line="83" w:lineRule="exact"/>
        <w:rPr>
          <w:rFonts w:ascii="Arial" w:cs="Arial" w:eastAsia="Arial" w:hAnsi="Arial"/>
          <w:sz w:val="16"/>
          <w:szCs w:val="16"/>
          <w:color w:val="auto"/>
        </w:rPr>
      </w:pPr>
    </w:p>
    <w:p>
      <w:pPr>
        <w:ind w:left="324" w:hanging="324"/>
        <w:spacing w:after="0"/>
        <w:tabs>
          <w:tab w:leader="none" w:pos="324" w:val="left"/>
        </w:tabs>
        <w:numPr>
          <w:ilvl w:val="0"/>
          <w:numId w:val="60"/>
        </w:numPr>
        <w:rPr>
          <w:rFonts w:ascii="Arial" w:cs="Arial" w:eastAsia="Arial" w:hAnsi="Arial"/>
          <w:sz w:val="20"/>
          <w:szCs w:val="20"/>
          <w:color w:val="auto"/>
        </w:rPr>
      </w:pPr>
      <w:r>
        <w:rPr>
          <w:rFonts w:ascii="Arial" w:cs="Arial" w:eastAsia="Arial" w:hAnsi="Arial"/>
          <w:sz w:val="20"/>
          <w:szCs w:val="20"/>
          <w:color w:val="auto"/>
        </w:rPr>
        <w:t>Calculated based upon outstanding options of 422,972 shares of our common stock.</w:t>
      </w:r>
    </w:p>
    <w:p>
      <w:pPr>
        <w:spacing w:after="0" w:line="229" w:lineRule="exact"/>
        <w:rPr>
          <w:sz w:val="20"/>
          <w:szCs w:val="20"/>
          <w:color w:val="auto"/>
        </w:rPr>
      </w:pPr>
    </w:p>
    <w:p>
      <w:pPr>
        <w:ind w:left="4"/>
        <w:spacing w:after="0"/>
        <w:tabs>
          <w:tab w:leader="none" w:pos="1083" w:val="left"/>
        </w:tabs>
        <w:rPr>
          <w:sz w:val="20"/>
          <w:szCs w:val="20"/>
          <w:color w:val="auto"/>
        </w:rPr>
      </w:pPr>
      <w:r>
        <w:rPr>
          <w:rFonts w:ascii="Arial" w:cs="Arial" w:eastAsia="Arial" w:hAnsi="Arial"/>
          <w:sz w:val="20"/>
          <w:szCs w:val="20"/>
          <w:color w:val="auto"/>
        </w:rPr>
        <w:t>Item 13.</w:t>
      </w:r>
      <w:r>
        <w:rPr>
          <w:sz w:val="20"/>
          <w:szCs w:val="20"/>
          <w:color w:val="auto"/>
        </w:rPr>
        <w:tab/>
      </w:r>
      <w:r>
        <w:rPr>
          <w:rFonts w:ascii="Arial" w:cs="Arial" w:eastAsia="Arial" w:hAnsi="Arial"/>
          <w:sz w:val="16"/>
          <w:szCs w:val="16"/>
          <w:i w:val="1"/>
          <w:iCs w:val="1"/>
          <w:color w:val="auto"/>
        </w:rPr>
        <w:t>Certain Relationships and Related Transactions, and Director Independence</w:t>
      </w:r>
    </w:p>
    <w:p>
      <w:pPr>
        <w:spacing w:after="0" w:line="229" w:lineRule="exact"/>
        <w:rPr>
          <w:sz w:val="20"/>
          <w:szCs w:val="20"/>
          <w:color w:val="auto"/>
        </w:rPr>
      </w:pPr>
    </w:p>
    <w:p>
      <w:pPr>
        <w:ind w:left="4" w:right="120"/>
        <w:spacing w:after="0" w:line="246" w:lineRule="auto"/>
        <w:rPr>
          <w:sz w:val="20"/>
          <w:szCs w:val="20"/>
          <w:color w:val="auto"/>
        </w:rPr>
      </w:pPr>
      <w:r>
        <w:rPr>
          <w:rFonts w:ascii="Arial" w:cs="Arial" w:eastAsia="Arial" w:hAnsi="Arial"/>
          <w:sz w:val="20"/>
          <w:szCs w:val="20"/>
          <w:color w:val="auto"/>
        </w:rPr>
        <w:t xml:space="preserve">The information appearing in the sections captioned </w:t>
      </w:r>
      <w:r>
        <w:rPr>
          <w:rFonts w:ascii="Arial" w:cs="Arial" w:eastAsia="Arial" w:hAnsi="Arial"/>
          <w:sz w:val="20"/>
          <w:szCs w:val="20"/>
          <w:i w:val="1"/>
          <w:iCs w:val="1"/>
          <w:color w:val="auto"/>
        </w:rPr>
        <w:t>Corporate Governance – Director Independence</w:t>
      </w:r>
      <w:r>
        <w:rPr>
          <w:rFonts w:ascii="Arial" w:cs="Arial" w:eastAsia="Arial" w:hAnsi="Arial"/>
          <w:sz w:val="20"/>
          <w:szCs w:val="20"/>
          <w:color w:val="auto"/>
        </w:rPr>
        <w:t xml:space="preserve"> and – </w:t>
      </w:r>
      <w:r>
        <w:rPr>
          <w:rFonts w:ascii="Arial" w:cs="Arial" w:eastAsia="Arial" w:hAnsi="Arial"/>
          <w:sz w:val="20"/>
          <w:szCs w:val="20"/>
          <w:i w:val="1"/>
          <w:iCs w:val="1"/>
          <w:color w:val="auto"/>
        </w:rPr>
        <w:t>Policies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Procedures For Approval of Related Person Transactions </w:t>
      </w:r>
      <w:r>
        <w:rPr>
          <w:rFonts w:ascii="Arial" w:cs="Arial" w:eastAsia="Arial" w:hAnsi="Arial"/>
          <w:sz w:val="20"/>
          <w:szCs w:val="20"/>
          <w:color w:val="auto"/>
        </w:rPr>
        <w:t>of the definitive Proxy Statement relating to our 2019 annual</w:t>
      </w:r>
      <w:r>
        <w:rPr>
          <w:rFonts w:ascii="Arial" w:cs="Arial" w:eastAsia="Arial" w:hAnsi="Arial"/>
          <w:sz w:val="20"/>
          <w:szCs w:val="20"/>
          <w:i w:val="1"/>
          <w:iCs w:val="1"/>
          <w:color w:val="auto"/>
        </w:rPr>
        <w:t xml:space="preserve"> </w:t>
      </w:r>
      <w:r>
        <w:rPr>
          <w:rFonts w:ascii="Arial" w:cs="Arial" w:eastAsia="Arial" w:hAnsi="Arial"/>
          <w:sz w:val="20"/>
          <w:szCs w:val="20"/>
          <w:color w:val="auto"/>
        </w:rPr>
        <w:t>meeting of shareholders, to be filed within 120 days after the end of the fiscal year covered by this Form 10-K, is incorporated by reference herein.</w:t>
      </w:r>
    </w:p>
    <w:p>
      <w:pPr>
        <w:spacing w:after="0" w:line="313" w:lineRule="exact"/>
        <w:rPr>
          <w:sz w:val="20"/>
          <w:szCs w:val="20"/>
          <w:color w:val="auto"/>
        </w:rPr>
      </w:pPr>
    </w:p>
    <w:p>
      <w:pPr>
        <w:ind w:left="4"/>
        <w:spacing w:after="0"/>
        <w:tabs>
          <w:tab w:leader="none" w:pos="1083" w:val="left"/>
        </w:tabs>
        <w:rPr>
          <w:sz w:val="20"/>
          <w:szCs w:val="20"/>
          <w:color w:val="auto"/>
        </w:rPr>
      </w:pPr>
      <w:r>
        <w:rPr>
          <w:rFonts w:ascii="Arial" w:cs="Arial" w:eastAsia="Arial" w:hAnsi="Arial"/>
          <w:sz w:val="20"/>
          <w:szCs w:val="20"/>
          <w:color w:val="auto"/>
        </w:rPr>
        <w:t>Item 14.</w:t>
      </w:r>
      <w:r>
        <w:rPr>
          <w:sz w:val="20"/>
          <w:szCs w:val="20"/>
          <w:color w:val="auto"/>
        </w:rPr>
        <w:tab/>
      </w:r>
      <w:r>
        <w:rPr>
          <w:rFonts w:ascii="Arial" w:cs="Arial" w:eastAsia="Arial" w:hAnsi="Arial"/>
          <w:sz w:val="16"/>
          <w:szCs w:val="16"/>
          <w:i w:val="1"/>
          <w:iCs w:val="1"/>
          <w:color w:val="auto"/>
        </w:rPr>
        <w:t>Principal Accountant Fees and Services</w:t>
      </w:r>
    </w:p>
    <w:p>
      <w:pPr>
        <w:spacing w:after="0" w:line="229" w:lineRule="exact"/>
        <w:rPr>
          <w:sz w:val="20"/>
          <w:szCs w:val="20"/>
          <w:color w:val="auto"/>
        </w:rPr>
      </w:pPr>
    </w:p>
    <w:p>
      <w:pPr>
        <w:ind w:left="4" w:right="140"/>
        <w:spacing w:after="0" w:line="250" w:lineRule="auto"/>
        <w:rPr>
          <w:sz w:val="20"/>
          <w:szCs w:val="20"/>
          <w:color w:val="auto"/>
        </w:rPr>
      </w:pPr>
      <w:r>
        <w:rPr>
          <w:rFonts w:ascii="Arial" w:cs="Arial" w:eastAsia="Arial" w:hAnsi="Arial"/>
          <w:sz w:val="20"/>
          <w:szCs w:val="20"/>
          <w:color w:val="auto"/>
        </w:rPr>
        <w:t xml:space="preserve">The information appearing in the section captioned </w:t>
      </w:r>
      <w:r>
        <w:rPr>
          <w:rFonts w:ascii="Arial" w:cs="Arial" w:eastAsia="Arial" w:hAnsi="Arial"/>
          <w:sz w:val="20"/>
          <w:szCs w:val="20"/>
          <w:i w:val="1"/>
          <w:iCs w:val="1"/>
          <w:color w:val="auto"/>
        </w:rPr>
        <w:t>Proposal No. 2 – Services and Fees</w:t>
      </w:r>
      <w:r>
        <w:rPr>
          <w:rFonts w:ascii="Arial" w:cs="Arial" w:eastAsia="Arial" w:hAnsi="Arial"/>
          <w:sz w:val="20"/>
          <w:szCs w:val="20"/>
          <w:color w:val="auto"/>
        </w:rPr>
        <w:t xml:space="preserve"> of the definitive Proxy Statement relating to our 2019 annual meeting of shareholders, to be filed within 120 days after the end of the fiscal year covered by this Form 10-K, is incorporated by reference herein.</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7" w:lineRule="exact"/>
        <w:rPr>
          <w:sz w:val="20"/>
          <w:szCs w:val="20"/>
          <w:color w:val="auto"/>
        </w:rPr>
      </w:pPr>
    </w:p>
    <w:p>
      <w:pPr>
        <w:ind w:left="4680"/>
        <w:spacing w:after="0"/>
        <w:rPr>
          <w:sz w:val="20"/>
          <w:szCs w:val="20"/>
          <w:color w:val="auto"/>
        </w:rPr>
      </w:pPr>
      <w:r>
        <w:rPr>
          <w:rFonts w:ascii="Arial" w:cs="Arial" w:eastAsia="Arial" w:hAnsi="Arial"/>
          <w:sz w:val="20"/>
          <w:szCs w:val="20"/>
          <w:u w:val="single" w:color="auto"/>
          <w:color w:val="auto"/>
        </w:rPr>
        <w:t>PART IV</w:t>
      </w:r>
    </w:p>
    <w:p>
      <w:pPr>
        <w:spacing w:after="0" w:line="94"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color w:val="auto"/>
        </w:rPr>
        <w:t>Item 15.</w:t>
      </w:r>
      <w:r>
        <w:rPr>
          <w:sz w:val="20"/>
          <w:szCs w:val="20"/>
          <w:color w:val="auto"/>
        </w:rPr>
        <w:tab/>
      </w:r>
      <w:r>
        <w:rPr>
          <w:rFonts w:ascii="Arial" w:cs="Arial" w:eastAsia="Arial" w:hAnsi="Arial"/>
          <w:sz w:val="16"/>
          <w:szCs w:val="16"/>
          <w:i w:val="1"/>
          <w:iCs w:val="1"/>
          <w:color w:val="auto"/>
        </w:rPr>
        <w:t>Exhibits and Financial Statement Schedules</w:t>
      </w:r>
    </w:p>
    <w:p>
      <w:pPr>
        <w:spacing w:after="0" w:line="189"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consolidated financial statements and supplementary data included in Part II, Item 8 are hereby incorporated by reference herein.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Financial Statement Schedules</w:t>
      </w:r>
      <w:r>
        <w:rPr>
          <w:rFonts w:ascii="Arial" w:cs="Arial" w:eastAsia="Arial" w:hAnsi="Arial"/>
          <w:sz w:val="20"/>
          <w:szCs w:val="20"/>
          <w:color w:val="auto"/>
        </w:rPr>
        <w:t>.</w:t>
      </w:r>
    </w:p>
    <w:p>
      <w:pPr>
        <w:spacing w:after="0" w:line="229"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Schedule 1. – Condensed Parent Company Financial Statements. All other schedules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u w:val="single" w:color="auto"/>
          <w:color w:val="auto"/>
        </w:rPr>
        <w:t>Exhibits, Including Those Incorporated by Reference</w:t>
      </w:r>
      <w:r>
        <w:rPr>
          <w:rFonts w:ascii="Arial" w:cs="Arial" w:eastAsia="Arial" w:hAnsi="Arial"/>
          <w:sz w:val="20"/>
          <w:szCs w:val="20"/>
          <w:color w:val="auto"/>
        </w:rPr>
        <w:t>. A list of exhibits filed as part of this Form 10-K is set forth in the Exhibit Index hereto which is incorporated by reference herein. Where so indicated, exhibits which were previously filed are incorporated by reference. For exhibits incorporated by reference, the location of the exhibit in the previous filing is indicated in the exhibit index.</w:t>
      </w:r>
    </w:p>
    <w:p>
      <w:pPr>
        <w:spacing w:after="0" w:line="21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Item 16.</w:t>
      </w:r>
      <w:r>
        <w:rPr>
          <w:sz w:val="20"/>
          <w:szCs w:val="20"/>
          <w:color w:val="auto"/>
        </w:rPr>
        <w:tab/>
      </w:r>
      <w:r>
        <w:rPr>
          <w:rFonts w:ascii="Arial" w:cs="Arial" w:eastAsia="Arial" w:hAnsi="Arial"/>
          <w:sz w:val="18"/>
          <w:szCs w:val="18"/>
          <w:i w:val="1"/>
          <w:iCs w:val="1"/>
          <w:color w:val="auto"/>
        </w:rPr>
        <w:t>Form 10-K Summary</w:t>
      </w:r>
    </w:p>
    <w:p>
      <w:pPr>
        <w:spacing w:after="0" w:line="29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Registrants may voluntarily include a summary of information required by Form 10-K under this Item 16. The Company has elected not to include such summary information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INDEX</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700" w:type="dxa"/>
            <w:vAlign w:val="bottom"/>
            <w:tcBorders>
              <w:top w:val="single" w:sz="8" w:color="auto"/>
              <w:left w:val="single" w:sz="8" w:color="auto"/>
              <w:bottom w:val="single" w:sz="8" w:color="auto"/>
              <w:right w:val="single" w:sz="8" w:color="auto"/>
            </w:tcBorders>
            <w:vMerge w:val="restart"/>
          </w:tcPr>
          <w:p>
            <w:pPr>
              <w:ind w:left="160"/>
              <w:spacing w:after="0"/>
              <w:rPr>
                <w:sz w:val="20"/>
                <w:szCs w:val="20"/>
                <w:color w:val="auto"/>
              </w:rPr>
            </w:pPr>
            <w:r>
              <w:rPr>
                <w:rFonts w:ascii="Arial" w:cs="Arial" w:eastAsia="Arial" w:hAnsi="Arial"/>
                <w:sz w:val="20"/>
                <w:szCs w:val="20"/>
                <w:b w:val="1"/>
                <w:bCs w:val="1"/>
                <w:color w:val="auto"/>
              </w:rPr>
              <w:t>Exhibit Number</w:t>
            </w: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200" w:type="dxa"/>
            <w:vAlign w:val="bottom"/>
            <w:tcBorders>
              <w:top w:val="single" w:sz="8" w:color="auto"/>
              <w:bottom w:val="single" w:sz="8" w:color="auto"/>
              <w:right w:val="single" w:sz="8" w:color="auto"/>
            </w:tcBorders>
            <w:gridSpan w:val="21"/>
            <w:vMerge w:val="restart"/>
          </w:tcPr>
          <w:p>
            <w:pPr>
              <w:ind w:left="220"/>
              <w:spacing w:after="0"/>
              <w:rPr>
                <w:sz w:val="20"/>
                <w:szCs w:val="20"/>
                <w:color w:val="auto"/>
              </w:rPr>
            </w:pPr>
            <w:r>
              <w:rPr>
                <w:rFonts w:ascii="Arial" w:cs="Arial" w:eastAsia="Arial" w:hAnsi="Arial"/>
                <w:sz w:val="20"/>
                <w:szCs w:val="20"/>
                <w:b w:val="1"/>
                <w:bCs w:val="1"/>
                <w:color w:val="auto"/>
              </w:rPr>
              <w:t>Exhibit Description</w:t>
            </w:r>
          </w:p>
        </w:tc>
        <w:tc>
          <w:tcPr>
            <w:tcW w:w="740" w:type="dxa"/>
            <w:vAlign w:val="bottom"/>
            <w:tcBorders>
              <w:top w:val="single" w:sz="8" w:color="auto"/>
              <w:bottom w:val="single" w:sz="8" w:color="auto"/>
            </w:tcBorders>
          </w:tcPr>
          <w:p>
            <w:pPr>
              <w:spacing w:after="0"/>
              <w:rPr>
                <w:sz w:val="21"/>
                <w:szCs w:val="21"/>
                <w:color w:val="auto"/>
              </w:rPr>
            </w:pPr>
          </w:p>
        </w:tc>
        <w:tc>
          <w:tcPr>
            <w:tcW w:w="340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b w:val="1"/>
                <w:bCs w:val="1"/>
                <w:color w:val="auto"/>
              </w:rPr>
              <w:t>Incorporated by Reference to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gridSpan w:val="21"/>
            <w:vMerge w:val="continue"/>
          </w:tcPr>
          <w:p>
            <w:pPr>
              <w:spacing w:after="0"/>
              <w:rPr>
                <w:sz w:val="19"/>
                <w:szCs w:val="19"/>
                <w:color w:val="auto"/>
              </w:rPr>
            </w:pPr>
          </w:p>
        </w:tc>
        <w:tc>
          <w:tcPr>
            <w:tcW w:w="740" w:type="dxa"/>
            <w:vAlign w:val="bottom"/>
            <w:tcBorders>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b w:val="1"/>
                <w:bCs w:val="1"/>
                <w:color w:val="auto"/>
              </w:rPr>
              <w:t>Form</w:t>
            </w:r>
          </w:p>
        </w:tc>
        <w:tc>
          <w:tcPr>
            <w:tcW w:w="1000" w:type="dxa"/>
            <w:vAlign w:val="bottom"/>
            <w:tcBorders>
              <w:bottom w:val="single" w:sz="8" w:color="auto"/>
              <w:right w:val="single" w:sz="8" w:color="auto"/>
            </w:tcBorders>
          </w:tcPr>
          <w:p>
            <w:pPr>
              <w:ind w:left="160"/>
              <w:spacing w:after="0" w:line="223" w:lineRule="exact"/>
              <w:rPr>
                <w:sz w:val="20"/>
                <w:szCs w:val="20"/>
                <w:color w:val="auto"/>
              </w:rPr>
            </w:pPr>
            <w:r>
              <w:rPr>
                <w:rFonts w:ascii="Arial" w:cs="Arial" w:eastAsia="Arial" w:hAnsi="Arial"/>
                <w:sz w:val="20"/>
                <w:szCs w:val="20"/>
                <w:b w:val="1"/>
                <w:bCs w:val="1"/>
                <w:color w:val="auto"/>
              </w:rPr>
              <w:t>File No.</w:t>
            </w:r>
          </w:p>
        </w:tc>
        <w:tc>
          <w:tcPr>
            <w:tcW w:w="1120" w:type="dxa"/>
            <w:vAlign w:val="bottom"/>
            <w:tcBorders>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b w:val="1"/>
                <w:bCs w:val="1"/>
                <w:color w:val="auto"/>
              </w:rPr>
              <w:t>Exhibit(s)</w:t>
            </w:r>
          </w:p>
        </w:tc>
        <w:tc>
          <w:tcPr>
            <w:tcW w:w="1280" w:type="dxa"/>
            <w:vAlign w:val="bottom"/>
            <w:tcBorders>
              <w:bottom w:val="single" w:sz="8" w:color="auto"/>
              <w:right w:val="single" w:sz="8" w:color="auto"/>
            </w:tcBorders>
          </w:tcPr>
          <w:p>
            <w:pPr>
              <w:ind w:left="160"/>
              <w:spacing w:after="0" w:line="223" w:lineRule="exact"/>
              <w:rPr>
                <w:sz w:val="20"/>
                <w:szCs w:val="20"/>
                <w:color w:val="auto"/>
              </w:rPr>
            </w:pPr>
            <w:r>
              <w:rPr>
                <w:rFonts w:ascii="Arial" w:cs="Arial" w:eastAsia="Arial" w:hAnsi="Arial"/>
                <w:sz w:val="20"/>
                <w:szCs w:val="20"/>
                <w:b w:val="1"/>
                <w:bCs w:val="1"/>
                <w:color w:val="auto"/>
              </w:rPr>
              <w:t>Filing 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4160" w:type="dxa"/>
            <w:vAlign w:val="bottom"/>
            <w:tcBorders>
              <w:right w:val="single" w:sz="8" w:color="auto"/>
            </w:tcBorders>
            <w:gridSpan w:val="23"/>
          </w:tcPr>
          <w:p>
            <w:pPr>
              <w:spacing w:after="0" w:line="183" w:lineRule="exact"/>
              <w:rPr>
                <w:rFonts w:ascii="Arial" w:cs="Arial" w:eastAsia="Arial" w:hAnsi="Arial"/>
                <w:sz w:val="20"/>
                <w:szCs w:val="20"/>
                <w:color w:val="0000EE"/>
                <w:w w:val="94"/>
              </w:rPr>
            </w:pPr>
            <w:hyperlink r:id="rId161">
              <w:r>
                <w:rPr>
                  <w:rFonts w:ascii="Arial" w:cs="Arial" w:eastAsia="Arial" w:hAnsi="Arial"/>
                  <w:sz w:val="20"/>
                  <w:szCs w:val="20"/>
                  <w:color w:val="0000EE"/>
                  <w:w w:val="94"/>
                </w:rPr>
                <w:t>Purchase Agreement, dated October 22, 2018 by</w:t>
              </w:r>
            </w:hyperlink>
          </w:p>
        </w:tc>
        <w:tc>
          <w:tcPr>
            <w:tcW w:w="7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tcBorders>
              <w:bottom w:val="single" w:sz="8" w:color="0000EE"/>
            </w:tcBorders>
            <w:gridSpan w:val="22"/>
          </w:tcPr>
          <w:p>
            <w:pPr>
              <w:spacing w:after="0" w:line="209" w:lineRule="exact"/>
              <w:rPr>
                <w:rFonts w:ascii="Arial" w:cs="Arial" w:eastAsia="Arial" w:hAnsi="Arial"/>
                <w:sz w:val="20"/>
                <w:szCs w:val="20"/>
                <w:color w:val="0000EE"/>
                <w:w w:val="90"/>
              </w:rPr>
            </w:pPr>
            <w:hyperlink r:id="rId161">
              <w:r>
                <w:rPr>
                  <w:rFonts w:ascii="Arial" w:cs="Arial" w:eastAsia="Arial" w:hAnsi="Arial"/>
                  <w:sz w:val="20"/>
                  <w:szCs w:val="20"/>
                  <w:color w:val="0000EE"/>
                  <w:w w:val="90"/>
                </w:rPr>
                <w:t>and between LDC Parent LLC, a Delaware limited</w:t>
              </w:r>
            </w:hyperlink>
          </w:p>
        </w:tc>
        <w:tc>
          <w:tcPr>
            <w:tcW w:w="1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8-K</w:t>
            </w:r>
          </w:p>
        </w:tc>
        <w:tc>
          <w:tcPr>
            <w:tcW w:w="10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2.1</w:t>
            </w:r>
          </w:p>
        </w:tc>
        <w:tc>
          <w:tcPr>
            <w:tcW w:w="12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October 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40" w:type="dxa"/>
            <w:vAlign w:val="bottom"/>
            <w:gridSpan w:val="15"/>
            <w:vMerge w:val="restart"/>
          </w:tcPr>
          <w:p>
            <w:pPr>
              <w:spacing w:after="0" w:line="209" w:lineRule="exact"/>
              <w:rPr>
                <w:rFonts w:ascii="Arial" w:cs="Arial" w:eastAsia="Arial" w:hAnsi="Arial"/>
                <w:sz w:val="20"/>
                <w:szCs w:val="20"/>
                <w:color w:val="0000EE"/>
                <w:w w:val="93"/>
              </w:rPr>
            </w:pPr>
            <w:hyperlink r:id="rId161">
              <w:r>
                <w:rPr>
                  <w:rFonts w:ascii="Arial" w:cs="Arial" w:eastAsia="Arial" w:hAnsi="Arial"/>
                  <w:sz w:val="20"/>
                  <w:szCs w:val="20"/>
                  <w:color w:val="0000EE"/>
                  <w:w w:val="93"/>
                </w:rPr>
                <w:t>liability company (“Seller”) and Aqua America,</w:t>
              </w:r>
            </w:hyperlink>
          </w:p>
        </w:tc>
        <w:tc>
          <w:tcPr>
            <w:tcW w:w="320" w:type="dxa"/>
            <w:vAlign w:val="bottom"/>
            <w:tcBorders>
              <w:right w:val="single" w:sz="8" w:color="auto"/>
            </w:tcBorders>
            <w:gridSpan w:val="8"/>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40" w:type="dxa"/>
            <w:vAlign w:val="bottom"/>
            <w:tcBorders>
              <w:bottom w:val="single" w:sz="8" w:color="0000EE"/>
            </w:tcBorders>
            <w:gridSpan w:val="15"/>
            <w:vMerge w:val="continue"/>
          </w:tcPr>
          <w:p>
            <w:pPr>
              <w:spacing w:after="0"/>
              <w:rPr>
                <w:sz w:val="6"/>
                <w:szCs w:val="6"/>
                <w:color w:val="auto"/>
              </w:rPr>
            </w:pPr>
          </w:p>
        </w:tc>
        <w:tc>
          <w:tcPr>
            <w:tcW w:w="320" w:type="dxa"/>
            <w:vAlign w:val="bottom"/>
            <w:tcBorders>
              <w:right w:val="single" w:sz="8" w:color="auto"/>
            </w:tcBorders>
            <w:gridSpan w:val="8"/>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3"/>
          </w:tcPr>
          <w:p>
            <w:pPr>
              <w:spacing w:after="0" w:line="209" w:lineRule="exact"/>
              <w:rPr>
                <w:rFonts w:ascii="Arial" w:cs="Arial" w:eastAsia="Arial" w:hAnsi="Arial"/>
                <w:sz w:val="20"/>
                <w:szCs w:val="20"/>
                <w:color w:val="0000EE"/>
              </w:rPr>
            </w:pPr>
            <w:hyperlink r:id="rId161">
              <w:r>
                <w:rPr>
                  <w:rFonts w:ascii="Arial" w:cs="Arial" w:eastAsia="Arial" w:hAnsi="Arial"/>
                  <w:sz w:val="20"/>
                  <w:szCs w:val="20"/>
                  <w:color w:val="0000EE"/>
                </w:rPr>
                <w:t>Inc., a Pennsylvania corporation</w:t>
              </w:r>
            </w:hyperlink>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4160" w:type="dxa"/>
            <w:vAlign w:val="bottom"/>
            <w:tcBorders>
              <w:right w:val="single" w:sz="8" w:color="auto"/>
            </w:tcBorders>
            <w:gridSpan w:val="23"/>
          </w:tcPr>
          <w:p>
            <w:pPr>
              <w:spacing w:after="0" w:line="183" w:lineRule="exact"/>
              <w:rPr>
                <w:rFonts w:ascii="Arial" w:cs="Arial" w:eastAsia="Arial" w:hAnsi="Arial"/>
                <w:sz w:val="20"/>
                <w:szCs w:val="20"/>
                <w:color w:val="0000EE"/>
                <w:w w:val="96"/>
              </w:rPr>
            </w:pPr>
            <w:hyperlink r:id="rId162">
              <w:r>
                <w:rPr>
                  <w:rFonts w:ascii="Arial" w:cs="Arial" w:eastAsia="Arial" w:hAnsi="Arial"/>
                  <w:sz w:val="20"/>
                  <w:szCs w:val="20"/>
                  <w:color w:val="0000EE"/>
                  <w:w w:val="96"/>
                </w:rPr>
                <w:t>Amended and Restated Articles of Incorporation</w:t>
              </w:r>
            </w:hyperlink>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8-K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3.1</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May 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vMerge w:val="continue"/>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vMerge w:val="continue"/>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3"/>
            <w:vMerge w:val="restart"/>
          </w:tcPr>
          <w:p>
            <w:pPr>
              <w:spacing w:after="0" w:line="209" w:lineRule="exact"/>
              <w:rPr>
                <w:rFonts w:ascii="Arial" w:cs="Arial" w:eastAsia="Arial" w:hAnsi="Arial"/>
                <w:sz w:val="20"/>
                <w:szCs w:val="20"/>
                <w:color w:val="0000EE"/>
                <w:w w:val="96"/>
              </w:rPr>
            </w:pPr>
            <w:hyperlink r:id="rId162">
              <w:r>
                <w:rPr>
                  <w:rFonts w:ascii="Arial" w:cs="Arial" w:eastAsia="Arial" w:hAnsi="Arial"/>
                  <w:sz w:val="20"/>
                  <w:szCs w:val="20"/>
                  <w:color w:val="0000EE"/>
                  <w:w w:val="96"/>
                </w:rPr>
                <w:t>of Aqua America, Inc., dated as of May 10, 2012</w:t>
              </w:r>
            </w:hyperlink>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4160" w:type="dxa"/>
            <w:vAlign w:val="bottom"/>
            <w:tcBorders>
              <w:right w:val="single" w:sz="8" w:color="auto"/>
            </w:tcBorders>
            <w:gridSpan w:val="23"/>
          </w:tcPr>
          <w:p>
            <w:pPr>
              <w:spacing w:after="0" w:line="183" w:lineRule="exact"/>
              <w:rPr>
                <w:rFonts w:ascii="Arial" w:cs="Arial" w:eastAsia="Arial" w:hAnsi="Arial"/>
                <w:sz w:val="20"/>
                <w:szCs w:val="20"/>
                <w:color w:val="0000EE"/>
                <w:w w:val="94"/>
              </w:rPr>
            </w:pPr>
            <w:hyperlink r:id="rId163">
              <w:r>
                <w:rPr>
                  <w:rFonts w:ascii="Arial" w:cs="Arial" w:eastAsia="Arial" w:hAnsi="Arial"/>
                  <w:sz w:val="20"/>
                  <w:szCs w:val="20"/>
                  <w:color w:val="0000EE"/>
                  <w:w w:val="94"/>
                </w:rPr>
                <w:t>Amended and Restated Bylaws of Aqua America,</w:t>
              </w:r>
            </w:hyperlink>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8-K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3.1</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August 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940" w:type="dxa"/>
            <w:vAlign w:val="bottom"/>
            <w:tcBorders>
              <w:top w:val="single" w:sz="8" w:color="0000EE"/>
            </w:tcBorders>
            <w:gridSpan w:val="19"/>
            <w:vMerge w:val="restart"/>
          </w:tcPr>
          <w:p>
            <w:pPr>
              <w:spacing w:after="0" w:line="209" w:lineRule="exact"/>
              <w:rPr>
                <w:rFonts w:ascii="Arial" w:cs="Arial" w:eastAsia="Arial" w:hAnsi="Arial"/>
                <w:sz w:val="20"/>
                <w:szCs w:val="20"/>
                <w:color w:val="0000EE"/>
                <w:w w:val="89"/>
              </w:rPr>
            </w:pPr>
            <w:hyperlink r:id="rId163">
              <w:r>
                <w:rPr>
                  <w:rFonts w:ascii="Arial" w:cs="Arial" w:eastAsia="Arial" w:hAnsi="Arial"/>
                  <w:sz w:val="20"/>
                  <w:szCs w:val="20"/>
                  <w:color w:val="0000EE"/>
                  <w:w w:val="89"/>
                </w:rPr>
                <w:t>Inc. (amended and restated as of August 8, 2018)</w:t>
              </w:r>
            </w:hyperlink>
          </w:p>
        </w:tc>
        <w:tc>
          <w:tcPr>
            <w:tcW w:w="220" w:type="dxa"/>
            <w:vAlign w:val="bottom"/>
            <w:tcBorders>
              <w:right w:val="single" w:sz="8" w:color="auto"/>
            </w:tcBorders>
            <w:gridSpan w:val="4"/>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940" w:type="dxa"/>
            <w:vAlign w:val="bottom"/>
            <w:tcBorders>
              <w:bottom w:val="single" w:sz="8" w:color="0000EE"/>
            </w:tcBorders>
            <w:gridSpan w:val="19"/>
            <w:vMerge w:val="continue"/>
          </w:tcPr>
          <w:p>
            <w:pPr>
              <w:spacing w:after="0"/>
              <w:rPr>
                <w:sz w:val="6"/>
                <w:szCs w:val="6"/>
                <w:color w:val="auto"/>
              </w:rPr>
            </w:pPr>
          </w:p>
        </w:tc>
        <w:tc>
          <w:tcPr>
            <w:tcW w:w="220" w:type="dxa"/>
            <w:vAlign w:val="bottom"/>
            <w:tcBorders>
              <w:right w:val="single" w:sz="8" w:color="auto"/>
            </w:tcBorders>
            <w:gridSpan w:val="4"/>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4.1.1</w:t>
            </w:r>
          </w:p>
        </w:tc>
        <w:tc>
          <w:tcPr>
            <w:tcW w:w="120" w:type="dxa"/>
            <w:vAlign w:val="bottom"/>
          </w:tcPr>
          <w:p>
            <w:pPr>
              <w:spacing w:after="0"/>
              <w:rPr>
                <w:sz w:val="15"/>
                <w:szCs w:val="15"/>
                <w:color w:val="auto"/>
              </w:rPr>
            </w:pPr>
          </w:p>
        </w:tc>
        <w:tc>
          <w:tcPr>
            <w:tcW w:w="4160" w:type="dxa"/>
            <w:vAlign w:val="bottom"/>
            <w:tcBorders>
              <w:right w:val="single" w:sz="8" w:color="auto"/>
            </w:tcBorders>
            <w:gridSpan w:val="23"/>
          </w:tcPr>
          <w:p>
            <w:pPr>
              <w:spacing w:after="0" w:line="183" w:lineRule="exact"/>
              <w:rPr>
                <w:rFonts w:ascii="Arial" w:cs="Arial" w:eastAsia="Arial" w:hAnsi="Arial"/>
                <w:sz w:val="20"/>
                <w:szCs w:val="20"/>
                <w:color w:val="0000EE"/>
                <w:w w:val="91"/>
              </w:rPr>
            </w:pPr>
            <w:hyperlink r:id="rId164">
              <w:r>
                <w:rPr>
                  <w:rFonts w:ascii="Arial" w:cs="Arial" w:eastAsia="Arial" w:hAnsi="Arial"/>
                  <w:sz w:val="20"/>
                  <w:szCs w:val="20"/>
                  <w:color w:val="0000EE"/>
                  <w:w w:val="91"/>
                </w:rPr>
                <w:t>Indenture of Mortgage dated as of January 1, 1941</w:t>
              </w:r>
            </w:hyperlink>
          </w:p>
        </w:tc>
        <w:tc>
          <w:tcPr>
            <w:tcW w:w="7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Borders>
              <w:top w:val="single" w:sz="8" w:color="0000EE"/>
              <w:bottom w:val="single" w:sz="8" w:color="0000EE"/>
            </w:tcBorders>
            <w:gridSpan w:val="11"/>
          </w:tcPr>
          <w:p>
            <w:pPr>
              <w:spacing w:after="0" w:line="209" w:lineRule="exact"/>
              <w:rPr>
                <w:rFonts w:ascii="Arial" w:cs="Arial" w:eastAsia="Arial" w:hAnsi="Arial"/>
                <w:sz w:val="20"/>
                <w:szCs w:val="20"/>
                <w:color w:val="0000EE"/>
                <w:w w:val="89"/>
              </w:rPr>
            </w:pPr>
            <w:hyperlink r:id="rId164">
              <w:r>
                <w:rPr>
                  <w:rFonts w:ascii="Arial" w:cs="Arial" w:eastAsia="Arial" w:hAnsi="Arial"/>
                  <w:sz w:val="20"/>
                  <w:szCs w:val="20"/>
                  <w:color w:val="0000EE"/>
                  <w:w w:val="89"/>
                </w:rPr>
                <w:t>between Aqua Pennsylvania, Inc. (f/k/a</w:t>
              </w:r>
            </w:hyperlink>
          </w:p>
        </w:tc>
        <w:tc>
          <w:tcPr>
            <w:tcW w:w="880" w:type="dxa"/>
            <w:vAlign w:val="bottom"/>
            <w:tcBorders>
              <w:top w:val="single" w:sz="8" w:color="0000EE"/>
            </w:tcBorders>
            <w:gridSpan w:val="10"/>
          </w:tcPr>
          <w:p>
            <w:pPr>
              <w:spacing w:after="0"/>
              <w:rPr>
                <w:sz w:val="18"/>
                <w:szCs w:val="18"/>
                <w:color w:val="auto"/>
              </w:rPr>
            </w:pPr>
          </w:p>
        </w:tc>
        <w:tc>
          <w:tcPr>
            <w:tcW w:w="160" w:type="dxa"/>
            <w:vAlign w:val="bottom"/>
            <w:tcBorders>
              <w:right w:val="single" w:sz="8" w:color="auto"/>
            </w:tcBorders>
            <w:gridSpan w:val="2"/>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3"/>
          </w:tcPr>
          <w:p>
            <w:pPr>
              <w:spacing w:after="0" w:line="209" w:lineRule="exact"/>
              <w:rPr>
                <w:rFonts w:ascii="Arial" w:cs="Arial" w:eastAsia="Arial" w:hAnsi="Arial"/>
                <w:sz w:val="20"/>
                <w:szCs w:val="20"/>
                <w:color w:val="0000EE"/>
                <w:w w:val="94"/>
              </w:rPr>
            </w:pPr>
            <w:hyperlink r:id="rId164">
              <w:r>
                <w:rPr>
                  <w:rFonts w:ascii="Arial" w:cs="Arial" w:eastAsia="Arial" w:hAnsi="Arial"/>
                  <w:sz w:val="20"/>
                  <w:szCs w:val="20"/>
                  <w:color w:val="0000EE"/>
                  <w:w w:val="94"/>
                </w:rPr>
                <w:t>Philadelphia Suburban Water Company) and The</w:t>
              </w:r>
            </w:hyperlink>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w w:val="98"/>
              </w:rPr>
              <w:t>February 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640" w:type="dxa"/>
            <w:vAlign w:val="bottom"/>
            <w:tcBorders>
              <w:top w:val="single" w:sz="8" w:color="0000EE"/>
            </w:tcBorders>
            <w:gridSpan w:val="12"/>
            <w:vMerge w:val="restart"/>
          </w:tcPr>
          <w:p>
            <w:pPr>
              <w:spacing w:after="0" w:line="209" w:lineRule="exact"/>
              <w:rPr>
                <w:rFonts w:ascii="Arial" w:cs="Arial" w:eastAsia="Arial" w:hAnsi="Arial"/>
                <w:sz w:val="20"/>
                <w:szCs w:val="20"/>
                <w:color w:val="0000EE"/>
                <w:w w:val="90"/>
              </w:rPr>
            </w:pPr>
            <w:hyperlink r:id="rId164">
              <w:r>
                <w:rPr>
                  <w:rFonts w:ascii="Arial" w:cs="Arial" w:eastAsia="Arial" w:hAnsi="Arial"/>
                  <w:sz w:val="20"/>
                  <w:szCs w:val="20"/>
                  <w:color w:val="0000EE"/>
                  <w:w w:val="90"/>
                </w:rPr>
                <w:t>Bank of New York Mellon Trust Company, as</w:t>
              </w:r>
            </w:hyperlink>
          </w:p>
        </w:tc>
        <w:tc>
          <w:tcPr>
            <w:tcW w:w="240" w:type="dxa"/>
            <w:vAlign w:val="bottom"/>
            <w:tcBorders>
              <w:top w:val="single" w:sz="8" w:color="0000EE"/>
            </w:tcBorders>
            <w:gridSpan w:val="4"/>
            <w:vMerge w:val="restart"/>
          </w:tcPr>
          <w:p>
            <w:pPr>
              <w:spacing w:after="0"/>
              <w:rPr>
                <w:sz w:val="9"/>
                <w:szCs w:val="9"/>
                <w:color w:val="auto"/>
              </w:rPr>
            </w:pPr>
          </w:p>
        </w:tc>
        <w:tc>
          <w:tcPr>
            <w:tcW w:w="280" w:type="dxa"/>
            <w:vAlign w:val="bottom"/>
            <w:tcBorders>
              <w:right w:val="single" w:sz="8" w:color="auto"/>
            </w:tcBorders>
            <w:gridSpan w:val="7"/>
            <w:vMerge w:val="restart"/>
          </w:tcPr>
          <w:p>
            <w:pPr>
              <w:spacing w:after="0"/>
              <w:rPr>
                <w:sz w:val="9"/>
                <w:szCs w:val="9"/>
                <w:color w:val="auto"/>
              </w:rPr>
            </w:pPr>
          </w:p>
        </w:tc>
        <w:tc>
          <w:tcPr>
            <w:tcW w:w="74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4.1.1</w:t>
            </w:r>
          </w:p>
        </w:tc>
        <w:tc>
          <w:tcPr>
            <w:tcW w:w="12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40" w:type="dxa"/>
            <w:vAlign w:val="bottom"/>
            <w:tcBorders>
              <w:bottom w:val="single" w:sz="8" w:color="0000EE"/>
            </w:tcBorders>
            <w:gridSpan w:val="12"/>
            <w:vMerge w:val="continue"/>
          </w:tcPr>
          <w:p>
            <w:pPr>
              <w:spacing w:after="0"/>
              <w:rPr>
                <w:sz w:val="8"/>
                <w:szCs w:val="8"/>
                <w:color w:val="auto"/>
              </w:rPr>
            </w:pPr>
          </w:p>
        </w:tc>
        <w:tc>
          <w:tcPr>
            <w:tcW w:w="240" w:type="dxa"/>
            <w:vAlign w:val="bottom"/>
            <w:gridSpan w:val="4"/>
            <w:vMerge w:val="continue"/>
          </w:tcPr>
          <w:p>
            <w:pPr>
              <w:spacing w:after="0"/>
              <w:rPr>
                <w:sz w:val="8"/>
                <w:szCs w:val="8"/>
                <w:color w:val="auto"/>
              </w:rPr>
            </w:pPr>
          </w:p>
        </w:tc>
        <w:tc>
          <w:tcPr>
            <w:tcW w:w="280" w:type="dxa"/>
            <w:vAlign w:val="bottom"/>
            <w:tcBorders>
              <w:right w:val="single" w:sz="8" w:color="auto"/>
            </w:tcBorders>
            <w:gridSpan w:val="7"/>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3"/>
            <w:vMerge w:val="restart"/>
          </w:tcPr>
          <w:p>
            <w:pPr>
              <w:spacing w:after="0" w:line="209" w:lineRule="exact"/>
              <w:rPr>
                <w:rFonts w:ascii="Arial" w:cs="Arial" w:eastAsia="Arial" w:hAnsi="Arial"/>
                <w:sz w:val="20"/>
                <w:szCs w:val="20"/>
                <w:color w:val="0000EE"/>
                <w:w w:val="91"/>
              </w:rPr>
            </w:pPr>
            <w:hyperlink r:id="rId164">
              <w:r>
                <w:rPr>
                  <w:rFonts w:ascii="Arial" w:cs="Arial" w:eastAsia="Arial" w:hAnsi="Arial"/>
                  <w:sz w:val="20"/>
                  <w:szCs w:val="20"/>
                  <w:color w:val="0000EE"/>
                  <w:w w:val="91"/>
                </w:rPr>
                <w:t>successor trustee to First Pennsylvania Bank, N.A.</w:t>
              </w:r>
            </w:hyperlink>
          </w:p>
        </w:tc>
        <w:tc>
          <w:tcPr>
            <w:tcW w:w="7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Borders>
              <w:top w:val="single" w:sz="8" w:color="0000EE"/>
            </w:tcBorders>
            <w:gridSpan w:val="21"/>
          </w:tcPr>
          <w:p>
            <w:pPr>
              <w:spacing w:after="0" w:line="209" w:lineRule="exact"/>
              <w:rPr>
                <w:rFonts w:ascii="Arial" w:cs="Arial" w:eastAsia="Arial" w:hAnsi="Arial"/>
                <w:sz w:val="20"/>
                <w:szCs w:val="20"/>
                <w:color w:val="0000EE"/>
                <w:w w:val="94"/>
              </w:rPr>
            </w:pPr>
            <w:hyperlink r:id="rId164">
              <w:r>
                <w:rPr>
                  <w:rFonts w:ascii="Arial" w:cs="Arial" w:eastAsia="Arial" w:hAnsi="Arial"/>
                  <w:sz w:val="20"/>
                  <w:szCs w:val="20"/>
                  <w:color w:val="0000EE"/>
                  <w:w w:val="94"/>
                </w:rPr>
                <w:t>(f/k/a The Pennsylvania Company for Insurance</w:t>
              </w:r>
            </w:hyperlink>
          </w:p>
        </w:tc>
        <w:tc>
          <w:tcPr>
            <w:tcW w:w="160" w:type="dxa"/>
            <w:vAlign w:val="bottom"/>
            <w:tcBorders>
              <w:right w:val="single" w:sz="8" w:color="auto"/>
            </w:tcBorders>
            <w:gridSpan w:val="2"/>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tcBorders>
              <w:top w:val="single" w:sz="8" w:color="0000EE"/>
            </w:tcBorders>
            <w:gridSpan w:val="15"/>
          </w:tcPr>
          <w:p>
            <w:pPr>
              <w:spacing w:after="0" w:line="209" w:lineRule="exact"/>
              <w:rPr>
                <w:rFonts w:ascii="Arial" w:cs="Arial" w:eastAsia="Arial" w:hAnsi="Arial"/>
                <w:sz w:val="20"/>
                <w:szCs w:val="20"/>
                <w:color w:val="0000EE"/>
              </w:rPr>
            </w:pPr>
            <w:hyperlink r:id="rId164">
              <w:r>
                <w:rPr>
                  <w:rFonts w:ascii="Arial" w:cs="Arial" w:eastAsia="Arial" w:hAnsi="Arial"/>
                  <w:sz w:val="20"/>
                  <w:szCs w:val="20"/>
                  <w:color w:val="0000EE"/>
                </w:rPr>
                <w:t>on Lives and Granting Annuities)</w:t>
              </w:r>
            </w:hyperlink>
          </w:p>
        </w:tc>
        <w:tc>
          <w:tcPr>
            <w:tcW w:w="320" w:type="dxa"/>
            <w:vAlign w:val="bottom"/>
            <w:tcBorders>
              <w:right w:val="single" w:sz="8" w:color="auto"/>
            </w:tcBorders>
            <w:gridSpan w:val="8"/>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4.1.2</w:t>
            </w:r>
          </w:p>
        </w:tc>
        <w:tc>
          <w:tcPr>
            <w:tcW w:w="120" w:type="dxa"/>
            <w:vAlign w:val="bottom"/>
          </w:tcPr>
          <w:p>
            <w:pPr>
              <w:spacing w:after="0"/>
              <w:rPr>
                <w:sz w:val="15"/>
                <w:szCs w:val="15"/>
                <w:color w:val="auto"/>
              </w:rPr>
            </w:pPr>
          </w:p>
        </w:tc>
        <w:tc>
          <w:tcPr>
            <w:tcW w:w="4160" w:type="dxa"/>
            <w:vAlign w:val="bottom"/>
            <w:tcBorders>
              <w:right w:val="single" w:sz="8" w:color="auto"/>
            </w:tcBorders>
            <w:gridSpan w:val="23"/>
          </w:tcPr>
          <w:p>
            <w:pPr>
              <w:spacing w:after="0" w:line="183" w:lineRule="exact"/>
              <w:rPr>
                <w:rFonts w:ascii="Arial" w:cs="Arial" w:eastAsia="Arial" w:hAnsi="Arial"/>
                <w:sz w:val="20"/>
                <w:szCs w:val="20"/>
                <w:color w:val="0000EE"/>
                <w:w w:val="94"/>
              </w:rPr>
            </w:pPr>
            <w:hyperlink r:id="rId165">
              <w:r>
                <w:rPr>
                  <w:rFonts w:ascii="Arial" w:cs="Arial" w:eastAsia="Arial" w:hAnsi="Arial"/>
                  <w:sz w:val="20"/>
                  <w:szCs w:val="20"/>
                  <w:color w:val="0000EE"/>
                  <w:w w:val="94"/>
                </w:rPr>
                <w:t>Twenty-sixth Supplemental Indenture dated as of</w:t>
              </w:r>
            </w:hyperlink>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4.1.3</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w w:val="98"/>
              </w:rPr>
              <w:t>February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80" w:type="dxa"/>
            <w:vAlign w:val="bottom"/>
            <w:tcBorders>
              <w:top w:val="single" w:sz="8" w:color="0000EE"/>
            </w:tcBorders>
            <w:gridSpan w:val="16"/>
            <w:vMerge w:val="restart"/>
          </w:tcPr>
          <w:p>
            <w:pPr>
              <w:spacing w:after="0" w:line="209" w:lineRule="exact"/>
              <w:rPr>
                <w:rFonts w:ascii="Arial" w:cs="Arial" w:eastAsia="Arial" w:hAnsi="Arial"/>
                <w:sz w:val="20"/>
                <w:szCs w:val="20"/>
                <w:color w:val="0000EE"/>
              </w:rPr>
            </w:pPr>
            <w:hyperlink r:id="rId165">
              <w:r>
                <w:rPr>
                  <w:rFonts w:ascii="Arial" w:cs="Arial" w:eastAsia="Arial" w:hAnsi="Arial"/>
                  <w:sz w:val="20"/>
                  <w:szCs w:val="20"/>
                  <w:color w:val="0000EE"/>
                </w:rPr>
                <w:t>November 1, 1991</w:t>
              </w:r>
            </w:hyperlink>
          </w:p>
        </w:tc>
        <w:tc>
          <w:tcPr>
            <w:tcW w:w="280" w:type="dxa"/>
            <w:vAlign w:val="bottom"/>
            <w:tcBorders>
              <w:right w:val="single" w:sz="8" w:color="auto"/>
            </w:tcBorders>
            <w:gridSpan w:val="7"/>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80" w:type="dxa"/>
            <w:vAlign w:val="bottom"/>
            <w:gridSpan w:val="16"/>
            <w:vMerge w:val="continue"/>
          </w:tcPr>
          <w:p>
            <w:pPr>
              <w:spacing w:after="0"/>
              <w:rPr>
                <w:sz w:val="6"/>
                <w:szCs w:val="6"/>
                <w:color w:val="auto"/>
              </w:rPr>
            </w:pPr>
          </w:p>
        </w:tc>
        <w:tc>
          <w:tcPr>
            <w:tcW w:w="280" w:type="dxa"/>
            <w:vAlign w:val="bottom"/>
            <w:tcBorders>
              <w:right w:val="single" w:sz="8" w:color="auto"/>
            </w:tcBorders>
            <w:gridSpan w:val="7"/>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4.1.3</w:t>
            </w:r>
          </w:p>
        </w:tc>
        <w:tc>
          <w:tcPr>
            <w:tcW w:w="120" w:type="dxa"/>
            <w:vAlign w:val="bottom"/>
          </w:tcPr>
          <w:p>
            <w:pPr>
              <w:spacing w:after="0"/>
              <w:rPr>
                <w:sz w:val="15"/>
                <w:szCs w:val="15"/>
                <w:color w:val="auto"/>
              </w:rPr>
            </w:pPr>
          </w:p>
        </w:tc>
        <w:tc>
          <w:tcPr>
            <w:tcW w:w="3920" w:type="dxa"/>
            <w:vAlign w:val="bottom"/>
            <w:tcBorders>
              <w:bottom w:val="single" w:sz="8" w:color="0000EE"/>
            </w:tcBorders>
            <w:gridSpan w:val="18"/>
          </w:tcPr>
          <w:p>
            <w:pPr>
              <w:spacing w:after="0" w:line="183" w:lineRule="exact"/>
              <w:rPr>
                <w:rFonts w:ascii="Arial" w:cs="Arial" w:eastAsia="Arial" w:hAnsi="Arial"/>
                <w:sz w:val="20"/>
                <w:szCs w:val="20"/>
                <w:color w:val="0000EE"/>
                <w:w w:val="89"/>
              </w:rPr>
            </w:pPr>
            <w:hyperlink r:id="rId166">
              <w:r>
                <w:rPr>
                  <w:rFonts w:ascii="Arial" w:cs="Arial" w:eastAsia="Arial" w:hAnsi="Arial"/>
                  <w:sz w:val="20"/>
                  <w:szCs w:val="20"/>
                  <w:color w:val="0000EE"/>
                  <w:w w:val="89"/>
                </w:rPr>
                <w:t>Twenty-ninth Supplemental Indenture dated as of</w:t>
              </w:r>
            </w:hyperlink>
          </w:p>
        </w:tc>
        <w:tc>
          <w:tcPr>
            <w:tcW w:w="240" w:type="dxa"/>
            <w:vAlign w:val="bottom"/>
            <w:tcBorders>
              <w:right w:val="single" w:sz="8" w:color="auto"/>
            </w:tcBorders>
            <w:gridSpan w:val="5"/>
          </w:tcPr>
          <w:p>
            <w:pPr>
              <w:spacing w:after="0"/>
              <w:rPr>
                <w:sz w:val="15"/>
                <w:szCs w:val="15"/>
                <w:color w:val="auto"/>
              </w:rPr>
            </w:pPr>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4.17</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May 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3"/>
            <w:vMerge w:val="restart"/>
          </w:tcPr>
          <w:p>
            <w:pPr>
              <w:spacing w:after="0" w:line="209" w:lineRule="exact"/>
              <w:rPr>
                <w:rFonts w:ascii="Arial" w:cs="Arial" w:eastAsia="Arial" w:hAnsi="Arial"/>
                <w:sz w:val="20"/>
                <w:szCs w:val="20"/>
                <w:color w:val="0000EE"/>
              </w:rPr>
            </w:pPr>
            <w:hyperlink r:id="rId166">
              <w:r>
                <w:rPr>
                  <w:rFonts w:ascii="Arial" w:cs="Arial" w:eastAsia="Arial" w:hAnsi="Arial"/>
                  <w:sz w:val="20"/>
                  <w:szCs w:val="20"/>
                  <w:color w:val="0000EE"/>
                </w:rPr>
                <w:t>March 30, 1995</w:t>
              </w:r>
            </w:hyperlink>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1995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4.1.4</w:t>
            </w:r>
          </w:p>
        </w:tc>
        <w:tc>
          <w:tcPr>
            <w:tcW w:w="120" w:type="dxa"/>
            <w:vAlign w:val="bottom"/>
          </w:tcPr>
          <w:p>
            <w:pPr>
              <w:spacing w:after="0"/>
              <w:rPr>
                <w:sz w:val="15"/>
                <w:szCs w:val="15"/>
                <w:color w:val="auto"/>
              </w:rPr>
            </w:pPr>
          </w:p>
        </w:tc>
        <w:tc>
          <w:tcPr>
            <w:tcW w:w="3840" w:type="dxa"/>
            <w:vAlign w:val="bottom"/>
            <w:tcBorders>
              <w:bottom w:val="single" w:sz="8" w:color="0000EE"/>
            </w:tcBorders>
            <w:gridSpan w:val="15"/>
          </w:tcPr>
          <w:p>
            <w:pPr>
              <w:spacing w:after="0" w:line="183" w:lineRule="exact"/>
              <w:rPr>
                <w:rFonts w:ascii="Arial" w:cs="Arial" w:eastAsia="Arial" w:hAnsi="Arial"/>
                <w:sz w:val="20"/>
                <w:szCs w:val="20"/>
                <w:color w:val="0000EE"/>
                <w:w w:val="89"/>
              </w:rPr>
            </w:pPr>
            <w:hyperlink r:id="rId167">
              <w:r>
                <w:rPr>
                  <w:rFonts w:ascii="Arial" w:cs="Arial" w:eastAsia="Arial" w:hAnsi="Arial"/>
                  <w:sz w:val="20"/>
                  <w:szCs w:val="20"/>
                  <w:color w:val="0000EE"/>
                  <w:w w:val="89"/>
                </w:rPr>
                <w:t>Thirty-third Supplemental Indenture, dated as of</w:t>
              </w:r>
            </w:hyperlink>
          </w:p>
        </w:tc>
        <w:tc>
          <w:tcPr>
            <w:tcW w:w="320" w:type="dxa"/>
            <w:vAlign w:val="bottom"/>
            <w:tcBorders>
              <w:right w:val="single" w:sz="8" w:color="auto"/>
            </w:tcBorders>
            <w:gridSpan w:val="8"/>
          </w:tcPr>
          <w:p>
            <w:pPr>
              <w:spacing w:after="0"/>
              <w:rPr>
                <w:sz w:val="15"/>
                <w:szCs w:val="15"/>
                <w:color w:val="auto"/>
              </w:rPr>
            </w:pPr>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4.27</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March 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3"/>
            <w:vMerge w:val="restart"/>
          </w:tcPr>
          <w:p>
            <w:pPr>
              <w:spacing w:after="0" w:line="209" w:lineRule="exact"/>
              <w:rPr>
                <w:rFonts w:ascii="Arial" w:cs="Arial" w:eastAsia="Arial" w:hAnsi="Arial"/>
                <w:sz w:val="20"/>
                <w:szCs w:val="20"/>
                <w:color w:val="0000EE"/>
              </w:rPr>
            </w:pPr>
            <w:hyperlink r:id="rId167">
              <w:r>
                <w:rPr>
                  <w:rFonts w:ascii="Arial" w:cs="Arial" w:eastAsia="Arial" w:hAnsi="Arial"/>
                  <w:sz w:val="20"/>
                  <w:szCs w:val="20"/>
                  <w:color w:val="0000EE"/>
                </w:rPr>
                <w:t>November 15, 1999</w:t>
              </w:r>
            </w:hyperlink>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4.1.5</w:t>
            </w:r>
          </w:p>
        </w:tc>
        <w:tc>
          <w:tcPr>
            <w:tcW w:w="120" w:type="dxa"/>
            <w:vAlign w:val="bottom"/>
          </w:tcPr>
          <w:p>
            <w:pPr>
              <w:spacing w:after="0"/>
              <w:rPr>
                <w:sz w:val="15"/>
                <w:szCs w:val="15"/>
                <w:color w:val="auto"/>
              </w:rPr>
            </w:pPr>
          </w:p>
        </w:tc>
        <w:tc>
          <w:tcPr>
            <w:tcW w:w="3840" w:type="dxa"/>
            <w:vAlign w:val="bottom"/>
            <w:tcBorders>
              <w:bottom w:val="single" w:sz="8" w:color="0000EE"/>
            </w:tcBorders>
            <w:gridSpan w:val="15"/>
          </w:tcPr>
          <w:p>
            <w:pPr>
              <w:spacing w:after="0" w:line="183" w:lineRule="exact"/>
              <w:rPr>
                <w:rFonts w:ascii="Arial" w:cs="Arial" w:eastAsia="Arial" w:hAnsi="Arial"/>
                <w:sz w:val="20"/>
                <w:szCs w:val="20"/>
                <w:color w:val="0000EE"/>
                <w:w w:val="91"/>
              </w:rPr>
            </w:pPr>
            <w:hyperlink r:id="rId168">
              <w:r>
                <w:rPr>
                  <w:rFonts w:ascii="Arial" w:cs="Arial" w:eastAsia="Arial" w:hAnsi="Arial"/>
                  <w:sz w:val="20"/>
                  <w:szCs w:val="20"/>
                  <w:color w:val="0000EE"/>
                  <w:w w:val="91"/>
                </w:rPr>
                <w:t>Thirty-fifth Supplemental Indenture, dated as of</w:t>
              </w:r>
            </w:hyperlink>
          </w:p>
        </w:tc>
        <w:tc>
          <w:tcPr>
            <w:tcW w:w="320" w:type="dxa"/>
            <w:vAlign w:val="bottom"/>
            <w:tcBorders>
              <w:right w:val="single" w:sz="8" w:color="auto"/>
            </w:tcBorders>
            <w:gridSpan w:val="8"/>
          </w:tcPr>
          <w:p>
            <w:pPr>
              <w:spacing w:after="0"/>
              <w:rPr>
                <w:sz w:val="15"/>
                <w:szCs w:val="15"/>
                <w:color w:val="auto"/>
              </w:rPr>
            </w:pPr>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4.22</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March 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3"/>
            <w:vMerge w:val="restart"/>
          </w:tcPr>
          <w:p>
            <w:pPr>
              <w:spacing w:after="0" w:line="209" w:lineRule="exact"/>
              <w:rPr>
                <w:rFonts w:ascii="Arial" w:cs="Arial" w:eastAsia="Arial" w:hAnsi="Arial"/>
                <w:sz w:val="20"/>
                <w:szCs w:val="20"/>
                <w:color w:val="0000EE"/>
              </w:rPr>
            </w:pPr>
            <w:hyperlink r:id="rId168">
              <w:r>
                <w:rPr>
                  <w:rFonts w:ascii="Arial" w:cs="Arial" w:eastAsia="Arial" w:hAnsi="Arial"/>
                  <w:sz w:val="20"/>
                  <w:szCs w:val="20"/>
                  <w:color w:val="0000EE"/>
                </w:rPr>
                <w:t>January 1, 2002</w:t>
              </w:r>
            </w:hyperlink>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4.1.6</w:t>
            </w:r>
          </w:p>
        </w:tc>
        <w:tc>
          <w:tcPr>
            <w:tcW w:w="120" w:type="dxa"/>
            <w:vAlign w:val="bottom"/>
          </w:tcPr>
          <w:p>
            <w:pPr>
              <w:spacing w:after="0"/>
              <w:rPr>
                <w:sz w:val="15"/>
                <w:szCs w:val="15"/>
                <w:color w:val="auto"/>
              </w:rPr>
            </w:pPr>
          </w:p>
        </w:tc>
        <w:tc>
          <w:tcPr>
            <w:tcW w:w="3880" w:type="dxa"/>
            <w:vAlign w:val="bottom"/>
            <w:tcBorders>
              <w:bottom w:val="single" w:sz="8" w:color="0000EE"/>
            </w:tcBorders>
            <w:gridSpan w:val="16"/>
          </w:tcPr>
          <w:p>
            <w:pPr>
              <w:spacing w:after="0" w:line="183" w:lineRule="exact"/>
              <w:rPr>
                <w:rFonts w:ascii="Arial" w:cs="Arial" w:eastAsia="Arial" w:hAnsi="Arial"/>
                <w:sz w:val="20"/>
                <w:szCs w:val="20"/>
                <w:color w:val="0000EE"/>
                <w:w w:val="89"/>
              </w:rPr>
            </w:pPr>
            <w:hyperlink r:id="rId169">
              <w:r>
                <w:rPr>
                  <w:rFonts w:ascii="Arial" w:cs="Arial" w:eastAsia="Arial" w:hAnsi="Arial"/>
                  <w:sz w:val="20"/>
                  <w:szCs w:val="20"/>
                  <w:color w:val="0000EE"/>
                  <w:w w:val="89"/>
                </w:rPr>
                <w:t>Forty-fourth Supplemental Indenture, dated as of</w:t>
              </w:r>
            </w:hyperlink>
          </w:p>
        </w:tc>
        <w:tc>
          <w:tcPr>
            <w:tcW w:w="280" w:type="dxa"/>
            <w:vAlign w:val="bottom"/>
            <w:tcBorders>
              <w:right w:val="single" w:sz="8" w:color="auto"/>
            </w:tcBorders>
            <w:gridSpan w:val="7"/>
          </w:tcPr>
          <w:p>
            <w:pPr>
              <w:spacing w:after="0"/>
              <w:rPr>
                <w:sz w:val="15"/>
                <w:szCs w:val="15"/>
                <w:color w:val="auto"/>
              </w:rPr>
            </w:pPr>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4.38</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August 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3"/>
            <w:vMerge w:val="restart"/>
          </w:tcPr>
          <w:p>
            <w:pPr>
              <w:spacing w:after="0" w:line="209" w:lineRule="exact"/>
              <w:rPr>
                <w:rFonts w:ascii="Arial" w:cs="Arial" w:eastAsia="Arial" w:hAnsi="Arial"/>
                <w:sz w:val="20"/>
                <w:szCs w:val="20"/>
                <w:color w:val="0000EE"/>
              </w:rPr>
            </w:pPr>
            <w:hyperlink r:id="rId169">
              <w:r>
                <w:rPr>
                  <w:rFonts w:ascii="Arial" w:cs="Arial" w:eastAsia="Arial" w:hAnsi="Arial"/>
                  <w:sz w:val="20"/>
                  <w:szCs w:val="20"/>
                  <w:color w:val="0000EE"/>
                </w:rPr>
                <w:t>July 1, 2009</w:t>
              </w:r>
            </w:hyperlink>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4.1.7</w:t>
            </w:r>
          </w:p>
        </w:tc>
        <w:tc>
          <w:tcPr>
            <w:tcW w:w="120" w:type="dxa"/>
            <w:vAlign w:val="bottom"/>
          </w:tcPr>
          <w:p>
            <w:pPr>
              <w:spacing w:after="0"/>
              <w:rPr>
                <w:sz w:val="15"/>
                <w:szCs w:val="15"/>
                <w:color w:val="auto"/>
              </w:rPr>
            </w:pPr>
          </w:p>
        </w:tc>
        <w:tc>
          <w:tcPr>
            <w:tcW w:w="3740" w:type="dxa"/>
            <w:vAlign w:val="bottom"/>
            <w:tcBorders>
              <w:bottom w:val="single" w:sz="8" w:color="0000EE"/>
            </w:tcBorders>
            <w:gridSpan w:val="13"/>
          </w:tcPr>
          <w:p>
            <w:pPr>
              <w:spacing w:after="0" w:line="183" w:lineRule="exact"/>
              <w:rPr>
                <w:rFonts w:ascii="Arial" w:cs="Arial" w:eastAsia="Arial" w:hAnsi="Arial"/>
                <w:sz w:val="20"/>
                <w:szCs w:val="20"/>
                <w:color w:val="0000EE"/>
                <w:w w:val="90"/>
              </w:rPr>
            </w:pPr>
            <w:hyperlink r:id="rId170">
              <w:r>
                <w:rPr>
                  <w:rFonts w:ascii="Arial" w:cs="Arial" w:eastAsia="Arial" w:hAnsi="Arial"/>
                  <w:sz w:val="20"/>
                  <w:szCs w:val="20"/>
                  <w:color w:val="0000EE"/>
                  <w:w w:val="90"/>
                </w:rPr>
                <w:t>Forty-fifth Supplemental Indenture, dated as of</w:t>
              </w:r>
            </w:hyperlink>
          </w:p>
        </w:tc>
        <w:tc>
          <w:tcPr>
            <w:tcW w:w="420" w:type="dxa"/>
            <w:vAlign w:val="bottom"/>
            <w:tcBorders>
              <w:right w:val="single" w:sz="8" w:color="auto"/>
            </w:tcBorders>
            <w:gridSpan w:val="10"/>
          </w:tcPr>
          <w:p>
            <w:pPr>
              <w:spacing w:after="0"/>
              <w:rPr>
                <w:sz w:val="15"/>
                <w:szCs w:val="15"/>
                <w:color w:val="auto"/>
              </w:rPr>
            </w:pPr>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4.39</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w w:val="98"/>
              </w:rPr>
              <w:t>February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3"/>
            <w:vMerge w:val="restart"/>
          </w:tcPr>
          <w:p>
            <w:pPr>
              <w:spacing w:after="0" w:line="209" w:lineRule="exact"/>
              <w:rPr>
                <w:rFonts w:ascii="Arial" w:cs="Arial" w:eastAsia="Arial" w:hAnsi="Arial"/>
                <w:sz w:val="20"/>
                <w:szCs w:val="20"/>
                <w:color w:val="0000EE"/>
              </w:rPr>
            </w:pPr>
            <w:hyperlink r:id="rId170">
              <w:r>
                <w:rPr>
                  <w:rFonts w:ascii="Arial" w:cs="Arial" w:eastAsia="Arial" w:hAnsi="Arial"/>
                  <w:sz w:val="20"/>
                  <w:szCs w:val="20"/>
                  <w:color w:val="0000EE"/>
                </w:rPr>
                <w:t>October 15, 2009</w:t>
              </w:r>
            </w:hyperlink>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4.1.8</w:t>
            </w:r>
          </w:p>
        </w:tc>
        <w:tc>
          <w:tcPr>
            <w:tcW w:w="120" w:type="dxa"/>
            <w:vAlign w:val="bottom"/>
          </w:tcPr>
          <w:p>
            <w:pPr>
              <w:spacing w:after="0"/>
              <w:rPr>
                <w:sz w:val="15"/>
                <w:szCs w:val="15"/>
                <w:color w:val="auto"/>
              </w:rPr>
            </w:pPr>
          </w:p>
        </w:tc>
        <w:tc>
          <w:tcPr>
            <w:tcW w:w="3780" w:type="dxa"/>
            <w:vAlign w:val="bottom"/>
            <w:tcBorders>
              <w:bottom w:val="single" w:sz="8" w:color="0000EE"/>
            </w:tcBorders>
            <w:gridSpan w:val="14"/>
          </w:tcPr>
          <w:p>
            <w:pPr>
              <w:spacing w:after="0" w:line="183" w:lineRule="exact"/>
              <w:rPr>
                <w:rFonts w:ascii="Arial" w:cs="Arial" w:eastAsia="Arial" w:hAnsi="Arial"/>
                <w:sz w:val="20"/>
                <w:szCs w:val="20"/>
                <w:color w:val="0000EE"/>
                <w:w w:val="89"/>
              </w:rPr>
            </w:pPr>
            <w:hyperlink r:id="rId171">
              <w:r>
                <w:rPr>
                  <w:rFonts w:ascii="Arial" w:cs="Arial" w:eastAsia="Arial" w:hAnsi="Arial"/>
                  <w:sz w:val="20"/>
                  <w:szCs w:val="20"/>
                  <w:color w:val="0000EE"/>
                  <w:w w:val="89"/>
                </w:rPr>
                <w:t>Forty-sixth Supplemental Indenture, dated as of</w:t>
              </w:r>
            </w:hyperlink>
          </w:p>
        </w:tc>
        <w:tc>
          <w:tcPr>
            <w:tcW w:w="380" w:type="dxa"/>
            <w:vAlign w:val="bottom"/>
            <w:tcBorders>
              <w:right w:val="single" w:sz="8" w:color="auto"/>
            </w:tcBorders>
            <w:gridSpan w:val="9"/>
          </w:tcPr>
          <w:p>
            <w:pPr>
              <w:spacing w:after="0"/>
              <w:rPr>
                <w:sz w:val="15"/>
                <w:szCs w:val="15"/>
                <w:color w:val="auto"/>
              </w:rPr>
            </w:pPr>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4.35</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w w:val="98"/>
              </w:rPr>
              <w:t>February 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3"/>
            <w:vMerge w:val="restart"/>
          </w:tcPr>
          <w:p>
            <w:pPr>
              <w:spacing w:after="0" w:line="209" w:lineRule="exact"/>
              <w:rPr>
                <w:rFonts w:ascii="Arial" w:cs="Arial" w:eastAsia="Arial" w:hAnsi="Arial"/>
                <w:sz w:val="20"/>
                <w:szCs w:val="20"/>
                <w:color w:val="0000EE"/>
              </w:rPr>
            </w:pPr>
            <w:hyperlink r:id="rId171">
              <w:r>
                <w:rPr>
                  <w:rFonts w:ascii="Arial" w:cs="Arial" w:eastAsia="Arial" w:hAnsi="Arial"/>
                  <w:sz w:val="20"/>
                  <w:szCs w:val="20"/>
                  <w:color w:val="0000EE"/>
                </w:rPr>
                <w:t>October 15, 2010</w:t>
              </w:r>
            </w:hyperlink>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4.1.9</w:t>
            </w:r>
          </w:p>
        </w:tc>
        <w:tc>
          <w:tcPr>
            <w:tcW w:w="120" w:type="dxa"/>
            <w:vAlign w:val="bottom"/>
          </w:tcPr>
          <w:p>
            <w:pPr>
              <w:spacing w:after="0"/>
              <w:rPr>
                <w:sz w:val="15"/>
                <w:szCs w:val="15"/>
                <w:color w:val="auto"/>
              </w:rPr>
            </w:pPr>
          </w:p>
        </w:tc>
        <w:tc>
          <w:tcPr>
            <w:tcW w:w="4000" w:type="dxa"/>
            <w:vAlign w:val="bottom"/>
            <w:tcBorders>
              <w:bottom w:val="single" w:sz="8" w:color="0000EE"/>
            </w:tcBorders>
            <w:gridSpan w:val="21"/>
          </w:tcPr>
          <w:p>
            <w:pPr>
              <w:spacing w:after="0" w:line="183" w:lineRule="exact"/>
              <w:rPr>
                <w:rFonts w:ascii="Arial" w:cs="Arial" w:eastAsia="Arial" w:hAnsi="Arial"/>
                <w:sz w:val="20"/>
                <w:szCs w:val="20"/>
                <w:color w:val="0000EE"/>
                <w:w w:val="88"/>
              </w:rPr>
            </w:pPr>
            <w:hyperlink r:id="rId172">
              <w:r>
                <w:rPr>
                  <w:rFonts w:ascii="Arial" w:cs="Arial" w:eastAsia="Arial" w:hAnsi="Arial"/>
                  <w:sz w:val="20"/>
                  <w:szCs w:val="20"/>
                  <w:color w:val="0000EE"/>
                  <w:w w:val="88"/>
                </w:rPr>
                <w:t>Forty-seventh Supplemental Indenture, dated as of</w:t>
              </w:r>
            </w:hyperlink>
          </w:p>
        </w:tc>
        <w:tc>
          <w:tcPr>
            <w:tcW w:w="160" w:type="dxa"/>
            <w:vAlign w:val="bottom"/>
            <w:tcBorders>
              <w:right w:val="single" w:sz="8" w:color="auto"/>
            </w:tcBorders>
            <w:gridSpan w:val="2"/>
          </w:tcPr>
          <w:p>
            <w:pPr>
              <w:spacing w:after="0"/>
              <w:rPr>
                <w:sz w:val="15"/>
                <w:szCs w:val="15"/>
                <w:color w:val="auto"/>
              </w:rPr>
            </w:pPr>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4.24</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w w:val="98"/>
              </w:rPr>
              <w:t>February 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3"/>
            <w:vMerge w:val="restart"/>
          </w:tcPr>
          <w:p>
            <w:pPr>
              <w:spacing w:after="0" w:line="209" w:lineRule="exact"/>
              <w:rPr>
                <w:rFonts w:ascii="Arial" w:cs="Arial" w:eastAsia="Arial" w:hAnsi="Arial"/>
                <w:sz w:val="20"/>
                <w:szCs w:val="20"/>
                <w:color w:val="0000EE"/>
              </w:rPr>
            </w:pPr>
            <w:hyperlink r:id="rId172">
              <w:r>
                <w:rPr>
                  <w:rFonts w:ascii="Arial" w:cs="Arial" w:eastAsia="Arial" w:hAnsi="Arial"/>
                  <w:sz w:val="20"/>
                  <w:szCs w:val="20"/>
                  <w:color w:val="0000EE"/>
                </w:rPr>
                <w:t>October 15, 2012</w:t>
              </w:r>
            </w:hyperlink>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4.1.10</w:t>
            </w:r>
          </w:p>
        </w:tc>
        <w:tc>
          <w:tcPr>
            <w:tcW w:w="120" w:type="dxa"/>
            <w:vAlign w:val="bottom"/>
          </w:tcPr>
          <w:p>
            <w:pPr>
              <w:spacing w:after="0"/>
              <w:rPr>
                <w:sz w:val="15"/>
                <w:szCs w:val="15"/>
                <w:color w:val="auto"/>
              </w:rPr>
            </w:pPr>
          </w:p>
        </w:tc>
        <w:tc>
          <w:tcPr>
            <w:tcW w:w="4160" w:type="dxa"/>
            <w:vAlign w:val="bottom"/>
            <w:tcBorders>
              <w:right w:val="single" w:sz="8" w:color="auto"/>
            </w:tcBorders>
            <w:gridSpan w:val="23"/>
          </w:tcPr>
          <w:p>
            <w:pPr>
              <w:spacing w:after="0" w:line="183" w:lineRule="exact"/>
              <w:rPr>
                <w:rFonts w:ascii="Arial" w:cs="Arial" w:eastAsia="Arial" w:hAnsi="Arial"/>
                <w:sz w:val="20"/>
                <w:szCs w:val="20"/>
                <w:color w:val="0000EE"/>
                <w:w w:val="94"/>
              </w:rPr>
            </w:pPr>
            <w:hyperlink r:id="rId173">
              <w:r>
                <w:rPr>
                  <w:rFonts w:ascii="Arial" w:cs="Arial" w:eastAsia="Arial" w:hAnsi="Arial"/>
                  <w:sz w:val="20"/>
                  <w:szCs w:val="20"/>
                  <w:color w:val="0000EE"/>
                  <w:w w:val="94"/>
                </w:rPr>
                <w:t>Forty-eighth Supplemental Indenture, dated as of</w:t>
              </w:r>
            </w:hyperlink>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4.1.17</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March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80" w:type="dxa"/>
            <w:vAlign w:val="bottom"/>
            <w:tcBorders>
              <w:top w:val="single" w:sz="8" w:color="0000EE"/>
            </w:tcBorders>
            <w:gridSpan w:val="16"/>
            <w:vMerge w:val="restart"/>
          </w:tcPr>
          <w:p>
            <w:pPr>
              <w:spacing w:after="0" w:line="209" w:lineRule="exact"/>
              <w:rPr>
                <w:rFonts w:ascii="Arial" w:cs="Arial" w:eastAsia="Arial" w:hAnsi="Arial"/>
                <w:sz w:val="20"/>
                <w:szCs w:val="20"/>
                <w:color w:val="0000EE"/>
              </w:rPr>
            </w:pPr>
            <w:hyperlink r:id="rId173">
              <w:r>
                <w:rPr>
                  <w:rFonts w:ascii="Arial" w:cs="Arial" w:eastAsia="Arial" w:hAnsi="Arial"/>
                  <w:sz w:val="20"/>
                  <w:szCs w:val="20"/>
                  <w:color w:val="0000EE"/>
                </w:rPr>
                <w:t>October 1, 2013</w:t>
              </w:r>
            </w:hyperlink>
          </w:p>
        </w:tc>
        <w:tc>
          <w:tcPr>
            <w:tcW w:w="280" w:type="dxa"/>
            <w:vAlign w:val="bottom"/>
            <w:tcBorders>
              <w:right w:val="single" w:sz="8" w:color="auto"/>
            </w:tcBorders>
            <w:gridSpan w:val="7"/>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80" w:type="dxa"/>
            <w:vAlign w:val="bottom"/>
            <w:gridSpan w:val="16"/>
            <w:vMerge w:val="continue"/>
          </w:tcPr>
          <w:p>
            <w:pPr>
              <w:spacing w:after="0"/>
              <w:rPr>
                <w:sz w:val="6"/>
                <w:szCs w:val="6"/>
                <w:color w:val="auto"/>
              </w:rPr>
            </w:pPr>
          </w:p>
        </w:tc>
        <w:tc>
          <w:tcPr>
            <w:tcW w:w="280" w:type="dxa"/>
            <w:vAlign w:val="bottom"/>
            <w:tcBorders>
              <w:right w:val="single" w:sz="8" w:color="auto"/>
            </w:tcBorders>
            <w:gridSpan w:val="7"/>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4.1.11</w:t>
            </w:r>
          </w:p>
        </w:tc>
        <w:tc>
          <w:tcPr>
            <w:tcW w:w="120" w:type="dxa"/>
            <w:vAlign w:val="bottom"/>
          </w:tcPr>
          <w:p>
            <w:pPr>
              <w:spacing w:after="0"/>
              <w:rPr>
                <w:sz w:val="15"/>
                <w:szCs w:val="15"/>
                <w:color w:val="auto"/>
              </w:rPr>
            </w:pPr>
          </w:p>
        </w:tc>
        <w:tc>
          <w:tcPr>
            <w:tcW w:w="3900" w:type="dxa"/>
            <w:vAlign w:val="bottom"/>
            <w:tcBorders>
              <w:bottom w:val="single" w:sz="8" w:color="0000EE"/>
            </w:tcBorders>
            <w:gridSpan w:val="17"/>
          </w:tcPr>
          <w:p>
            <w:pPr>
              <w:spacing w:after="0" w:line="183" w:lineRule="exact"/>
              <w:rPr>
                <w:rFonts w:ascii="Arial" w:cs="Arial" w:eastAsia="Arial" w:hAnsi="Arial"/>
                <w:sz w:val="20"/>
                <w:szCs w:val="20"/>
                <w:color w:val="0000EE"/>
                <w:w w:val="89"/>
              </w:rPr>
            </w:pPr>
            <w:hyperlink r:id="rId174">
              <w:r>
                <w:rPr>
                  <w:rFonts w:ascii="Arial" w:cs="Arial" w:eastAsia="Arial" w:hAnsi="Arial"/>
                  <w:sz w:val="20"/>
                  <w:szCs w:val="20"/>
                  <w:color w:val="0000EE"/>
                  <w:w w:val="89"/>
                </w:rPr>
                <w:t>Form of Supplemental Indenture during and after</w:t>
              </w:r>
            </w:hyperlink>
          </w:p>
        </w:tc>
        <w:tc>
          <w:tcPr>
            <w:tcW w:w="260" w:type="dxa"/>
            <w:vAlign w:val="bottom"/>
            <w:tcBorders>
              <w:right w:val="single" w:sz="8" w:color="auto"/>
            </w:tcBorders>
            <w:gridSpan w:val="6"/>
          </w:tcPr>
          <w:p>
            <w:pPr>
              <w:spacing w:after="0"/>
              <w:rPr>
                <w:sz w:val="15"/>
                <w:szCs w:val="15"/>
                <w:color w:val="auto"/>
              </w:rPr>
            </w:pPr>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4.1.15</w:t>
            </w:r>
          </w:p>
        </w:tc>
        <w:tc>
          <w:tcPr>
            <w:tcW w:w="12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w w:val="98"/>
              </w:rPr>
              <w:t>February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080" w:type="dxa"/>
            <w:vAlign w:val="bottom"/>
            <w:gridSpan w:val="3"/>
            <w:vMerge w:val="restart"/>
          </w:tcPr>
          <w:p>
            <w:pPr>
              <w:ind w:left="120"/>
              <w:spacing w:after="0" w:line="209" w:lineRule="exact"/>
              <w:rPr>
                <w:rFonts w:ascii="Arial" w:cs="Arial" w:eastAsia="Arial" w:hAnsi="Arial"/>
                <w:sz w:val="20"/>
                <w:szCs w:val="20"/>
                <w:color w:val="0000EE"/>
              </w:rPr>
            </w:pPr>
            <w:hyperlink r:id="rId174">
              <w:r>
                <w:rPr>
                  <w:rFonts w:ascii="Arial" w:cs="Arial" w:eastAsia="Arial" w:hAnsi="Arial"/>
                  <w:sz w:val="20"/>
                  <w:szCs w:val="20"/>
                  <w:color w:val="0000EE"/>
                </w:rPr>
                <w:t>2014</w:t>
              </w:r>
            </w:hyperlink>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4.1.11.1</w:t>
            </w:r>
          </w:p>
        </w:tc>
        <w:tc>
          <w:tcPr>
            <w:tcW w:w="120" w:type="dxa"/>
            <w:vAlign w:val="bottom"/>
          </w:tcPr>
          <w:p>
            <w:pPr>
              <w:spacing w:after="0"/>
              <w:rPr>
                <w:sz w:val="15"/>
                <w:szCs w:val="15"/>
                <w:color w:val="auto"/>
              </w:rPr>
            </w:pPr>
          </w:p>
        </w:tc>
        <w:tc>
          <w:tcPr>
            <w:tcW w:w="3980" w:type="dxa"/>
            <w:vAlign w:val="bottom"/>
            <w:tcBorders>
              <w:bottom w:val="single" w:sz="8" w:color="0000EE"/>
            </w:tcBorders>
            <w:gridSpan w:val="20"/>
          </w:tcPr>
          <w:p>
            <w:pPr>
              <w:spacing w:after="0" w:line="183" w:lineRule="exact"/>
              <w:rPr>
                <w:rFonts w:ascii="Arial" w:cs="Arial" w:eastAsia="Arial" w:hAnsi="Arial"/>
                <w:sz w:val="20"/>
                <w:szCs w:val="20"/>
                <w:color w:val="0000EE"/>
                <w:w w:val="88"/>
              </w:rPr>
            </w:pPr>
            <w:hyperlink w:anchor="page123">
              <w:r>
                <w:rPr>
                  <w:rFonts w:ascii="Arial" w:cs="Arial" w:eastAsia="Arial" w:hAnsi="Arial"/>
                  <w:sz w:val="20"/>
                  <w:szCs w:val="20"/>
                  <w:color w:val="0000EE"/>
                  <w:w w:val="88"/>
                </w:rPr>
                <w:t>Schedule of Outstanding Supplemental Indentures</w:t>
              </w:r>
            </w:hyperlink>
          </w:p>
        </w:tc>
        <w:tc>
          <w:tcPr>
            <w:tcW w:w="180" w:type="dxa"/>
            <w:vAlign w:val="bottom"/>
            <w:tcBorders>
              <w:right w:val="single" w:sz="8" w:color="auto"/>
            </w:tcBorders>
            <w:gridSpan w:val="3"/>
          </w:tcPr>
          <w:p>
            <w:pPr>
              <w:spacing w:after="0"/>
              <w:rPr>
                <w:sz w:val="15"/>
                <w:szCs w:val="15"/>
                <w:color w:val="auto"/>
              </w:rPr>
            </w:pPr>
          </w:p>
        </w:tc>
        <w:tc>
          <w:tcPr>
            <w:tcW w:w="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3"/>
            <w:vMerge w:val="restart"/>
          </w:tcPr>
          <w:p>
            <w:pPr>
              <w:spacing w:after="0" w:line="209" w:lineRule="exact"/>
              <w:rPr>
                <w:rFonts w:ascii="Arial" w:cs="Arial" w:eastAsia="Arial" w:hAnsi="Arial"/>
                <w:sz w:val="20"/>
                <w:szCs w:val="20"/>
                <w:color w:val="0000EE"/>
              </w:rPr>
            </w:pPr>
            <w:hyperlink w:anchor="page123">
              <w:r>
                <w:rPr>
                  <w:rFonts w:ascii="Arial" w:cs="Arial" w:eastAsia="Arial" w:hAnsi="Arial"/>
                  <w:sz w:val="20"/>
                  <w:szCs w:val="20"/>
                  <w:color w:val="0000EE"/>
                </w:rPr>
                <w:t>during and after 2014</w:t>
              </w:r>
            </w:hyperlink>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700" w:type="dxa"/>
            <w:vAlign w:val="bottom"/>
          </w:tcPr>
          <w:p>
            <w:pPr>
              <w:spacing w:after="0"/>
              <w:rPr>
                <w:sz w:val="24"/>
                <w:szCs w:val="24"/>
                <w:color w:val="auto"/>
              </w:rPr>
            </w:pPr>
          </w:p>
        </w:tc>
        <w:tc>
          <w:tcPr>
            <w:tcW w:w="3760" w:type="dxa"/>
            <w:vAlign w:val="bottom"/>
            <w:gridSpan w:val="13"/>
          </w:tcPr>
          <w:p>
            <w:pPr>
              <w:jc w:val="right"/>
              <w:ind w:right="2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700" w:type="dxa"/>
            <w:vAlign w:val="bottom"/>
            <w:tcBorders>
              <w:top w:val="single" w:sz="8" w:color="auto"/>
              <w:left w:val="single" w:sz="8" w:color="auto"/>
              <w:right w:val="single" w:sz="8" w:color="auto"/>
            </w:tcBorders>
          </w:tcPr>
          <w:p>
            <w:pPr>
              <w:jc w:val="right"/>
              <w:ind w:right="1221"/>
              <w:spacing w:after="0" w:line="203" w:lineRule="exact"/>
              <w:rPr>
                <w:sz w:val="20"/>
                <w:szCs w:val="20"/>
                <w:color w:val="auto"/>
              </w:rPr>
            </w:pPr>
            <w:r>
              <w:rPr>
                <w:rFonts w:ascii="Arial" w:cs="Arial" w:eastAsia="Arial" w:hAnsi="Arial"/>
                <w:sz w:val="20"/>
                <w:szCs w:val="20"/>
                <w:color w:val="auto"/>
              </w:rPr>
              <w:t>4.2</w:t>
            </w:r>
          </w:p>
        </w:tc>
        <w:tc>
          <w:tcPr>
            <w:tcW w:w="120" w:type="dxa"/>
            <w:vAlign w:val="bottom"/>
            <w:tcBorders>
              <w:top w:val="single" w:sz="8" w:color="auto"/>
            </w:tcBorders>
          </w:tcPr>
          <w:p>
            <w:pPr>
              <w:spacing w:after="0"/>
              <w:rPr>
                <w:sz w:val="17"/>
                <w:szCs w:val="17"/>
                <w:color w:val="auto"/>
              </w:rPr>
            </w:pPr>
          </w:p>
        </w:tc>
        <w:tc>
          <w:tcPr>
            <w:tcW w:w="3780" w:type="dxa"/>
            <w:vAlign w:val="bottom"/>
            <w:tcBorders>
              <w:top w:val="single" w:sz="8" w:color="auto"/>
              <w:bottom w:val="single" w:sz="8" w:color="0000EE"/>
            </w:tcBorders>
            <w:gridSpan w:val="18"/>
          </w:tcPr>
          <w:p>
            <w:pPr>
              <w:spacing w:after="0" w:line="203" w:lineRule="exact"/>
              <w:rPr>
                <w:rFonts w:ascii="Arial" w:cs="Arial" w:eastAsia="Arial" w:hAnsi="Arial"/>
                <w:sz w:val="20"/>
                <w:szCs w:val="20"/>
                <w:color w:val="0000EE"/>
                <w:w w:val="88"/>
              </w:rPr>
            </w:pPr>
            <w:hyperlink r:id="rId177">
              <w:r>
                <w:rPr>
                  <w:rFonts w:ascii="Arial" w:cs="Arial" w:eastAsia="Arial" w:hAnsi="Arial"/>
                  <w:sz w:val="20"/>
                  <w:szCs w:val="20"/>
                  <w:color w:val="0000EE"/>
                  <w:w w:val="88"/>
                </w:rPr>
                <w:t>Note Purchase Agreement, dated July 31, 2003,</w:t>
              </w:r>
            </w:hyperlink>
          </w:p>
        </w:tc>
        <w:tc>
          <w:tcPr>
            <w:tcW w:w="380" w:type="dxa"/>
            <w:vAlign w:val="bottom"/>
            <w:tcBorders>
              <w:top w:val="single" w:sz="8" w:color="auto"/>
              <w:right w:val="single" w:sz="8" w:color="auto"/>
            </w:tcBorders>
            <w:gridSpan w:val="8"/>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bottom w:val="single" w:sz="8" w:color="auto"/>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top w:val="single" w:sz="8" w:color="auto"/>
              <w:right w:val="single" w:sz="8" w:color="auto"/>
            </w:tcBorders>
          </w:tcPr>
          <w:p>
            <w:pPr>
              <w:spacing w:after="0"/>
              <w:rPr>
                <w:sz w:val="17"/>
                <w:szCs w:val="17"/>
                <w:color w:val="auto"/>
              </w:rPr>
            </w:pPr>
          </w:p>
        </w:tc>
        <w:tc>
          <w:tcPr>
            <w:tcW w:w="1400" w:type="dxa"/>
            <w:vAlign w:val="bottom"/>
            <w:tcBorders>
              <w:top w:val="single" w:sz="8" w:color="auto"/>
              <w:bottom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w w:val="98"/>
              </w:rPr>
              <w:t>November 13,</w:t>
            </w: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160" w:type="dxa"/>
            <w:vAlign w:val="bottom"/>
            <w:tcBorders>
              <w:right w:val="single" w:sz="8" w:color="auto"/>
            </w:tcBorders>
            <w:gridSpan w:val="26"/>
            <w:vMerge w:val="restart"/>
          </w:tcPr>
          <w:p>
            <w:pPr>
              <w:spacing w:after="0" w:line="209" w:lineRule="exact"/>
              <w:rPr>
                <w:rFonts w:ascii="Arial" w:cs="Arial" w:eastAsia="Arial" w:hAnsi="Arial"/>
                <w:sz w:val="20"/>
                <w:szCs w:val="20"/>
                <w:color w:val="0000EE"/>
              </w:rPr>
            </w:pPr>
            <w:hyperlink r:id="rId177">
              <w:r>
                <w:rPr>
                  <w:rFonts w:ascii="Arial" w:cs="Arial" w:eastAsia="Arial" w:hAnsi="Arial"/>
                  <w:sz w:val="20"/>
                  <w:szCs w:val="20"/>
                  <w:color w:val="0000EE"/>
                </w:rPr>
                <w:t>by and among the Aqua America, Inc. and the</w:t>
              </w:r>
            </w:hyperlink>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4.27</w:t>
            </w: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tcBorders>
              <w:right w:val="single" w:sz="8" w:color="auto"/>
            </w:tcBorders>
            <w:gridSpan w:val="26"/>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2003</w:t>
            </w: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580" w:type="dxa"/>
            <w:vAlign w:val="bottom"/>
            <w:tcBorders>
              <w:top w:val="single" w:sz="8" w:color="0000EE"/>
            </w:tcBorders>
            <w:gridSpan w:val="13"/>
            <w:vMerge w:val="restart"/>
          </w:tcPr>
          <w:p>
            <w:pPr>
              <w:spacing w:after="0" w:line="209" w:lineRule="exact"/>
              <w:rPr>
                <w:rFonts w:ascii="Arial" w:cs="Arial" w:eastAsia="Arial" w:hAnsi="Arial"/>
                <w:sz w:val="20"/>
                <w:szCs w:val="20"/>
                <w:color w:val="0000EE"/>
              </w:rPr>
            </w:pPr>
            <w:hyperlink r:id="rId177">
              <w:r>
                <w:rPr>
                  <w:rFonts w:ascii="Arial" w:cs="Arial" w:eastAsia="Arial" w:hAnsi="Arial"/>
                  <w:sz w:val="20"/>
                  <w:szCs w:val="20"/>
                  <w:color w:val="0000EE"/>
                </w:rPr>
                <w:t>note purchasers thereto</w:t>
              </w:r>
            </w:hyperlink>
          </w:p>
        </w:tc>
        <w:tc>
          <w:tcPr>
            <w:tcW w:w="580" w:type="dxa"/>
            <w:vAlign w:val="bottom"/>
            <w:tcBorders>
              <w:right w:val="single" w:sz="8" w:color="auto"/>
            </w:tcBorders>
            <w:gridSpan w:val="13"/>
            <w:vMerge w:val="restart"/>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580" w:type="dxa"/>
            <w:vAlign w:val="bottom"/>
            <w:gridSpan w:val="13"/>
            <w:vMerge w:val="continue"/>
          </w:tcPr>
          <w:p>
            <w:pPr>
              <w:spacing w:after="0"/>
              <w:rPr>
                <w:sz w:val="6"/>
                <w:szCs w:val="6"/>
                <w:color w:val="auto"/>
              </w:rPr>
            </w:pPr>
          </w:p>
        </w:tc>
        <w:tc>
          <w:tcPr>
            <w:tcW w:w="580" w:type="dxa"/>
            <w:vAlign w:val="bottom"/>
            <w:tcBorders>
              <w:right w:val="single" w:sz="8" w:color="auto"/>
            </w:tcBorders>
            <w:gridSpan w:val="13"/>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jc w:val="right"/>
              <w:ind w:right="1221"/>
              <w:spacing w:after="0" w:line="183" w:lineRule="exact"/>
              <w:rPr>
                <w:sz w:val="20"/>
                <w:szCs w:val="20"/>
                <w:color w:val="auto"/>
              </w:rPr>
            </w:pPr>
            <w:r>
              <w:rPr>
                <w:rFonts w:ascii="Arial" w:cs="Arial" w:eastAsia="Arial" w:hAnsi="Arial"/>
                <w:sz w:val="20"/>
                <w:szCs w:val="20"/>
                <w:color w:val="auto"/>
              </w:rPr>
              <w:t>4.3</w:t>
            </w:r>
          </w:p>
        </w:tc>
        <w:tc>
          <w:tcPr>
            <w:tcW w:w="120" w:type="dxa"/>
            <w:vAlign w:val="bottom"/>
          </w:tcPr>
          <w:p>
            <w:pPr>
              <w:spacing w:after="0"/>
              <w:rPr>
                <w:sz w:val="15"/>
                <w:szCs w:val="15"/>
                <w:color w:val="auto"/>
              </w:rPr>
            </w:pPr>
          </w:p>
        </w:tc>
        <w:tc>
          <w:tcPr>
            <w:tcW w:w="3860" w:type="dxa"/>
            <w:vAlign w:val="bottom"/>
            <w:tcBorders>
              <w:bottom w:val="single" w:sz="8" w:color="0000EE"/>
            </w:tcBorders>
            <w:gridSpan w:val="20"/>
          </w:tcPr>
          <w:p>
            <w:pPr>
              <w:spacing w:after="0" w:line="183" w:lineRule="exact"/>
              <w:rPr>
                <w:rFonts w:ascii="Arial" w:cs="Arial" w:eastAsia="Arial" w:hAnsi="Arial"/>
                <w:sz w:val="20"/>
                <w:szCs w:val="20"/>
                <w:color w:val="0000EE"/>
                <w:w w:val="87"/>
              </w:rPr>
            </w:pPr>
            <w:hyperlink r:id="rId178">
              <w:r>
                <w:rPr>
                  <w:rFonts w:ascii="Arial" w:cs="Arial" w:eastAsia="Arial" w:hAnsi="Arial"/>
                  <w:sz w:val="20"/>
                  <w:szCs w:val="20"/>
                  <w:color w:val="0000EE"/>
                  <w:w w:val="87"/>
                </w:rPr>
                <w:t>Bond Purchase Agreement, dated June 30, 2009,</w:t>
              </w:r>
            </w:hyperlink>
          </w:p>
        </w:tc>
        <w:tc>
          <w:tcPr>
            <w:tcW w:w="300" w:type="dxa"/>
            <w:vAlign w:val="bottom"/>
            <w:tcBorders>
              <w:right w:val="single" w:sz="8" w:color="auto"/>
            </w:tcBorders>
            <w:gridSpan w:val="6"/>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rPr>
            </w:pPr>
            <w:hyperlink r:id="rId178">
              <w:r>
                <w:rPr>
                  <w:rFonts w:ascii="Arial" w:cs="Arial" w:eastAsia="Arial" w:hAnsi="Arial"/>
                  <w:sz w:val="20"/>
                  <w:szCs w:val="20"/>
                  <w:color w:val="0000EE"/>
                </w:rPr>
                <w:t>by and among the Pennsylvania Economic</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August 6,</w:t>
            </w: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60" w:type="dxa"/>
            <w:vAlign w:val="bottom"/>
            <w:tcBorders>
              <w:top w:val="single" w:sz="8" w:color="0000EE"/>
            </w:tcBorders>
            <w:gridSpan w:val="8"/>
            <w:vMerge w:val="restart"/>
          </w:tcPr>
          <w:p>
            <w:pPr>
              <w:spacing w:after="0" w:line="209" w:lineRule="exact"/>
              <w:rPr>
                <w:rFonts w:ascii="Arial" w:cs="Arial" w:eastAsia="Arial" w:hAnsi="Arial"/>
                <w:sz w:val="20"/>
                <w:szCs w:val="20"/>
                <w:color w:val="0000EE"/>
                <w:w w:val="91"/>
              </w:rPr>
            </w:pPr>
            <w:hyperlink r:id="rId178">
              <w:r>
                <w:rPr>
                  <w:rFonts w:ascii="Arial" w:cs="Arial" w:eastAsia="Arial" w:hAnsi="Arial"/>
                  <w:sz w:val="20"/>
                  <w:szCs w:val="20"/>
                  <w:color w:val="0000EE"/>
                  <w:w w:val="91"/>
                </w:rPr>
                <w:t>Development Financing Authority, Aqua</w:t>
              </w:r>
            </w:hyperlink>
          </w:p>
        </w:tc>
        <w:tc>
          <w:tcPr>
            <w:tcW w:w="100" w:type="dxa"/>
            <w:vAlign w:val="bottom"/>
            <w:tcBorders>
              <w:top w:val="single" w:sz="8" w:color="0000EE"/>
            </w:tcBorders>
            <w:vMerge w:val="restart"/>
          </w:tcPr>
          <w:p>
            <w:pPr>
              <w:spacing w:after="0"/>
              <w:rPr>
                <w:sz w:val="9"/>
                <w:szCs w:val="9"/>
                <w:color w:val="auto"/>
              </w:rPr>
            </w:pPr>
          </w:p>
        </w:tc>
        <w:tc>
          <w:tcPr>
            <w:tcW w:w="800" w:type="dxa"/>
            <w:vAlign w:val="bottom"/>
            <w:tcBorders>
              <w:right w:val="single" w:sz="8" w:color="auto"/>
            </w:tcBorders>
            <w:gridSpan w:val="17"/>
            <w:vMerge w:val="restart"/>
          </w:tcPr>
          <w:p>
            <w:pPr>
              <w:spacing w:after="0"/>
              <w:rPr>
                <w:sz w:val="9"/>
                <w:szCs w:val="9"/>
                <w:color w:val="auto"/>
              </w:rPr>
            </w:pPr>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10.52</w:t>
            </w: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60" w:type="dxa"/>
            <w:vAlign w:val="bottom"/>
            <w:tcBorders>
              <w:bottom w:val="single" w:sz="8" w:color="0000EE"/>
            </w:tcBorders>
            <w:gridSpan w:val="8"/>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00" w:type="dxa"/>
            <w:vAlign w:val="bottom"/>
            <w:tcBorders>
              <w:right w:val="single" w:sz="8" w:color="auto"/>
            </w:tcBorders>
            <w:gridSpan w:val="17"/>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6"/>
            <w:vMerge w:val="restart"/>
          </w:tcPr>
          <w:p>
            <w:pPr>
              <w:spacing w:after="0" w:line="209" w:lineRule="exact"/>
              <w:rPr>
                <w:rFonts w:ascii="Arial" w:cs="Arial" w:eastAsia="Arial" w:hAnsi="Arial"/>
                <w:sz w:val="20"/>
                <w:szCs w:val="20"/>
                <w:color w:val="0000EE"/>
                <w:w w:val="98"/>
              </w:rPr>
            </w:pPr>
            <w:hyperlink r:id="rId178">
              <w:r>
                <w:rPr>
                  <w:rFonts w:ascii="Arial" w:cs="Arial" w:eastAsia="Arial" w:hAnsi="Arial"/>
                  <w:sz w:val="20"/>
                  <w:szCs w:val="20"/>
                  <w:color w:val="0000EE"/>
                  <w:w w:val="98"/>
                </w:rPr>
                <w:t>Pennsylvania, Inc., Jeffries and Company, Inc.,</w:t>
              </w:r>
            </w:hyperlink>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6"/>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Borders>
              <w:top w:val="single" w:sz="8" w:color="0000EE"/>
            </w:tcBorders>
            <w:gridSpan w:val="16"/>
          </w:tcPr>
          <w:p>
            <w:pPr>
              <w:spacing w:after="0" w:line="209" w:lineRule="exact"/>
              <w:rPr>
                <w:rFonts w:ascii="Arial" w:cs="Arial" w:eastAsia="Arial" w:hAnsi="Arial"/>
                <w:sz w:val="20"/>
                <w:szCs w:val="20"/>
                <w:color w:val="0000EE"/>
              </w:rPr>
            </w:pPr>
            <w:hyperlink r:id="rId178">
              <w:r>
                <w:rPr>
                  <w:rFonts w:ascii="Arial" w:cs="Arial" w:eastAsia="Arial" w:hAnsi="Arial"/>
                  <w:sz w:val="20"/>
                  <w:szCs w:val="20"/>
                  <w:color w:val="0000EE"/>
                </w:rPr>
                <w:t>and Janney Montgomery Scott LLC</w:t>
              </w:r>
            </w:hyperlink>
          </w:p>
        </w:tc>
        <w:tc>
          <w:tcPr>
            <w:tcW w:w="440" w:type="dxa"/>
            <w:vAlign w:val="bottom"/>
            <w:tcBorders>
              <w:right w:val="single" w:sz="8" w:color="auto"/>
            </w:tcBorders>
            <w:gridSpan w:val="10"/>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jc w:val="right"/>
              <w:ind w:right="1221"/>
              <w:spacing w:after="0" w:line="183" w:lineRule="exact"/>
              <w:rPr>
                <w:sz w:val="20"/>
                <w:szCs w:val="20"/>
                <w:color w:val="auto"/>
              </w:rPr>
            </w:pPr>
            <w:r>
              <w:rPr>
                <w:rFonts w:ascii="Arial" w:cs="Arial" w:eastAsia="Arial" w:hAnsi="Arial"/>
                <w:sz w:val="20"/>
                <w:szCs w:val="20"/>
                <w:color w:val="auto"/>
              </w:rPr>
              <w:t>4.4</w:t>
            </w:r>
          </w:p>
        </w:tc>
        <w:tc>
          <w:tcPr>
            <w:tcW w:w="120" w:type="dxa"/>
            <w:vAlign w:val="bottom"/>
          </w:tcPr>
          <w:p>
            <w:pPr>
              <w:spacing w:after="0"/>
              <w:rPr>
                <w:sz w:val="15"/>
                <w:szCs w:val="15"/>
                <w:color w:val="auto"/>
              </w:rPr>
            </w:pPr>
          </w:p>
        </w:tc>
        <w:tc>
          <w:tcPr>
            <w:tcW w:w="4160" w:type="dxa"/>
            <w:vAlign w:val="bottom"/>
            <w:tcBorders>
              <w:right w:val="single" w:sz="8" w:color="auto"/>
            </w:tcBorders>
            <w:gridSpan w:val="26"/>
          </w:tcPr>
          <w:p>
            <w:pPr>
              <w:spacing w:after="0" w:line="183" w:lineRule="exact"/>
              <w:rPr>
                <w:rFonts w:ascii="Arial" w:cs="Arial" w:eastAsia="Arial" w:hAnsi="Arial"/>
                <w:sz w:val="20"/>
                <w:szCs w:val="20"/>
                <w:color w:val="0000EE"/>
              </w:rPr>
            </w:pPr>
            <w:hyperlink r:id="rId179">
              <w:r>
                <w:rPr>
                  <w:rFonts w:ascii="Arial" w:cs="Arial" w:eastAsia="Arial" w:hAnsi="Arial"/>
                  <w:sz w:val="20"/>
                  <w:szCs w:val="20"/>
                  <w:color w:val="0000EE"/>
                </w:rPr>
                <w:t>Bond Purchase Agreement, dated October 20,</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Borders>
              <w:bottom w:val="single" w:sz="8" w:color="0000EE"/>
            </w:tcBorders>
            <w:gridSpan w:val="20"/>
          </w:tcPr>
          <w:p>
            <w:pPr>
              <w:spacing w:after="0" w:line="209" w:lineRule="exact"/>
              <w:rPr>
                <w:rFonts w:ascii="Arial" w:cs="Arial" w:eastAsia="Arial" w:hAnsi="Arial"/>
                <w:sz w:val="20"/>
                <w:szCs w:val="20"/>
                <w:color w:val="0000EE"/>
                <w:w w:val="88"/>
              </w:rPr>
            </w:pPr>
            <w:hyperlink r:id="rId179">
              <w:r>
                <w:rPr>
                  <w:rFonts w:ascii="Arial" w:cs="Arial" w:eastAsia="Arial" w:hAnsi="Arial"/>
                  <w:sz w:val="20"/>
                  <w:szCs w:val="20"/>
                  <w:color w:val="0000EE"/>
                  <w:w w:val="88"/>
                </w:rPr>
                <w:t>2009, by and among the Pennsylvania Economic</w:t>
              </w:r>
            </w:hyperlink>
          </w:p>
        </w:tc>
        <w:tc>
          <w:tcPr>
            <w:tcW w:w="300" w:type="dxa"/>
            <w:vAlign w:val="bottom"/>
            <w:tcBorders>
              <w:right w:val="single" w:sz="8" w:color="auto"/>
            </w:tcBorders>
            <w:gridSpan w:val="6"/>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Borders>
              <w:bottom w:val="single" w:sz="8" w:color="0000EE"/>
            </w:tcBorders>
            <w:gridSpan w:val="8"/>
          </w:tcPr>
          <w:p>
            <w:pPr>
              <w:spacing w:after="0" w:line="209" w:lineRule="exact"/>
              <w:rPr>
                <w:rFonts w:ascii="Arial" w:cs="Arial" w:eastAsia="Arial" w:hAnsi="Arial"/>
                <w:sz w:val="20"/>
                <w:szCs w:val="20"/>
                <w:color w:val="0000EE"/>
                <w:w w:val="91"/>
              </w:rPr>
            </w:pPr>
            <w:hyperlink r:id="rId179">
              <w:r>
                <w:rPr>
                  <w:rFonts w:ascii="Arial" w:cs="Arial" w:eastAsia="Arial" w:hAnsi="Arial"/>
                  <w:sz w:val="20"/>
                  <w:szCs w:val="20"/>
                  <w:color w:val="0000EE"/>
                  <w:w w:val="91"/>
                </w:rPr>
                <w:t>Development Financing Authority, Aqua</w:t>
              </w:r>
            </w:hyperlink>
          </w:p>
        </w:tc>
        <w:tc>
          <w:tcPr>
            <w:tcW w:w="900" w:type="dxa"/>
            <w:vAlign w:val="bottom"/>
            <w:tcBorders>
              <w:right w:val="single" w:sz="8" w:color="auto"/>
            </w:tcBorders>
            <w:gridSpan w:val="18"/>
          </w:tcPr>
          <w:p>
            <w:pPr>
              <w:spacing w:after="0"/>
              <w:rPr>
                <w:sz w:val="18"/>
                <w:szCs w:val="18"/>
                <w:color w:val="auto"/>
              </w:rPr>
            </w:pP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10.59</w:t>
            </w:r>
          </w:p>
        </w:tc>
        <w:tc>
          <w:tcPr>
            <w:tcW w:w="14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6"/>
            <w:vMerge w:val="restart"/>
          </w:tcPr>
          <w:p>
            <w:pPr>
              <w:spacing w:after="0" w:line="209" w:lineRule="exact"/>
              <w:rPr>
                <w:rFonts w:ascii="Arial" w:cs="Arial" w:eastAsia="Arial" w:hAnsi="Arial"/>
                <w:sz w:val="20"/>
                <w:szCs w:val="20"/>
                <w:color w:val="0000EE"/>
                <w:w w:val="98"/>
              </w:rPr>
            </w:pPr>
            <w:hyperlink r:id="rId179">
              <w:r>
                <w:rPr>
                  <w:rFonts w:ascii="Arial" w:cs="Arial" w:eastAsia="Arial" w:hAnsi="Arial"/>
                  <w:sz w:val="20"/>
                  <w:szCs w:val="20"/>
                  <w:color w:val="0000EE"/>
                  <w:w w:val="98"/>
                </w:rPr>
                <w:t>Pennsylvania, Inc., Jeffries and Company, Inc.,</w:t>
              </w:r>
            </w:hyperlink>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2010</w:t>
            </w: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6"/>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w w:val="94"/>
              </w:rPr>
            </w:pPr>
            <w:hyperlink r:id="rId179">
              <w:r>
                <w:rPr>
                  <w:rFonts w:ascii="Arial" w:cs="Arial" w:eastAsia="Arial" w:hAnsi="Arial"/>
                  <w:sz w:val="20"/>
                  <w:szCs w:val="20"/>
                  <w:color w:val="0000EE"/>
                  <w:w w:val="94"/>
                </w:rPr>
                <w:t>Janney Montgomery Scott LLC, and PNC Capital</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Borders>
              <w:top w:val="single" w:sz="8" w:color="0000EE"/>
            </w:tcBorders>
            <w:gridSpan w:val="23"/>
          </w:tcPr>
          <w:p>
            <w:pPr>
              <w:spacing w:after="0" w:line="209" w:lineRule="exact"/>
              <w:rPr>
                <w:rFonts w:ascii="Arial" w:cs="Arial" w:eastAsia="Arial" w:hAnsi="Arial"/>
                <w:sz w:val="20"/>
                <w:szCs w:val="20"/>
                <w:color w:val="0000EE"/>
              </w:rPr>
            </w:pPr>
            <w:hyperlink r:id="rId179">
              <w:r>
                <w:rPr>
                  <w:rFonts w:ascii="Arial" w:cs="Arial" w:eastAsia="Arial" w:hAnsi="Arial"/>
                  <w:sz w:val="20"/>
                  <w:szCs w:val="20"/>
                  <w:color w:val="0000EE"/>
                </w:rPr>
                <w:t>Markets LLC</w:t>
              </w:r>
            </w:hyperlink>
          </w:p>
        </w:tc>
        <w:tc>
          <w:tcPr>
            <w:tcW w:w="220" w:type="dxa"/>
            <w:vAlign w:val="bottom"/>
            <w:tcBorders>
              <w:right w:val="single" w:sz="8" w:color="auto"/>
            </w:tcBorders>
            <w:gridSpan w:val="3"/>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jc w:val="right"/>
              <w:ind w:right="1221"/>
              <w:spacing w:after="0" w:line="183" w:lineRule="exact"/>
              <w:rPr>
                <w:sz w:val="20"/>
                <w:szCs w:val="20"/>
                <w:color w:val="auto"/>
              </w:rPr>
            </w:pPr>
            <w:r>
              <w:rPr>
                <w:rFonts w:ascii="Arial" w:cs="Arial" w:eastAsia="Arial" w:hAnsi="Arial"/>
                <w:sz w:val="20"/>
                <w:szCs w:val="20"/>
                <w:color w:val="auto"/>
              </w:rPr>
              <w:t>4.5</w:t>
            </w:r>
          </w:p>
        </w:tc>
        <w:tc>
          <w:tcPr>
            <w:tcW w:w="120" w:type="dxa"/>
            <w:vAlign w:val="bottom"/>
          </w:tcPr>
          <w:p>
            <w:pPr>
              <w:spacing w:after="0"/>
              <w:rPr>
                <w:sz w:val="15"/>
                <w:szCs w:val="15"/>
                <w:color w:val="auto"/>
              </w:rPr>
            </w:pPr>
          </w:p>
        </w:tc>
        <w:tc>
          <w:tcPr>
            <w:tcW w:w="4160" w:type="dxa"/>
            <w:vAlign w:val="bottom"/>
            <w:tcBorders>
              <w:right w:val="single" w:sz="8" w:color="auto"/>
            </w:tcBorders>
            <w:gridSpan w:val="26"/>
          </w:tcPr>
          <w:p>
            <w:pPr>
              <w:spacing w:after="0" w:line="183" w:lineRule="exact"/>
              <w:rPr>
                <w:rFonts w:ascii="Arial" w:cs="Arial" w:eastAsia="Arial" w:hAnsi="Arial"/>
                <w:sz w:val="20"/>
                <w:szCs w:val="20"/>
                <w:color w:val="0000EE"/>
              </w:rPr>
            </w:pPr>
            <w:hyperlink r:id="rId180">
              <w:r>
                <w:rPr>
                  <w:rFonts w:ascii="Arial" w:cs="Arial" w:eastAsia="Arial" w:hAnsi="Arial"/>
                  <w:sz w:val="20"/>
                  <w:szCs w:val="20"/>
                  <w:color w:val="0000EE"/>
                </w:rPr>
                <w:t>Bond Purchase Agreement, dated October 27,</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Borders>
              <w:bottom w:val="single" w:sz="8" w:color="0000EE"/>
            </w:tcBorders>
            <w:gridSpan w:val="20"/>
          </w:tcPr>
          <w:p>
            <w:pPr>
              <w:spacing w:after="0" w:line="209" w:lineRule="exact"/>
              <w:rPr>
                <w:rFonts w:ascii="Arial" w:cs="Arial" w:eastAsia="Arial" w:hAnsi="Arial"/>
                <w:sz w:val="20"/>
                <w:szCs w:val="20"/>
                <w:color w:val="0000EE"/>
                <w:w w:val="88"/>
              </w:rPr>
            </w:pPr>
            <w:hyperlink r:id="rId180">
              <w:r>
                <w:rPr>
                  <w:rFonts w:ascii="Arial" w:cs="Arial" w:eastAsia="Arial" w:hAnsi="Arial"/>
                  <w:sz w:val="20"/>
                  <w:szCs w:val="20"/>
                  <w:color w:val="0000EE"/>
                  <w:w w:val="88"/>
                </w:rPr>
                <w:t>2010, by and among the Pennsylvania Economic</w:t>
              </w:r>
            </w:hyperlink>
          </w:p>
        </w:tc>
        <w:tc>
          <w:tcPr>
            <w:tcW w:w="300" w:type="dxa"/>
            <w:vAlign w:val="bottom"/>
            <w:tcBorders>
              <w:right w:val="single" w:sz="8" w:color="auto"/>
            </w:tcBorders>
            <w:gridSpan w:val="6"/>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Borders>
              <w:bottom w:val="single" w:sz="8" w:color="0000EE"/>
            </w:tcBorders>
            <w:gridSpan w:val="8"/>
          </w:tcPr>
          <w:p>
            <w:pPr>
              <w:spacing w:after="0" w:line="209" w:lineRule="exact"/>
              <w:rPr>
                <w:rFonts w:ascii="Arial" w:cs="Arial" w:eastAsia="Arial" w:hAnsi="Arial"/>
                <w:sz w:val="20"/>
                <w:szCs w:val="20"/>
                <w:color w:val="0000EE"/>
                <w:w w:val="91"/>
              </w:rPr>
            </w:pPr>
            <w:hyperlink r:id="rId180">
              <w:r>
                <w:rPr>
                  <w:rFonts w:ascii="Arial" w:cs="Arial" w:eastAsia="Arial" w:hAnsi="Arial"/>
                  <w:sz w:val="20"/>
                  <w:szCs w:val="20"/>
                  <w:color w:val="0000EE"/>
                  <w:w w:val="91"/>
                </w:rPr>
                <w:t>Development Financing Authority, Aqua</w:t>
              </w:r>
            </w:hyperlink>
          </w:p>
        </w:tc>
        <w:tc>
          <w:tcPr>
            <w:tcW w:w="900" w:type="dxa"/>
            <w:vAlign w:val="bottom"/>
            <w:tcBorders>
              <w:right w:val="single" w:sz="8" w:color="auto"/>
            </w:tcBorders>
            <w:gridSpan w:val="18"/>
          </w:tcPr>
          <w:p>
            <w:pPr>
              <w:spacing w:after="0"/>
              <w:rPr>
                <w:sz w:val="18"/>
                <w:szCs w:val="18"/>
                <w:color w:val="auto"/>
              </w:rPr>
            </w:pP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10.51</w:t>
            </w:r>
          </w:p>
        </w:tc>
        <w:tc>
          <w:tcPr>
            <w:tcW w:w="14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February 25,</w:t>
            </w: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6"/>
            <w:vMerge w:val="restart"/>
          </w:tcPr>
          <w:p>
            <w:pPr>
              <w:spacing w:after="0" w:line="209" w:lineRule="exact"/>
              <w:rPr>
                <w:rFonts w:ascii="Arial" w:cs="Arial" w:eastAsia="Arial" w:hAnsi="Arial"/>
                <w:sz w:val="20"/>
                <w:szCs w:val="20"/>
                <w:color w:val="0000EE"/>
                <w:w w:val="98"/>
              </w:rPr>
            </w:pPr>
            <w:hyperlink r:id="rId180">
              <w:r>
                <w:rPr>
                  <w:rFonts w:ascii="Arial" w:cs="Arial" w:eastAsia="Arial" w:hAnsi="Arial"/>
                  <w:sz w:val="20"/>
                  <w:szCs w:val="20"/>
                  <w:color w:val="0000EE"/>
                  <w:w w:val="98"/>
                </w:rPr>
                <w:t>Pennsylvania, Inc., Jeffries and Company, Inc.,</w:t>
              </w:r>
            </w:hyperlink>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2011</w:t>
            </w: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6"/>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Borders>
              <w:top w:val="single" w:sz="8" w:color="0000EE"/>
              <w:bottom w:val="single" w:sz="8" w:color="0000EE"/>
            </w:tcBorders>
            <w:gridSpan w:val="14"/>
          </w:tcPr>
          <w:p>
            <w:pPr>
              <w:spacing w:after="0" w:line="209" w:lineRule="exact"/>
              <w:rPr>
                <w:rFonts w:ascii="Arial" w:cs="Arial" w:eastAsia="Arial" w:hAnsi="Arial"/>
                <w:sz w:val="20"/>
                <w:szCs w:val="20"/>
                <w:color w:val="0000EE"/>
                <w:w w:val="91"/>
              </w:rPr>
            </w:pPr>
            <w:hyperlink r:id="rId180">
              <w:r>
                <w:rPr>
                  <w:rFonts w:ascii="Arial" w:cs="Arial" w:eastAsia="Arial" w:hAnsi="Arial"/>
                  <w:sz w:val="20"/>
                  <w:szCs w:val="20"/>
                  <w:color w:val="0000EE"/>
                  <w:w w:val="91"/>
                </w:rPr>
                <w:t>PNC Capital Markets LLC, and TD Securities</w:t>
              </w:r>
            </w:hyperlink>
          </w:p>
        </w:tc>
        <w:tc>
          <w:tcPr>
            <w:tcW w:w="60" w:type="dxa"/>
            <w:vAlign w:val="bottom"/>
            <w:tcBorders>
              <w:top w:val="single" w:sz="8" w:color="0000EE"/>
            </w:tcBorders>
            <w:gridSpan w:val="2"/>
          </w:tcPr>
          <w:p>
            <w:pPr>
              <w:spacing w:after="0"/>
              <w:rPr>
                <w:sz w:val="18"/>
                <w:szCs w:val="18"/>
                <w:color w:val="auto"/>
              </w:rPr>
            </w:pPr>
          </w:p>
        </w:tc>
        <w:tc>
          <w:tcPr>
            <w:tcW w:w="440" w:type="dxa"/>
            <w:vAlign w:val="bottom"/>
            <w:tcBorders>
              <w:right w:val="single" w:sz="8" w:color="auto"/>
            </w:tcBorders>
            <w:gridSpan w:val="10"/>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rPr>
            </w:pPr>
            <w:hyperlink r:id="rId180">
              <w:r>
                <w:rPr>
                  <w:rFonts w:ascii="Arial" w:cs="Arial" w:eastAsia="Arial" w:hAnsi="Arial"/>
                  <w:sz w:val="20"/>
                  <w:szCs w:val="20"/>
                  <w:color w:val="0000EE"/>
                </w:rPr>
                <w:t>(USA) LLC</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jc w:val="right"/>
              <w:ind w:right="1221"/>
              <w:spacing w:after="0" w:line="183" w:lineRule="exact"/>
              <w:rPr>
                <w:sz w:val="20"/>
                <w:szCs w:val="20"/>
                <w:color w:val="auto"/>
              </w:rPr>
            </w:pPr>
            <w:r>
              <w:rPr>
                <w:rFonts w:ascii="Arial" w:cs="Arial" w:eastAsia="Arial" w:hAnsi="Arial"/>
                <w:sz w:val="20"/>
                <w:szCs w:val="20"/>
                <w:color w:val="auto"/>
              </w:rPr>
              <w:t>4.6</w:t>
            </w:r>
          </w:p>
        </w:tc>
        <w:tc>
          <w:tcPr>
            <w:tcW w:w="120" w:type="dxa"/>
            <w:vAlign w:val="bottom"/>
          </w:tcPr>
          <w:p>
            <w:pPr>
              <w:spacing w:after="0"/>
              <w:rPr>
                <w:sz w:val="15"/>
                <w:szCs w:val="15"/>
                <w:color w:val="auto"/>
              </w:rPr>
            </w:pPr>
          </w:p>
        </w:tc>
        <w:tc>
          <w:tcPr>
            <w:tcW w:w="3780" w:type="dxa"/>
            <w:vAlign w:val="bottom"/>
            <w:tcBorders>
              <w:bottom w:val="single" w:sz="8" w:color="0000EE"/>
            </w:tcBorders>
            <w:gridSpan w:val="18"/>
          </w:tcPr>
          <w:p>
            <w:pPr>
              <w:spacing w:after="0" w:line="183" w:lineRule="exact"/>
              <w:rPr>
                <w:rFonts w:ascii="Arial" w:cs="Arial" w:eastAsia="Arial" w:hAnsi="Arial"/>
                <w:sz w:val="20"/>
                <w:szCs w:val="20"/>
                <w:color w:val="0000EE"/>
                <w:w w:val="88"/>
              </w:rPr>
            </w:pPr>
            <w:hyperlink r:id="rId181">
              <w:r>
                <w:rPr>
                  <w:rFonts w:ascii="Arial" w:cs="Arial" w:eastAsia="Arial" w:hAnsi="Arial"/>
                  <w:sz w:val="20"/>
                  <w:szCs w:val="20"/>
                  <w:color w:val="0000EE"/>
                  <w:w w:val="88"/>
                </w:rPr>
                <w:t>Bond Purchase Agreement , dated November 8,</w:t>
              </w:r>
            </w:hyperlink>
          </w:p>
        </w:tc>
        <w:tc>
          <w:tcPr>
            <w:tcW w:w="380" w:type="dxa"/>
            <w:vAlign w:val="bottom"/>
            <w:tcBorders>
              <w:right w:val="single" w:sz="8" w:color="auto"/>
            </w:tcBorders>
            <w:gridSpan w:val="8"/>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rPr>
            </w:pPr>
            <w:hyperlink r:id="rId181">
              <w:r>
                <w:rPr>
                  <w:rFonts w:ascii="Arial" w:cs="Arial" w:eastAsia="Arial" w:hAnsi="Arial"/>
                  <w:sz w:val="20"/>
                  <w:szCs w:val="20"/>
                  <w:color w:val="0000EE"/>
                </w:rPr>
                <w:t>2012, by and among Aqua Pennsylvania, Inc.,</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w w:val="91"/>
              </w:rPr>
            </w:pPr>
            <w:hyperlink r:id="rId181">
              <w:r>
                <w:rPr>
                  <w:rFonts w:ascii="Arial" w:cs="Arial" w:eastAsia="Arial" w:hAnsi="Arial"/>
                  <w:sz w:val="20"/>
                  <w:szCs w:val="20"/>
                  <w:color w:val="0000EE"/>
                  <w:w w:val="91"/>
                </w:rPr>
                <w:t>Teachers Insurance and Annuity Association, John</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Borders>
              <w:top w:val="single" w:sz="8" w:color="0000EE"/>
            </w:tcBorders>
            <w:gridSpan w:val="25"/>
          </w:tcPr>
          <w:p>
            <w:pPr>
              <w:spacing w:after="0" w:line="209" w:lineRule="exact"/>
              <w:rPr>
                <w:rFonts w:ascii="Arial" w:cs="Arial" w:eastAsia="Arial" w:hAnsi="Arial"/>
                <w:sz w:val="20"/>
                <w:szCs w:val="20"/>
                <w:color w:val="0000EE"/>
                <w:w w:val="90"/>
              </w:rPr>
            </w:pPr>
            <w:hyperlink r:id="rId181">
              <w:r>
                <w:rPr>
                  <w:rFonts w:ascii="Arial" w:cs="Arial" w:eastAsia="Arial" w:hAnsi="Arial"/>
                  <w:sz w:val="20"/>
                  <w:szCs w:val="20"/>
                  <w:color w:val="0000EE"/>
                  <w:w w:val="90"/>
                </w:rPr>
                <w:t>Hancock Life Insurance Company, John Hancock</w:t>
              </w:r>
            </w:hyperlink>
          </w:p>
        </w:tc>
        <w:tc>
          <w:tcPr>
            <w:tcW w:w="1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Borders>
              <w:top w:val="single" w:sz="8" w:color="0000EE"/>
            </w:tcBorders>
            <w:gridSpan w:val="22"/>
          </w:tcPr>
          <w:p>
            <w:pPr>
              <w:spacing w:after="0" w:line="209" w:lineRule="exact"/>
              <w:rPr>
                <w:rFonts w:ascii="Arial" w:cs="Arial" w:eastAsia="Arial" w:hAnsi="Arial"/>
                <w:sz w:val="20"/>
                <w:szCs w:val="20"/>
                <w:color w:val="0000EE"/>
              </w:rPr>
            </w:pPr>
            <w:hyperlink r:id="rId181">
              <w:r>
                <w:rPr>
                  <w:rFonts w:ascii="Arial" w:cs="Arial" w:eastAsia="Arial" w:hAnsi="Arial"/>
                  <w:sz w:val="20"/>
                  <w:szCs w:val="20"/>
                  <w:color w:val="0000EE"/>
                </w:rPr>
                <w:t>Life Insurance Company of New York, John</w:t>
              </w:r>
            </w:hyperlink>
          </w:p>
        </w:tc>
        <w:tc>
          <w:tcPr>
            <w:tcW w:w="240" w:type="dxa"/>
            <w:vAlign w:val="bottom"/>
            <w:tcBorders>
              <w:right w:val="single" w:sz="8" w:color="auto"/>
            </w:tcBorders>
            <w:gridSpan w:val="4"/>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w w:val="96"/>
              </w:rPr>
            </w:pPr>
            <w:hyperlink r:id="rId181">
              <w:r>
                <w:rPr>
                  <w:rFonts w:ascii="Arial" w:cs="Arial" w:eastAsia="Arial" w:hAnsi="Arial"/>
                  <w:sz w:val="20"/>
                  <w:szCs w:val="20"/>
                  <w:color w:val="0000EE"/>
                  <w:w w:val="96"/>
                </w:rPr>
                <w:t>Hancock Life &amp; Health Insurance Company, The</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Borders>
              <w:top w:val="single" w:sz="8" w:color="0000EE"/>
              <w:bottom w:val="single" w:sz="8" w:color="0000EE"/>
            </w:tcBorders>
            <w:gridSpan w:val="10"/>
          </w:tcPr>
          <w:p>
            <w:pPr>
              <w:spacing w:after="0" w:line="209" w:lineRule="exact"/>
              <w:rPr>
                <w:rFonts w:ascii="Arial" w:cs="Arial" w:eastAsia="Arial" w:hAnsi="Arial"/>
                <w:sz w:val="20"/>
                <w:szCs w:val="20"/>
                <w:color w:val="0000EE"/>
                <w:w w:val="91"/>
              </w:rPr>
            </w:pPr>
            <w:hyperlink r:id="rId181">
              <w:r>
                <w:rPr>
                  <w:rFonts w:ascii="Arial" w:cs="Arial" w:eastAsia="Arial" w:hAnsi="Arial"/>
                  <w:sz w:val="20"/>
                  <w:szCs w:val="20"/>
                  <w:color w:val="0000EE"/>
                  <w:w w:val="91"/>
                </w:rPr>
                <w:t>Lincoln National Life Insurance Company,</w:t>
              </w:r>
            </w:hyperlink>
          </w:p>
        </w:tc>
        <w:tc>
          <w:tcPr>
            <w:tcW w:w="480" w:type="dxa"/>
            <w:vAlign w:val="bottom"/>
            <w:tcBorders>
              <w:top w:val="single" w:sz="8" w:color="0000EE"/>
            </w:tcBorders>
            <w:gridSpan w:val="11"/>
          </w:tcPr>
          <w:p>
            <w:pPr>
              <w:spacing w:after="0"/>
              <w:rPr>
                <w:sz w:val="18"/>
                <w:szCs w:val="18"/>
                <w:color w:val="auto"/>
              </w:rPr>
            </w:pPr>
          </w:p>
        </w:tc>
        <w:tc>
          <w:tcPr>
            <w:tcW w:w="280" w:type="dxa"/>
            <w:vAlign w:val="bottom"/>
            <w:tcBorders>
              <w:right w:val="single" w:sz="8" w:color="auto"/>
            </w:tcBorders>
            <w:gridSpan w:val="5"/>
          </w:tcPr>
          <w:p>
            <w:pPr>
              <w:spacing w:after="0"/>
              <w:rPr>
                <w:sz w:val="18"/>
                <w:szCs w:val="18"/>
                <w:color w:val="auto"/>
              </w:rPr>
            </w:pP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10.54</w:t>
            </w:r>
          </w:p>
        </w:tc>
        <w:tc>
          <w:tcPr>
            <w:tcW w:w="140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February 28,</w:t>
            </w: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40" w:type="dxa"/>
            <w:vAlign w:val="bottom"/>
            <w:gridSpan w:val="19"/>
            <w:vMerge w:val="restart"/>
          </w:tcPr>
          <w:p>
            <w:pPr>
              <w:spacing w:after="0" w:line="209" w:lineRule="exact"/>
              <w:rPr>
                <w:rFonts w:ascii="Arial" w:cs="Arial" w:eastAsia="Arial" w:hAnsi="Arial"/>
                <w:sz w:val="20"/>
                <w:szCs w:val="20"/>
                <w:color w:val="0000EE"/>
                <w:w w:val="94"/>
              </w:rPr>
            </w:pPr>
            <w:hyperlink r:id="rId181">
              <w:r>
                <w:rPr>
                  <w:rFonts w:ascii="Arial" w:cs="Arial" w:eastAsia="Arial" w:hAnsi="Arial"/>
                  <w:sz w:val="20"/>
                  <w:szCs w:val="20"/>
                  <w:color w:val="0000EE"/>
                  <w:w w:val="94"/>
                </w:rPr>
                <w:t>Lincoln Life &amp; Annuity Company of New York,</w:t>
              </w:r>
            </w:hyperlink>
          </w:p>
        </w:tc>
        <w:tc>
          <w:tcPr>
            <w:tcW w:w="320" w:type="dxa"/>
            <w:vAlign w:val="bottom"/>
            <w:tcBorders>
              <w:right w:val="single" w:sz="8" w:color="auto"/>
            </w:tcBorders>
            <w:gridSpan w:val="7"/>
            <w:vMerge w:val="restart"/>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82"/>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40" w:type="dxa"/>
            <w:vAlign w:val="bottom"/>
            <w:tcBorders>
              <w:bottom w:val="single" w:sz="8" w:color="0000EE"/>
            </w:tcBorders>
            <w:gridSpan w:val="19"/>
            <w:vMerge w:val="continue"/>
          </w:tcPr>
          <w:p>
            <w:pPr>
              <w:spacing w:after="0"/>
              <w:rPr>
                <w:sz w:val="6"/>
                <w:szCs w:val="6"/>
                <w:color w:val="auto"/>
              </w:rPr>
            </w:pPr>
          </w:p>
        </w:tc>
        <w:tc>
          <w:tcPr>
            <w:tcW w:w="320" w:type="dxa"/>
            <w:vAlign w:val="bottom"/>
            <w:tcBorders>
              <w:right w:val="single" w:sz="8" w:color="auto"/>
            </w:tcBorders>
            <w:gridSpan w:val="7"/>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Borders>
              <w:bottom w:val="single" w:sz="8" w:color="0000EE"/>
            </w:tcBorders>
            <w:gridSpan w:val="16"/>
          </w:tcPr>
          <w:p>
            <w:pPr>
              <w:spacing w:after="0" w:line="209" w:lineRule="exact"/>
              <w:rPr>
                <w:rFonts w:ascii="Arial" w:cs="Arial" w:eastAsia="Arial" w:hAnsi="Arial"/>
                <w:sz w:val="20"/>
                <w:szCs w:val="20"/>
                <w:color w:val="0000EE"/>
                <w:w w:val="90"/>
              </w:rPr>
            </w:pPr>
            <w:hyperlink r:id="rId181">
              <w:r>
                <w:rPr>
                  <w:rFonts w:ascii="Arial" w:cs="Arial" w:eastAsia="Arial" w:hAnsi="Arial"/>
                  <w:sz w:val="20"/>
                  <w:szCs w:val="20"/>
                  <w:color w:val="0000EE"/>
                  <w:w w:val="90"/>
                </w:rPr>
                <w:t>New York Life Insurance Company, New York</w:t>
              </w:r>
            </w:hyperlink>
          </w:p>
        </w:tc>
        <w:tc>
          <w:tcPr>
            <w:tcW w:w="440" w:type="dxa"/>
            <w:vAlign w:val="bottom"/>
            <w:tcBorders>
              <w:right w:val="single" w:sz="8" w:color="auto"/>
            </w:tcBorders>
            <w:gridSpan w:val="10"/>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Borders>
              <w:bottom w:val="single" w:sz="8" w:color="0000EE"/>
            </w:tcBorders>
            <w:gridSpan w:val="7"/>
          </w:tcPr>
          <w:p>
            <w:pPr>
              <w:spacing w:after="0" w:line="209" w:lineRule="exact"/>
              <w:rPr>
                <w:rFonts w:ascii="Arial" w:cs="Arial" w:eastAsia="Arial" w:hAnsi="Arial"/>
                <w:sz w:val="20"/>
                <w:szCs w:val="20"/>
                <w:color w:val="0000EE"/>
                <w:w w:val="91"/>
              </w:rPr>
            </w:pPr>
            <w:hyperlink r:id="rId181">
              <w:r>
                <w:rPr>
                  <w:rFonts w:ascii="Arial" w:cs="Arial" w:eastAsia="Arial" w:hAnsi="Arial"/>
                  <w:sz w:val="20"/>
                  <w:szCs w:val="20"/>
                  <w:color w:val="0000EE"/>
                  <w:w w:val="91"/>
                </w:rPr>
                <w:t>Life Insurance and Annuity Corporation,</w:t>
              </w:r>
            </w:hyperlink>
          </w:p>
        </w:tc>
        <w:tc>
          <w:tcPr>
            <w:tcW w:w="920" w:type="dxa"/>
            <w:vAlign w:val="bottom"/>
            <w:tcBorders>
              <w:right w:val="single" w:sz="8" w:color="auto"/>
            </w:tcBorders>
            <w:gridSpan w:val="19"/>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Borders>
              <w:bottom w:val="single" w:sz="8" w:color="0000EE"/>
            </w:tcBorders>
            <w:gridSpan w:val="12"/>
          </w:tcPr>
          <w:p>
            <w:pPr>
              <w:spacing w:after="0" w:line="209" w:lineRule="exact"/>
              <w:rPr>
                <w:rFonts w:ascii="Arial" w:cs="Arial" w:eastAsia="Arial" w:hAnsi="Arial"/>
                <w:sz w:val="20"/>
                <w:szCs w:val="20"/>
                <w:color w:val="0000EE"/>
                <w:w w:val="89"/>
              </w:rPr>
            </w:pPr>
            <w:hyperlink r:id="rId181">
              <w:r>
                <w:rPr>
                  <w:rFonts w:ascii="Arial" w:cs="Arial" w:eastAsia="Arial" w:hAnsi="Arial"/>
                  <w:sz w:val="20"/>
                  <w:szCs w:val="20"/>
                  <w:color w:val="0000EE"/>
                  <w:w w:val="89"/>
                </w:rPr>
                <w:t>Minnesota Life Insurance Company, United</w:t>
              </w:r>
            </w:hyperlink>
          </w:p>
        </w:tc>
        <w:tc>
          <w:tcPr>
            <w:tcW w:w="680" w:type="dxa"/>
            <w:vAlign w:val="bottom"/>
            <w:tcBorders>
              <w:right w:val="single" w:sz="8" w:color="auto"/>
            </w:tcBorders>
            <w:gridSpan w:val="14"/>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Borders>
              <w:bottom w:val="single" w:sz="8" w:color="0000EE"/>
            </w:tcBorders>
            <w:gridSpan w:val="11"/>
          </w:tcPr>
          <w:p>
            <w:pPr>
              <w:spacing w:after="0" w:line="209" w:lineRule="exact"/>
              <w:rPr>
                <w:rFonts w:ascii="Arial" w:cs="Arial" w:eastAsia="Arial" w:hAnsi="Arial"/>
                <w:sz w:val="20"/>
                <w:szCs w:val="20"/>
                <w:color w:val="0000EE"/>
                <w:w w:val="88"/>
              </w:rPr>
            </w:pPr>
            <w:hyperlink r:id="rId181">
              <w:r>
                <w:rPr>
                  <w:rFonts w:ascii="Arial" w:cs="Arial" w:eastAsia="Arial" w:hAnsi="Arial"/>
                  <w:sz w:val="20"/>
                  <w:szCs w:val="20"/>
                  <w:color w:val="0000EE"/>
                  <w:w w:val="88"/>
                </w:rPr>
                <w:t>Health Care Insurance Company, American</w:t>
              </w:r>
            </w:hyperlink>
          </w:p>
        </w:tc>
        <w:tc>
          <w:tcPr>
            <w:tcW w:w="700" w:type="dxa"/>
            <w:vAlign w:val="bottom"/>
            <w:tcBorders>
              <w:right w:val="single" w:sz="8" w:color="auto"/>
            </w:tcBorders>
            <w:gridSpan w:val="15"/>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w w:val="95"/>
              </w:rPr>
            </w:pPr>
            <w:hyperlink r:id="rId181">
              <w:r>
                <w:rPr>
                  <w:rFonts w:ascii="Arial" w:cs="Arial" w:eastAsia="Arial" w:hAnsi="Arial"/>
                  <w:sz w:val="20"/>
                  <w:szCs w:val="20"/>
                  <w:color w:val="0000EE"/>
                  <w:w w:val="95"/>
                </w:rPr>
                <w:t>Republic Insurance Company, Western Fraternal</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tcBorders>
              <w:top w:val="single" w:sz="8" w:color="0000EE"/>
            </w:tcBorders>
            <w:gridSpan w:val="19"/>
          </w:tcPr>
          <w:p>
            <w:pPr>
              <w:spacing w:after="0" w:line="209" w:lineRule="exact"/>
              <w:rPr>
                <w:rFonts w:ascii="Arial" w:cs="Arial" w:eastAsia="Arial" w:hAnsi="Arial"/>
                <w:sz w:val="20"/>
                <w:szCs w:val="20"/>
                <w:color w:val="0000EE"/>
              </w:rPr>
            </w:pPr>
            <w:hyperlink r:id="rId181">
              <w:r>
                <w:rPr>
                  <w:rFonts w:ascii="Arial" w:cs="Arial" w:eastAsia="Arial" w:hAnsi="Arial"/>
                  <w:sz w:val="20"/>
                  <w:szCs w:val="20"/>
                  <w:color w:val="0000EE"/>
                </w:rPr>
                <w:t>Life Association</w:t>
              </w:r>
            </w:hyperlink>
          </w:p>
        </w:tc>
        <w:tc>
          <w:tcPr>
            <w:tcW w:w="320" w:type="dxa"/>
            <w:vAlign w:val="bottom"/>
            <w:tcBorders>
              <w:right w:val="single" w:sz="8" w:color="auto"/>
            </w:tcBorders>
            <w:gridSpan w:val="7"/>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jc w:val="right"/>
              <w:ind w:right="1221"/>
              <w:spacing w:after="0" w:line="183" w:lineRule="exact"/>
              <w:rPr>
                <w:sz w:val="20"/>
                <w:szCs w:val="20"/>
                <w:color w:val="auto"/>
              </w:rPr>
            </w:pPr>
            <w:r>
              <w:rPr>
                <w:rFonts w:ascii="Arial" w:cs="Arial" w:eastAsia="Arial" w:hAnsi="Arial"/>
                <w:sz w:val="20"/>
                <w:szCs w:val="20"/>
                <w:color w:val="auto"/>
              </w:rPr>
              <w:t>4.7</w:t>
            </w:r>
          </w:p>
        </w:tc>
        <w:tc>
          <w:tcPr>
            <w:tcW w:w="120" w:type="dxa"/>
            <w:vAlign w:val="bottom"/>
          </w:tcPr>
          <w:p>
            <w:pPr>
              <w:spacing w:after="0"/>
              <w:rPr>
                <w:sz w:val="15"/>
                <w:szCs w:val="15"/>
                <w:color w:val="auto"/>
              </w:rPr>
            </w:pPr>
          </w:p>
        </w:tc>
        <w:tc>
          <w:tcPr>
            <w:tcW w:w="4160" w:type="dxa"/>
            <w:vAlign w:val="bottom"/>
            <w:tcBorders>
              <w:right w:val="single" w:sz="8" w:color="auto"/>
            </w:tcBorders>
            <w:gridSpan w:val="26"/>
          </w:tcPr>
          <w:p>
            <w:pPr>
              <w:spacing w:after="0" w:line="183" w:lineRule="exact"/>
              <w:rPr>
                <w:rFonts w:ascii="Arial" w:cs="Arial" w:eastAsia="Arial" w:hAnsi="Arial"/>
                <w:sz w:val="20"/>
                <w:szCs w:val="20"/>
                <w:color w:val="0000EE"/>
              </w:rPr>
            </w:pPr>
            <w:hyperlink r:id="rId182">
              <w:r>
                <w:rPr>
                  <w:rFonts w:ascii="Arial" w:cs="Arial" w:eastAsia="Arial" w:hAnsi="Arial"/>
                  <w:sz w:val="20"/>
                  <w:szCs w:val="20"/>
                  <w:color w:val="0000EE"/>
                </w:rPr>
                <w:t>Bond Purchase Agreement, dated October 24,</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720" w:type="dxa"/>
            <w:vAlign w:val="bottom"/>
            <w:gridSpan w:val="11"/>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rPr>
            </w:pPr>
            <w:hyperlink r:id="rId182">
              <w:r>
                <w:rPr>
                  <w:rFonts w:ascii="Arial" w:cs="Arial" w:eastAsia="Arial" w:hAnsi="Arial"/>
                  <w:sz w:val="20"/>
                  <w:szCs w:val="20"/>
                  <w:color w:val="0000EE"/>
                </w:rPr>
                <w:t>2013, by and among Aqua Pennsylvania, Inc.,</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720" w:type="dxa"/>
            <w:vAlign w:val="bottom"/>
            <w:gridSpan w:val="11"/>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w w:val="96"/>
              </w:rPr>
            </w:pPr>
            <w:hyperlink r:id="rId182">
              <w:r>
                <w:rPr>
                  <w:rFonts w:ascii="Arial" w:cs="Arial" w:eastAsia="Arial" w:hAnsi="Arial"/>
                  <w:sz w:val="20"/>
                  <w:szCs w:val="20"/>
                  <w:color w:val="0000EE"/>
                  <w:w w:val="96"/>
                </w:rPr>
                <w:t>John Hancock Life Insurance Company (U.S.A),</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Borders>
              <w:top w:val="single" w:sz="8" w:color="0000EE"/>
              <w:bottom w:val="single" w:sz="8" w:color="0000EE"/>
            </w:tcBorders>
            <w:gridSpan w:val="18"/>
          </w:tcPr>
          <w:p>
            <w:pPr>
              <w:spacing w:after="0" w:line="209" w:lineRule="exact"/>
              <w:rPr>
                <w:rFonts w:ascii="Arial" w:cs="Arial" w:eastAsia="Arial" w:hAnsi="Arial"/>
                <w:sz w:val="20"/>
                <w:szCs w:val="20"/>
                <w:color w:val="0000EE"/>
                <w:w w:val="90"/>
              </w:rPr>
            </w:pPr>
            <w:hyperlink r:id="rId182">
              <w:r>
                <w:rPr>
                  <w:rFonts w:ascii="Arial" w:cs="Arial" w:eastAsia="Arial" w:hAnsi="Arial"/>
                  <w:sz w:val="20"/>
                  <w:szCs w:val="20"/>
                  <w:color w:val="0000EE"/>
                  <w:w w:val="90"/>
                </w:rPr>
                <w:t>John Hancock Life Insurance Company of New</w:t>
              </w:r>
            </w:hyperlink>
          </w:p>
        </w:tc>
        <w:tc>
          <w:tcPr>
            <w:tcW w:w="80" w:type="dxa"/>
            <w:vAlign w:val="bottom"/>
            <w:tcBorders>
              <w:top w:val="single" w:sz="8" w:color="0000EE"/>
            </w:tcBorders>
            <w:gridSpan w:val="2"/>
          </w:tcPr>
          <w:p>
            <w:pPr>
              <w:spacing w:after="0"/>
              <w:rPr>
                <w:sz w:val="18"/>
                <w:szCs w:val="18"/>
                <w:color w:val="auto"/>
              </w:rPr>
            </w:pPr>
          </w:p>
        </w:tc>
        <w:tc>
          <w:tcPr>
            <w:tcW w:w="300" w:type="dxa"/>
            <w:vAlign w:val="bottom"/>
            <w:tcBorders>
              <w:right w:val="single" w:sz="8" w:color="auto"/>
            </w:tcBorders>
            <w:gridSpan w:val="6"/>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rPr>
            </w:pPr>
            <w:hyperlink r:id="rId182">
              <w:r>
                <w:rPr>
                  <w:rFonts w:ascii="Arial" w:cs="Arial" w:eastAsia="Arial" w:hAnsi="Arial"/>
                  <w:sz w:val="20"/>
                  <w:szCs w:val="20"/>
                  <w:color w:val="0000EE"/>
                </w:rPr>
                <w:t>York, John Hancock Life &amp; Health Insurance</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March 3,</w:t>
            </w: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vMerge w:val="continue"/>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760" w:type="dxa"/>
            <w:vAlign w:val="bottom"/>
            <w:gridSpan w:val="17"/>
            <w:vMerge w:val="restart"/>
          </w:tcPr>
          <w:p>
            <w:pPr>
              <w:spacing w:after="0" w:line="209" w:lineRule="exact"/>
              <w:rPr>
                <w:rFonts w:ascii="Arial" w:cs="Arial" w:eastAsia="Arial" w:hAnsi="Arial"/>
                <w:sz w:val="20"/>
                <w:szCs w:val="20"/>
                <w:color w:val="0000EE"/>
                <w:w w:val="91"/>
              </w:rPr>
            </w:pPr>
            <w:hyperlink r:id="rId182">
              <w:r>
                <w:rPr>
                  <w:rFonts w:ascii="Arial" w:cs="Arial" w:eastAsia="Arial" w:hAnsi="Arial"/>
                  <w:sz w:val="20"/>
                  <w:szCs w:val="20"/>
                  <w:color w:val="0000EE"/>
                  <w:w w:val="91"/>
                </w:rPr>
                <w:t>Company, The Lincoln National Life Insurance</w:t>
              </w:r>
            </w:hyperlink>
          </w:p>
        </w:tc>
        <w:tc>
          <w:tcPr>
            <w:tcW w:w="400" w:type="dxa"/>
            <w:vAlign w:val="bottom"/>
            <w:tcBorders>
              <w:right w:val="single" w:sz="8" w:color="auto"/>
            </w:tcBorders>
            <w:gridSpan w:val="9"/>
            <w:vMerge w:val="restart"/>
          </w:tcPr>
          <w:p>
            <w:pPr>
              <w:spacing w:after="0"/>
              <w:rPr>
                <w:sz w:val="9"/>
                <w:szCs w:val="9"/>
                <w:color w:val="auto"/>
              </w:rPr>
            </w:pPr>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10.45</w:t>
            </w: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760" w:type="dxa"/>
            <w:vAlign w:val="bottom"/>
            <w:tcBorders>
              <w:bottom w:val="single" w:sz="8" w:color="0000EE"/>
            </w:tcBorders>
            <w:gridSpan w:val="17"/>
            <w:vMerge w:val="continue"/>
          </w:tcPr>
          <w:p>
            <w:pPr>
              <w:spacing w:after="0"/>
              <w:rPr>
                <w:sz w:val="8"/>
                <w:szCs w:val="8"/>
                <w:color w:val="auto"/>
              </w:rPr>
            </w:pPr>
          </w:p>
        </w:tc>
        <w:tc>
          <w:tcPr>
            <w:tcW w:w="400" w:type="dxa"/>
            <w:vAlign w:val="bottom"/>
            <w:tcBorders>
              <w:right w:val="single" w:sz="8" w:color="auto"/>
            </w:tcBorders>
            <w:gridSpan w:val="9"/>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26"/>
            <w:vMerge w:val="restart"/>
          </w:tcPr>
          <w:p>
            <w:pPr>
              <w:spacing w:after="0" w:line="209" w:lineRule="exact"/>
              <w:rPr>
                <w:rFonts w:ascii="Arial" w:cs="Arial" w:eastAsia="Arial" w:hAnsi="Arial"/>
                <w:sz w:val="20"/>
                <w:szCs w:val="20"/>
                <w:color w:val="0000EE"/>
              </w:rPr>
            </w:pPr>
            <w:hyperlink r:id="rId182">
              <w:r>
                <w:rPr>
                  <w:rFonts w:ascii="Arial" w:cs="Arial" w:eastAsia="Arial" w:hAnsi="Arial"/>
                  <w:sz w:val="20"/>
                  <w:szCs w:val="20"/>
                  <w:color w:val="0000EE"/>
                </w:rPr>
                <w:t>Company, Thrivent Financial for Lutherans,</w:t>
              </w:r>
            </w:hyperlink>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26"/>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720" w:type="dxa"/>
            <w:vAlign w:val="bottom"/>
            <w:gridSpan w:val="11"/>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Borders>
              <w:bottom w:val="single" w:sz="8" w:color="0000EE"/>
            </w:tcBorders>
            <w:gridSpan w:val="24"/>
          </w:tcPr>
          <w:p>
            <w:pPr>
              <w:spacing w:after="0" w:line="209" w:lineRule="exact"/>
              <w:rPr>
                <w:rFonts w:ascii="Arial" w:cs="Arial" w:eastAsia="Arial" w:hAnsi="Arial"/>
                <w:sz w:val="20"/>
                <w:szCs w:val="20"/>
                <w:color w:val="0000EE"/>
                <w:w w:val="90"/>
              </w:rPr>
            </w:pPr>
            <w:hyperlink r:id="rId182">
              <w:r>
                <w:rPr>
                  <w:rFonts w:ascii="Arial" w:cs="Arial" w:eastAsia="Arial" w:hAnsi="Arial"/>
                  <w:sz w:val="20"/>
                  <w:szCs w:val="20"/>
                  <w:color w:val="0000EE"/>
                  <w:w w:val="90"/>
                </w:rPr>
                <w:t>United Insurance Company of America, Equitable</w:t>
              </w:r>
            </w:hyperlink>
          </w:p>
        </w:tc>
        <w:tc>
          <w:tcPr>
            <w:tcW w:w="180" w:type="dxa"/>
            <w:vAlign w:val="bottom"/>
            <w:tcBorders>
              <w:right w:val="single" w:sz="8" w:color="auto"/>
            </w:tcBorders>
            <w:gridSpan w:val="2"/>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rPr>
            </w:pPr>
            <w:hyperlink r:id="rId182">
              <w:r>
                <w:rPr>
                  <w:rFonts w:ascii="Arial" w:cs="Arial" w:eastAsia="Arial" w:hAnsi="Arial"/>
                  <w:sz w:val="20"/>
                  <w:szCs w:val="20"/>
                  <w:color w:val="0000EE"/>
                </w:rPr>
                <w:t>Life &amp; Casualty Insurance Company, Catholic</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900" w:type="dxa"/>
            <w:vAlign w:val="bottom"/>
            <w:gridSpan w:val="1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auto"/>
            </w:tcBorders>
            <w:gridSpan w:val="11"/>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26"/>
          </w:tcPr>
          <w:p>
            <w:pPr>
              <w:spacing w:after="0" w:line="209" w:lineRule="exact"/>
              <w:rPr>
                <w:rFonts w:ascii="Arial" w:cs="Arial" w:eastAsia="Arial" w:hAnsi="Arial"/>
                <w:sz w:val="20"/>
                <w:szCs w:val="20"/>
                <w:color w:val="0000EE"/>
                <w:w w:val="98"/>
              </w:rPr>
            </w:pPr>
            <w:hyperlink r:id="rId182">
              <w:r>
                <w:rPr>
                  <w:rFonts w:ascii="Arial" w:cs="Arial" w:eastAsia="Arial" w:hAnsi="Arial"/>
                  <w:sz w:val="20"/>
                  <w:szCs w:val="20"/>
                  <w:color w:val="0000EE"/>
                  <w:w w:val="98"/>
                </w:rPr>
                <w:t>United Financial, and Great Western Insurance</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top w:val="single" w:sz="8" w:color="0000EE"/>
            </w:tcBorders>
            <w:gridSpan w:val="15"/>
          </w:tcPr>
          <w:p>
            <w:pPr>
              <w:spacing w:after="0" w:line="209" w:lineRule="exact"/>
              <w:rPr>
                <w:rFonts w:ascii="Arial" w:cs="Arial" w:eastAsia="Arial" w:hAnsi="Arial"/>
                <w:sz w:val="20"/>
                <w:szCs w:val="20"/>
                <w:color w:val="0000EE"/>
              </w:rPr>
            </w:pPr>
            <w:hyperlink r:id="rId182">
              <w:r>
                <w:rPr>
                  <w:rFonts w:ascii="Arial" w:cs="Arial" w:eastAsia="Arial" w:hAnsi="Arial"/>
                  <w:sz w:val="20"/>
                  <w:szCs w:val="20"/>
                  <w:color w:val="0000EE"/>
                </w:rPr>
                <w:t>Company</w:t>
              </w:r>
            </w:hyperlink>
          </w:p>
        </w:tc>
        <w:tc>
          <w:tcPr>
            <w:tcW w:w="460" w:type="dxa"/>
            <w:vAlign w:val="bottom"/>
            <w:tcBorders>
              <w:right w:val="single" w:sz="8" w:color="auto"/>
            </w:tcBorders>
            <w:gridSpan w:val="11"/>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1700" w:type="dxa"/>
            <w:vAlign w:val="bottom"/>
          </w:tcPr>
          <w:p>
            <w:pPr>
              <w:spacing w:after="0"/>
              <w:rPr>
                <w:sz w:val="24"/>
                <w:szCs w:val="24"/>
                <w:color w:val="auto"/>
              </w:rPr>
            </w:pPr>
          </w:p>
        </w:tc>
        <w:tc>
          <w:tcPr>
            <w:tcW w:w="3480" w:type="dxa"/>
            <w:vAlign w:val="bottom"/>
            <w:gridSpan w:val="10"/>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700" w:type="dxa"/>
            <w:vAlign w:val="bottom"/>
            <w:tcBorders>
              <w:top w:val="single" w:sz="8" w:color="auto"/>
              <w:left w:val="single" w:sz="8" w:color="auto"/>
              <w:right w:val="single" w:sz="8" w:color="auto"/>
            </w:tcBorders>
          </w:tcPr>
          <w:p>
            <w:pPr>
              <w:ind w:left="120"/>
              <w:spacing w:after="0" w:line="203" w:lineRule="exact"/>
              <w:rPr>
                <w:sz w:val="20"/>
                <w:szCs w:val="20"/>
                <w:color w:val="auto"/>
              </w:rPr>
            </w:pPr>
            <w:r>
              <w:rPr>
                <w:rFonts w:ascii="Arial" w:cs="Arial" w:eastAsia="Arial" w:hAnsi="Arial"/>
                <w:sz w:val="20"/>
                <w:szCs w:val="20"/>
                <w:color w:val="auto"/>
              </w:rPr>
              <w:t>4.8</w:t>
            </w:r>
          </w:p>
        </w:tc>
        <w:tc>
          <w:tcPr>
            <w:tcW w:w="120" w:type="dxa"/>
            <w:vAlign w:val="bottom"/>
            <w:tcBorders>
              <w:top w:val="single" w:sz="8" w:color="auto"/>
            </w:tcBorders>
          </w:tcPr>
          <w:p>
            <w:pPr>
              <w:spacing w:after="0"/>
              <w:rPr>
                <w:sz w:val="17"/>
                <w:szCs w:val="17"/>
                <w:color w:val="auto"/>
              </w:rPr>
            </w:pPr>
          </w:p>
        </w:tc>
        <w:tc>
          <w:tcPr>
            <w:tcW w:w="4160" w:type="dxa"/>
            <w:vAlign w:val="bottom"/>
            <w:tcBorders>
              <w:top w:val="single" w:sz="8" w:color="auto"/>
              <w:right w:val="single" w:sz="8" w:color="auto"/>
            </w:tcBorders>
            <w:gridSpan w:val="31"/>
          </w:tcPr>
          <w:p>
            <w:pPr>
              <w:spacing w:after="0" w:line="203" w:lineRule="exact"/>
              <w:rPr>
                <w:rFonts w:ascii="Arial" w:cs="Arial" w:eastAsia="Arial" w:hAnsi="Arial"/>
                <w:sz w:val="20"/>
                <w:szCs w:val="20"/>
                <w:color w:val="0000EE"/>
                <w:w w:val="95"/>
              </w:rPr>
            </w:pPr>
            <w:hyperlink r:id="rId185">
              <w:r>
                <w:rPr>
                  <w:rFonts w:ascii="Arial" w:cs="Arial" w:eastAsia="Arial" w:hAnsi="Arial"/>
                  <w:sz w:val="20"/>
                  <w:szCs w:val="20"/>
                  <w:color w:val="0000EE"/>
                  <w:w w:val="95"/>
                </w:rPr>
                <w:t>Bond Purchase Agreement, dated December 29,</w:t>
              </w:r>
            </w:hyperlink>
          </w:p>
        </w:tc>
        <w:tc>
          <w:tcPr>
            <w:tcW w:w="70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Borders>
              <w:top w:val="single" w:sz="8" w:color="0000EE"/>
              <w:bottom w:val="single" w:sz="8" w:color="0000EE"/>
            </w:tcBorders>
            <w:gridSpan w:val="19"/>
          </w:tcPr>
          <w:p>
            <w:pPr>
              <w:spacing w:after="0" w:line="209" w:lineRule="exact"/>
              <w:rPr>
                <w:rFonts w:ascii="Arial" w:cs="Arial" w:eastAsia="Arial" w:hAnsi="Arial"/>
                <w:sz w:val="20"/>
                <w:szCs w:val="20"/>
                <w:color w:val="0000EE"/>
                <w:w w:val="89"/>
              </w:rPr>
            </w:pPr>
            <w:hyperlink r:id="rId185">
              <w:r>
                <w:rPr>
                  <w:rFonts w:ascii="Arial" w:cs="Arial" w:eastAsia="Arial" w:hAnsi="Arial"/>
                  <w:sz w:val="20"/>
                  <w:szCs w:val="20"/>
                  <w:color w:val="0000EE"/>
                  <w:w w:val="89"/>
                </w:rPr>
                <w:t>2014, by and among Aqua Pennsylvania, Inc.,</w:t>
              </w:r>
            </w:hyperlink>
          </w:p>
        </w:tc>
        <w:tc>
          <w:tcPr>
            <w:tcW w:w="120" w:type="dxa"/>
            <w:vAlign w:val="bottom"/>
            <w:tcBorders>
              <w:top w:val="single" w:sz="8" w:color="0000EE"/>
            </w:tcBorders>
            <w:gridSpan w:val="6"/>
          </w:tcPr>
          <w:p>
            <w:pPr>
              <w:spacing w:after="0"/>
              <w:rPr>
                <w:sz w:val="18"/>
                <w:szCs w:val="18"/>
                <w:color w:val="auto"/>
              </w:rPr>
            </w:pPr>
          </w:p>
        </w:tc>
        <w:tc>
          <w:tcPr>
            <w:tcW w:w="360" w:type="dxa"/>
            <w:vAlign w:val="bottom"/>
            <w:tcBorders>
              <w:right w:val="single" w:sz="8" w:color="auto"/>
            </w:tcBorders>
            <w:gridSpan w:val="6"/>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1"/>
          </w:tcPr>
          <w:p>
            <w:pPr>
              <w:spacing w:after="0" w:line="209" w:lineRule="exact"/>
              <w:rPr>
                <w:rFonts w:ascii="Arial" w:cs="Arial" w:eastAsia="Arial" w:hAnsi="Arial"/>
                <w:sz w:val="20"/>
                <w:szCs w:val="20"/>
                <w:color w:val="0000EE"/>
                <w:w w:val="96"/>
              </w:rPr>
            </w:pPr>
            <w:hyperlink r:id="rId185">
              <w:r>
                <w:rPr>
                  <w:rFonts w:ascii="Arial" w:cs="Arial" w:eastAsia="Arial" w:hAnsi="Arial"/>
                  <w:sz w:val="20"/>
                  <w:szCs w:val="20"/>
                  <w:color w:val="0000EE"/>
                  <w:w w:val="96"/>
                </w:rPr>
                <w:t>Thrivent Financial for Lutherans, State Farm Life</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Borders>
              <w:bottom w:val="single" w:sz="8" w:color="0000EE"/>
            </w:tcBorders>
            <w:gridSpan w:val="29"/>
          </w:tcPr>
          <w:p>
            <w:pPr>
              <w:spacing w:after="0" w:line="209" w:lineRule="exact"/>
              <w:rPr>
                <w:rFonts w:ascii="Arial" w:cs="Arial" w:eastAsia="Arial" w:hAnsi="Arial"/>
                <w:sz w:val="20"/>
                <w:szCs w:val="20"/>
                <w:color w:val="0000EE"/>
                <w:w w:val="88"/>
              </w:rPr>
            </w:pPr>
            <w:hyperlink r:id="rId185">
              <w:r>
                <w:rPr>
                  <w:rFonts w:ascii="Arial" w:cs="Arial" w:eastAsia="Arial" w:hAnsi="Arial"/>
                  <w:sz w:val="20"/>
                  <w:szCs w:val="20"/>
                  <w:color w:val="0000EE"/>
                  <w:w w:val="88"/>
                </w:rPr>
                <w:t>Insurance Company, John Hancock Life Insurance</w:t>
              </w:r>
            </w:hyperlink>
          </w:p>
        </w:tc>
        <w:tc>
          <w:tcPr>
            <w:tcW w:w="160" w:type="dxa"/>
            <w:vAlign w:val="bottom"/>
            <w:tcBorders>
              <w:right w:val="single" w:sz="8" w:color="auto"/>
            </w:tcBorders>
            <w:gridSpan w:val="2"/>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160" w:type="dxa"/>
            <w:vAlign w:val="bottom"/>
            <w:tcBorders>
              <w:right w:val="single" w:sz="8" w:color="auto"/>
            </w:tcBorders>
            <w:gridSpan w:val="31"/>
            <w:vMerge w:val="restart"/>
          </w:tcPr>
          <w:p>
            <w:pPr>
              <w:spacing w:after="0" w:line="209" w:lineRule="exact"/>
              <w:rPr>
                <w:rFonts w:ascii="Arial" w:cs="Arial" w:eastAsia="Arial" w:hAnsi="Arial"/>
                <w:sz w:val="20"/>
                <w:szCs w:val="20"/>
                <w:color w:val="0000EE"/>
              </w:rPr>
            </w:pPr>
            <w:hyperlink r:id="rId185">
              <w:r>
                <w:rPr>
                  <w:rFonts w:ascii="Arial" w:cs="Arial" w:eastAsia="Arial" w:hAnsi="Arial"/>
                  <w:sz w:val="20"/>
                  <w:szCs w:val="20"/>
                  <w:color w:val="0000EE"/>
                </w:rPr>
                <w:t>Company (U.S.A), Phoenix Life Insurance</w:t>
              </w:r>
            </w:hyperlink>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10.58</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tcBorders>
              <w:right w:val="single" w:sz="8" w:color="auto"/>
            </w:tcBorders>
            <w:gridSpan w:val="31"/>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vMerge w:val="continue"/>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31"/>
            <w:vMerge w:val="restart"/>
          </w:tcPr>
          <w:p>
            <w:pPr>
              <w:spacing w:after="0" w:line="209" w:lineRule="exact"/>
              <w:rPr>
                <w:rFonts w:ascii="Arial" w:cs="Arial" w:eastAsia="Arial" w:hAnsi="Arial"/>
                <w:sz w:val="20"/>
                <w:szCs w:val="20"/>
                <w:color w:val="0000EE"/>
              </w:rPr>
            </w:pPr>
            <w:hyperlink r:id="rId185">
              <w:r>
                <w:rPr>
                  <w:rFonts w:ascii="Arial" w:cs="Arial" w:eastAsia="Arial" w:hAnsi="Arial"/>
                  <w:sz w:val="20"/>
                  <w:szCs w:val="20"/>
                  <w:color w:val="0000EE"/>
                </w:rPr>
                <w:t>Company, PHL Variable Insurance Company,</w:t>
              </w:r>
            </w:hyperlink>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31"/>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top w:val="single" w:sz="8" w:color="0000EE"/>
              <w:bottom w:val="single" w:sz="8" w:color="0000EE"/>
            </w:tcBorders>
            <w:gridSpan w:val="11"/>
          </w:tcPr>
          <w:p>
            <w:pPr>
              <w:spacing w:after="0" w:line="209" w:lineRule="exact"/>
              <w:rPr>
                <w:rFonts w:ascii="Arial" w:cs="Arial" w:eastAsia="Arial" w:hAnsi="Arial"/>
                <w:sz w:val="20"/>
                <w:szCs w:val="20"/>
                <w:color w:val="0000EE"/>
                <w:w w:val="90"/>
              </w:rPr>
            </w:pPr>
            <w:hyperlink r:id="rId185">
              <w:r>
                <w:rPr>
                  <w:rFonts w:ascii="Arial" w:cs="Arial" w:eastAsia="Arial" w:hAnsi="Arial"/>
                  <w:sz w:val="20"/>
                  <w:szCs w:val="20"/>
                  <w:color w:val="0000EE"/>
                  <w:w w:val="90"/>
                </w:rPr>
                <w:t>United of Omaha Life Insurance Company,</w:t>
              </w:r>
            </w:hyperlink>
          </w:p>
        </w:tc>
        <w:tc>
          <w:tcPr>
            <w:tcW w:w="160" w:type="dxa"/>
            <w:vAlign w:val="bottom"/>
            <w:tcBorders>
              <w:top w:val="single" w:sz="8" w:color="0000EE"/>
            </w:tcBorders>
            <w:gridSpan w:val="5"/>
          </w:tcPr>
          <w:p>
            <w:pPr>
              <w:spacing w:after="0"/>
              <w:rPr>
                <w:sz w:val="18"/>
                <w:szCs w:val="18"/>
                <w:color w:val="auto"/>
              </w:rPr>
            </w:pPr>
          </w:p>
        </w:tc>
        <w:tc>
          <w:tcPr>
            <w:tcW w:w="560" w:type="dxa"/>
            <w:vAlign w:val="bottom"/>
            <w:tcBorders>
              <w:right w:val="single" w:sz="8" w:color="auto"/>
            </w:tcBorders>
            <w:gridSpan w:val="15"/>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Borders>
              <w:bottom w:val="single" w:sz="8" w:color="0000EE"/>
            </w:tcBorders>
            <w:gridSpan w:val="10"/>
          </w:tcPr>
          <w:p>
            <w:pPr>
              <w:spacing w:after="0" w:line="209" w:lineRule="exact"/>
              <w:rPr>
                <w:rFonts w:ascii="Arial" w:cs="Arial" w:eastAsia="Arial" w:hAnsi="Arial"/>
                <w:sz w:val="20"/>
                <w:szCs w:val="20"/>
                <w:color w:val="0000EE"/>
                <w:w w:val="88"/>
              </w:rPr>
            </w:pPr>
            <w:hyperlink r:id="rId185">
              <w:r>
                <w:rPr>
                  <w:rFonts w:ascii="Arial" w:cs="Arial" w:eastAsia="Arial" w:hAnsi="Arial"/>
                  <w:sz w:val="20"/>
                  <w:szCs w:val="20"/>
                  <w:color w:val="0000EE"/>
                  <w:w w:val="88"/>
                </w:rPr>
                <w:t>Mutual of Omaha Insurance Company, and</w:t>
              </w:r>
            </w:hyperlink>
          </w:p>
        </w:tc>
        <w:tc>
          <w:tcPr>
            <w:tcW w:w="740" w:type="dxa"/>
            <w:vAlign w:val="bottom"/>
            <w:tcBorders>
              <w:right w:val="single" w:sz="8" w:color="auto"/>
            </w:tcBorders>
            <w:gridSpan w:val="21"/>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1"/>
          </w:tcPr>
          <w:p>
            <w:pPr>
              <w:spacing w:after="0" w:line="209" w:lineRule="exact"/>
              <w:rPr>
                <w:rFonts w:ascii="Arial" w:cs="Arial" w:eastAsia="Arial" w:hAnsi="Arial"/>
                <w:sz w:val="20"/>
                <w:szCs w:val="20"/>
                <w:color w:val="0000EE"/>
              </w:rPr>
            </w:pPr>
            <w:hyperlink r:id="rId185">
              <w:r>
                <w:rPr>
                  <w:rFonts w:ascii="Arial" w:cs="Arial" w:eastAsia="Arial" w:hAnsi="Arial"/>
                  <w:sz w:val="20"/>
                  <w:szCs w:val="20"/>
                  <w:color w:val="0000EE"/>
                </w:rPr>
                <w:t>Companion Life Insurance Company</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4.9</w:t>
            </w:r>
          </w:p>
        </w:tc>
        <w:tc>
          <w:tcPr>
            <w:tcW w:w="120" w:type="dxa"/>
            <w:vAlign w:val="bottom"/>
          </w:tcPr>
          <w:p>
            <w:pPr>
              <w:spacing w:after="0"/>
              <w:rPr>
                <w:sz w:val="15"/>
                <w:szCs w:val="15"/>
                <w:color w:val="auto"/>
              </w:rPr>
            </w:pPr>
          </w:p>
        </w:tc>
        <w:tc>
          <w:tcPr>
            <w:tcW w:w="4160" w:type="dxa"/>
            <w:vAlign w:val="bottom"/>
            <w:tcBorders>
              <w:right w:val="single" w:sz="8" w:color="auto"/>
            </w:tcBorders>
            <w:gridSpan w:val="31"/>
          </w:tcPr>
          <w:p>
            <w:pPr>
              <w:spacing w:after="0" w:line="183" w:lineRule="exact"/>
              <w:rPr>
                <w:rFonts w:ascii="Arial" w:cs="Arial" w:eastAsia="Arial" w:hAnsi="Arial"/>
                <w:sz w:val="20"/>
                <w:szCs w:val="20"/>
                <w:color w:val="0000EE"/>
                <w:w w:val="97"/>
              </w:rPr>
            </w:pPr>
            <w:hyperlink r:id="rId186">
              <w:r>
                <w:rPr>
                  <w:rFonts w:ascii="Arial" w:cs="Arial" w:eastAsia="Arial" w:hAnsi="Arial"/>
                  <w:sz w:val="20"/>
                  <w:szCs w:val="20"/>
                  <w:color w:val="0000EE"/>
                  <w:w w:val="97"/>
                </w:rPr>
                <w:t>Bond Purchase Agreement, dated December 3,</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top w:val="single" w:sz="8" w:color="0000EE"/>
              <w:bottom w:val="single" w:sz="8" w:color="0000EE"/>
            </w:tcBorders>
            <w:gridSpan w:val="16"/>
          </w:tcPr>
          <w:p>
            <w:pPr>
              <w:spacing w:after="0" w:line="209" w:lineRule="exact"/>
              <w:rPr>
                <w:rFonts w:ascii="Arial" w:cs="Arial" w:eastAsia="Arial" w:hAnsi="Arial"/>
                <w:sz w:val="20"/>
                <w:szCs w:val="20"/>
                <w:color w:val="0000EE"/>
                <w:w w:val="88"/>
              </w:rPr>
            </w:pPr>
            <w:hyperlink r:id="rId186">
              <w:r>
                <w:rPr>
                  <w:rFonts w:ascii="Arial" w:cs="Arial" w:eastAsia="Arial" w:hAnsi="Arial"/>
                  <w:sz w:val="20"/>
                  <w:szCs w:val="20"/>
                  <w:color w:val="0000EE"/>
                  <w:w w:val="88"/>
                </w:rPr>
                <w:t>2015 by and among Aqua Pennsylvania, Inc.,</w:t>
              </w:r>
            </w:hyperlink>
          </w:p>
        </w:tc>
        <w:tc>
          <w:tcPr>
            <w:tcW w:w="100" w:type="dxa"/>
            <w:vAlign w:val="bottom"/>
            <w:tcBorders>
              <w:top w:val="single" w:sz="8" w:color="0000EE"/>
            </w:tcBorders>
            <w:gridSpan w:val="4"/>
          </w:tcPr>
          <w:p>
            <w:pPr>
              <w:spacing w:after="0"/>
              <w:rPr>
                <w:sz w:val="18"/>
                <w:szCs w:val="18"/>
                <w:color w:val="auto"/>
              </w:rPr>
            </w:pPr>
          </w:p>
        </w:tc>
        <w:tc>
          <w:tcPr>
            <w:tcW w:w="460" w:type="dxa"/>
            <w:vAlign w:val="bottom"/>
            <w:tcBorders>
              <w:right w:val="single" w:sz="8" w:color="auto"/>
            </w:tcBorders>
            <w:gridSpan w:val="11"/>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1"/>
          </w:tcPr>
          <w:p>
            <w:pPr>
              <w:spacing w:after="0" w:line="209" w:lineRule="exact"/>
              <w:rPr>
                <w:rFonts w:ascii="Arial" w:cs="Arial" w:eastAsia="Arial" w:hAnsi="Arial"/>
                <w:sz w:val="20"/>
                <w:szCs w:val="20"/>
                <w:color w:val="0000EE"/>
                <w:w w:val="96"/>
              </w:rPr>
            </w:pPr>
            <w:hyperlink r:id="rId186">
              <w:r>
                <w:rPr>
                  <w:rFonts w:ascii="Arial" w:cs="Arial" w:eastAsia="Arial" w:hAnsi="Arial"/>
                  <w:sz w:val="20"/>
                  <w:szCs w:val="20"/>
                  <w:color w:val="0000EE"/>
                  <w:w w:val="96"/>
                </w:rPr>
                <w:t>Thrivent Financial for Lutherans, State Farm Life</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Borders>
              <w:bottom w:val="single" w:sz="8" w:color="0000EE"/>
            </w:tcBorders>
            <w:gridSpan w:val="29"/>
          </w:tcPr>
          <w:p>
            <w:pPr>
              <w:spacing w:after="0" w:line="209" w:lineRule="exact"/>
              <w:rPr>
                <w:rFonts w:ascii="Arial" w:cs="Arial" w:eastAsia="Arial" w:hAnsi="Arial"/>
                <w:sz w:val="20"/>
                <w:szCs w:val="20"/>
                <w:color w:val="0000EE"/>
                <w:w w:val="88"/>
              </w:rPr>
            </w:pPr>
            <w:hyperlink r:id="rId186">
              <w:r>
                <w:rPr>
                  <w:rFonts w:ascii="Arial" w:cs="Arial" w:eastAsia="Arial" w:hAnsi="Arial"/>
                  <w:sz w:val="20"/>
                  <w:szCs w:val="20"/>
                  <w:color w:val="0000EE"/>
                  <w:w w:val="88"/>
                </w:rPr>
                <w:t>Insurance Company, John Hancock Life Insurance</w:t>
              </w:r>
            </w:hyperlink>
          </w:p>
        </w:tc>
        <w:tc>
          <w:tcPr>
            <w:tcW w:w="160" w:type="dxa"/>
            <w:vAlign w:val="bottom"/>
            <w:tcBorders>
              <w:right w:val="single" w:sz="8" w:color="auto"/>
            </w:tcBorders>
            <w:gridSpan w:val="2"/>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1"/>
          </w:tcPr>
          <w:p>
            <w:pPr>
              <w:spacing w:after="0" w:line="209" w:lineRule="exact"/>
              <w:rPr>
                <w:rFonts w:ascii="Arial" w:cs="Arial" w:eastAsia="Arial" w:hAnsi="Arial"/>
                <w:sz w:val="20"/>
                <w:szCs w:val="20"/>
                <w:color w:val="0000EE"/>
              </w:rPr>
            </w:pPr>
            <w:hyperlink r:id="rId186">
              <w:r>
                <w:rPr>
                  <w:rFonts w:ascii="Arial" w:cs="Arial" w:eastAsia="Arial" w:hAnsi="Arial"/>
                  <w:sz w:val="20"/>
                  <w:szCs w:val="20"/>
                  <w:color w:val="0000EE"/>
                </w:rPr>
                <w:t>Company (U.S.A), The Lincoln National Life</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Borders>
              <w:top w:val="single" w:sz="8" w:color="0000EE"/>
              <w:bottom w:val="single" w:sz="8" w:color="0000EE"/>
            </w:tcBorders>
            <w:gridSpan w:val="15"/>
          </w:tcPr>
          <w:p>
            <w:pPr>
              <w:spacing w:after="0" w:line="209" w:lineRule="exact"/>
              <w:rPr>
                <w:rFonts w:ascii="Arial" w:cs="Arial" w:eastAsia="Arial" w:hAnsi="Arial"/>
                <w:sz w:val="20"/>
                <w:szCs w:val="20"/>
                <w:color w:val="0000EE"/>
                <w:w w:val="87"/>
              </w:rPr>
            </w:pPr>
            <w:hyperlink r:id="rId186">
              <w:r>
                <w:rPr>
                  <w:rFonts w:ascii="Arial" w:cs="Arial" w:eastAsia="Arial" w:hAnsi="Arial"/>
                  <w:sz w:val="20"/>
                  <w:szCs w:val="20"/>
                  <w:color w:val="0000EE"/>
                  <w:w w:val="87"/>
                </w:rPr>
                <w:t>Insurance Company, Teachers Insurance And</w:t>
              </w:r>
            </w:hyperlink>
          </w:p>
        </w:tc>
        <w:tc>
          <w:tcPr>
            <w:tcW w:w="40" w:type="dxa"/>
            <w:vAlign w:val="bottom"/>
            <w:tcBorders>
              <w:top w:val="single" w:sz="8" w:color="0000EE"/>
            </w:tcBorders>
            <w:gridSpan w:val="2"/>
          </w:tcPr>
          <w:p>
            <w:pPr>
              <w:spacing w:after="0"/>
              <w:rPr>
                <w:sz w:val="18"/>
                <w:szCs w:val="18"/>
                <w:color w:val="auto"/>
              </w:rPr>
            </w:pPr>
          </w:p>
        </w:tc>
        <w:tc>
          <w:tcPr>
            <w:tcW w:w="540" w:type="dxa"/>
            <w:vAlign w:val="bottom"/>
            <w:tcBorders>
              <w:right w:val="single" w:sz="8" w:color="auto"/>
            </w:tcBorders>
            <w:gridSpan w:val="14"/>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680" w:type="dxa"/>
            <w:vAlign w:val="bottom"/>
            <w:gridSpan w:val="19"/>
            <w:vMerge w:val="restart"/>
          </w:tcPr>
          <w:p>
            <w:pPr>
              <w:spacing w:after="0" w:line="209" w:lineRule="exact"/>
              <w:rPr>
                <w:rFonts w:ascii="Arial" w:cs="Arial" w:eastAsia="Arial" w:hAnsi="Arial"/>
                <w:sz w:val="20"/>
                <w:szCs w:val="20"/>
                <w:color w:val="0000EE"/>
                <w:w w:val="93"/>
              </w:rPr>
            </w:pPr>
            <w:hyperlink r:id="rId186">
              <w:r>
                <w:rPr>
                  <w:rFonts w:ascii="Arial" w:cs="Arial" w:eastAsia="Arial" w:hAnsi="Arial"/>
                  <w:sz w:val="20"/>
                  <w:szCs w:val="20"/>
                  <w:color w:val="0000EE"/>
                  <w:w w:val="93"/>
                </w:rPr>
                <w:t>Annuity Association Of America, CMFG Life</w:t>
              </w:r>
            </w:hyperlink>
          </w:p>
        </w:tc>
        <w:tc>
          <w:tcPr>
            <w:tcW w:w="480" w:type="dxa"/>
            <w:vAlign w:val="bottom"/>
            <w:tcBorders>
              <w:right w:val="single" w:sz="8" w:color="auto"/>
            </w:tcBorders>
            <w:gridSpan w:val="12"/>
            <w:vMerge w:val="restart"/>
          </w:tcPr>
          <w:p>
            <w:pPr>
              <w:spacing w:after="0"/>
              <w:rPr>
                <w:sz w:val="9"/>
                <w:szCs w:val="9"/>
                <w:color w:val="auto"/>
              </w:rPr>
            </w:pPr>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4.12</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80" w:type="dxa"/>
            <w:vAlign w:val="bottom"/>
            <w:tcBorders>
              <w:bottom w:val="single" w:sz="8" w:color="0000EE"/>
            </w:tcBorders>
            <w:gridSpan w:val="19"/>
            <w:vMerge w:val="continue"/>
          </w:tcPr>
          <w:p>
            <w:pPr>
              <w:spacing w:after="0"/>
              <w:rPr>
                <w:sz w:val="8"/>
                <w:szCs w:val="8"/>
                <w:color w:val="auto"/>
              </w:rPr>
            </w:pPr>
          </w:p>
        </w:tc>
        <w:tc>
          <w:tcPr>
            <w:tcW w:w="480" w:type="dxa"/>
            <w:vAlign w:val="bottom"/>
            <w:tcBorders>
              <w:right w:val="single" w:sz="8" w:color="auto"/>
            </w:tcBorders>
            <w:gridSpan w:val="12"/>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80" w:type="dxa"/>
            <w:vAlign w:val="bottom"/>
            <w:gridSpan w:val="19"/>
            <w:vMerge w:val="restart"/>
          </w:tcPr>
          <w:p>
            <w:pPr>
              <w:spacing w:after="0" w:line="209" w:lineRule="exact"/>
              <w:rPr>
                <w:rFonts w:ascii="Arial" w:cs="Arial" w:eastAsia="Arial" w:hAnsi="Arial"/>
                <w:sz w:val="20"/>
                <w:szCs w:val="20"/>
                <w:color w:val="0000EE"/>
                <w:w w:val="89"/>
              </w:rPr>
            </w:pPr>
            <w:hyperlink r:id="rId186">
              <w:r>
                <w:rPr>
                  <w:rFonts w:ascii="Arial" w:cs="Arial" w:eastAsia="Arial" w:hAnsi="Arial"/>
                  <w:sz w:val="20"/>
                  <w:szCs w:val="20"/>
                  <w:color w:val="0000EE"/>
                  <w:w w:val="89"/>
                </w:rPr>
                <w:t>Insurance Company, Genworth Life Insurance</w:t>
              </w:r>
            </w:hyperlink>
          </w:p>
        </w:tc>
        <w:tc>
          <w:tcPr>
            <w:tcW w:w="480" w:type="dxa"/>
            <w:vAlign w:val="bottom"/>
            <w:tcBorders>
              <w:right w:val="single" w:sz="8" w:color="auto"/>
            </w:tcBorders>
            <w:gridSpan w:val="12"/>
            <w:vMerge w:val="restart"/>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80" w:type="dxa"/>
            <w:vAlign w:val="bottom"/>
            <w:tcBorders>
              <w:bottom w:val="single" w:sz="8" w:color="0000EE"/>
            </w:tcBorders>
            <w:gridSpan w:val="19"/>
            <w:vMerge w:val="continue"/>
          </w:tcPr>
          <w:p>
            <w:pPr>
              <w:spacing w:after="0"/>
              <w:rPr>
                <w:sz w:val="6"/>
                <w:szCs w:val="6"/>
                <w:color w:val="auto"/>
              </w:rPr>
            </w:pPr>
          </w:p>
        </w:tc>
        <w:tc>
          <w:tcPr>
            <w:tcW w:w="480" w:type="dxa"/>
            <w:vAlign w:val="bottom"/>
            <w:tcBorders>
              <w:right w:val="single" w:sz="8" w:color="auto"/>
            </w:tcBorders>
            <w:gridSpan w:val="1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Borders>
              <w:bottom w:val="single" w:sz="8" w:color="0000EE"/>
            </w:tcBorders>
            <w:gridSpan w:val="28"/>
          </w:tcPr>
          <w:p>
            <w:pPr>
              <w:spacing w:after="0" w:line="209" w:lineRule="exact"/>
              <w:rPr>
                <w:rFonts w:ascii="Arial" w:cs="Arial" w:eastAsia="Arial" w:hAnsi="Arial"/>
                <w:sz w:val="20"/>
                <w:szCs w:val="20"/>
                <w:color w:val="0000EE"/>
                <w:w w:val="89"/>
              </w:rPr>
            </w:pPr>
            <w:hyperlink r:id="rId186">
              <w:r>
                <w:rPr>
                  <w:rFonts w:ascii="Arial" w:cs="Arial" w:eastAsia="Arial" w:hAnsi="Arial"/>
                  <w:sz w:val="20"/>
                  <w:szCs w:val="20"/>
                  <w:color w:val="0000EE"/>
                  <w:w w:val="89"/>
                </w:rPr>
                <w:t>Company, Phoenix Life Insurance Company, PHL</w:t>
              </w:r>
            </w:hyperlink>
          </w:p>
        </w:tc>
        <w:tc>
          <w:tcPr>
            <w:tcW w:w="180" w:type="dxa"/>
            <w:vAlign w:val="bottom"/>
            <w:tcBorders>
              <w:right w:val="single" w:sz="8" w:color="auto"/>
            </w:tcBorders>
            <w:gridSpan w:val="3"/>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bottom w:val="single" w:sz="8" w:color="0000EE"/>
            </w:tcBorders>
            <w:gridSpan w:val="25"/>
          </w:tcPr>
          <w:p>
            <w:pPr>
              <w:spacing w:after="0" w:line="209" w:lineRule="exact"/>
              <w:rPr>
                <w:rFonts w:ascii="Arial" w:cs="Arial" w:eastAsia="Arial" w:hAnsi="Arial"/>
                <w:sz w:val="20"/>
                <w:szCs w:val="20"/>
                <w:color w:val="0000EE"/>
                <w:w w:val="89"/>
              </w:rPr>
            </w:pPr>
            <w:hyperlink r:id="rId186">
              <w:r>
                <w:rPr>
                  <w:rFonts w:ascii="Arial" w:cs="Arial" w:eastAsia="Arial" w:hAnsi="Arial"/>
                  <w:sz w:val="20"/>
                  <w:szCs w:val="20"/>
                  <w:color w:val="0000EE"/>
                  <w:w w:val="89"/>
                </w:rPr>
                <w:t>Variable Insurance Company, United Of Omaha</w:t>
              </w:r>
            </w:hyperlink>
          </w:p>
        </w:tc>
        <w:tc>
          <w:tcPr>
            <w:tcW w:w="360" w:type="dxa"/>
            <w:vAlign w:val="bottom"/>
            <w:tcBorders>
              <w:right w:val="single" w:sz="8" w:color="auto"/>
            </w:tcBorders>
            <w:gridSpan w:val="6"/>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Borders>
              <w:bottom w:val="single" w:sz="8" w:color="0000EE"/>
            </w:tcBorders>
            <w:gridSpan w:val="29"/>
          </w:tcPr>
          <w:p>
            <w:pPr>
              <w:spacing w:after="0" w:line="209" w:lineRule="exact"/>
              <w:rPr>
                <w:rFonts w:ascii="Arial" w:cs="Arial" w:eastAsia="Arial" w:hAnsi="Arial"/>
                <w:sz w:val="20"/>
                <w:szCs w:val="20"/>
                <w:color w:val="0000EE"/>
                <w:w w:val="89"/>
              </w:rPr>
            </w:pPr>
            <w:hyperlink r:id="rId186">
              <w:r>
                <w:rPr>
                  <w:rFonts w:ascii="Arial" w:cs="Arial" w:eastAsia="Arial" w:hAnsi="Arial"/>
                  <w:sz w:val="20"/>
                  <w:szCs w:val="20"/>
                  <w:color w:val="0000EE"/>
                  <w:w w:val="89"/>
                </w:rPr>
                <w:t>Life Insurance Company, The State Life Insurance</w:t>
              </w:r>
            </w:hyperlink>
          </w:p>
        </w:tc>
        <w:tc>
          <w:tcPr>
            <w:tcW w:w="160" w:type="dxa"/>
            <w:vAlign w:val="bottom"/>
            <w:tcBorders>
              <w:right w:val="single" w:sz="8" w:color="auto"/>
            </w:tcBorders>
            <w:gridSpan w:val="2"/>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Borders>
              <w:bottom w:val="single" w:sz="8" w:color="0000EE"/>
            </w:tcBorders>
            <w:gridSpan w:val="8"/>
          </w:tcPr>
          <w:p>
            <w:pPr>
              <w:spacing w:after="0" w:line="209" w:lineRule="exact"/>
              <w:rPr>
                <w:rFonts w:ascii="Arial" w:cs="Arial" w:eastAsia="Arial" w:hAnsi="Arial"/>
                <w:sz w:val="20"/>
                <w:szCs w:val="20"/>
                <w:color w:val="0000EE"/>
                <w:w w:val="89"/>
              </w:rPr>
            </w:pPr>
            <w:hyperlink r:id="rId186">
              <w:r>
                <w:rPr>
                  <w:rFonts w:ascii="Arial" w:cs="Arial" w:eastAsia="Arial" w:hAnsi="Arial"/>
                  <w:sz w:val="20"/>
                  <w:szCs w:val="20"/>
                  <w:color w:val="0000EE"/>
                  <w:w w:val="89"/>
                </w:rPr>
                <w:t>Company, Pioneer Mutual Life Insurance</w:t>
              </w:r>
            </w:hyperlink>
          </w:p>
        </w:tc>
        <w:tc>
          <w:tcPr>
            <w:tcW w:w="880" w:type="dxa"/>
            <w:vAlign w:val="bottom"/>
            <w:tcBorders>
              <w:right w:val="single" w:sz="8" w:color="auto"/>
            </w:tcBorders>
            <w:gridSpan w:val="23"/>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1"/>
          </w:tcPr>
          <w:p>
            <w:pPr>
              <w:spacing w:after="0" w:line="209" w:lineRule="exact"/>
              <w:rPr>
                <w:rFonts w:ascii="Arial" w:cs="Arial" w:eastAsia="Arial" w:hAnsi="Arial"/>
                <w:sz w:val="20"/>
                <w:szCs w:val="20"/>
                <w:color w:val="0000EE"/>
              </w:rPr>
            </w:pPr>
            <w:hyperlink r:id="rId186">
              <w:r>
                <w:rPr>
                  <w:rFonts w:ascii="Arial" w:cs="Arial" w:eastAsia="Arial" w:hAnsi="Arial"/>
                  <w:sz w:val="20"/>
                  <w:szCs w:val="20"/>
                  <w:color w:val="0000EE"/>
                </w:rPr>
                <w:t>Company, MONY Life Insurance Company</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4.10</w:t>
            </w:r>
          </w:p>
        </w:tc>
        <w:tc>
          <w:tcPr>
            <w:tcW w:w="120" w:type="dxa"/>
            <w:vAlign w:val="bottom"/>
          </w:tcPr>
          <w:p>
            <w:pPr>
              <w:spacing w:after="0"/>
              <w:rPr>
                <w:sz w:val="15"/>
                <w:szCs w:val="15"/>
                <w:color w:val="auto"/>
              </w:rPr>
            </w:pPr>
          </w:p>
        </w:tc>
        <w:tc>
          <w:tcPr>
            <w:tcW w:w="4160" w:type="dxa"/>
            <w:vAlign w:val="bottom"/>
            <w:tcBorders>
              <w:right w:val="single" w:sz="8" w:color="auto"/>
            </w:tcBorders>
            <w:gridSpan w:val="31"/>
          </w:tcPr>
          <w:p>
            <w:pPr>
              <w:spacing w:after="0" w:line="183" w:lineRule="exact"/>
              <w:rPr>
                <w:rFonts w:ascii="Arial" w:cs="Arial" w:eastAsia="Arial" w:hAnsi="Arial"/>
                <w:sz w:val="20"/>
                <w:szCs w:val="20"/>
                <w:color w:val="0000EE"/>
                <w:w w:val="98"/>
              </w:rPr>
            </w:pPr>
            <w:hyperlink r:id="rId187">
              <w:r>
                <w:rPr>
                  <w:rFonts w:ascii="Arial" w:cs="Arial" w:eastAsia="Arial" w:hAnsi="Arial"/>
                  <w:sz w:val="20"/>
                  <w:szCs w:val="20"/>
                  <w:color w:val="0000EE"/>
                  <w:w w:val="98"/>
                </w:rPr>
                <w:t>Note Purchase Agreement, dated November 3,</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vMerge w:val="continue"/>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0" w:type="dxa"/>
            <w:vAlign w:val="bottom"/>
            <w:gridSpan w:val="25"/>
            <w:vMerge w:val="restart"/>
          </w:tcPr>
          <w:p>
            <w:pPr>
              <w:spacing w:after="0" w:line="209" w:lineRule="exact"/>
              <w:rPr>
                <w:rFonts w:ascii="Arial" w:cs="Arial" w:eastAsia="Arial" w:hAnsi="Arial"/>
                <w:sz w:val="20"/>
                <w:szCs w:val="20"/>
                <w:color w:val="0000EE"/>
                <w:w w:val="89"/>
              </w:rPr>
            </w:pPr>
            <w:hyperlink r:id="rId187">
              <w:r>
                <w:rPr>
                  <w:rFonts w:ascii="Arial" w:cs="Arial" w:eastAsia="Arial" w:hAnsi="Arial"/>
                  <w:sz w:val="20"/>
                  <w:szCs w:val="20"/>
                  <w:color w:val="0000EE"/>
                  <w:w w:val="89"/>
                </w:rPr>
                <w:t>2016, by and among Aqua America Inc. and the</w:t>
              </w:r>
            </w:hyperlink>
          </w:p>
        </w:tc>
        <w:tc>
          <w:tcPr>
            <w:tcW w:w="360" w:type="dxa"/>
            <w:vAlign w:val="bottom"/>
            <w:tcBorders>
              <w:right w:val="single" w:sz="8" w:color="auto"/>
            </w:tcBorders>
            <w:gridSpan w:val="6"/>
            <w:vMerge w:val="restart"/>
          </w:tcPr>
          <w:p>
            <w:pPr>
              <w:spacing w:after="0"/>
              <w:rPr>
                <w:sz w:val="9"/>
                <w:szCs w:val="9"/>
                <w:color w:val="auto"/>
              </w:rPr>
            </w:pPr>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4.13</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0" w:type="dxa"/>
            <w:vAlign w:val="bottom"/>
            <w:tcBorders>
              <w:bottom w:val="single" w:sz="8" w:color="0000EE"/>
            </w:tcBorders>
            <w:gridSpan w:val="25"/>
            <w:vMerge w:val="continue"/>
          </w:tcPr>
          <w:p>
            <w:pPr>
              <w:spacing w:after="0"/>
              <w:rPr>
                <w:sz w:val="8"/>
                <w:szCs w:val="8"/>
                <w:color w:val="auto"/>
              </w:rPr>
            </w:pPr>
          </w:p>
        </w:tc>
        <w:tc>
          <w:tcPr>
            <w:tcW w:w="360" w:type="dxa"/>
            <w:vAlign w:val="bottom"/>
            <w:tcBorders>
              <w:right w:val="single" w:sz="8" w:color="auto"/>
            </w:tcBorders>
            <w:gridSpan w:val="6"/>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31"/>
            <w:vMerge w:val="restart"/>
          </w:tcPr>
          <w:p>
            <w:pPr>
              <w:spacing w:after="0" w:line="209" w:lineRule="exact"/>
              <w:rPr>
                <w:rFonts w:ascii="Arial" w:cs="Arial" w:eastAsia="Arial" w:hAnsi="Arial"/>
                <w:sz w:val="20"/>
                <w:szCs w:val="20"/>
                <w:color w:val="0000EE"/>
              </w:rPr>
            </w:pPr>
            <w:hyperlink r:id="rId187">
              <w:r>
                <w:rPr>
                  <w:rFonts w:ascii="Arial" w:cs="Arial" w:eastAsia="Arial" w:hAnsi="Arial"/>
                  <w:sz w:val="20"/>
                  <w:szCs w:val="20"/>
                  <w:color w:val="0000EE"/>
                </w:rPr>
                <w:t>note purchasers thereto</w:t>
              </w:r>
            </w:hyperlink>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31"/>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4.11</w:t>
            </w:r>
          </w:p>
        </w:tc>
        <w:tc>
          <w:tcPr>
            <w:tcW w:w="120" w:type="dxa"/>
            <w:vAlign w:val="bottom"/>
          </w:tcPr>
          <w:p>
            <w:pPr>
              <w:spacing w:after="0"/>
              <w:rPr>
                <w:sz w:val="15"/>
                <w:szCs w:val="15"/>
                <w:color w:val="auto"/>
              </w:rPr>
            </w:pPr>
          </w:p>
        </w:tc>
        <w:tc>
          <w:tcPr>
            <w:tcW w:w="4160" w:type="dxa"/>
            <w:vAlign w:val="bottom"/>
            <w:tcBorders>
              <w:right w:val="single" w:sz="8" w:color="auto"/>
            </w:tcBorders>
            <w:gridSpan w:val="31"/>
          </w:tcPr>
          <w:p>
            <w:pPr>
              <w:spacing w:after="0" w:line="183" w:lineRule="exact"/>
              <w:rPr>
                <w:rFonts w:ascii="Arial" w:cs="Arial" w:eastAsia="Arial" w:hAnsi="Arial"/>
                <w:sz w:val="20"/>
                <w:szCs w:val="20"/>
                <w:color w:val="0000EE"/>
                <w:w w:val="95"/>
              </w:rPr>
            </w:pPr>
            <w:hyperlink r:id="rId188">
              <w:r>
                <w:rPr>
                  <w:rFonts w:ascii="Arial" w:cs="Arial" w:eastAsia="Arial" w:hAnsi="Arial"/>
                  <w:sz w:val="20"/>
                  <w:szCs w:val="20"/>
                  <w:color w:val="0000EE"/>
                  <w:w w:val="95"/>
                </w:rPr>
                <w:t>Bond Purchase Agreement, dated December 15,</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top w:val="single" w:sz="8" w:color="0000EE"/>
              <w:bottom w:val="single" w:sz="8" w:color="0000EE"/>
            </w:tcBorders>
            <w:gridSpan w:val="16"/>
          </w:tcPr>
          <w:p>
            <w:pPr>
              <w:spacing w:after="0" w:line="209" w:lineRule="exact"/>
              <w:rPr>
                <w:rFonts w:ascii="Arial" w:cs="Arial" w:eastAsia="Arial" w:hAnsi="Arial"/>
                <w:sz w:val="20"/>
                <w:szCs w:val="20"/>
                <w:color w:val="0000EE"/>
                <w:w w:val="88"/>
              </w:rPr>
            </w:pPr>
            <w:hyperlink r:id="rId188">
              <w:r>
                <w:rPr>
                  <w:rFonts w:ascii="Arial" w:cs="Arial" w:eastAsia="Arial" w:hAnsi="Arial"/>
                  <w:sz w:val="20"/>
                  <w:szCs w:val="20"/>
                  <w:color w:val="0000EE"/>
                  <w:w w:val="88"/>
                </w:rPr>
                <w:t>2016 by and among Aqua Pennsylvania, Inc.,</w:t>
              </w:r>
            </w:hyperlink>
          </w:p>
        </w:tc>
        <w:tc>
          <w:tcPr>
            <w:tcW w:w="200" w:type="dxa"/>
            <w:vAlign w:val="bottom"/>
            <w:tcBorders>
              <w:top w:val="single" w:sz="8" w:color="0000EE"/>
            </w:tcBorders>
            <w:gridSpan w:val="9"/>
          </w:tcPr>
          <w:p>
            <w:pPr>
              <w:spacing w:after="0"/>
              <w:rPr>
                <w:sz w:val="18"/>
                <w:szCs w:val="18"/>
                <w:color w:val="auto"/>
              </w:rPr>
            </w:pPr>
          </w:p>
        </w:tc>
        <w:tc>
          <w:tcPr>
            <w:tcW w:w="360" w:type="dxa"/>
            <w:vAlign w:val="bottom"/>
            <w:tcBorders>
              <w:right w:val="single" w:sz="8" w:color="auto"/>
            </w:tcBorders>
            <w:gridSpan w:val="6"/>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1"/>
          </w:tcPr>
          <w:p>
            <w:pPr>
              <w:spacing w:after="0" w:line="209" w:lineRule="exact"/>
              <w:rPr>
                <w:rFonts w:ascii="Arial" w:cs="Arial" w:eastAsia="Arial" w:hAnsi="Arial"/>
                <w:sz w:val="20"/>
                <w:szCs w:val="20"/>
                <w:color w:val="0000EE"/>
                <w:w w:val="98"/>
              </w:rPr>
            </w:pPr>
            <w:hyperlink r:id="rId188">
              <w:r>
                <w:rPr>
                  <w:rFonts w:ascii="Arial" w:cs="Arial" w:eastAsia="Arial" w:hAnsi="Arial"/>
                  <w:sz w:val="20"/>
                  <w:szCs w:val="20"/>
                  <w:color w:val="0000EE"/>
                  <w:w w:val="98"/>
                </w:rPr>
                <w:t>Teachers Insurance and Annuity Association of</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Borders>
              <w:top w:val="single" w:sz="8" w:color="0000EE"/>
              <w:bottom w:val="single" w:sz="8" w:color="0000EE"/>
            </w:tcBorders>
            <w:gridSpan w:val="18"/>
          </w:tcPr>
          <w:p>
            <w:pPr>
              <w:spacing w:after="0" w:line="209" w:lineRule="exact"/>
              <w:rPr>
                <w:rFonts w:ascii="Arial" w:cs="Arial" w:eastAsia="Arial" w:hAnsi="Arial"/>
                <w:sz w:val="20"/>
                <w:szCs w:val="20"/>
                <w:color w:val="0000EE"/>
                <w:w w:val="90"/>
              </w:rPr>
            </w:pPr>
            <w:hyperlink r:id="rId188">
              <w:r>
                <w:rPr>
                  <w:rFonts w:ascii="Arial" w:cs="Arial" w:eastAsia="Arial" w:hAnsi="Arial"/>
                  <w:sz w:val="20"/>
                  <w:szCs w:val="20"/>
                  <w:color w:val="0000EE"/>
                  <w:w w:val="90"/>
                </w:rPr>
                <w:t>America, New York Life Insurance Company,</w:t>
              </w:r>
            </w:hyperlink>
          </w:p>
        </w:tc>
        <w:tc>
          <w:tcPr>
            <w:tcW w:w="100" w:type="dxa"/>
            <w:vAlign w:val="bottom"/>
            <w:tcBorders>
              <w:top w:val="single" w:sz="8" w:color="0000EE"/>
            </w:tcBorders>
            <w:gridSpan w:val="4"/>
          </w:tcPr>
          <w:p>
            <w:pPr>
              <w:spacing w:after="0"/>
              <w:rPr>
                <w:sz w:val="18"/>
                <w:szCs w:val="18"/>
                <w:color w:val="auto"/>
              </w:rPr>
            </w:pPr>
          </w:p>
        </w:tc>
        <w:tc>
          <w:tcPr>
            <w:tcW w:w="420" w:type="dxa"/>
            <w:vAlign w:val="bottom"/>
            <w:tcBorders>
              <w:right w:val="single" w:sz="8" w:color="auto"/>
            </w:tcBorders>
            <w:gridSpan w:val="9"/>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Borders>
              <w:bottom w:val="single" w:sz="8" w:color="0000EE"/>
            </w:tcBorders>
            <w:gridSpan w:val="5"/>
          </w:tcPr>
          <w:p>
            <w:pPr>
              <w:spacing w:after="0" w:line="209" w:lineRule="exact"/>
              <w:rPr>
                <w:rFonts w:ascii="Arial" w:cs="Arial" w:eastAsia="Arial" w:hAnsi="Arial"/>
                <w:sz w:val="20"/>
                <w:szCs w:val="20"/>
                <w:color w:val="0000EE"/>
                <w:w w:val="91"/>
              </w:rPr>
            </w:pPr>
            <w:hyperlink r:id="rId188">
              <w:r>
                <w:rPr>
                  <w:rFonts w:ascii="Arial" w:cs="Arial" w:eastAsia="Arial" w:hAnsi="Arial"/>
                  <w:sz w:val="20"/>
                  <w:szCs w:val="20"/>
                  <w:color w:val="0000EE"/>
                  <w:w w:val="91"/>
                </w:rPr>
                <w:t>New York Life Insurance and Annuity</w:t>
              </w:r>
            </w:hyperlink>
          </w:p>
        </w:tc>
        <w:tc>
          <w:tcPr>
            <w:tcW w:w="1120" w:type="dxa"/>
            <w:vAlign w:val="bottom"/>
            <w:tcBorders>
              <w:right w:val="single" w:sz="8" w:color="auto"/>
            </w:tcBorders>
            <w:gridSpan w:val="26"/>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Borders>
              <w:bottom w:val="single" w:sz="8" w:color="0000EE"/>
            </w:tcBorders>
            <w:gridSpan w:val="9"/>
          </w:tcPr>
          <w:p>
            <w:pPr>
              <w:spacing w:after="0" w:line="209" w:lineRule="exact"/>
              <w:rPr>
                <w:rFonts w:ascii="Arial" w:cs="Arial" w:eastAsia="Arial" w:hAnsi="Arial"/>
                <w:sz w:val="20"/>
                <w:szCs w:val="20"/>
                <w:color w:val="0000EE"/>
                <w:w w:val="89"/>
              </w:rPr>
            </w:pPr>
            <w:hyperlink r:id="rId188">
              <w:r>
                <w:rPr>
                  <w:rFonts w:ascii="Arial" w:cs="Arial" w:eastAsia="Arial" w:hAnsi="Arial"/>
                  <w:sz w:val="20"/>
                  <w:szCs w:val="20"/>
                  <w:color w:val="0000EE"/>
                  <w:w w:val="89"/>
                </w:rPr>
                <w:t>Corporation, John Hancock Life Insurance</w:t>
              </w:r>
            </w:hyperlink>
          </w:p>
        </w:tc>
        <w:tc>
          <w:tcPr>
            <w:tcW w:w="780" w:type="dxa"/>
            <w:vAlign w:val="bottom"/>
            <w:tcBorders>
              <w:right w:val="single" w:sz="8" w:color="auto"/>
            </w:tcBorders>
            <w:gridSpan w:val="22"/>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540" w:type="dxa"/>
            <w:vAlign w:val="bottom"/>
            <w:gridSpan w:val="14"/>
            <w:vMerge w:val="restart"/>
          </w:tcPr>
          <w:p>
            <w:pPr>
              <w:spacing w:after="0" w:line="209" w:lineRule="exact"/>
              <w:rPr>
                <w:rFonts w:ascii="Arial" w:cs="Arial" w:eastAsia="Arial" w:hAnsi="Arial"/>
                <w:sz w:val="20"/>
                <w:szCs w:val="20"/>
                <w:color w:val="0000EE"/>
                <w:w w:val="91"/>
              </w:rPr>
            </w:pPr>
            <w:hyperlink r:id="rId188">
              <w:r>
                <w:rPr>
                  <w:rFonts w:ascii="Arial" w:cs="Arial" w:eastAsia="Arial" w:hAnsi="Arial"/>
                  <w:sz w:val="20"/>
                  <w:szCs w:val="20"/>
                  <w:color w:val="0000EE"/>
                  <w:w w:val="91"/>
                </w:rPr>
                <w:t>Company, American Equity Investment Life</w:t>
              </w:r>
            </w:hyperlink>
          </w:p>
        </w:tc>
        <w:tc>
          <w:tcPr>
            <w:tcW w:w="620" w:type="dxa"/>
            <w:vAlign w:val="bottom"/>
            <w:tcBorders>
              <w:right w:val="single" w:sz="8" w:color="auto"/>
            </w:tcBorders>
            <w:gridSpan w:val="17"/>
            <w:vMerge w:val="restart"/>
          </w:tcPr>
          <w:p>
            <w:pPr>
              <w:spacing w:after="0"/>
              <w:rPr>
                <w:sz w:val="9"/>
                <w:szCs w:val="9"/>
                <w:color w:val="auto"/>
              </w:rPr>
            </w:pPr>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4.14</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540" w:type="dxa"/>
            <w:vAlign w:val="bottom"/>
            <w:tcBorders>
              <w:bottom w:val="single" w:sz="8" w:color="0000EE"/>
            </w:tcBorders>
            <w:gridSpan w:val="14"/>
            <w:vMerge w:val="continue"/>
          </w:tcPr>
          <w:p>
            <w:pPr>
              <w:spacing w:after="0"/>
              <w:rPr>
                <w:sz w:val="8"/>
                <w:szCs w:val="8"/>
                <w:color w:val="auto"/>
              </w:rPr>
            </w:pPr>
          </w:p>
        </w:tc>
        <w:tc>
          <w:tcPr>
            <w:tcW w:w="620" w:type="dxa"/>
            <w:vAlign w:val="bottom"/>
            <w:tcBorders>
              <w:right w:val="single" w:sz="8" w:color="auto"/>
            </w:tcBorders>
            <w:gridSpan w:val="17"/>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80" w:type="dxa"/>
            <w:vAlign w:val="bottom"/>
            <w:gridSpan w:val="26"/>
            <w:vMerge w:val="restart"/>
          </w:tcPr>
          <w:p>
            <w:pPr>
              <w:spacing w:after="0" w:line="209" w:lineRule="exact"/>
              <w:rPr>
                <w:rFonts w:ascii="Arial" w:cs="Arial" w:eastAsia="Arial" w:hAnsi="Arial"/>
                <w:sz w:val="20"/>
                <w:szCs w:val="20"/>
                <w:color w:val="0000EE"/>
                <w:w w:val="90"/>
              </w:rPr>
            </w:pPr>
            <w:hyperlink r:id="rId188">
              <w:r>
                <w:rPr>
                  <w:rFonts w:ascii="Arial" w:cs="Arial" w:eastAsia="Arial" w:hAnsi="Arial"/>
                  <w:sz w:val="20"/>
                  <w:szCs w:val="20"/>
                  <w:color w:val="0000EE"/>
                  <w:w w:val="90"/>
                </w:rPr>
                <w:t>Insurance Company, Genworth Life and Annuity</w:t>
              </w:r>
            </w:hyperlink>
          </w:p>
        </w:tc>
        <w:tc>
          <w:tcPr>
            <w:tcW w:w="280" w:type="dxa"/>
            <w:vAlign w:val="bottom"/>
            <w:tcBorders>
              <w:right w:val="single" w:sz="8" w:color="auto"/>
            </w:tcBorders>
            <w:gridSpan w:val="5"/>
            <w:vMerge w:val="restart"/>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80" w:type="dxa"/>
            <w:vAlign w:val="bottom"/>
            <w:tcBorders>
              <w:bottom w:val="single" w:sz="8" w:color="0000EE"/>
            </w:tcBorders>
            <w:gridSpan w:val="26"/>
            <w:vMerge w:val="continue"/>
          </w:tcPr>
          <w:p>
            <w:pPr>
              <w:spacing w:after="0"/>
              <w:rPr>
                <w:sz w:val="6"/>
                <w:szCs w:val="6"/>
                <w:color w:val="auto"/>
              </w:rPr>
            </w:pPr>
          </w:p>
        </w:tc>
        <w:tc>
          <w:tcPr>
            <w:tcW w:w="280" w:type="dxa"/>
            <w:vAlign w:val="bottom"/>
            <w:tcBorders>
              <w:right w:val="single" w:sz="8" w:color="auto"/>
            </w:tcBorders>
            <w:gridSpan w:val="5"/>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Borders>
              <w:bottom w:val="single" w:sz="8" w:color="0000EE"/>
            </w:tcBorders>
            <w:gridSpan w:val="13"/>
          </w:tcPr>
          <w:p>
            <w:pPr>
              <w:spacing w:after="0" w:line="209" w:lineRule="exact"/>
              <w:rPr>
                <w:rFonts w:ascii="Arial" w:cs="Arial" w:eastAsia="Arial" w:hAnsi="Arial"/>
                <w:sz w:val="20"/>
                <w:szCs w:val="20"/>
                <w:color w:val="0000EE"/>
                <w:w w:val="88"/>
              </w:rPr>
            </w:pPr>
            <w:hyperlink r:id="rId188">
              <w:r>
                <w:rPr>
                  <w:rFonts w:ascii="Arial" w:cs="Arial" w:eastAsia="Arial" w:hAnsi="Arial"/>
                  <w:sz w:val="20"/>
                  <w:szCs w:val="20"/>
                  <w:color w:val="0000EE"/>
                  <w:w w:val="88"/>
                </w:rPr>
                <w:t>Insurance Company, Phoenix Life Insurance</w:t>
              </w:r>
            </w:hyperlink>
          </w:p>
        </w:tc>
        <w:tc>
          <w:tcPr>
            <w:tcW w:w="640" w:type="dxa"/>
            <w:vAlign w:val="bottom"/>
            <w:tcBorders>
              <w:right w:val="single" w:sz="8" w:color="auto"/>
            </w:tcBorders>
            <w:gridSpan w:val="18"/>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1"/>
          </w:tcPr>
          <w:p>
            <w:pPr>
              <w:spacing w:after="0" w:line="209" w:lineRule="exact"/>
              <w:rPr>
                <w:rFonts w:ascii="Arial" w:cs="Arial" w:eastAsia="Arial" w:hAnsi="Arial"/>
                <w:sz w:val="20"/>
                <w:szCs w:val="20"/>
                <w:color w:val="0000EE"/>
              </w:rPr>
            </w:pPr>
            <w:hyperlink r:id="rId188">
              <w:r>
                <w:rPr>
                  <w:rFonts w:ascii="Arial" w:cs="Arial" w:eastAsia="Arial" w:hAnsi="Arial"/>
                  <w:sz w:val="20"/>
                  <w:szCs w:val="20"/>
                  <w:color w:val="0000EE"/>
                </w:rPr>
                <w:t>Company, PHL Variable Insurance Company,</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Borders>
              <w:bottom w:val="single" w:sz="8" w:color="0000EE"/>
            </w:tcBorders>
            <w:gridSpan w:val="24"/>
          </w:tcPr>
          <w:p>
            <w:pPr>
              <w:spacing w:after="0" w:line="209" w:lineRule="exact"/>
              <w:rPr>
                <w:rFonts w:ascii="Arial" w:cs="Arial" w:eastAsia="Arial" w:hAnsi="Arial"/>
                <w:sz w:val="20"/>
                <w:szCs w:val="20"/>
                <w:color w:val="0000EE"/>
                <w:w w:val="90"/>
              </w:rPr>
            </w:pPr>
            <w:hyperlink r:id="rId188">
              <w:r>
                <w:rPr>
                  <w:rFonts w:ascii="Arial" w:cs="Arial" w:eastAsia="Arial" w:hAnsi="Arial"/>
                  <w:sz w:val="20"/>
                  <w:szCs w:val="20"/>
                  <w:color w:val="0000EE"/>
                  <w:w w:val="90"/>
                </w:rPr>
                <w:t>American United Life Insurance Company, The</w:t>
              </w:r>
            </w:hyperlink>
          </w:p>
        </w:tc>
        <w:tc>
          <w:tcPr>
            <w:tcW w:w="380" w:type="dxa"/>
            <w:vAlign w:val="bottom"/>
            <w:tcBorders>
              <w:right w:val="single" w:sz="8" w:color="auto"/>
            </w:tcBorders>
            <w:gridSpan w:val="7"/>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bottom w:val="single" w:sz="8" w:color="0000EE"/>
            </w:tcBorders>
            <w:gridSpan w:val="11"/>
          </w:tcPr>
          <w:p>
            <w:pPr>
              <w:spacing w:after="0" w:line="209" w:lineRule="exact"/>
              <w:rPr>
                <w:rFonts w:ascii="Arial" w:cs="Arial" w:eastAsia="Arial" w:hAnsi="Arial"/>
                <w:sz w:val="20"/>
                <w:szCs w:val="20"/>
                <w:color w:val="0000EE"/>
                <w:w w:val="88"/>
              </w:rPr>
            </w:pPr>
            <w:hyperlink r:id="rId188">
              <w:r>
                <w:rPr>
                  <w:rFonts w:ascii="Arial" w:cs="Arial" w:eastAsia="Arial" w:hAnsi="Arial"/>
                  <w:sz w:val="20"/>
                  <w:szCs w:val="20"/>
                  <w:color w:val="0000EE"/>
                  <w:w w:val="88"/>
                </w:rPr>
                <w:t>State Life Insurance Company, and Pioneer</w:t>
              </w:r>
            </w:hyperlink>
          </w:p>
        </w:tc>
        <w:tc>
          <w:tcPr>
            <w:tcW w:w="720" w:type="dxa"/>
            <w:vAlign w:val="bottom"/>
            <w:tcBorders>
              <w:right w:val="single" w:sz="8" w:color="auto"/>
            </w:tcBorders>
            <w:gridSpan w:val="20"/>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1"/>
          </w:tcPr>
          <w:p>
            <w:pPr>
              <w:spacing w:after="0" w:line="209" w:lineRule="exact"/>
              <w:rPr>
                <w:rFonts w:ascii="Arial" w:cs="Arial" w:eastAsia="Arial" w:hAnsi="Arial"/>
                <w:sz w:val="20"/>
                <w:szCs w:val="20"/>
                <w:color w:val="0000EE"/>
              </w:rPr>
            </w:pPr>
            <w:hyperlink r:id="rId188">
              <w:r>
                <w:rPr>
                  <w:rFonts w:ascii="Arial" w:cs="Arial" w:eastAsia="Arial" w:hAnsi="Arial"/>
                  <w:sz w:val="20"/>
                  <w:szCs w:val="20"/>
                  <w:color w:val="0000EE"/>
                </w:rPr>
                <w:t>Mutual Life Insurance Company</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4.12</w:t>
            </w:r>
          </w:p>
        </w:tc>
        <w:tc>
          <w:tcPr>
            <w:tcW w:w="120" w:type="dxa"/>
            <w:vAlign w:val="bottom"/>
          </w:tcPr>
          <w:p>
            <w:pPr>
              <w:spacing w:after="0"/>
              <w:rPr>
                <w:sz w:val="15"/>
                <w:szCs w:val="15"/>
                <w:color w:val="auto"/>
              </w:rPr>
            </w:pPr>
          </w:p>
        </w:tc>
        <w:tc>
          <w:tcPr>
            <w:tcW w:w="4020" w:type="dxa"/>
            <w:vAlign w:val="bottom"/>
            <w:tcBorders>
              <w:bottom w:val="single" w:sz="8" w:color="0000EE"/>
            </w:tcBorders>
            <w:gridSpan w:val="30"/>
          </w:tcPr>
          <w:p>
            <w:pPr>
              <w:spacing w:after="0" w:line="183" w:lineRule="exact"/>
              <w:rPr>
                <w:rFonts w:ascii="Arial" w:cs="Arial" w:eastAsia="Arial" w:hAnsi="Arial"/>
                <w:sz w:val="20"/>
                <w:szCs w:val="20"/>
                <w:color w:val="0000EE"/>
                <w:w w:val="88"/>
              </w:rPr>
            </w:pPr>
            <w:hyperlink r:id="rId189">
              <w:r>
                <w:rPr>
                  <w:rFonts w:ascii="Arial" w:cs="Arial" w:eastAsia="Arial" w:hAnsi="Arial"/>
                  <w:sz w:val="20"/>
                  <w:szCs w:val="20"/>
                  <w:color w:val="0000EE"/>
                  <w:w w:val="88"/>
                </w:rPr>
                <w:t>Bond Purchase Agreement, dated July 10, 2017 by</w:t>
              </w:r>
            </w:hyperlink>
          </w:p>
        </w:tc>
        <w:tc>
          <w:tcPr>
            <w:tcW w:w="1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November 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gridSpan w:val="28"/>
            <w:vMerge w:val="restart"/>
          </w:tcPr>
          <w:p>
            <w:pPr>
              <w:spacing w:after="0" w:line="209" w:lineRule="exact"/>
              <w:rPr>
                <w:rFonts w:ascii="Arial" w:cs="Arial" w:eastAsia="Arial" w:hAnsi="Arial"/>
                <w:sz w:val="20"/>
                <w:szCs w:val="20"/>
                <w:color w:val="0000EE"/>
                <w:w w:val="89"/>
              </w:rPr>
            </w:pPr>
            <w:hyperlink r:id="rId189">
              <w:r>
                <w:rPr>
                  <w:rFonts w:ascii="Arial" w:cs="Arial" w:eastAsia="Arial" w:hAnsi="Arial"/>
                  <w:sz w:val="20"/>
                  <w:szCs w:val="20"/>
                  <w:color w:val="0000EE"/>
                  <w:w w:val="89"/>
                </w:rPr>
                <w:t>and among Aqua Illinois, Inc., Teachers Insurance</w:t>
              </w:r>
            </w:hyperlink>
          </w:p>
        </w:tc>
        <w:tc>
          <w:tcPr>
            <w:tcW w:w="180" w:type="dxa"/>
            <w:vAlign w:val="bottom"/>
            <w:tcBorders>
              <w:right w:val="single" w:sz="8" w:color="auto"/>
            </w:tcBorders>
            <w:gridSpan w:val="3"/>
            <w:vMerge w:val="restart"/>
          </w:tcPr>
          <w:p>
            <w:pPr>
              <w:spacing w:after="0"/>
              <w:rPr>
                <w:sz w:val="9"/>
                <w:szCs w:val="9"/>
                <w:color w:val="auto"/>
              </w:rPr>
            </w:pPr>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4.1</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980" w:type="dxa"/>
            <w:vAlign w:val="bottom"/>
            <w:tcBorders>
              <w:bottom w:val="single" w:sz="8" w:color="0000EE"/>
            </w:tcBorders>
            <w:gridSpan w:val="28"/>
            <w:vMerge w:val="continue"/>
          </w:tcPr>
          <w:p>
            <w:pPr>
              <w:spacing w:after="0"/>
              <w:rPr>
                <w:sz w:val="8"/>
                <w:szCs w:val="8"/>
                <w:color w:val="auto"/>
              </w:rPr>
            </w:pPr>
          </w:p>
        </w:tc>
        <w:tc>
          <w:tcPr>
            <w:tcW w:w="180" w:type="dxa"/>
            <w:vAlign w:val="bottom"/>
            <w:tcBorders>
              <w:right w:val="single" w:sz="8" w:color="auto"/>
            </w:tcBorders>
            <w:gridSpan w:val="3"/>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31"/>
            <w:vMerge w:val="restart"/>
          </w:tcPr>
          <w:p>
            <w:pPr>
              <w:spacing w:after="0" w:line="209" w:lineRule="exact"/>
              <w:rPr>
                <w:rFonts w:ascii="Arial" w:cs="Arial" w:eastAsia="Arial" w:hAnsi="Arial"/>
                <w:sz w:val="20"/>
                <w:szCs w:val="20"/>
                <w:color w:val="0000EE"/>
              </w:rPr>
            </w:pPr>
            <w:hyperlink r:id="rId189">
              <w:r>
                <w:rPr>
                  <w:rFonts w:ascii="Arial" w:cs="Arial" w:eastAsia="Arial" w:hAnsi="Arial"/>
                  <w:sz w:val="20"/>
                  <w:szCs w:val="20"/>
                  <w:color w:val="0000EE"/>
                </w:rPr>
                <w:t>and Annuity Association of America</w:t>
              </w:r>
            </w:hyperlink>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31"/>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4.13</w:t>
            </w:r>
          </w:p>
        </w:tc>
        <w:tc>
          <w:tcPr>
            <w:tcW w:w="120" w:type="dxa"/>
            <w:vAlign w:val="bottom"/>
          </w:tcPr>
          <w:p>
            <w:pPr>
              <w:spacing w:after="0"/>
              <w:rPr>
                <w:sz w:val="15"/>
                <w:szCs w:val="15"/>
                <w:color w:val="auto"/>
              </w:rPr>
            </w:pPr>
          </w:p>
        </w:tc>
        <w:tc>
          <w:tcPr>
            <w:tcW w:w="4020" w:type="dxa"/>
            <w:vAlign w:val="bottom"/>
            <w:tcBorders>
              <w:bottom w:val="single" w:sz="8" w:color="0000EE"/>
            </w:tcBorders>
            <w:gridSpan w:val="30"/>
          </w:tcPr>
          <w:p>
            <w:pPr>
              <w:spacing w:after="0" w:line="183" w:lineRule="exact"/>
              <w:rPr>
                <w:rFonts w:ascii="Arial" w:cs="Arial" w:eastAsia="Arial" w:hAnsi="Arial"/>
                <w:sz w:val="20"/>
                <w:szCs w:val="20"/>
                <w:color w:val="0000EE"/>
                <w:w w:val="88"/>
              </w:rPr>
            </w:pPr>
            <w:hyperlink r:id="rId190">
              <w:r>
                <w:rPr>
                  <w:rFonts w:ascii="Arial" w:cs="Arial" w:eastAsia="Arial" w:hAnsi="Arial"/>
                  <w:sz w:val="20"/>
                  <w:szCs w:val="20"/>
                  <w:color w:val="0000EE"/>
                  <w:w w:val="88"/>
                </w:rPr>
                <w:t>Bond Purchase Agreement, dated July 20, 2017 by</w:t>
              </w:r>
            </w:hyperlink>
          </w:p>
        </w:tc>
        <w:tc>
          <w:tcPr>
            <w:tcW w:w="1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1"/>
          </w:tcPr>
          <w:p>
            <w:pPr>
              <w:spacing w:after="0" w:line="209" w:lineRule="exact"/>
              <w:rPr>
                <w:rFonts w:ascii="Arial" w:cs="Arial" w:eastAsia="Arial" w:hAnsi="Arial"/>
                <w:sz w:val="20"/>
                <w:szCs w:val="20"/>
                <w:color w:val="0000EE"/>
                <w:w w:val="98"/>
              </w:rPr>
            </w:pPr>
            <w:hyperlink r:id="rId190">
              <w:r>
                <w:rPr>
                  <w:rFonts w:ascii="Arial" w:cs="Arial" w:eastAsia="Arial" w:hAnsi="Arial"/>
                  <w:sz w:val="20"/>
                  <w:szCs w:val="20"/>
                  <w:color w:val="0000EE"/>
                  <w:w w:val="98"/>
                </w:rPr>
                <w:t>and among Aqua Pennsylvania, Inc., New York</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Borders>
              <w:top w:val="single" w:sz="8" w:color="0000EE"/>
              <w:bottom w:val="single" w:sz="8" w:color="0000EE"/>
            </w:tcBorders>
            <w:gridSpan w:val="7"/>
          </w:tcPr>
          <w:p>
            <w:pPr>
              <w:spacing w:after="0" w:line="209" w:lineRule="exact"/>
              <w:rPr>
                <w:rFonts w:ascii="Arial" w:cs="Arial" w:eastAsia="Arial" w:hAnsi="Arial"/>
                <w:sz w:val="20"/>
                <w:szCs w:val="20"/>
                <w:color w:val="0000EE"/>
                <w:w w:val="91"/>
              </w:rPr>
            </w:pPr>
            <w:hyperlink r:id="rId190">
              <w:r>
                <w:rPr>
                  <w:rFonts w:ascii="Arial" w:cs="Arial" w:eastAsia="Arial" w:hAnsi="Arial"/>
                  <w:sz w:val="20"/>
                  <w:szCs w:val="20"/>
                  <w:color w:val="0000EE"/>
                  <w:w w:val="91"/>
                </w:rPr>
                <w:t>Life Insurance Company, New York Life</w:t>
              </w:r>
            </w:hyperlink>
          </w:p>
        </w:tc>
        <w:tc>
          <w:tcPr>
            <w:tcW w:w="520" w:type="dxa"/>
            <w:vAlign w:val="bottom"/>
            <w:tcBorders>
              <w:top w:val="single" w:sz="8" w:color="0000EE"/>
            </w:tcBorders>
            <w:gridSpan w:val="16"/>
          </w:tcPr>
          <w:p>
            <w:pPr>
              <w:spacing w:after="0"/>
              <w:rPr>
                <w:sz w:val="18"/>
                <w:szCs w:val="18"/>
                <w:color w:val="auto"/>
              </w:rPr>
            </w:pPr>
          </w:p>
        </w:tc>
        <w:tc>
          <w:tcPr>
            <w:tcW w:w="400" w:type="dxa"/>
            <w:vAlign w:val="bottom"/>
            <w:tcBorders>
              <w:right w:val="single" w:sz="8" w:color="auto"/>
            </w:tcBorders>
            <w:gridSpan w:val="8"/>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Borders>
              <w:bottom w:val="single" w:sz="8" w:color="0000EE"/>
            </w:tcBorders>
            <w:gridSpan w:val="21"/>
          </w:tcPr>
          <w:p>
            <w:pPr>
              <w:spacing w:after="0" w:line="209" w:lineRule="exact"/>
              <w:rPr>
                <w:rFonts w:ascii="Arial" w:cs="Arial" w:eastAsia="Arial" w:hAnsi="Arial"/>
                <w:sz w:val="20"/>
                <w:szCs w:val="20"/>
                <w:color w:val="0000EE"/>
                <w:w w:val="90"/>
              </w:rPr>
            </w:pPr>
            <w:hyperlink r:id="rId190">
              <w:r>
                <w:rPr>
                  <w:rFonts w:ascii="Arial" w:cs="Arial" w:eastAsia="Arial" w:hAnsi="Arial"/>
                  <w:sz w:val="20"/>
                  <w:szCs w:val="20"/>
                  <w:color w:val="0000EE"/>
                  <w:w w:val="90"/>
                </w:rPr>
                <w:t>Insurance and Annuity Corporation, New York</w:t>
              </w:r>
            </w:hyperlink>
          </w:p>
        </w:tc>
        <w:tc>
          <w:tcPr>
            <w:tcW w:w="440" w:type="dxa"/>
            <w:vAlign w:val="bottom"/>
            <w:tcBorders>
              <w:right w:val="single" w:sz="8" w:color="auto"/>
            </w:tcBorders>
            <w:gridSpan w:val="10"/>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November 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160" w:type="dxa"/>
            <w:vAlign w:val="bottom"/>
            <w:tcBorders>
              <w:right w:val="single" w:sz="8" w:color="auto"/>
            </w:tcBorders>
            <w:gridSpan w:val="31"/>
            <w:vMerge w:val="restart"/>
          </w:tcPr>
          <w:p>
            <w:pPr>
              <w:spacing w:after="0" w:line="209" w:lineRule="exact"/>
              <w:rPr>
                <w:rFonts w:ascii="Arial" w:cs="Arial" w:eastAsia="Arial" w:hAnsi="Arial"/>
                <w:sz w:val="20"/>
                <w:szCs w:val="20"/>
                <w:color w:val="0000EE"/>
              </w:rPr>
            </w:pPr>
            <w:hyperlink r:id="rId190">
              <w:r>
                <w:rPr>
                  <w:rFonts w:ascii="Arial" w:cs="Arial" w:eastAsia="Arial" w:hAnsi="Arial"/>
                  <w:sz w:val="20"/>
                  <w:szCs w:val="20"/>
                  <w:color w:val="0000EE"/>
                </w:rPr>
                <w:t>Life Insurance and Annuity Corporation</w:t>
              </w:r>
            </w:hyperlink>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4.2</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tcBorders>
              <w:right w:val="single" w:sz="8" w:color="auto"/>
            </w:tcBorders>
            <w:gridSpan w:val="31"/>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vMerge w:val="continue"/>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80" w:type="dxa"/>
            <w:vAlign w:val="bottom"/>
            <w:gridSpan w:val="19"/>
            <w:vMerge w:val="restart"/>
          </w:tcPr>
          <w:p>
            <w:pPr>
              <w:spacing w:after="0" w:line="209" w:lineRule="exact"/>
              <w:rPr>
                <w:rFonts w:ascii="Arial" w:cs="Arial" w:eastAsia="Arial" w:hAnsi="Arial"/>
                <w:sz w:val="20"/>
                <w:szCs w:val="20"/>
                <w:color w:val="0000EE"/>
                <w:w w:val="90"/>
              </w:rPr>
            </w:pPr>
            <w:hyperlink r:id="rId190">
              <w:r>
                <w:rPr>
                  <w:rFonts w:ascii="Arial" w:cs="Arial" w:eastAsia="Arial" w:hAnsi="Arial"/>
                  <w:sz w:val="20"/>
                  <w:szCs w:val="20"/>
                  <w:color w:val="0000EE"/>
                  <w:w w:val="90"/>
                </w:rPr>
                <w:t>Institutionally Owned Life Insurance Separate</w:t>
              </w:r>
            </w:hyperlink>
          </w:p>
        </w:tc>
        <w:tc>
          <w:tcPr>
            <w:tcW w:w="480" w:type="dxa"/>
            <w:vAlign w:val="bottom"/>
            <w:tcBorders>
              <w:right w:val="single" w:sz="8" w:color="auto"/>
            </w:tcBorders>
            <w:gridSpan w:val="12"/>
            <w:vMerge w:val="restart"/>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80" w:type="dxa"/>
            <w:vAlign w:val="bottom"/>
            <w:tcBorders>
              <w:bottom w:val="single" w:sz="8" w:color="0000EE"/>
            </w:tcBorders>
            <w:gridSpan w:val="19"/>
            <w:vMerge w:val="continue"/>
          </w:tcPr>
          <w:p>
            <w:pPr>
              <w:spacing w:after="0"/>
              <w:rPr>
                <w:sz w:val="6"/>
                <w:szCs w:val="6"/>
                <w:color w:val="auto"/>
              </w:rPr>
            </w:pPr>
          </w:p>
        </w:tc>
        <w:tc>
          <w:tcPr>
            <w:tcW w:w="480" w:type="dxa"/>
            <w:vAlign w:val="bottom"/>
            <w:tcBorders>
              <w:right w:val="single" w:sz="8" w:color="auto"/>
            </w:tcBorders>
            <w:gridSpan w:val="1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Borders>
              <w:bottom w:val="single" w:sz="8" w:color="0000EE"/>
            </w:tcBorders>
            <w:gridSpan w:val="27"/>
          </w:tcPr>
          <w:p>
            <w:pPr>
              <w:spacing w:after="0" w:line="209" w:lineRule="exact"/>
              <w:rPr>
                <w:rFonts w:ascii="Arial" w:cs="Arial" w:eastAsia="Arial" w:hAnsi="Arial"/>
                <w:sz w:val="20"/>
                <w:szCs w:val="20"/>
                <w:color w:val="0000EE"/>
                <w:w w:val="92"/>
              </w:rPr>
            </w:pPr>
            <w:hyperlink r:id="rId190">
              <w:r>
                <w:rPr>
                  <w:rFonts w:ascii="Arial" w:cs="Arial" w:eastAsia="Arial" w:hAnsi="Arial"/>
                  <w:sz w:val="20"/>
                  <w:szCs w:val="20"/>
                  <w:color w:val="0000EE"/>
                  <w:w w:val="92"/>
                </w:rPr>
                <w:t>Account (BOLI 3), New York Life Insurance and</w:t>
              </w:r>
            </w:hyperlink>
          </w:p>
        </w:tc>
        <w:tc>
          <w:tcPr>
            <w:tcW w:w="240" w:type="dxa"/>
            <w:vAlign w:val="bottom"/>
            <w:tcBorders>
              <w:right w:val="single" w:sz="8" w:color="auto"/>
            </w:tcBorders>
            <w:gridSpan w:val="4"/>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1"/>
          </w:tcPr>
          <w:p>
            <w:pPr>
              <w:spacing w:after="0" w:line="209" w:lineRule="exact"/>
              <w:rPr>
                <w:rFonts w:ascii="Arial" w:cs="Arial" w:eastAsia="Arial" w:hAnsi="Arial"/>
                <w:sz w:val="20"/>
                <w:szCs w:val="20"/>
                <w:color w:val="0000EE"/>
              </w:rPr>
            </w:pPr>
            <w:hyperlink r:id="rId190">
              <w:r>
                <w:rPr>
                  <w:rFonts w:ascii="Arial" w:cs="Arial" w:eastAsia="Arial" w:hAnsi="Arial"/>
                  <w:sz w:val="20"/>
                  <w:szCs w:val="20"/>
                  <w:color w:val="0000EE"/>
                </w:rPr>
                <w:t>Annuity Corporation Institutionally Owned Life</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top w:val="single" w:sz="8" w:color="0000EE"/>
            </w:tcBorders>
            <w:gridSpan w:val="25"/>
          </w:tcPr>
          <w:p>
            <w:pPr>
              <w:spacing w:after="0" w:line="209" w:lineRule="exact"/>
              <w:rPr>
                <w:rFonts w:ascii="Arial" w:cs="Arial" w:eastAsia="Arial" w:hAnsi="Arial"/>
                <w:sz w:val="20"/>
                <w:szCs w:val="20"/>
                <w:color w:val="0000EE"/>
              </w:rPr>
            </w:pPr>
            <w:hyperlink r:id="rId190">
              <w:r>
                <w:rPr>
                  <w:rFonts w:ascii="Arial" w:cs="Arial" w:eastAsia="Arial" w:hAnsi="Arial"/>
                  <w:sz w:val="20"/>
                  <w:szCs w:val="20"/>
                  <w:color w:val="0000EE"/>
                </w:rPr>
                <w:t>Insurance Separate Account (BOLI 3-2)</w:t>
              </w:r>
            </w:hyperlink>
          </w:p>
        </w:tc>
        <w:tc>
          <w:tcPr>
            <w:tcW w:w="360" w:type="dxa"/>
            <w:vAlign w:val="bottom"/>
            <w:tcBorders>
              <w:right w:val="single" w:sz="8" w:color="auto"/>
            </w:tcBorders>
            <w:gridSpan w:val="6"/>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1700" w:type="dxa"/>
            <w:vAlign w:val="bottom"/>
          </w:tcPr>
          <w:p>
            <w:pPr>
              <w:spacing w:after="0"/>
              <w:rPr>
                <w:sz w:val="24"/>
                <w:szCs w:val="24"/>
                <w:color w:val="auto"/>
              </w:rPr>
            </w:pPr>
          </w:p>
        </w:tc>
        <w:tc>
          <w:tcPr>
            <w:tcW w:w="3500" w:type="dxa"/>
            <w:vAlign w:val="bottom"/>
            <w:gridSpan w:val="10"/>
          </w:tcPr>
          <w:p>
            <w:pPr>
              <w:jc w:val="right"/>
              <w:ind w:right="2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700" w:type="dxa"/>
            <w:vAlign w:val="bottom"/>
            <w:tcBorders>
              <w:top w:val="single" w:sz="8" w:color="auto"/>
              <w:left w:val="single" w:sz="8" w:color="auto"/>
              <w:right w:val="single" w:sz="8" w:color="auto"/>
            </w:tcBorders>
          </w:tcPr>
          <w:p>
            <w:pPr>
              <w:ind w:left="120"/>
              <w:spacing w:after="0" w:line="203" w:lineRule="exact"/>
              <w:rPr>
                <w:sz w:val="20"/>
                <w:szCs w:val="20"/>
                <w:color w:val="auto"/>
              </w:rPr>
            </w:pPr>
            <w:r>
              <w:rPr>
                <w:rFonts w:ascii="Arial" w:cs="Arial" w:eastAsia="Arial" w:hAnsi="Arial"/>
                <w:sz w:val="20"/>
                <w:szCs w:val="20"/>
                <w:color w:val="auto"/>
              </w:rPr>
              <w:t>4.14</w:t>
            </w:r>
          </w:p>
        </w:tc>
        <w:tc>
          <w:tcPr>
            <w:tcW w:w="120" w:type="dxa"/>
            <w:vAlign w:val="bottom"/>
            <w:tcBorders>
              <w:top w:val="single" w:sz="8" w:color="auto"/>
            </w:tcBorders>
          </w:tcPr>
          <w:p>
            <w:pPr>
              <w:spacing w:after="0"/>
              <w:rPr>
                <w:sz w:val="17"/>
                <w:szCs w:val="17"/>
                <w:color w:val="auto"/>
              </w:rPr>
            </w:pPr>
          </w:p>
        </w:tc>
        <w:tc>
          <w:tcPr>
            <w:tcW w:w="3860" w:type="dxa"/>
            <w:vAlign w:val="bottom"/>
            <w:tcBorders>
              <w:top w:val="single" w:sz="8" w:color="auto"/>
              <w:bottom w:val="single" w:sz="8" w:color="0000EE"/>
            </w:tcBorders>
            <w:gridSpan w:val="25"/>
          </w:tcPr>
          <w:p>
            <w:pPr>
              <w:spacing w:after="0" w:line="203" w:lineRule="exact"/>
              <w:rPr>
                <w:rFonts w:ascii="Arial" w:cs="Arial" w:eastAsia="Arial" w:hAnsi="Arial"/>
                <w:sz w:val="20"/>
                <w:szCs w:val="20"/>
                <w:color w:val="0000EE"/>
                <w:w w:val="87"/>
              </w:rPr>
            </w:pPr>
            <w:hyperlink r:id="rId193">
              <w:r>
                <w:rPr>
                  <w:rFonts w:ascii="Arial" w:cs="Arial" w:eastAsia="Arial" w:hAnsi="Arial"/>
                  <w:sz w:val="20"/>
                  <w:szCs w:val="20"/>
                  <w:color w:val="0000EE"/>
                  <w:w w:val="87"/>
                </w:rPr>
                <w:t>Bond Purchase Agreement, dated June 29, 2018,</w:t>
              </w:r>
            </w:hyperlink>
          </w:p>
        </w:tc>
        <w:tc>
          <w:tcPr>
            <w:tcW w:w="300" w:type="dxa"/>
            <w:vAlign w:val="bottom"/>
            <w:tcBorders>
              <w:top w:val="single" w:sz="8" w:color="auto"/>
              <w:right w:val="single" w:sz="8" w:color="auto"/>
            </w:tcBorders>
            <w:gridSpan w:val="8"/>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3"/>
          </w:tcPr>
          <w:p>
            <w:pPr>
              <w:spacing w:after="0" w:line="209" w:lineRule="exact"/>
              <w:rPr>
                <w:rFonts w:ascii="Arial" w:cs="Arial" w:eastAsia="Arial" w:hAnsi="Arial"/>
                <w:sz w:val="20"/>
                <w:szCs w:val="20"/>
                <w:color w:val="0000EE"/>
                <w:w w:val="98"/>
              </w:rPr>
            </w:pPr>
            <w:hyperlink r:id="rId193">
              <w:r>
                <w:rPr>
                  <w:rFonts w:ascii="Arial" w:cs="Arial" w:eastAsia="Arial" w:hAnsi="Arial"/>
                  <w:sz w:val="20"/>
                  <w:szCs w:val="20"/>
                  <w:color w:val="0000EE"/>
                  <w:w w:val="98"/>
                </w:rPr>
                <w:t>by and among Aqua Pennsylvania, Inc., CMFG</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Borders>
              <w:top w:val="single" w:sz="8" w:color="0000EE"/>
              <w:bottom w:val="single" w:sz="8" w:color="0000EE"/>
            </w:tcBorders>
            <w:gridSpan w:val="15"/>
          </w:tcPr>
          <w:p>
            <w:pPr>
              <w:spacing w:after="0" w:line="209" w:lineRule="exact"/>
              <w:rPr>
                <w:rFonts w:ascii="Arial" w:cs="Arial" w:eastAsia="Arial" w:hAnsi="Arial"/>
                <w:sz w:val="20"/>
                <w:szCs w:val="20"/>
                <w:color w:val="0000EE"/>
                <w:w w:val="89"/>
              </w:rPr>
            </w:pPr>
            <w:hyperlink r:id="rId193">
              <w:r>
                <w:rPr>
                  <w:rFonts w:ascii="Arial" w:cs="Arial" w:eastAsia="Arial" w:hAnsi="Arial"/>
                  <w:sz w:val="20"/>
                  <w:szCs w:val="20"/>
                  <w:color w:val="0000EE"/>
                  <w:w w:val="89"/>
                </w:rPr>
                <w:t>Life Insurance Company, Manufactures Life</w:t>
              </w:r>
            </w:hyperlink>
          </w:p>
        </w:tc>
        <w:tc>
          <w:tcPr>
            <w:tcW w:w="240" w:type="dxa"/>
            <w:vAlign w:val="bottom"/>
            <w:tcBorders>
              <w:top w:val="single" w:sz="8" w:color="0000EE"/>
            </w:tcBorders>
            <w:gridSpan w:val="5"/>
          </w:tcPr>
          <w:p>
            <w:pPr>
              <w:spacing w:after="0"/>
              <w:rPr>
                <w:sz w:val="18"/>
                <w:szCs w:val="18"/>
                <w:color w:val="auto"/>
              </w:rPr>
            </w:pPr>
          </w:p>
        </w:tc>
        <w:tc>
          <w:tcPr>
            <w:tcW w:w="400" w:type="dxa"/>
            <w:vAlign w:val="bottom"/>
            <w:tcBorders>
              <w:right w:val="single" w:sz="8" w:color="auto"/>
            </w:tcBorders>
            <w:gridSpan w:val="13"/>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August 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gridSpan w:val="24"/>
            <w:vMerge w:val="restart"/>
          </w:tcPr>
          <w:p>
            <w:pPr>
              <w:spacing w:after="0" w:line="209" w:lineRule="exact"/>
              <w:rPr>
                <w:rFonts w:ascii="Arial" w:cs="Arial" w:eastAsia="Arial" w:hAnsi="Arial"/>
                <w:sz w:val="20"/>
                <w:szCs w:val="20"/>
                <w:color w:val="0000EE"/>
                <w:w w:val="92"/>
              </w:rPr>
            </w:pPr>
            <w:hyperlink r:id="rId193">
              <w:r>
                <w:rPr>
                  <w:rFonts w:ascii="Arial" w:cs="Arial" w:eastAsia="Arial" w:hAnsi="Arial"/>
                  <w:sz w:val="20"/>
                  <w:szCs w:val="20"/>
                  <w:color w:val="0000EE"/>
                  <w:w w:val="92"/>
                </w:rPr>
                <w:t>Reinsurance Limited, The Lincoln National Life</w:t>
              </w:r>
            </w:hyperlink>
          </w:p>
        </w:tc>
        <w:tc>
          <w:tcPr>
            <w:tcW w:w="320" w:type="dxa"/>
            <w:vAlign w:val="bottom"/>
            <w:tcBorders>
              <w:right w:val="single" w:sz="8" w:color="auto"/>
            </w:tcBorders>
            <w:gridSpan w:val="9"/>
            <w:vMerge w:val="restart"/>
          </w:tcPr>
          <w:p>
            <w:pPr>
              <w:spacing w:after="0"/>
              <w:rPr>
                <w:sz w:val="9"/>
                <w:szCs w:val="9"/>
                <w:color w:val="auto"/>
              </w:rPr>
            </w:pPr>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4.1</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tcBorders>
              <w:bottom w:val="single" w:sz="8" w:color="0000EE"/>
            </w:tcBorders>
            <w:gridSpan w:val="24"/>
            <w:vMerge w:val="continue"/>
          </w:tcPr>
          <w:p>
            <w:pPr>
              <w:spacing w:after="0"/>
              <w:rPr>
                <w:sz w:val="8"/>
                <w:szCs w:val="8"/>
                <w:color w:val="auto"/>
              </w:rPr>
            </w:pPr>
          </w:p>
        </w:tc>
        <w:tc>
          <w:tcPr>
            <w:tcW w:w="320" w:type="dxa"/>
            <w:vAlign w:val="bottom"/>
            <w:tcBorders>
              <w:right w:val="single" w:sz="8" w:color="auto"/>
            </w:tcBorders>
            <w:gridSpan w:val="9"/>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80" w:type="dxa"/>
            <w:vAlign w:val="bottom"/>
            <w:gridSpan w:val="18"/>
            <w:vMerge w:val="restart"/>
          </w:tcPr>
          <w:p>
            <w:pPr>
              <w:spacing w:after="0" w:line="209" w:lineRule="exact"/>
              <w:rPr>
                <w:rFonts w:ascii="Arial" w:cs="Arial" w:eastAsia="Arial" w:hAnsi="Arial"/>
                <w:sz w:val="20"/>
                <w:szCs w:val="20"/>
                <w:color w:val="0000EE"/>
                <w:w w:val="89"/>
              </w:rPr>
            </w:pPr>
            <w:hyperlink r:id="rId193">
              <w:r>
                <w:rPr>
                  <w:rFonts w:ascii="Arial" w:cs="Arial" w:eastAsia="Arial" w:hAnsi="Arial"/>
                  <w:sz w:val="20"/>
                  <w:szCs w:val="20"/>
                  <w:color w:val="0000EE"/>
                  <w:w w:val="89"/>
                </w:rPr>
                <w:t>Insurance Company, New York Life Insurance</w:t>
              </w:r>
            </w:hyperlink>
          </w:p>
        </w:tc>
        <w:tc>
          <w:tcPr>
            <w:tcW w:w="480" w:type="dxa"/>
            <w:vAlign w:val="bottom"/>
            <w:tcBorders>
              <w:right w:val="single" w:sz="8" w:color="auto"/>
            </w:tcBorders>
            <w:gridSpan w:val="15"/>
            <w:vMerge w:val="restart"/>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80" w:type="dxa"/>
            <w:vAlign w:val="bottom"/>
            <w:tcBorders>
              <w:bottom w:val="single" w:sz="8" w:color="0000EE"/>
            </w:tcBorders>
            <w:gridSpan w:val="18"/>
            <w:vMerge w:val="continue"/>
          </w:tcPr>
          <w:p>
            <w:pPr>
              <w:spacing w:after="0"/>
              <w:rPr>
                <w:sz w:val="6"/>
                <w:szCs w:val="6"/>
                <w:color w:val="auto"/>
              </w:rPr>
            </w:pPr>
          </w:p>
        </w:tc>
        <w:tc>
          <w:tcPr>
            <w:tcW w:w="480" w:type="dxa"/>
            <w:vAlign w:val="bottom"/>
            <w:tcBorders>
              <w:right w:val="single" w:sz="8" w:color="auto"/>
            </w:tcBorders>
            <w:gridSpan w:val="15"/>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Borders>
              <w:bottom w:val="single" w:sz="8" w:color="0000EE"/>
            </w:tcBorders>
            <w:gridSpan w:val="31"/>
          </w:tcPr>
          <w:p>
            <w:pPr>
              <w:spacing w:after="0" w:line="209" w:lineRule="exact"/>
              <w:rPr>
                <w:rFonts w:ascii="Arial" w:cs="Arial" w:eastAsia="Arial" w:hAnsi="Arial"/>
                <w:sz w:val="20"/>
                <w:szCs w:val="20"/>
                <w:color w:val="0000EE"/>
                <w:w w:val="88"/>
              </w:rPr>
            </w:pPr>
            <w:hyperlink r:id="rId193">
              <w:r>
                <w:rPr>
                  <w:rFonts w:ascii="Arial" w:cs="Arial" w:eastAsia="Arial" w:hAnsi="Arial"/>
                  <w:sz w:val="20"/>
                  <w:szCs w:val="20"/>
                  <w:color w:val="0000EE"/>
                  <w:w w:val="88"/>
                </w:rPr>
                <w:t>Company, The State Life Insurance Company, and</w:t>
              </w:r>
            </w:hyperlink>
          </w:p>
        </w:tc>
        <w:tc>
          <w:tcPr>
            <w:tcW w:w="160" w:type="dxa"/>
            <w:vAlign w:val="bottom"/>
            <w:tcBorders>
              <w:right w:val="single" w:sz="8" w:color="auto"/>
            </w:tcBorders>
            <w:gridSpan w:val="2"/>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3"/>
          </w:tcPr>
          <w:p>
            <w:pPr>
              <w:spacing w:after="0" w:line="209" w:lineRule="exact"/>
              <w:rPr>
                <w:rFonts w:ascii="Arial" w:cs="Arial" w:eastAsia="Arial" w:hAnsi="Arial"/>
                <w:sz w:val="20"/>
                <w:szCs w:val="20"/>
                <w:color w:val="0000EE"/>
              </w:rPr>
            </w:pPr>
            <w:hyperlink r:id="rId193">
              <w:r>
                <w:rPr>
                  <w:rFonts w:ascii="Arial" w:cs="Arial" w:eastAsia="Arial" w:hAnsi="Arial"/>
                  <w:sz w:val="20"/>
                  <w:szCs w:val="20"/>
                  <w:color w:val="0000EE"/>
                </w:rPr>
                <w:t>Phoenix Life Insurance Company</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4.15</w:t>
            </w:r>
          </w:p>
        </w:tc>
        <w:tc>
          <w:tcPr>
            <w:tcW w:w="120" w:type="dxa"/>
            <w:vAlign w:val="bottom"/>
          </w:tcPr>
          <w:p>
            <w:pPr>
              <w:spacing w:after="0"/>
              <w:rPr>
                <w:sz w:val="15"/>
                <w:szCs w:val="15"/>
                <w:color w:val="auto"/>
              </w:rPr>
            </w:pPr>
          </w:p>
        </w:tc>
        <w:tc>
          <w:tcPr>
            <w:tcW w:w="4160" w:type="dxa"/>
            <w:vAlign w:val="bottom"/>
            <w:tcBorders>
              <w:right w:val="single" w:sz="8" w:color="auto"/>
            </w:tcBorders>
            <w:gridSpan w:val="33"/>
          </w:tcPr>
          <w:p>
            <w:pPr>
              <w:spacing w:after="0" w:line="183" w:lineRule="exact"/>
              <w:rPr>
                <w:rFonts w:ascii="Arial" w:cs="Arial" w:eastAsia="Arial" w:hAnsi="Arial"/>
                <w:sz w:val="20"/>
                <w:szCs w:val="20"/>
                <w:color w:val="0000EE"/>
                <w:w w:val="95"/>
              </w:rPr>
            </w:pPr>
            <w:hyperlink w:anchor="page124">
              <w:r>
                <w:rPr>
                  <w:rFonts w:ascii="Arial" w:cs="Arial" w:eastAsia="Arial" w:hAnsi="Arial"/>
                  <w:sz w:val="20"/>
                  <w:szCs w:val="20"/>
                  <w:color w:val="0000EE"/>
                  <w:w w:val="95"/>
                </w:rPr>
                <w:t>Bond Purchase Agreement, dated November 15,</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Borders>
              <w:top w:val="single" w:sz="8" w:color="0000EE"/>
            </w:tcBorders>
            <w:gridSpan w:val="23"/>
          </w:tcPr>
          <w:p>
            <w:pPr>
              <w:spacing w:after="0" w:line="209" w:lineRule="exact"/>
              <w:rPr>
                <w:rFonts w:ascii="Arial" w:cs="Arial" w:eastAsia="Arial" w:hAnsi="Arial"/>
                <w:sz w:val="20"/>
                <w:szCs w:val="20"/>
                <w:color w:val="0000EE"/>
                <w:w w:val="93"/>
              </w:rPr>
            </w:pPr>
            <w:hyperlink w:anchor="page124">
              <w:r>
                <w:rPr>
                  <w:rFonts w:ascii="Arial" w:cs="Arial" w:eastAsia="Arial" w:hAnsi="Arial"/>
                  <w:sz w:val="20"/>
                  <w:szCs w:val="20"/>
                  <w:color w:val="0000EE"/>
                  <w:w w:val="93"/>
                </w:rPr>
                <w:t>2018, by and among Aqua Pennsylvania, Inc.,</w:t>
              </w:r>
            </w:hyperlink>
          </w:p>
        </w:tc>
        <w:tc>
          <w:tcPr>
            <w:tcW w:w="340" w:type="dxa"/>
            <w:vAlign w:val="bottom"/>
            <w:tcBorders>
              <w:right w:val="single" w:sz="8" w:color="auto"/>
            </w:tcBorders>
            <w:gridSpan w:val="10"/>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Borders>
              <w:bottom w:val="single" w:sz="8" w:color="0000EE"/>
            </w:tcBorders>
            <w:gridSpan w:val="18"/>
          </w:tcPr>
          <w:p>
            <w:pPr>
              <w:spacing w:after="0" w:line="209" w:lineRule="exact"/>
              <w:rPr>
                <w:rFonts w:ascii="Arial" w:cs="Arial" w:eastAsia="Arial" w:hAnsi="Arial"/>
                <w:sz w:val="20"/>
                <w:szCs w:val="20"/>
                <w:color w:val="0000EE"/>
                <w:w w:val="88"/>
              </w:rPr>
            </w:pPr>
            <w:hyperlink w:anchor="page124">
              <w:r>
                <w:rPr>
                  <w:rFonts w:ascii="Arial" w:cs="Arial" w:eastAsia="Arial" w:hAnsi="Arial"/>
                  <w:sz w:val="20"/>
                  <w:szCs w:val="20"/>
                  <w:color w:val="0000EE"/>
                  <w:w w:val="88"/>
                </w:rPr>
                <w:t>Teachers Insurance and Annuity Associated of</w:t>
              </w:r>
            </w:hyperlink>
          </w:p>
        </w:tc>
        <w:tc>
          <w:tcPr>
            <w:tcW w:w="480" w:type="dxa"/>
            <w:vAlign w:val="bottom"/>
            <w:tcBorders>
              <w:right w:val="single" w:sz="8" w:color="auto"/>
            </w:tcBorders>
            <w:gridSpan w:val="15"/>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3"/>
          </w:tcPr>
          <w:p>
            <w:pPr>
              <w:spacing w:after="0" w:line="209" w:lineRule="exact"/>
              <w:rPr>
                <w:rFonts w:ascii="Arial" w:cs="Arial" w:eastAsia="Arial" w:hAnsi="Arial"/>
                <w:sz w:val="20"/>
                <w:szCs w:val="20"/>
                <w:color w:val="0000EE"/>
              </w:rPr>
            </w:pPr>
            <w:hyperlink w:anchor="page124">
              <w:r>
                <w:rPr>
                  <w:rFonts w:ascii="Arial" w:cs="Arial" w:eastAsia="Arial" w:hAnsi="Arial"/>
                  <w:sz w:val="20"/>
                  <w:szCs w:val="20"/>
                  <w:color w:val="0000EE"/>
                </w:rPr>
                <w:t>America, American United Life Insurance</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Borders>
              <w:top w:val="single" w:sz="8" w:color="0000EE"/>
              <w:bottom w:val="single" w:sz="8" w:color="0000EE"/>
            </w:tcBorders>
            <w:gridSpan w:val="10"/>
          </w:tcPr>
          <w:p>
            <w:pPr>
              <w:spacing w:after="0" w:line="209" w:lineRule="exact"/>
              <w:rPr>
                <w:rFonts w:ascii="Arial" w:cs="Arial" w:eastAsia="Arial" w:hAnsi="Arial"/>
                <w:sz w:val="20"/>
                <w:szCs w:val="20"/>
                <w:color w:val="0000EE"/>
                <w:w w:val="87"/>
              </w:rPr>
            </w:pPr>
            <w:hyperlink w:anchor="page124">
              <w:r>
                <w:rPr>
                  <w:rFonts w:ascii="Arial" w:cs="Arial" w:eastAsia="Arial" w:hAnsi="Arial"/>
                  <w:sz w:val="20"/>
                  <w:szCs w:val="20"/>
                  <w:color w:val="0000EE"/>
                  <w:w w:val="87"/>
                </w:rPr>
                <w:t>Company, Pioneer Mutual Life Insurance</w:t>
              </w:r>
            </w:hyperlink>
          </w:p>
        </w:tc>
        <w:tc>
          <w:tcPr>
            <w:tcW w:w="120" w:type="dxa"/>
            <w:vAlign w:val="bottom"/>
            <w:tcBorders>
              <w:top w:val="single" w:sz="8" w:color="0000EE"/>
            </w:tcBorders>
          </w:tcPr>
          <w:p>
            <w:pPr>
              <w:spacing w:after="0"/>
              <w:rPr>
                <w:sz w:val="18"/>
                <w:szCs w:val="18"/>
                <w:color w:val="auto"/>
              </w:rPr>
            </w:pPr>
          </w:p>
        </w:tc>
        <w:tc>
          <w:tcPr>
            <w:tcW w:w="820" w:type="dxa"/>
            <w:vAlign w:val="bottom"/>
            <w:tcBorders>
              <w:right w:val="single" w:sz="8" w:color="auto"/>
            </w:tcBorders>
            <w:gridSpan w:val="22"/>
          </w:tcPr>
          <w:p>
            <w:pPr>
              <w:spacing w:after="0"/>
              <w:rPr>
                <w:sz w:val="18"/>
                <w:szCs w:val="18"/>
                <w:color w:val="auto"/>
              </w:rPr>
            </w:pPr>
          </w:p>
        </w:tc>
        <w:tc>
          <w:tcPr>
            <w:tcW w:w="7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tcBorders>
              <w:bottom w:val="single" w:sz="8" w:color="0000EE"/>
            </w:tcBorders>
            <w:gridSpan w:val="32"/>
          </w:tcPr>
          <w:p>
            <w:pPr>
              <w:spacing w:after="0" w:line="209" w:lineRule="exact"/>
              <w:rPr>
                <w:rFonts w:ascii="Arial" w:cs="Arial" w:eastAsia="Arial" w:hAnsi="Arial"/>
                <w:sz w:val="20"/>
                <w:szCs w:val="20"/>
                <w:color w:val="0000EE"/>
                <w:w w:val="88"/>
              </w:rPr>
            </w:pPr>
            <w:hyperlink w:anchor="page124">
              <w:r>
                <w:rPr>
                  <w:rFonts w:ascii="Arial" w:cs="Arial" w:eastAsia="Arial" w:hAnsi="Arial"/>
                  <w:sz w:val="20"/>
                  <w:szCs w:val="20"/>
                  <w:color w:val="0000EE"/>
                  <w:w w:val="88"/>
                </w:rPr>
                <w:t>Company, The State Life Insurance Company, The</w:t>
              </w:r>
            </w:hyperlink>
          </w:p>
        </w:tc>
        <w:tc>
          <w:tcPr>
            <w:tcW w:w="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Borders>
              <w:bottom w:val="single" w:sz="8" w:color="0000EE"/>
            </w:tcBorders>
            <w:gridSpan w:val="13"/>
          </w:tcPr>
          <w:p>
            <w:pPr>
              <w:spacing w:after="0" w:line="209" w:lineRule="exact"/>
              <w:rPr>
                <w:rFonts w:ascii="Arial" w:cs="Arial" w:eastAsia="Arial" w:hAnsi="Arial"/>
                <w:sz w:val="20"/>
                <w:szCs w:val="20"/>
                <w:color w:val="0000EE"/>
                <w:w w:val="91"/>
              </w:rPr>
            </w:pPr>
            <w:hyperlink w:anchor="page124">
              <w:r>
                <w:rPr>
                  <w:rFonts w:ascii="Arial" w:cs="Arial" w:eastAsia="Arial" w:hAnsi="Arial"/>
                  <w:sz w:val="20"/>
                  <w:szCs w:val="20"/>
                  <w:color w:val="0000EE"/>
                  <w:w w:val="91"/>
                </w:rPr>
                <w:t>Lincoln National Life Insurance Company,</w:t>
              </w:r>
            </w:hyperlink>
          </w:p>
        </w:tc>
        <w:tc>
          <w:tcPr>
            <w:tcW w:w="760" w:type="dxa"/>
            <w:vAlign w:val="bottom"/>
            <w:tcBorders>
              <w:right w:val="single" w:sz="8" w:color="auto"/>
            </w:tcBorders>
            <w:gridSpan w:val="20"/>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tcBorders>
              <w:bottom w:val="single" w:sz="8" w:color="0000EE"/>
            </w:tcBorders>
            <w:gridSpan w:val="24"/>
          </w:tcPr>
          <w:p>
            <w:pPr>
              <w:spacing w:after="0" w:line="209" w:lineRule="exact"/>
              <w:rPr>
                <w:rFonts w:ascii="Arial" w:cs="Arial" w:eastAsia="Arial" w:hAnsi="Arial"/>
                <w:sz w:val="20"/>
                <w:szCs w:val="20"/>
                <w:color w:val="0000EE"/>
                <w:w w:val="94"/>
              </w:rPr>
            </w:pPr>
            <w:hyperlink w:anchor="page124">
              <w:r>
                <w:rPr>
                  <w:rFonts w:ascii="Arial" w:cs="Arial" w:eastAsia="Arial" w:hAnsi="Arial"/>
                  <w:sz w:val="20"/>
                  <w:szCs w:val="20"/>
                  <w:color w:val="0000EE"/>
                  <w:w w:val="94"/>
                </w:rPr>
                <w:t>Lincoln Life &amp; Annuity Company of New York,</w:t>
              </w:r>
            </w:hyperlink>
          </w:p>
        </w:tc>
        <w:tc>
          <w:tcPr>
            <w:tcW w:w="320" w:type="dxa"/>
            <w:vAlign w:val="bottom"/>
            <w:tcBorders>
              <w:right w:val="single" w:sz="8" w:color="auto"/>
            </w:tcBorders>
            <w:gridSpan w:val="9"/>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3"/>
          </w:tcPr>
          <w:p>
            <w:pPr>
              <w:spacing w:after="0" w:line="209" w:lineRule="exact"/>
              <w:rPr>
                <w:rFonts w:ascii="Arial" w:cs="Arial" w:eastAsia="Arial" w:hAnsi="Arial"/>
                <w:sz w:val="20"/>
                <w:szCs w:val="20"/>
                <w:color w:val="0000EE"/>
                <w:w w:val="99"/>
              </w:rPr>
            </w:pPr>
            <w:hyperlink w:anchor="page124">
              <w:r>
                <w:rPr>
                  <w:rFonts w:ascii="Arial" w:cs="Arial" w:eastAsia="Arial" w:hAnsi="Arial"/>
                  <w:sz w:val="20"/>
                  <w:szCs w:val="20"/>
                  <w:color w:val="0000EE"/>
                  <w:w w:val="99"/>
                </w:rPr>
                <w:t>and United of Omaha Life Insurance Company</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10.1</w:t>
            </w:r>
          </w:p>
        </w:tc>
        <w:tc>
          <w:tcPr>
            <w:tcW w:w="120" w:type="dxa"/>
            <w:vAlign w:val="bottom"/>
          </w:tcPr>
          <w:p>
            <w:pPr>
              <w:spacing w:after="0"/>
              <w:rPr>
                <w:sz w:val="15"/>
                <w:szCs w:val="15"/>
                <w:color w:val="auto"/>
              </w:rPr>
            </w:pPr>
          </w:p>
        </w:tc>
        <w:tc>
          <w:tcPr>
            <w:tcW w:w="4160" w:type="dxa"/>
            <w:vAlign w:val="bottom"/>
            <w:tcBorders>
              <w:right w:val="single" w:sz="8" w:color="auto"/>
            </w:tcBorders>
            <w:gridSpan w:val="33"/>
          </w:tcPr>
          <w:p>
            <w:pPr>
              <w:spacing w:after="0" w:line="183" w:lineRule="exact"/>
              <w:rPr>
                <w:rFonts w:ascii="Arial" w:cs="Arial" w:eastAsia="Arial" w:hAnsi="Arial"/>
                <w:sz w:val="20"/>
                <w:szCs w:val="20"/>
                <w:color w:val="0000EE"/>
                <w:w w:val="95"/>
              </w:rPr>
            </w:pPr>
            <w:hyperlink w:anchor="page183">
              <w:r>
                <w:rPr>
                  <w:rFonts w:ascii="Arial" w:cs="Arial" w:eastAsia="Arial" w:hAnsi="Arial"/>
                  <w:sz w:val="20"/>
                  <w:szCs w:val="20"/>
                  <w:color w:val="0000EE"/>
                  <w:w w:val="95"/>
                </w:rPr>
                <w:t>Revolving Credit Agreement, dated December 5,</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Borders>
              <w:top w:val="single" w:sz="8" w:color="0000EE"/>
            </w:tcBorders>
            <w:gridSpan w:val="26"/>
          </w:tcPr>
          <w:p>
            <w:pPr>
              <w:spacing w:after="0" w:line="209" w:lineRule="exact"/>
              <w:rPr>
                <w:rFonts w:ascii="Arial" w:cs="Arial" w:eastAsia="Arial" w:hAnsi="Arial"/>
                <w:sz w:val="20"/>
                <w:szCs w:val="20"/>
                <w:color w:val="0000EE"/>
                <w:w w:val="98"/>
              </w:rPr>
            </w:pPr>
            <w:hyperlink w:anchor="page183">
              <w:r>
                <w:rPr>
                  <w:rFonts w:ascii="Arial" w:cs="Arial" w:eastAsia="Arial" w:hAnsi="Arial"/>
                  <w:sz w:val="20"/>
                  <w:szCs w:val="20"/>
                  <w:color w:val="0000EE"/>
                  <w:w w:val="98"/>
                </w:rPr>
                <w:t>2018, between Aqua America, Inc. and PNC</w:t>
              </w:r>
            </w:hyperlink>
          </w:p>
        </w:tc>
        <w:tc>
          <w:tcPr>
            <w:tcW w:w="280" w:type="dxa"/>
            <w:vAlign w:val="bottom"/>
            <w:tcBorders>
              <w:right w:val="single" w:sz="8" w:color="auto"/>
            </w:tcBorders>
            <w:gridSpan w:val="7"/>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3"/>
          </w:tcPr>
          <w:p>
            <w:pPr>
              <w:spacing w:after="0" w:line="209" w:lineRule="exact"/>
              <w:rPr>
                <w:rFonts w:ascii="Arial" w:cs="Arial" w:eastAsia="Arial" w:hAnsi="Arial"/>
                <w:sz w:val="20"/>
                <w:szCs w:val="20"/>
                <w:color w:val="0000EE"/>
                <w:w w:val="96"/>
              </w:rPr>
            </w:pPr>
            <w:hyperlink w:anchor="page183">
              <w:r>
                <w:rPr>
                  <w:rFonts w:ascii="Arial" w:cs="Arial" w:eastAsia="Arial" w:hAnsi="Arial"/>
                  <w:sz w:val="20"/>
                  <w:szCs w:val="20"/>
                  <w:color w:val="0000EE"/>
                  <w:w w:val="96"/>
                </w:rPr>
                <w:t>Bank, National Association, CoBank, ACB, Bank</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top w:val="single" w:sz="8" w:color="0000EE"/>
              <w:bottom w:val="single" w:sz="8" w:color="0000EE"/>
            </w:tcBorders>
            <w:gridSpan w:val="22"/>
          </w:tcPr>
          <w:p>
            <w:pPr>
              <w:spacing w:after="0" w:line="209" w:lineRule="exact"/>
              <w:rPr>
                <w:rFonts w:ascii="Arial" w:cs="Arial" w:eastAsia="Arial" w:hAnsi="Arial"/>
                <w:sz w:val="20"/>
                <w:szCs w:val="20"/>
                <w:color w:val="0000EE"/>
                <w:w w:val="91"/>
              </w:rPr>
            </w:pPr>
            <w:hyperlink w:anchor="page183">
              <w:r>
                <w:rPr>
                  <w:rFonts w:ascii="Arial" w:cs="Arial" w:eastAsia="Arial" w:hAnsi="Arial"/>
                  <w:sz w:val="20"/>
                  <w:szCs w:val="20"/>
                  <w:color w:val="0000EE"/>
                  <w:w w:val="91"/>
                </w:rPr>
                <w:t>of America, N.A., Barclays Bank PLC, Citizens</w:t>
              </w:r>
            </w:hyperlink>
          </w:p>
        </w:tc>
        <w:tc>
          <w:tcPr>
            <w:tcW w:w="140" w:type="dxa"/>
            <w:vAlign w:val="bottom"/>
            <w:tcBorders>
              <w:top w:val="single" w:sz="8" w:color="0000EE"/>
            </w:tcBorders>
            <w:gridSpan w:val="6"/>
          </w:tcPr>
          <w:p>
            <w:pPr>
              <w:spacing w:after="0"/>
              <w:rPr>
                <w:sz w:val="18"/>
                <w:szCs w:val="18"/>
                <w:color w:val="auto"/>
              </w:rPr>
            </w:pPr>
          </w:p>
        </w:tc>
        <w:tc>
          <w:tcPr>
            <w:tcW w:w="220" w:type="dxa"/>
            <w:vAlign w:val="bottom"/>
            <w:tcBorders>
              <w:right w:val="single" w:sz="8" w:color="auto"/>
            </w:tcBorders>
            <w:gridSpan w:val="5"/>
          </w:tcPr>
          <w:p>
            <w:pPr>
              <w:spacing w:after="0"/>
              <w:rPr>
                <w:sz w:val="18"/>
                <w:szCs w:val="18"/>
                <w:color w:val="auto"/>
              </w:rPr>
            </w:pP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33"/>
            <w:vMerge w:val="restart"/>
          </w:tcPr>
          <w:p>
            <w:pPr>
              <w:spacing w:after="0" w:line="209" w:lineRule="exact"/>
              <w:rPr>
                <w:rFonts w:ascii="Arial" w:cs="Arial" w:eastAsia="Arial" w:hAnsi="Arial"/>
                <w:sz w:val="20"/>
                <w:szCs w:val="20"/>
                <w:color w:val="0000EE"/>
                <w:w w:val="98"/>
              </w:rPr>
            </w:pPr>
            <w:hyperlink w:anchor="page183">
              <w:r>
                <w:rPr>
                  <w:rFonts w:ascii="Arial" w:cs="Arial" w:eastAsia="Arial" w:hAnsi="Arial"/>
                  <w:sz w:val="20"/>
                  <w:szCs w:val="20"/>
                  <w:color w:val="0000EE"/>
                  <w:w w:val="98"/>
                </w:rPr>
                <w:t>Bank, N.A., Morgan Stanley Bank, N.A., MUFG</w:t>
              </w:r>
            </w:hyperlink>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33"/>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0000EE"/>
              <w:bottom w:val="single" w:sz="8" w:color="0000EE"/>
            </w:tcBorders>
            <w:gridSpan w:val="9"/>
          </w:tcPr>
          <w:p>
            <w:pPr>
              <w:spacing w:after="0" w:line="209" w:lineRule="exact"/>
              <w:rPr>
                <w:rFonts w:ascii="Arial" w:cs="Arial" w:eastAsia="Arial" w:hAnsi="Arial"/>
                <w:sz w:val="20"/>
                <w:szCs w:val="20"/>
                <w:color w:val="0000EE"/>
                <w:w w:val="89"/>
              </w:rPr>
            </w:pPr>
            <w:hyperlink w:anchor="page183">
              <w:r>
                <w:rPr>
                  <w:rFonts w:ascii="Arial" w:cs="Arial" w:eastAsia="Arial" w:hAnsi="Arial"/>
                  <w:sz w:val="20"/>
                  <w:szCs w:val="20"/>
                  <w:color w:val="0000EE"/>
                  <w:w w:val="89"/>
                </w:rPr>
                <w:t>Bank, Ltd., Royal Bank of Canada, The</w:t>
              </w:r>
            </w:hyperlink>
          </w:p>
        </w:tc>
        <w:tc>
          <w:tcPr>
            <w:tcW w:w="740" w:type="dxa"/>
            <w:vAlign w:val="bottom"/>
            <w:tcBorders>
              <w:top w:val="single" w:sz="8" w:color="0000EE"/>
            </w:tcBorders>
            <w:gridSpan w:val="17"/>
          </w:tcPr>
          <w:p>
            <w:pPr>
              <w:spacing w:after="0"/>
              <w:rPr>
                <w:sz w:val="18"/>
                <w:szCs w:val="18"/>
                <w:color w:val="auto"/>
              </w:rPr>
            </w:pPr>
          </w:p>
        </w:tc>
        <w:tc>
          <w:tcPr>
            <w:tcW w:w="280" w:type="dxa"/>
            <w:vAlign w:val="bottom"/>
            <w:tcBorders>
              <w:right w:val="single" w:sz="8" w:color="auto"/>
            </w:tcBorders>
            <w:gridSpan w:val="7"/>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Borders>
              <w:bottom w:val="single" w:sz="8" w:color="0000EE"/>
            </w:tcBorders>
            <w:gridSpan w:val="31"/>
          </w:tcPr>
          <w:p>
            <w:pPr>
              <w:spacing w:after="0" w:line="209" w:lineRule="exact"/>
              <w:rPr>
                <w:rFonts w:ascii="Arial" w:cs="Arial" w:eastAsia="Arial" w:hAnsi="Arial"/>
                <w:sz w:val="20"/>
                <w:szCs w:val="20"/>
                <w:color w:val="0000EE"/>
                <w:w w:val="90"/>
              </w:rPr>
            </w:pPr>
            <w:hyperlink w:anchor="page183">
              <w:r>
                <w:rPr>
                  <w:rFonts w:ascii="Arial" w:cs="Arial" w:eastAsia="Arial" w:hAnsi="Arial"/>
                  <w:sz w:val="20"/>
                  <w:szCs w:val="20"/>
                  <w:color w:val="0000EE"/>
                  <w:w w:val="90"/>
                </w:rPr>
                <w:t>Huntington National Bank, and Wells Fargo Bank,</w:t>
              </w:r>
            </w:hyperlink>
          </w:p>
        </w:tc>
        <w:tc>
          <w:tcPr>
            <w:tcW w:w="160" w:type="dxa"/>
            <w:vAlign w:val="bottom"/>
            <w:tcBorders>
              <w:right w:val="single" w:sz="8" w:color="auto"/>
            </w:tcBorders>
            <w:gridSpan w:val="2"/>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3"/>
          </w:tcPr>
          <w:p>
            <w:pPr>
              <w:spacing w:after="0" w:line="209" w:lineRule="exact"/>
              <w:rPr>
                <w:rFonts w:ascii="Arial" w:cs="Arial" w:eastAsia="Arial" w:hAnsi="Arial"/>
                <w:sz w:val="20"/>
                <w:szCs w:val="20"/>
                <w:color w:val="0000EE"/>
              </w:rPr>
            </w:pPr>
            <w:hyperlink w:anchor="page183">
              <w:r>
                <w:rPr>
                  <w:rFonts w:ascii="Arial" w:cs="Arial" w:eastAsia="Arial" w:hAnsi="Arial"/>
                  <w:sz w:val="20"/>
                  <w:szCs w:val="20"/>
                  <w:color w:val="0000EE"/>
                </w:rPr>
                <w:t>N.A</w:t>
              </w:r>
              <w:r>
                <w:rPr>
                  <w:rFonts w:ascii="Arial" w:cs="Arial" w:eastAsia="Arial" w:hAnsi="Arial"/>
                  <w:sz w:val="20"/>
                  <w:szCs w:val="20"/>
                  <w:color w:val="000000"/>
                </w:rPr>
                <w:t>.</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10.2</w:t>
            </w:r>
          </w:p>
        </w:tc>
        <w:tc>
          <w:tcPr>
            <w:tcW w:w="120" w:type="dxa"/>
            <w:vAlign w:val="bottom"/>
          </w:tcPr>
          <w:p>
            <w:pPr>
              <w:spacing w:after="0"/>
              <w:rPr>
                <w:sz w:val="15"/>
                <w:szCs w:val="15"/>
                <w:color w:val="auto"/>
              </w:rPr>
            </w:pPr>
          </w:p>
        </w:tc>
        <w:tc>
          <w:tcPr>
            <w:tcW w:w="4160" w:type="dxa"/>
            <w:vAlign w:val="bottom"/>
            <w:tcBorders>
              <w:right w:val="single" w:sz="8" w:color="auto"/>
            </w:tcBorders>
            <w:gridSpan w:val="33"/>
          </w:tcPr>
          <w:p>
            <w:pPr>
              <w:spacing w:after="0" w:line="183" w:lineRule="exact"/>
              <w:rPr>
                <w:rFonts w:ascii="Arial" w:cs="Arial" w:eastAsia="Arial" w:hAnsi="Arial"/>
                <w:sz w:val="20"/>
                <w:szCs w:val="20"/>
                <w:color w:val="0000EE"/>
              </w:rPr>
            </w:pPr>
            <w:hyperlink r:id="rId194">
              <w:r>
                <w:rPr>
                  <w:rFonts w:ascii="Arial" w:cs="Arial" w:eastAsia="Arial" w:hAnsi="Arial"/>
                  <w:sz w:val="20"/>
                  <w:szCs w:val="20"/>
                  <w:color w:val="0000EE"/>
                </w:rPr>
                <w:t>Amended and Restated Revolving Credit</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gridSpan w:val="3"/>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Borders>
              <w:bottom w:val="single" w:sz="8" w:color="0000EE"/>
            </w:tcBorders>
            <w:gridSpan w:val="15"/>
          </w:tcPr>
          <w:p>
            <w:pPr>
              <w:spacing w:after="0" w:line="209" w:lineRule="exact"/>
              <w:rPr>
                <w:rFonts w:ascii="Arial" w:cs="Arial" w:eastAsia="Arial" w:hAnsi="Arial"/>
                <w:sz w:val="20"/>
                <w:szCs w:val="20"/>
                <w:color w:val="0000EE"/>
                <w:w w:val="89"/>
              </w:rPr>
            </w:pPr>
            <w:hyperlink r:id="rId194">
              <w:r>
                <w:rPr>
                  <w:rFonts w:ascii="Arial" w:cs="Arial" w:eastAsia="Arial" w:hAnsi="Arial"/>
                  <w:sz w:val="20"/>
                  <w:szCs w:val="20"/>
                  <w:color w:val="0000EE"/>
                  <w:w w:val="89"/>
                </w:rPr>
                <w:t>Agreement, dated as of November 17, 2016</w:t>
              </w:r>
            </w:hyperlink>
          </w:p>
        </w:tc>
        <w:tc>
          <w:tcPr>
            <w:tcW w:w="640" w:type="dxa"/>
            <w:vAlign w:val="bottom"/>
            <w:tcBorders>
              <w:right w:val="single" w:sz="8" w:color="auto"/>
            </w:tcBorders>
            <w:gridSpan w:val="18"/>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3"/>
          </w:tcPr>
          <w:p>
            <w:pPr>
              <w:spacing w:after="0" w:line="209" w:lineRule="exact"/>
              <w:rPr>
                <w:rFonts w:ascii="Arial" w:cs="Arial" w:eastAsia="Arial" w:hAnsi="Arial"/>
                <w:sz w:val="20"/>
                <w:szCs w:val="20"/>
                <w:color w:val="0000EE"/>
              </w:rPr>
            </w:pPr>
            <w:hyperlink r:id="rId194">
              <w:r>
                <w:rPr>
                  <w:rFonts w:ascii="Arial" w:cs="Arial" w:eastAsia="Arial" w:hAnsi="Arial"/>
                  <w:sz w:val="20"/>
                  <w:szCs w:val="20"/>
                  <w:color w:val="0000EE"/>
                </w:rPr>
                <w:t>between Aqua Pennsylvania and PNC Bank,</w:t>
              </w:r>
            </w:hyperlink>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10.2.4</w:t>
            </w:r>
          </w:p>
        </w:tc>
        <w:tc>
          <w:tcPr>
            <w:tcW w:w="13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February 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vMerge w:val="continue"/>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33"/>
            <w:vMerge w:val="restart"/>
          </w:tcPr>
          <w:p>
            <w:pPr>
              <w:spacing w:after="0" w:line="209" w:lineRule="exact"/>
              <w:rPr>
                <w:rFonts w:ascii="Arial" w:cs="Arial" w:eastAsia="Arial" w:hAnsi="Arial"/>
                <w:sz w:val="20"/>
                <w:szCs w:val="20"/>
                <w:color w:val="0000EE"/>
              </w:rPr>
            </w:pPr>
            <w:hyperlink r:id="rId194">
              <w:r>
                <w:rPr>
                  <w:rFonts w:ascii="Arial" w:cs="Arial" w:eastAsia="Arial" w:hAnsi="Arial"/>
                  <w:sz w:val="20"/>
                  <w:szCs w:val="20"/>
                  <w:color w:val="0000EE"/>
                </w:rPr>
                <w:t>National Association, TD Bank, N.A., Citizens</w:t>
              </w:r>
            </w:hyperlink>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33"/>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gridSpan w:val="3"/>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bottom w:val="single" w:sz="8" w:color="0000EE"/>
            </w:tcBorders>
            <w:gridSpan w:val="22"/>
          </w:tcPr>
          <w:p>
            <w:pPr>
              <w:spacing w:after="0" w:line="209" w:lineRule="exact"/>
              <w:rPr>
                <w:rFonts w:ascii="Arial" w:cs="Arial" w:eastAsia="Arial" w:hAnsi="Arial"/>
                <w:sz w:val="20"/>
                <w:szCs w:val="20"/>
                <w:color w:val="0000EE"/>
                <w:w w:val="90"/>
              </w:rPr>
            </w:pPr>
            <w:hyperlink r:id="rId194">
              <w:r>
                <w:rPr>
                  <w:rFonts w:ascii="Arial" w:cs="Arial" w:eastAsia="Arial" w:hAnsi="Arial"/>
                  <w:sz w:val="20"/>
                  <w:szCs w:val="20"/>
                  <w:color w:val="0000EE"/>
                  <w:w w:val="90"/>
                </w:rPr>
                <w:t>Bank of Pennsylvania, and Huntington National</w:t>
              </w:r>
            </w:hyperlink>
          </w:p>
        </w:tc>
        <w:tc>
          <w:tcPr>
            <w:tcW w:w="360" w:type="dxa"/>
            <w:vAlign w:val="bottom"/>
            <w:tcBorders>
              <w:right w:val="single" w:sz="8" w:color="auto"/>
            </w:tcBorders>
            <w:gridSpan w:val="11"/>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3"/>
          </w:tcPr>
          <w:p>
            <w:pPr>
              <w:spacing w:after="0" w:line="209" w:lineRule="exact"/>
              <w:rPr>
                <w:rFonts w:ascii="Arial" w:cs="Arial" w:eastAsia="Arial" w:hAnsi="Arial"/>
                <w:sz w:val="20"/>
                <w:szCs w:val="20"/>
                <w:color w:val="0000EE"/>
              </w:rPr>
            </w:pPr>
            <w:hyperlink r:id="rId194">
              <w:r>
                <w:rPr>
                  <w:rFonts w:ascii="Arial" w:cs="Arial" w:eastAsia="Arial" w:hAnsi="Arial"/>
                  <w:sz w:val="20"/>
                  <w:szCs w:val="20"/>
                  <w:color w:val="0000EE"/>
                </w:rPr>
                <w:t>Bank</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10.2.1</w:t>
            </w:r>
          </w:p>
        </w:tc>
        <w:tc>
          <w:tcPr>
            <w:tcW w:w="120" w:type="dxa"/>
            <w:vAlign w:val="bottom"/>
          </w:tcPr>
          <w:p>
            <w:pPr>
              <w:spacing w:after="0"/>
              <w:rPr>
                <w:sz w:val="15"/>
                <w:szCs w:val="15"/>
                <w:color w:val="auto"/>
              </w:rPr>
            </w:pPr>
          </w:p>
        </w:tc>
        <w:tc>
          <w:tcPr>
            <w:tcW w:w="4160" w:type="dxa"/>
            <w:vAlign w:val="bottom"/>
            <w:tcBorders>
              <w:right w:val="single" w:sz="8" w:color="auto"/>
            </w:tcBorders>
            <w:gridSpan w:val="33"/>
          </w:tcPr>
          <w:p>
            <w:pPr>
              <w:spacing w:after="0" w:line="183" w:lineRule="exact"/>
              <w:rPr>
                <w:rFonts w:ascii="Arial" w:cs="Arial" w:eastAsia="Arial" w:hAnsi="Arial"/>
                <w:sz w:val="20"/>
                <w:szCs w:val="20"/>
                <w:color w:val="0000EE"/>
                <w:w w:val="94"/>
              </w:rPr>
            </w:pPr>
            <w:hyperlink r:id="rId195">
              <w:r>
                <w:rPr>
                  <w:rFonts w:ascii="Arial" w:cs="Arial" w:eastAsia="Arial" w:hAnsi="Arial"/>
                  <w:sz w:val="20"/>
                  <w:szCs w:val="20"/>
                  <w:color w:val="0000EE"/>
                  <w:w w:val="94"/>
                </w:rPr>
                <w:t>First Amendment to Revolving Credit Agreement,</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Borders>
              <w:top w:val="single" w:sz="8" w:color="0000EE"/>
            </w:tcBorders>
            <w:gridSpan w:val="30"/>
          </w:tcPr>
          <w:p>
            <w:pPr>
              <w:spacing w:after="0" w:line="209" w:lineRule="exact"/>
              <w:rPr>
                <w:rFonts w:ascii="Arial" w:cs="Arial" w:eastAsia="Arial" w:hAnsi="Arial"/>
                <w:sz w:val="20"/>
                <w:szCs w:val="20"/>
                <w:color w:val="0000EE"/>
                <w:w w:val="95"/>
              </w:rPr>
            </w:pPr>
            <w:hyperlink r:id="rId195">
              <w:r>
                <w:rPr>
                  <w:rFonts w:ascii="Arial" w:cs="Arial" w:eastAsia="Arial" w:hAnsi="Arial"/>
                  <w:sz w:val="20"/>
                  <w:szCs w:val="20"/>
                  <w:color w:val="0000EE"/>
                  <w:w w:val="95"/>
                </w:rPr>
                <w:t>dated as of November 16, 2017 between Aqua</w:t>
              </w:r>
            </w:hyperlink>
          </w:p>
        </w:tc>
        <w:tc>
          <w:tcPr>
            <w:tcW w:w="180" w:type="dxa"/>
            <w:vAlign w:val="bottom"/>
            <w:tcBorders>
              <w:right w:val="single" w:sz="8" w:color="auto"/>
            </w:tcBorders>
            <w:gridSpan w:val="3"/>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660" w:type="dxa"/>
            <w:vAlign w:val="bottom"/>
            <w:tcBorders>
              <w:top w:val="single" w:sz="8" w:color="0000EE"/>
            </w:tcBorders>
            <w:gridSpan w:val="17"/>
            <w:vMerge w:val="restart"/>
          </w:tcPr>
          <w:p>
            <w:pPr>
              <w:spacing w:after="0" w:line="209" w:lineRule="exact"/>
              <w:rPr>
                <w:rFonts w:ascii="Arial" w:cs="Arial" w:eastAsia="Arial" w:hAnsi="Arial"/>
                <w:sz w:val="20"/>
                <w:szCs w:val="20"/>
                <w:color w:val="0000EE"/>
              </w:rPr>
            </w:pPr>
            <w:hyperlink r:id="rId195">
              <w:r>
                <w:rPr>
                  <w:rFonts w:ascii="Arial" w:cs="Arial" w:eastAsia="Arial" w:hAnsi="Arial"/>
                  <w:sz w:val="20"/>
                  <w:szCs w:val="20"/>
                  <w:color w:val="0000EE"/>
                </w:rPr>
                <w:t>Pennsylvania and PNC Bank, National</w:t>
              </w:r>
            </w:hyperlink>
          </w:p>
        </w:tc>
        <w:tc>
          <w:tcPr>
            <w:tcW w:w="500" w:type="dxa"/>
            <w:vAlign w:val="bottom"/>
            <w:tcBorders>
              <w:right w:val="single" w:sz="8" w:color="auto"/>
            </w:tcBorders>
            <w:gridSpan w:val="16"/>
            <w:vMerge w:val="restart"/>
          </w:tcPr>
          <w:p>
            <w:pPr>
              <w:spacing w:after="0"/>
              <w:rPr>
                <w:sz w:val="9"/>
                <w:szCs w:val="9"/>
                <w:color w:val="auto"/>
              </w:rPr>
            </w:pPr>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10.1.5</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60" w:type="dxa"/>
            <w:vAlign w:val="bottom"/>
            <w:gridSpan w:val="17"/>
            <w:vMerge w:val="continue"/>
          </w:tcPr>
          <w:p>
            <w:pPr>
              <w:spacing w:after="0"/>
              <w:rPr>
                <w:sz w:val="8"/>
                <w:szCs w:val="8"/>
                <w:color w:val="auto"/>
              </w:rPr>
            </w:pPr>
          </w:p>
        </w:tc>
        <w:tc>
          <w:tcPr>
            <w:tcW w:w="500" w:type="dxa"/>
            <w:vAlign w:val="bottom"/>
            <w:tcBorders>
              <w:right w:val="single" w:sz="8" w:color="auto"/>
            </w:tcBorders>
            <w:gridSpan w:val="16"/>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vMerge w:val="continue"/>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33"/>
            <w:vMerge w:val="restart"/>
          </w:tcPr>
          <w:p>
            <w:pPr>
              <w:spacing w:after="0" w:line="209" w:lineRule="exact"/>
              <w:rPr>
                <w:rFonts w:ascii="Arial" w:cs="Arial" w:eastAsia="Arial" w:hAnsi="Arial"/>
                <w:sz w:val="20"/>
                <w:szCs w:val="20"/>
                <w:color w:val="0000EE"/>
                <w:w w:val="98"/>
              </w:rPr>
            </w:pPr>
            <w:hyperlink r:id="rId195">
              <w:r>
                <w:rPr>
                  <w:rFonts w:ascii="Arial" w:cs="Arial" w:eastAsia="Arial" w:hAnsi="Arial"/>
                  <w:sz w:val="20"/>
                  <w:szCs w:val="20"/>
                  <w:color w:val="0000EE"/>
                  <w:w w:val="98"/>
                </w:rPr>
                <w:t>Association, Citizens Bank of Pennsylvania, TD</w:t>
              </w:r>
            </w:hyperlink>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33"/>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Borders>
              <w:top w:val="single" w:sz="8" w:color="0000EE"/>
            </w:tcBorders>
            <w:gridSpan w:val="23"/>
          </w:tcPr>
          <w:p>
            <w:pPr>
              <w:spacing w:after="0" w:line="209" w:lineRule="exact"/>
              <w:rPr>
                <w:rFonts w:ascii="Arial" w:cs="Arial" w:eastAsia="Arial" w:hAnsi="Arial"/>
                <w:sz w:val="20"/>
                <w:szCs w:val="20"/>
                <w:color w:val="0000EE"/>
              </w:rPr>
            </w:pPr>
            <w:hyperlink r:id="rId195">
              <w:r>
                <w:rPr>
                  <w:rFonts w:ascii="Arial" w:cs="Arial" w:eastAsia="Arial" w:hAnsi="Arial"/>
                  <w:sz w:val="20"/>
                  <w:szCs w:val="20"/>
                  <w:color w:val="0000EE"/>
                </w:rPr>
                <w:t>Bank, N.A., and Huntington National Bank</w:t>
              </w:r>
            </w:hyperlink>
          </w:p>
        </w:tc>
        <w:tc>
          <w:tcPr>
            <w:tcW w:w="340" w:type="dxa"/>
            <w:vAlign w:val="bottom"/>
            <w:tcBorders>
              <w:right w:val="single" w:sz="8" w:color="auto"/>
            </w:tcBorders>
            <w:gridSpan w:val="10"/>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10.2.2</w:t>
            </w:r>
          </w:p>
        </w:tc>
        <w:tc>
          <w:tcPr>
            <w:tcW w:w="120" w:type="dxa"/>
            <w:vAlign w:val="bottom"/>
          </w:tcPr>
          <w:p>
            <w:pPr>
              <w:spacing w:after="0"/>
              <w:rPr>
                <w:sz w:val="15"/>
                <w:szCs w:val="15"/>
                <w:color w:val="auto"/>
              </w:rPr>
            </w:pPr>
          </w:p>
        </w:tc>
        <w:tc>
          <w:tcPr>
            <w:tcW w:w="4160" w:type="dxa"/>
            <w:vAlign w:val="bottom"/>
            <w:tcBorders>
              <w:right w:val="single" w:sz="8" w:color="auto"/>
            </w:tcBorders>
            <w:gridSpan w:val="33"/>
          </w:tcPr>
          <w:p>
            <w:pPr>
              <w:spacing w:after="0" w:line="183" w:lineRule="exact"/>
              <w:rPr>
                <w:rFonts w:ascii="Arial" w:cs="Arial" w:eastAsia="Arial" w:hAnsi="Arial"/>
                <w:sz w:val="20"/>
                <w:szCs w:val="20"/>
                <w:color w:val="0000EE"/>
              </w:rPr>
            </w:pPr>
            <w:hyperlink w:anchor="page308">
              <w:r>
                <w:rPr>
                  <w:rFonts w:ascii="Arial" w:cs="Arial" w:eastAsia="Arial" w:hAnsi="Arial"/>
                  <w:sz w:val="20"/>
                  <w:szCs w:val="20"/>
                  <w:color w:val="0000EE"/>
                </w:rPr>
                <w:t>Second Amendment to Revolving Credit</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Borders>
              <w:right w:val="single" w:sz="8" w:color="auto"/>
            </w:tcBorders>
            <w:gridSpan w:val="4"/>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Borders>
              <w:bottom w:val="single" w:sz="8" w:color="0000EE"/>
            </w:tcBorders>
            <w:gridSpan w:val="12"/>
          </w:tcPr>
          <w:p>
            <w:pPr>
              <w:spacing w:after="0" w:line="209" w:lineRule="exact"/>
              <w:rPr>
                <w:rFonts w:ascii="Arial" w:cs="Arial" w:eastAsia="Arial" w:hAnsi="Arial"/>
                <w:sz w:val="20"/>
                <w:szCs w:val="20"/>
                <w:color w:val="0000EE"/>
                <w:w w:val="88"/>
              </w:rPr>
            </w:pPr>
            <w:hyperlink w:anchor="page308">
              <w:r>
                <w:rPr>
                  <w:rFonts w:ascii="Arial" w:cs="Arial" w:eastAsia="Arial" w:hAnsi="Arial"/>
                  <w:sz w:val="20"/>
                  <w:szCs w:val="20"/>
                  <w:color w:val="0000EE"/>
                  <w:w w:val="88"/>
                </w:rPr>
                <w:t>Agreement, dated as of November 9, 2018</w:t>
              </w:r>
            </w:hyperlink>
          </w:p>
        </w:tc>
        <w:tc>
          <w:tcPr>
            <w:tcW w:w="800" w:type="dxa"/>
            <w:vAlign w:val="bottom"/>
            <w:tcBorders>
              <w:right w:val="single" w:sz="8" w:color="auto"/>
            </w:tcBorders>
            <w:gridSpan w:val="21"/>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3"/>
          </w:tcPr>
          <w:p>
            <w:pPr>
              <w:spacing w:after="0" w:line="209" w:lineRule="exact"/>
              <w:rPr>
                <w:rFonts w:ascii="Arial" w:cs="Arial" w:eastAsia="Arial" w:hAnsi="Arial"/>
                <w:sz w:val="20"/>
                <w:szCs w:val="20"/>
                <w:color w:val="0000EE"/>
              </w:rPr>
            </w:pPr>
            <w:hyperlink w:anchor="page308">
              <w:r>
                <w:rPr>
                  <w:rFonts w:ascii="Arial" w:cs="Arial" w:eastAsia="Arial" w:hAnsi="Arial"/>
                  <w:sz w:val="20"/>
                  <w:szCs w:val="20"/>
                  <w:color w:val="0000EE"/>
                </w:rPr>
                <w:t>between Aqua Pennsylvania and PNC Bank,</w:t>
              </w:r>
            </w:hyperlink>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tcBorders>
              <w:top w:val="single" w:sz="8" w:color="0000EE"/>
            </w:tcBorders>
            <w:gridSpan w:val="15"/>
            <w:vMerge w:val="restart"/>
          </w:tcPr>
          <w:p>
            <w:pPr>
              <w:spacing w:after="0" w:line="209" w:lineRule="exact"/>
              <w:rPr>
                <w:rFonts w:ascii="Arial" w:cs="Arial" w:eastAsia="Arial" w:hAnsi="Arial"/>
                <w:sz w:val="20"/>
                <w:szCs w:val="20"/>
                <w:color w:val="0000EE"/>
              </w:rPr>
            </w:pPr>
            <w:hyperlink w:anchor="page308">
              <w:r>
                <w:rPr>
                  <w:rFonts w:ascii="Arial" w:cs="Arial" w:eastAsia="Arial" w:hAnsi="Arial"/>
                  <w:sz w:val="20"/>
                  <w:szCs w:val="20"/>
                  <w:color w:val="0000EE"/>
                </w:rPr>
                <w:t>National Association, Citizens Bank of</w:t>
              </w:r>
            </w:hyperlink>
          </w:p>
        </w:tc>
        <w:tc>
          <w:tcPr>
            <w:tcW w:w="640" w:type="dxa"/>
            <w:vAlign w:val="bottom"/>
            <w:tcBorders>
              <w:right w:val="single" w:sz="8" w:color="auto"/>
            </w:tcBorders>
            <w:gridSpan w:val="18"/>
            <w:vMerge w:val="restart"/>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520" w:type="dxa"/>
            <w:vAlign w:val="bottom"/>
            <w:gridSpan w:val="15"/>
            <w:vMerge w:val="continue"/>
          </w:tcPr>
          <w:p>
            <w:pPr>
              <w:spacing w:after="0"/>
              <w:rPr>
                <w:sz w:val="6"/>
                <w:szCs w:val="6"/>
                <w:color w:val="auto"/>
              </w:rPr>
            </w:pPr>
          </w:p>
        </w:tc>
        <w:tc>
          <w:tcPr>
            <w:tcW w:w="640" w:type="dxa"/>
            <w:vAlign w:val="bottom"/>
            <w:tcBorders>
              <w:right w:val="single" w:sz="8" w:color="auto"/>
            </w:tcBorders>
            <w:gridSpan w:val="18"/>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Borders>
              <w:right w:val="single" w:sz="8" w:color="auto"/>
            </w:tcBorders>
            <w:gridSpan w:val="4"/>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33"/>
          </w:tcPr>
          <w:p>
            <w:pPr>
              <w:spacing w:after="0" w:line="209" w:lineRule="exact"/>
              <w:rPr>
                <w:rFonts w:ascii="Arial" w:cs="Arial" w:eastAsia="Arial" w:hAnsi="Arial"/>
                <w:sz w:val="20"/>
                <w:szCs w:val="20"/>
                <w:color w:val="0000EE"/>
              </w:rPr>
            </w:pPr>
            <w:hyperlink w:anchor="page308">
              <w:r>
                <w:rPr>
                  <w:rFonts w:ascii="Arial" w:cs="Arial" w:eastAsia="Arial" w:hAnsi="Arial"/>
                  <w:sz w:val="20"/>
                  <w:szCs w:val="20"/>
                  <w:color w:val="0000EE"/>
                </w:rPr>
                <w:t>Pennsylvania, TD Bank, N.A., and Huntington</w:t>
              </w:r>
            </w:hyperlink>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Borders>
              <w:top w:val="single" w:sz="8" w:color="0000EE"/>
            </w:tcBorders>
            <w:gridSpan w:val="19"/>
          </w:tcPr>
          <w:p>
            <w:pPr>
              <w:spacing w:after="0" w:line="209" w:lineRule="exact"/>
              <w:rPr>
                <w:rFonts w:ascii="Arial" w:cs="Arial" w:eastAsia="Arial" w:hAnsi="Arial"/>
                <w:sz w:val="20"/>
                <w:szCs w:val="20"/>
                <w:color w:val="0000EE"/>
              </w:rPr>
            </w:pPr>
            <w:hyperlink w:anchor="page308">
              <w:r>
                <w:rPr>
                  <w:rFonts w:ascii="Arial" w:cs="Arial" w:eastAsia="Arial" w:hAnsi="Arial"/>
                  <w:sz w:val="20"/>
                  <w:szCs w:val="20"/>
                  <w:color w:val="0000EE"/>
                </w:rPr>
                <w:t>National Bank</w:t>
              </w:r>
            </w:hyperlink>
          </w:p>
        </w:tc>
        <w:tc>
          <w:tcPr>
            <w:tcW w:w="440" w:type="dxa"/>
            <w:vAlign w:val="bottom"/>
            <w:tcBorders>
              <w:right w:val="single" w:sz="8" w:color="auto"/>
            </w:tcBorders>
            <w:gridSpan w:val="14"/>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10.3</w:t>
            </w:r>
          </w:p>
        </w:tc>
        <w:tc>
          <w:tcPr>
            <w:tcW w:w="120" w:type="dxa"/>
            <w:vAlign w:val="bottom"/>
          </w:tcPr>
          <w:p>
            <w:pPr>
              <w:spacing w:after="0"/>
              <w:rPr>
                <w:sz w:val="15"/>
                <w:szCs w:val="15"/>
                <w:color w:val="auto"/>
              </w:rPr>
            </w:pPr>
          </w:p>
        </w:tc>
        <w:tc>
          <w:tcPr>
            <w:tcW w:w="4160" w:type="dxa"/>
            <w:vAlign w:val="bottom"/>
            <w:tcBorders>
              <w:right w:val="single" w:sz="8" w:color="auto"/>
            </w:tcBorders>
            <w:gridSpan w:val="33"/>
          </w:tcPr>
          <w:p>
            <w:pPr>
              <w:spacing w:after="0" w:line="183" w:lineRule="exact"/>
              <w:rPr>
                <w:rFonts w:ascii="Arial" w:cs="Arial" w:eastAsia="Arial" w:hAnsi="Arial"/>
                <w:sz w:val="20"/>
                <w:szCs w:val="20"/>
                <w:color w:val="0000EE"/>
                <w:w w:val="95"/>
              </w:rPr>
            </w:pPr>
            <w:hyperlink r:id="rId196">
              <w:r>
                <w:rPr>
                  <w:rFonts w:ascii="Arial" w:cs="Arial" w:eastAsia="Arial" w:hAnsi="Arial"/>
                  <w:sz w:val="20"/>
                  <w:szCs w:val="20"/>
                  <w:color w:val="0000EE"/>
                  <w:w w:val="95"/>
                </w:rPr>
                <w:t>Aqua America, Inc. Deferred Compensation Plan</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tcBorders>
              <w:top w:val="single" w:sz="8" w:color="0000EE"/>
            </w:tcBorders>
            <w:gridSpan w:val="27"/>
          </w:tcPr>
          <w:p>
            <w:pPr>
              <w:spacing w:after="0" w:line="209" w:lineRule="exact"/>
              <w:rPr>
                <w:rFonts w:ascii="Arial" w:cs="Arial" w:eastAsia="Arial" w:hAnsi="Arial"/>
                <w:sz w:val="20"/>
                <w:szCs w:val="20"/>
                <w:color w:val="0000EE"/>
              </w:rPr>
            </w:pPr>
            <w:hyperlink r:id="rId196">
              <w:r>
                <w:rPr>
                  <w:rFonts w:ascii="Arial" w:cs="Arial" w:eastAsia="Arial" w:hAnsi="Arial"/>
                  <w:sz w:val="20"/>
                  <w:szCs w:val="20"/>
                  <w:color w:val="0000EE"/>
                </w:rPr>
                <w:t>Master Trust Agreement with PNC Bank,</w:t>
              </w:r>
            </w:hyperlink>
          </w:p>
        </w:tc>
        <w:tc>
          <w:tcPr>
            <w:tcW w:w="260" w:type="dxa"/>
            <w:vAlign w:val="bottom"/>
            <w:tcBorders>
              <w:right w:val="single" w:sz="8" w:color="auto"/>
            </w:tcBorders>
            <w:gridSpan w:val="6"/>
          </w:tcPr>
          <w:p>
            <w:pPr>
              <w:spacing w:after="0"/>
              <w:rPr>
                <w:sz w:val="18"/>
                <w:szCs w:val="18"/>
                <w:color w:val="auto"/>
              </w:rPr>
            </w:pP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10.24</w:t>
            </w:r>
          </w:p>
        </w:tc>
        <w:tc>
          <w:tcPr>
            <w:tcW w:w="13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March 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vMerge w:val="continue"/>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780" w:type="dxa"/>
            <w:vAlign w:val="bottom"/>
            <w:gridSpan w:val="21"/>
            <w:vMerge w:val="restart"/>
          </w:tcPr>
          <w:p>
            <w:pPr>
              <w:spacing w:after="0" w:line="209" w:lineRule="exact"/>
              <w:rPr>
                <w:rFonts w:ascii="Arial" w:cs="Arial" w:eastAsia="Arial" w:hAnsi="Arial"/>
                <w:sz w:val="20"/>
                <w:szCs w:val="20"/>
                <w:color w:val="0000EE"/>
                <w:w w:val="89"/>
              </w:rPr>
            </w:pPr>
            <w:hyperlink r:id="rId196">
              <w:r>
                <w:rPr>
                  <w:rFonts w:ascii="Arial" w:cs="Arial" w:eastAsia="Arial" w:hAnsi="Arial"/>
                  <w:sz w:val="20"/>
                  <w:szCs w:val="20"/>
                  <w:color w:val="0000EE"/>
                  <w:w w:val="89"/>
                </w:rPr>
                <w:t>National Association, dated as of December 31,</w:t>
              </w:r>
            </w:hyperlink>
          </w:p>
        </w:tc>
        <w:tc>
          <w:tcPr>
            <w:tcW w:w="380" w:type="dxa"/>
            <w:vAlign w:val="bottom"/>
            <w:tcBorders>
              <w:right w:val="single" w:sz="8" w:color="auto"/>
            </w:tcBorders>
            <w:gridSpan w:val="12"/>
            <w:vMerge w:val="restart"/>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1997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tcBorders>
              <w:bottom w:val="single" w:sz="8" w:color="0000EE"/>
            </w:tcBorders>
            <w:gridSpan w:val="21"/>
            <w:vMerge w:val="continue"/>
          </w:tcPr>
          <w:p>
            <w:pPr>
              <w:spacing w:after="0"/>
              <w:rPr>
                <w:sz w:val="6"/>
                <w:szCs w:val="6"/>
                <w:color w:val="auto"/>
              </w:rPr>
            </w:pPr>
          </w:p>
        </w:tc>
        <w:tc>
          <w:tcPr>
            <w:tcW w:w="380" w:type="dxa"/>
            <w:vAlign w:val="bottom"/>
            <w:tcBorders>
              <w:right w:val="single" w:sz="8" w:color="auto"/>
            </w:tcBorders>
            <w:gridSpan w:val="1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60" w:type="dxa"/>
            <w:vAlign w:val="bottom"/>
            <w:gridSpan w:val="6"/>
          </w:tcPr>
          <w:p>
            <w:pPr>
              <w:ind w:left="120"/>
              <w:spacing w:after="0" w:line="209" w:lineRule="exact"/>
              <w:rPr>
                <w:rFonts w:ascii="Arial" w:cs="Arial" w:eastAsia="Arial" w:hAnsi="Arial"/>
                <w:sz w:val="20"/>
                <w:szCs w:val="20"/>
                <w:color w:val="0000EE"/>
              </w:rPr>
            </w:pPr>
            <w:hyperlink r:id="rId196">
              <w:r>
                <w:rPr>
                  <w:rFonts w:ascii="Arial" w:cs="Arial" w:eastAsia="Arial" w:hAnsi="Arial"/>
                  <w:sz w:val="20"/>
                  <w:szCs w:val="20"/>
                  <w:color w:val="0000EE"/>
                </w:rPr>
                <w:t>1996</w:t>
              </w:r>
              <w:r>
                <w:rPr>
                  <w:rFonts w:ascii="Arial" w:cs="Arial" w:eastAsia="Arial" w:hAnsi="Arial"/>
                  <w:sz w:val="20"/>
                  <w:szCs w:val="20"/>
                  <w:color w:val="000000"/>
                </w:rPr>
                <w:t>*</w:t>
              </w:r>
            </w:hyperlink>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10.3.1</w:t>
            </w:r>
          </w:p>
        </w:tc>
        <w:tc>
          <w:tcPr>
            <w:tcW w:w="120" w:type="dxa"/>
            <w:vAlign w:val="bottom"/>
          </w:tcPr>
          <w:p>
            <w:pPr>
              <w:spacing w:after="0"/>
              <w:rPr>
                <w:sz w:val="15"/>
                <w:szCs w:val="15"/>
                <w:color w:val="auto"/>
              </w:rPr>
            </w:pPr>
          </w:p>
        </w:tc>
        <w:tc>
          <w:tcPr>
            <w:tcW w:w="4160" w:type="dxa"/>
            <w:vAlign w:val="bottom"/>
            <w:tcBorders>
              <w:right w:val="single" w:sz="8" w:color="auto"/>
            </w:tcBorders>
            <w:gridSpan w:val="33"/>
          </w:tcPr>
          <w:p>
            <w:pPr>
              <w:spacing w:after="0" w:line="183" w:lineRule="exact"/>
              <w:rPr>
                <w:rFonts w:ascii="Arial" w:cs="Arial" w:eastAsia="Arial" w:hAnsi="Arial"/>
                <w:sz w:val="20"/>
                <w:szCs w:val="20"/>
                <w:color w:val="0000EE"/>
              </w:rPr>
            </w:pPr>
            <w:hyperlink r:id="rId197">
              <w:r>
                <w:rPr>
                  <w:rFonts w:ascii="Arial" w:cs="Arial" w:eastAsia="Arial" w:hAnsi="Arial"/>
                  <w:sz w:val="20"/>
                  <w:szCs w:val="20"/>
                  <w:color w:val="0000EE"/>
                </w:rPr>
                <w:t>Amendment 2008-1 to the Aqua America, Inc.</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360" w:type="dxa"/>
            <w:vAlign w:val="bottom"/>
            <w:tcBorders>
              <w:top w:val="single" w:sz="8" w:color="0000EE"/>
            </w:tcBorders>
            <w:gridSpan w:val="12"/>
            <w:vMerge w:val="restart"/>
          </w:tcPr>
          <w:p>
            <w:pPr>
              <w:spacing w:after="0" w:line="209" w:lineRule="exact"/>
              <w:rPr>
                <w:rFonts w:ascii="Arial" w:cs="Arial" w:eastAsia="Arial" w:hAnsi="Arial"/>
                <w:sz w:val="20"/>
                <w:szCs w:val="20"/>
                <w:color w:val="0000EE"/>
                <w:w w:val="88"/>
              </w:rPr>
            </w:pPr>
            <w:hyperlink r:id="rId197">
              <w:r>
                <w:rPr>
                  <w:rFonts w:ascii="Arial" w:cs="Arial" w:eastAsia="Arial" w:hAnsi="Arial"/>
                  <w:sz w:val="20"/>
                  <w:szCs w:val="20"/>
                  <w:color w:val="0000EE"/>
                  <w:w w:val="88"/>
                </w:rPr>
                <w:t>Deferred Compensation Plan Master Trust</w:t>
              </w:r>
            </w:hyperlink>
          </w:p>
        </w:tc>
        <w:tc>
          <w:tcPr>
            <w:tcW w:w="320" w:type="dxa"/>
            <w:vAlign w:val="bottom"/>
            <w:tcBorders>
              <w:top w:val="single" w:sz="8" w:color="0000EE"/>
            </w:tcBorders>
            <w:gridSpan w:val="6"/>
            <w:vMerge w:val="restart"/>
          </w:tcPr>
          <w:p>
            <w:pPr>
              <w:spacing w:after="0"/>
              <w:rPr>
                <w:sz w:val="9"/>
                <w:szCs w:val="9"/>
                <w:color w:val="auto"/>
              </w:rPr>
            </w:pPr>
          </w:p>
        </w:tc>
        <w:tc>
          <w:tcPr>
            <w:tcW w:w="480" w:type="dxa"/>
            <w:vAlign w:val="bottom"/>
            <w:tcBorders>
              <w:right w:val="single" w:sz="8" w:color="auto"/>
            </w:tcBorders>
            <w:gridSpan w:val="15"/>
            <w:vMerge w:val="restart"/>
          </w:tcPr>
          <w:p>
            <w:pPr>
              <w:spacing w:after="0"/>
              <w:rPr>
                <w:sz w:val="9"/>
                <w:szCs w:val="9"/>
                <w:color w:val="auto"/>
              </w:rPr>
            </w:pPr>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10.50</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360" w:type="dxa"/>
            <w:vAlign w:val="bottom"/>
            <w:tcBorders>
              <w:bottom w:val="single" w:sz="8" w:color="0000EE"/>
            </w:tcBorders>
            <w:gridSpan w:val="12"/>
            <w:vMerge w:val="continue"/>
          </w:tcPr>
          <w:p>
            <w:pPr>
              <w:spacing w:after="0"/>
              <w:rPr>
                <w:sz w:val="8"/>
                <w:szCs w:val="8"/>
                <w:color w:val="auto"/>
              </w:rPr>
            </w:pPr>
          </w:p>
        </w:tc>
        <w:tc>
          <w:tcPr>
            <w:tcW w:w="320" w:type="dxa"/>
            <w:vAlign w:val="bottom"/>
            <w:gridSpan w:val="6"/>
            <w:vMerge w:val="continue"/>
          </w:tcPr>
          <w:p>
            <w:pPr>
              <w:spacing w:after="0"/>
              <w:rPr>
                <w:sz w:val="8"/>
                <w:szCs w:val="8"/>
                <w:color w:val="auto"/>
              </w:rPr>
            </w:pPr>
          </w:p>
        </w:tc>
        <w:tc>
          <w:tcPr>
            <w:tcW w:w="480" w:type="dxa"/>
            <w:vAlign w:val="bottom"/>
            <w:tcBorders>
              <w:right w:val="single" w:sz="8" w:color="auto"/>
            </w:tcBorders>
            <w:gridSpan w:val="15"/>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2009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33"/>
            <w:vMerge w:val="restart"/>
          </w:tcPr>
          <w:p>
            <w:pPr>
              <w:spacing w:after="0" w:line="209" w:lineRule="exact"/>
              <w:rPr>
                <w:rFonts w:ascii="Arial" w:cs="Arial" w:eastAsia="Arial" w:hAnsi="Arial"/>
                <w:sz w:val="20"/>
                <w:szCs w:val="20"/>
                <w:color w:val="0000EE"/>
              </w:rPr>
            </w:pPr>
            <w:hyperlink r:id="rId197">
              <w:r>
                <w:rPr>
                  <w:rFonts w:ascii="Arial" w:cs="Arial" w:eastAsia="Arial" w:hAnsi="Arial"/>
                  <w:sz w:val="20"/>
                  <w:szCs w:val="20"/>
                  <w:color w:val="0000EE"/>
                </w:rPr>
                <w:t>Agreement, dated as of December 15, 2008</w:t>
              </w:r>
              <w:r>
                <w:rPr>
                  <w:rFonts w:ascii="Arial" w:cs="Arial" w:eastAsia="Arial" w:hAnsi="Arial"/>
                  <w:sz w:val="20"/>
                  <w:szCs w:val="20"/>
                  <w:color w:val="000000"/>
                </w:rPr>
                <w:t>*</w:t>
              </w:r>
            </w:hyperlink>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33"/>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10.4</w:t>
            </w:r>
          </w:p>
        </w:tc>
        <w:tc>
          <w:tcPr>
            <w:tcW w:w="120" w:type="dxa"/>
            <w:vAlign w:val="bottom"/>
          </w:tcPr>
          <w:p>
            <w:pPr>
              <w:spacing w:after="0"/>
              <w:rPr>
                <w:sz w:val="15"/>
                <w:szCs w:val="15"/>
                <w:color w:val="auto"/>
              </w:rPr>
            </w:pPr>
          </w:p>
        </w:tc>
        <w:tc>
          <w:tcPr>
            <w:tcW w:w="3960" w:type="dxa"/>
            <w:vAlign w:val="bottom"/>
            <w:tcBorders>
              <w:bottom w:val="single" w:sz="8" w:color="0000EE"/>
            </w:tcBorders>
            <w:gridSpan w:val="29"/>
          </w:tcPr>
          <w:p>
            <w:pPr>
              <w:spacing w:after="0" w:line="183" w:lineRule="exact"/>
              <w:rPr>
                <w:rFonts w:ascii="Arial" w:cs="Arial" w:eastAsia="Arial" w:hAnsi="Arial"/>
                <w:sz w:val="20"/>
                <w:szCs w:val="20"/>
                <w:color w:val="0000EE"/>
                <w:w w:val="90"/>
              </w:rPr>
            </w:pPr>
            <w:hyperlink r:id="rId198">
              <w:r>
                <w:rPr>
                  <w:rFonts w:ascii="Arial" w:cs="Arial" w:eastAsia="Arial" w:hAnsi="Arial"/>
                  <w:sz w:val="20"/>
                  <w:szCs w:val="20"/>
                  <w:color w:val="0000EE"/>
                  <w:w w:val="90"/>
                </w:rPr>
                <w:t>Aqua America, Inc. 2009 Executive Deferral Plan</w:t>
              </w:r>
            </w:hyperlink>
          </w:p>
        </w:tc>
        <w:tc>
          <w:tcPr>
            <w:tcW w:w="200" w:type="dxa"/>
            <w:vAlign w:val="bottom"/>
            <w:tcBorders>
              <w:right w:val="single" w:sz="8" w:color="auto"/>
            </w:tcBorders>
            <w:gridSpan w:val="4"/>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333-</w:t>
            </w: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w w:val="97"/>
              </w:rPr>
              <w:t>December 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640" w:type="dxa"/>
            <w:vAlign w:val="bottom"/>
            <w:gridSpan w:val="16"/>
            <w:vMerge w:val="restart"/>
          </w:tcPr>
          <w:p>
            <w:pPr>
              <w:spacing w:after="0" w:line="209" w:lineRule="exact"/>
              <w:rPr>
                <w:rFonts w:ascii="Arial" w:cs="Arial" w:eastAsia="Arial" w:hAnsi="Arial"/>
                <w:sz w:val="20"/>
                <w:szCs w:val="20"/>
                <w:color w:val="0000EE"/>
                <w:w w:val="87"/>
              </w:rPr>
            </w:pPr>
            <w:hyperlink r:id="rId198">
              <w:r>
                <w:rPr>
                  <w:rFonts w:ascii="Arial" w:cs="Arial" w:eastAsia="Arial" w:hAnsi="Arial"/>
                  <w:sz w:val="20"/>
                  <w:szCs w:val="20"/>
                  <w:color w:val="0000EE"/>
                  <w:w w:val="87"/>
                </w:rPr>
                <w:t>(as amended and restated effective January 1,</w:t>
              </w:r>
            </w:hyperlink>
          </w:p>
        </w:tc>
        <w:tc>
          <w:tcPr>
            <w:tcW w:w="520" w:type="dxa"/>
            <w:vAlign w:val="bottom"/>
            <w:tcBorders>
              <w:right w:val="single" w:sz="8" w:color="auto"/>
            </w:tcBorders>
            <w:gridSpan w:val="17"/>
            <w:vMerge w:val="restart"/>
          </w:tcPr>
          <w:p>
            <w:pPr>
              <w:spacing w:after="0"/>
              <w:rPr>
                <w:sz w:val="9"/>
                <w:szCs w:val="9"/>
                <w:color w:val="auto"/>
              </w:rPr>
            </w:pPr>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S-8</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4.1</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40" w:type="dxa"/>
            <w:vAlign w:val="bottom"/>
            <w:tcBorders>
              <w:bottom w:val="single" w:sz="8" w:color="0000EE"/>
            </w:tcBorders>
            <w:gridSpan w:val="16"/>
            <w:vMerge w:val="continue"/>
          </w:tcPr>
          <w:p>
            <w:pPr>
              <w:spacing w:after="0"/>
              <w:rPr>
                <w:sz w:val="8"/>
                <w:szCs w:val="8"/>
                <w:color w:val="auto"/>
              </w:rPr>
            </w:pPr>
          </w:p>
        </w:tc>
        <w:tc>
          <w:tcPr>
            <w:tcW w:w="520" w:type="dxa"/>
            <w:vAlign w:val="bottom"/>
            <w:tcBorders>
              <w:right w:val="single" w:sz="8" w:color="auto"/>
            </w:tcBorders>
            <w:gridSpan w:val="17"/>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156047</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2008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60" w:type="dxa"/>
            <w:vAlign w:val="bottom"/>
            <w:gridSpan w:val="6"/>
            <w:vMerge w:val="restart"/>
          </w:tcPr>
          <w:p>
            <w:pPr>
              <w:ind w:left="120"/>
              <w:spacing w:after="0" w:line="209" w:lineRule="exact"/>
              <w:rPr>
                <w:rFonts w:ascii="Arial" w:cs="Arial" w:eastAsia="Arial" w:hAnsi="Arial"/>
                <w:sz w:val="20"/>
                <w:szCs w:val="20"/>
                <w:color w:val="0000EE"/>
              </w:rPr>
            </w:pPr>
            <w:hyperlink r:id="rId198">
              <w:r>
                <w:rPr>
                  <w:rFonts w:ascii="Arial" w:cs="Arial" w:eastAsia="Arial" w:hAnsi="Arial"/>
                  <w:sz w:val="20"/>
                  <w:szCs w:val="20"/>
                  <w:color w:val="0000EE"/>
                </w:rPr>
                <w:t>2009)</w:t>
              </w:r>
              <w:r>
                <w:rPr>
                  <w:rFonts w:ascii="Arial" w:cs="Arial" w:eastAsia="Arial" w:hAnsi="Arial"/>
                  <w:sz w:val="20"/>
                  <w:szCs w:val="20"/>
                  <w:color w:val="000000"/>
                </w:rPr>
                <w:t>*</w:t>
              </w:r>
            </w:hyperlink>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60" w:type="dxa"/>
            <w:vAlign w:val="bottom"/>
            <w:gridSpan w:val="6"/>
            <w:vMerge w:val="continue"/>
          </w:tcPr>
          <w:p>
            <w:pPr>
              <w:spacing w:after="0"/>
              <w:rPr>
                <w:sz w:val="6"/>
                <w:szCs w:val="6"/>
                <w:color w:val="auto"/>
              </w:rPr>
            </w:pPr>
          </w:p>
        </w:tc>
        <w:tc>
          <w:tcPr>
            <w:tcW w:w="1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1700" w:type="dxa"/>
            <w:vAlign w:val="bottom"/>
          </w:tcPr>
          <w:p>
            <w:pPr>
              <w:spacing w:after="0"/>
              <w:rPr>
                <w:sz w:val="24"/>
                <w:szCs w:val="24"/>
                <w:color w:val="auto"/>
              </w:rPr>
            </w:pPr>
          </w:p>
        </w:tc>
        <w:tc>
          <w:tcPr>
            <w:tcW w:w="3520" w:type="dxa"/>
            <w:vAlign w:val="bottom"/>
            <w:gridSpan w:val="14"/>
          </w:tcPr>
          <w:p>
            <w:pPr>
              <w:jc w:val="right"/>
              <w:ind w:right="4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680" w:type="dxa"/>
            <w:vAlign w:val="bottom"/>
            <w:tcBorders>
              <w:top w:val="single" w:sz="8" w:color="auto"/>
              <w:left w:val="single" w:sz="8" w:color="auto"/>
              <w:right w:val="single" w:sz="8" w:color="auto"/>
            </w:tcBorders>
          </w:tcPr>
          <w:p>
            <w:pPr>
              <w:ind w:left="120"/>
              <w:spacing w:after="0" w:line="203" w:lineRule="exact"/>
              <w:rPr>
                <w:sz w:val="20"/>
                <w:szCs w:val="20"/>
                <w:color w:val="auto"/>
              </w:rPr>
            </w:pPr>
            <w:r>
              <w:rPr>
                <w:rFonts w:ascii="Arial" w:cs="Arial" w:eastAsia="Arial" w:hAnsi="Arial"/>
                <w:sz w:val="20"/>
                <w:szCs w:val="20"/>
                <w:color w:val="auto"/>
              </w:rPr>
              <w:t>10.5</w:t>
            </w:r>
          </w:p>
        </w:tc>
        <w:tc>
          <w:tcPr>
            <w:tcW w:w="100" w:type="dxa"/>
            <w:vAlign w:val="bottom"/>
            <w:tcBorders>
              <w:top w:val="single" w:sz="8" w:color="auto"/>
            </w:tcBorders>
          </w:tcPr>
          <w:p>
            <w:pPr>
              <w:spacing w:after="0"/>
              <w:rPr>
                <w:sz w:val="17"/>
                <w:szCs w:val="17"/>
                <w:color w:val="auto"/>
              </w:rPr>
            </w:pPr>
          </w:p>
        </w:tc>
        <w:tc>
          <w:tcPr>
            <w:tcW w:w="4020" w:type="dxa"/>
            <w:vAlign w:val="bottom"/>
            <w:tcBorders>
              <w:top w:val="single" w:sz="8" w:color="auto"/>
              <w:bottom w:val="single" w:sz="8" w:color="0000EE"/>
            </w:tcBorders>
            <w:gridSpan w:val="33"/>
          </w:tcPr>
          <w:p>
            <w:pPr>
              <w:spacing w:after="0" w:line="203" w:lineRule="exact"/>
              <w:rPr>
                <w:rFonts w:ascii="Arial" w:cs="Arial" w:eastAsia="Arial" w:hAnsi="Arial"/>
                <w:sz w:val="20"/>
                <w:szCs w:val="20"/>
                <w:color w:val="0000EE"/>
                <w:w w:val="90"/>
              </w:rPr>
            </w:pPr>
            <w:hyperlink r:id="rId201">
              <w:r>
                <w:rPr>
                  <w:rFonts w:ascii="Arial" w:cs="Arial" w:eastAsia="Arial" w:hAnsi="Arial"/>
                  <w:sz w:val="20"/>
                  <w:szCs w:val="20"/>
                  <w:color w:val="0000EE"/>
                  <w:w w:val="90"/>
                </w:rPr>
                <w:t>Aqua America, Inc. Supplemental Pension Benefit</w:t>
              </w:r>
            </w:hyperlink>
          </w:p>
        </w:tc>
        <w:tc>
          <w:tcPr>
            <w:tcW w:w="140" w:type="dxa"/>
            <w:vAlign w:val="bottom"/>
            <w:tcBorders>
              <w:top w:val="single" w:sz="8" w:color="auto"/>
              <w:right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bottom w:val="single" w:sz="8" w:color="auto"/>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bottom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680" w:type="dxa"/>
            <w:vAlign w:val="bottom"/>
            <w:tcBorders>
              <w:left w:val="single" w:sz="8" w:color="auto"/>
              <w:right w:val="single" w:sz="8" w:color="auto"/>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4160" w:type="dxa"/>
            <w:vAlign w:val="bottom"/>
            <w:tcBorders>
              <w:right w:val="single" w:sz="8" w:color="auto"/>
            </w:tcBorders>
            <w:gridSpan w:val="34"/>
            <w:vMerge w:val="restart"/>
          </w:tcPr>
          <w:p>
            <w:pPr>
              <w:spacing w:after="0" w:line="209" w:lineRule="exact"/>
              <w:rPr>
                <w:rFonts w:ascii="Arial" w:cs="Arial" w:eastAsia="Arial" w:hAnsi="Arial"/>
                <w:sz w:val="20"/>
                <w:szCs w:val="20"/>
                <w:color w:val="0000EE"/>
                <w:w w:val="99"/>
              </w:rPr>
            </w:pPr>
            <w:hyperlink r:id="rId201">
              <w:r>
                <w:rPr>
                  <w:rFonts w:ascii="Arial" w:cs="Arial" w:eastAsia="Arial" w:hAnsi="Arial"/>
                  <w:sz w:val="20"/>
                  <w:szCs w:val="20"/>
                  <w:color w:val="0000EE"/>
                  <w:w w:val="99"/>
                </w:rPr>
                <w:t>Plan for Salaried Employees (as amended and</w:t>
              </w:r>
            </w:hyperlink>
          </w:p>
        </w:tc>
        <w:tc>
          <w:tcPr>
            <w:tcW w:w="74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10.58</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680" w:type="dxa"/>
            <w:vAlign w:val="bottom"/>
            <w:tcBorders>
              <w:left w:val="single" w:sz="8" w:color="auto"/>
              <w:right w:val="single" w:sz="8" w:color="auto"/>
            </w:tcBorders>
          </w:tcPr>
          <w:p>
            <w:pPr>
              <w:spacing w:after="0"/>
              <w:rPr>
                <w:sz w:val="8"/>
                <w:szCs w:val="8"/>
                <w:color w:val="auto"/>
              </w:rPr>
            </w:pPr>
          </w:p>
        </w:tc>
        <w:tc>
          <w:tcPr>
            <w:tcW w:w="100" w:type="dxa"/>
            <w:vAlign w:val="bottom"/>
            <w:vMerge w:val="continue"/>
          </w:tcPr>
          <w:p>
            <w:pPr>
              <w:spacing w:after="0"/>
              <w:rPr>
                <w:sz w:val="8"/>
                <w:szCs w:val="8"/>
                <w:color w:val="auto"/>
              </w:rPr>
            </w:pPr>
          </w:p>
        </w:tc>
        <w:tc>
          <w:tcPr>
            <w:tcW w:w="4160" w:type="dxa"/>
            <w:vAlign w:val="bottom"/>
            <w:tcBorders>
              <w:right w:val="single" w:sz="8" w:color="auto"/>
            </w:tcBorders>
            <w:gridSpan w:val="34"/>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640" w:type="dxa"/>
            <w:vAlign w:val="bottom"/>
            <w:tcBorders>
              <w:top w:val="single" w:sz="8" w:color="0000EE"/>
            </w:tcBorders>
            <w:gridSpan w:val="22"/>
            <w:vMerge w:val="restart"/>
          </w:tcPr>
          <w:p>
            <w:pPr>
              <w:spacing w:after="0" w:line="209" w:lineRule="exact"/>
              <w:rPr>
                <w:rFonts w:ascii="Arial" w:cs="Arial" w:eastAsia="Arial" w:hAnsi="Arial"/>
                <w:sz w:val="20"/>
                <w:szCs w:val="20"/>
                <w:color w:val="0000EE"/>
              </w:rPr>
            </w:pPr>
            <w:hyperlink r:id="rId201">
              <w:r>
                <w:rPr>
                  <w:rFonts w:ascii="Arial" w:cs="Arial" w:eastAsia="Arial" w:hAnsi="Arial"/>
                  <w:sz w:val="20"/>
                  <w:szCs w:val="20"/>
                  <w:color w:val="0000EE"/>
                </w:rPr>
                <w:t>restated effective January 1, 2011)</w:t>
              </w:r>
              <w:r>
                <w:rPr>
                  <w:rFonts w:ascii="Arial" w:cs="Arial" w:eastAsia="Arial" w:hAnsi="Arial"/>
                  <w:sz w:val="20"/>
                  <w:szCs w:val="20"/>
                  <w:color w:val="000000"/>
                </w:rPr>
                <w:t>*</w:t>
              </w:r>
            </w:hyperlink>
          </w:p>
        </w:tc>
        <w:tc>
          <w:tcPr>
            <w:tcW w:w="520" w:type="dxa"/>
            <w:vAlign w:val="bottom"/>
            <w:tcBorders>
              <w:right w:val="single" w:sz="8" w:color="auto"/>
            </w:tcBorders>
            <w:gridSpan w:val="12"/>
            <w:vMerge w:val="restart"/>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3640" w:type="dxa"/>
            <w:vAlign w:val="bottom"/>
            <w:gridSpan w:val="22"/>
            <w:vMerge w:val="continue"/>
          </w:tcPr>
          <w:p>
            <w:pPr>
              <w:spacing w:after="0"/>
              <w:rPr>
                <w:sz w:val="6"/>
                <w:szCs w:val="6"/>
                <w:color w:val="auto"/>
              </w:rPr>
            </w:pPr>
          </w:p>
        </w:tc>
        <w:tc>
          <w:tcPr>
            <w:tcW w:w="520" w:type="dxa"/>
            <w:vAlign w:val="bottom"/>
            <w:tcBorders>
              <w:right w:val="single" w:sz="8" w:color="auto"/>
            </w:tcBorders>
            <w:gridSpan w:val="12"/>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10.6</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8"/>
              </w:rPr>
            </w:pPr>
            <w:hyperlink r:id="rId202">
              <w:r>
                <w:rPr>
                  <w:rFonts w:ascii="Arial" w:cs="Arial" w:eastAsia="Arial" w:hAnsi="Arial"/>
                  <w:sz w:val="20"/>
                  <w:szCs w:val="20"/>
                  <w:color w:val="0000EE"/>
                  <w:w w:val="98"/>
                </w:rPr>
                <w:t>Aqua America. Inc. Dividend Reinvestment and</w:t>
              </w:r>
            </w:hyperlink>
          </w:p>
        </w:tc>
        <w:tc>
          <w:tcPr>
            <w:tcW w:w="74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S-</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333-</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N/A</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July 28, 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820" w:type="dxa"/>
            <w:vAlign w:val="bottom"/>
            <w:tcBorders>
              <w:top w:val="single" w:sz="8" w:color="0000EE"/>
            </w:tcBorders>
            <w:gridSpan w:val="28"/>
            <w:vMerge w:val="restart"/>
          </w:tcPr>
          <w:p>
            <w:pPr>
              <w:spacing w:after="0" w:line="209" w:lineRule="exact"/>
              <w:rPr>
                <w:rFonts w:ascii="Arial" w:cs="Arial" w:eastAsia="Arial" w:hAnsi="Arial"/>
                <w:sz w:val="20"/>
                <w:szCs w:val="20"/>
                <w:color w:val="0000EE"/>
              </w:rPr>
            </w:pPr>
            <w:hyperlink r:id="rId202">
              <w:r>
                <w:rPr>
                  <w:rFonts w:ascii="Arial" w:cs="Arial" w:eastAsia="Arial" w:hAnsi="Arial"/>
                  <w:sz w:val="20"/>
                  <w:szCs w:val="20"/>
                  <w:color w:val="0000EE"/>
                </w:rPr>
                <w:t>Direct Stock Purchase Plan</w:t>
              </w:r>
              <w:r>
                <w:rPr>
                  <w:rFonts w:ascii="Arial" w:cs="Arial" w:eastAsia="Arial" w:hAnsi="Arial"/>
                  <w:sz w:val="20"/>
                  <w:szCs w:val="20"/>
                  <w:color w:val="000000"/>
                </w:rPr>
                <w:t>*</w:t>
              </w:r>
            </w:hyperlink>
          </w:p>
        </w:tc>
        <w:tc>
          <w:tcPr>
            <w:tcW w:w="340" w:type="dxa"/>
            <w:vAlign w:val="bottom"/>
            <w:tcBorders>
              <w:right w:val="single" w:sz="8" w:color="auto"/>
            </w:tcBorders>
            <w:gridSpan w:val="6"/>
            <w:vMerge w:val="restart"/>
          </w:tcPr>
          <w:p>
            <w:pPr>
              <w:spacing w:after="0"/>
              <w:rPr>
                <w:sz w:val="11"/>
                <w:szCs w:val="11"/>
                <w:color w:val="auto"/>
              </w:rPr>
            </w:pPr>
          </w:p>
        </w:tc>
        <w:tc>
          <w:tcPr>
            <w:tcW w:w="74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3ASR</w:t>
            </w: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219545</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3820" w:type="dxa"/>
            <w:vAlign w:val="bottom"/>
            <w:gridSpan w:val="28"/>
            <w:vMerge w:val="continue"/>
          </w:tcPr>
          <w:p>
            <w:pPr>
              <w:spacing w:after="0"/>
              <w:rPr>
                <w:sz w:val="6"/>
                <w:szCs w:val="6"/>
                <w:color w:val="auto"/>
              </w:rPr>
            </w:pPr>
          </w:p>
        </w:tc>
        <w:tc>
          <w:tcPr>
            <w:tcW w:w="340" w:type="dxa"/>
            <w:vAlign w:val="bottom"/>
            <w:tcBorders>
              <w:right w:val="single" w:sz="8" w:color="auto"/>
            </w:tcBorders>
            <w:gridSpan w:val="6"/>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10.7</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9"/>
              </w:rPr>
            </w:pPr>
            <w:hyperlink r:id="rId203">
              <w:r>
                <w:rPr>
                  <w:rFonts w:ascii="Arial" w:cs="Arial" w:eastAsia="Arial" w:hAnsi="Arial"/>
                  <w:sz w:val="20"/>
                  <w:szCs w:val="20"/>
                  <w:color w:val="0000EE"/>
                  <w:w w:val="99"/>
                </w:rPr>
                <w:t>Aqua America, Inc. 2004 Equity Compensation</w:t>
              </w:r>
            </w:hyperlink>
          </w:p>
        </w:tc>
        <w:tc>
          <w:tcPr>
            <w:tcW w:w="7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680" w:type="dxa"/>
            <w:vAlign w:val="bottom"/>
            <w:tcBorders>
              <w:left w:val="single" w:sz="8" w:color="auto"/>
              <w:right w:val="single" w:sz="8" w:color="auto"/>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3760" w:type="dxa"/>
            <w:vAlign w:val="bottom"/>
            <w:tcBorders>
              <w:top w:val="single" w:sz="8" w:color="0000EE"/>
            </w:tcBorders>
            <w:gridSpan w:val="25"/>
            <w:vMerge w:val="restart"/>
          </w:tcPr>
          <w:p>
            <w:pPr>
              <w:spacing w:after="0" w:line="209" w:lineRule="exact"/>
              <w:rPr>
                <w:rFonts w:ascii="Arial" w:cs="Arial" w:eastAsia="Arial" w:hAnsi="Arial"/>
                <w:sz w:val="20"/>
                <w:szCs w:val="20"/>
                <w:color w:val="0000EE"/>
                <w:w w:val="87"/>
              </w:rPr>
            </w:pPr>
            <w:hyperlink r:id="rId203">
              <w:r>
                <w:rPr>
                  <w:rFonts w:ascii="Arial" w:cs="Arial" w:eastAsia="Arial" w:hAnsi="Arial"/>
                  <w:sz w:val="20"/>
                  <w:szCs w:val="20"/>
                  <w:color w:val="0000EE"/>
                  <w:w w:val="87"/>
                </w:rPr>
                <w:t>Plan (as amended and restated as of January 1,</w:t>
              </w:r>
            </w:hyperlink>
          </w:p>
        </w:tc>
        <w:tc>
          <w:tcPr>
            <w:tcW w:w="20" w:type="dxa"/>
            <w:vAlign w:val="bottom"/>
            <w:tcBorders>
              <w:top w:val="single" w:sz="8" w:color="0000EE"/>
            </w:tcBorders>
            <w:vMerge w:val="restart"/>
          </w:tcPr>
          <w:p>
            <w:pPr>
              <w:spacing w:after="0"/>
              <w:rPr>
                <w:sz w:val="9"/>
                <w:szCs w:val="9"/>
                <w:color w:val="auto"/>
              </w:rPr>
            </w:pPr>
          </w:p>
        </w:tc>
        <w:tc>
          <w:tcPr>
            <w:tcW w:w="380" w:type="dxa"/>
            <w:vAlign w:val="bottom"/>
            <w:tcBorders>
              <w:right w:val="single" w:sz="8" w:color="auto"/>
            </w:tcBorders>
            <w:gridSpan w:val="8"/>
            <w:vMerge w:val="restart"/>
          </w:tcPr>
          <w:p>
            <w:pPr>
              <w:spacing w:after="0"/>
              <w:rPr>
                <w:sz w:val="9"/>
                <w:szCs w:val="9"/>
                <w:color w:val="auto"/>
              </w:rPr>
            </w:pPr>
          </w:p>
        </w:tc>
        <w:tc>
          <w:tcPr>
            <w:tcW w:w="74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10.36</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Borders>
              <w:left w:val="single" w:sz="8" w:color="auto"/>
              <w:right w:val="single" w:sz="8" w:color="auto"/>
            </w:tcBorders>
          </w:tcPr>
          <w:p>
            <w:pPr>
              <w:spacing w:after="0"/>
              <w:rPr>
                <w:sz w:val="8"/>
                <w:szCs w:val="8"/>
                <w:color w:val="auto"/>
              </w:rPr>
            </w:pPr>
          </w:p>
        </w:tc>
        <w:tc>
          <w:tcPr>
            <w:tcW w:w="100" w:type="dxa"/>
            <w:vAlign w:val="bottom"/>
            <w:vMerge w:val="continue"/>
          </w:tcPr>
          <w:p>
            <w:pPr>
              <w:spacing w:after="0"/>
              <w:rPr>
                <w:sz w:val="8"/>
                <w:szCs w:val="8"/>
                <w:color w:val="auto"/>
              </w:rPr>
            </w:pPr>
          </w:p>
        </w:tc>
        <w:tc>
          <w:tcPr>
            <w:tcW w:w="3760" w:type="dxa"/>
            <w:vAlign w:val="bottom"/>
            <w:tcBorders>
              <w:bottom w:val="single" w:sz="8" w:color="0000EE"/>
            </w:tcBorders>
            <w:gridSpan w:val="25"/>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380" w:type="dxa"/>
            <w:vAlign w:val="bottom"/>
            <w:tcBorders>
              <w:right w:val="single" w:sz="8" w:color="auto"/>
            </w:tcBorders>
            <w:gridSpan w:val="8"/>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2009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980" w:type="dxa"/>
            <w:vAlign w:val="bottom"/>
            <w:gridSpan w:val="3"/>
            <w:vMerge w:val="restart"/>
          </w:tcPr>
          <w:p>
            <w:pPr>
              <w:ind w:left="100"/>
              <w:spacing w:after="0" w:line="209" w:lineRule="exact"/>
              <w:rPr>
                <w:rFonts w:ascii="Arial" w:cs="Arial" w:eastAsia="Arial" w:hAnsi="Arial"/>
                <w:sz w:val="20"/>
                <w:szCs w:val="20"/>
                <w:color w:val="0000EE"/>
              </w:rPr>
            </w:pPr>
            <w:hyperlink r:id="rId203">
              <w:r>
                <w:rPr>
                  <w:rFonts w:ascii="Arial" w:cs="Arial" w:eastAsia="Arial" w:hAnsi="Arial"/>
                  <w:sz w:val="20"/>
                  <w:szCs w:val="20"/>
                  <w:color w:val="0000EE"/>
                </w:rPr>
                <w:t>2009)</w:t>
              </w:r>
              <w:r>
                <w:rPr>
                  <w:rFonts w:ascii="Arial" w:cs="Arial" w:eastAsia="Arial" w:hAnsi="Arial"/>
                  <w:sz w:val="20"/>
                  <w:szCs w:val="20"/>
                  <w:color w:val="000000"/>
                </w:rPr>
                <w:t>*</w:t>
              </w:r>
            </w:hyperlink>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10.7.1</w:t>
            </w:r>
          </w:p>
        </w:tc>
        <w:tc>
          <w:tcPr>
            <w:tcW w:w="100" w:type="dxa"/>
            <w:vAlign w:val="bottom"/>
          </w:tcPr>
          <w:p>
            <w:pPr>
              <w:spacing w:after="0"/>
              <w:rPr>
                <w:sz w:val="15"/>
                <w:szCs w:val="15"/>
                <w:color w:val="auto"/>
              </w:rPr>
            </w:pPr>
          </w:p>
        </w:tc>
        <w:tc>
          <w:tcPr>
            <w:tcW w:w="3660" w:type="dxa"/>
            <w:vAlign w:val="bottom"/>
            <w:tcBorders>
              <w:bottom w:val="single" w:sz="8" w:color="0000EE"/>
            </w:tcBorders>
            <w:gridSpan w:val="23"/>
          </w:tcPr>
          <w:p>
            <w:pPr>
              <w:spacing w:after="0" w:line="183" w:lineRule="exact"/>
              <w:rPr>
                <w:rFonts w:ascii="Arial" w:cs="Arial" w:eastAsia="Arial" w:hAnsi="Arial"/>
                <w:sz w:val="20"/>
                <w:szCs w:val="20"/>
                <w:color w:val="0000EE"/>
                <w:w w:val="91"/>
              </w:rPr>
            </w:pPr>
            <w:hyperlink r:id="rId204">
              <w:r>
                <w:rPr>
                  <w:rFonts w:ascii="Arial" w:cs="Arial" w:eastAsia="Arial" w:hAnsi="Arial"/>
                  <w:sz w:val="20"/>
                  <w:szCs w:val="20"/>
                  <w:color w:val="0000EE"/>
                  <w:w w:val="91"/>
                </w:rPr>
                <w:t>Form of Incentive Stock Option and Dividend</w:t>
              </w:r>
            </w:hyperlink>
          </w:p>
        </w:tc>
        <w:tc>
          <w:tcPr>
            <w:tcW w:w="500" w:type="dxa"/>
            <w:vAlign w:val="bottom"/>
            <w:tcBorders>
              <w:right w:val="single" w:sz="8" w:color="auto"/>
            </w:tcBorders>
            <w:gridSpan w:val="11"/>
          </w:tcPr>
          <w:p>
            <w:pPr>
              <w:spacing w:after="0"/>
              <w:rPr>
                <w:sz w:val="15"/>
                <w:szCs w:val="15"/>
                <w:color w:val="auto"/>
              </w:rPr>
            </w:pPr>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10.49</w:t>
            </w:r>
          </w:p>
        </w:tc>
        <w:tc>
          <w:tcPr>
            <w:tcW w:w="13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February 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4260" w:type="dxa"/>
            <w:vAlign w:val="bottom"/>
            <w:tcBorders>
              <w:right w:val="single" w:sz="8" w:color="auto"/>
            </w:tcBorders>
            <w:gridSpan w:val="35"/>
            <w:vMerge w:val="restart"/>
          </w:tcPr>
          <w:p>
            <w:pPr>
              <w:ind w:left="100"/>
              <w:spacing w:after="0" w:line="209" w:lineRule="exact"/>
              <w:rPr>
                <w:rFonts w:ascii="Arial" w:cs="Arial" w:eastAsia="Arial" w:hAnsi="Arial"/>
                <w:sz w:val="20"/>
                <w:szCs w:val="20"/>
                <w:color w:val="0000EE"/>
              </w:rPr>
            </w:pPr>
            <w:hyperlink r:id="rId204">
              <w:r>
                <w:rPr>
                  <w:rFonts w:ascii="Arial" w:cs="Arial" w:eastAsia="Arial" w:hAnsi="Arial"/>
                  <w:sz w:val="20"/>
                  <w:szCs w:val="20"/>
                  <w:color w:val="0000EE"/>
                </w:rPr>
                <w:t>Equivalent Grant Agreement</w:t>
              </w:r>
              <w:r>
                <w:rPr>
                  <w:rFonts w:ascii="Arial" w:cs="Arial" w:eastAsia="Arial" w:hAnsi="Arial"/>
                  <w:sz w:val="20"/>
                  <w:szCs w:val="20"/>
                  <w:color w:val="000000"/>
                </w:rPr>
                <w:t>*</w:t>
              </w:r>
            </w:hyperlink>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4260" w:type="dxa"/>
            <w:vAlign w:val="bottom"/>
            <w:tcBorders>
              <w:right w:val="single" w:sz="8" w:color="auto"/>
            </w:tcBorders>
            <w:gridSpan w:val="35"/>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10.7.2</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rPr>
            </w:pPr>
            <w:hyperlink r:id="rId205">
              <w:r>
                <w:rPr>
                  <w:rFonts w:ascii="Arial" w:cs="Arial" w:eastAsia="Arial" w:hAnsi="Arial"/>
                  <w:sz w:val="20"/>
                  <w:szCs w:val="20"/>
                  <w:color w:val="0000EE"/>
                </w:rPr>
                <w:t>Form of Amendment to Incentive Stock Option</w:t>
              </w:r>
            </w:hyperlink>
          </w:p>
        </w:tc>
        <w:tc>
          <w:tcPr>
            <w:tcW w:w="7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vMerge w:val="continue"/>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680" w:type="dxa"/>
            <w:vAlign w:val="bottom"/>
            <w:tcBorders>
              <w:left w:val="single" w:sz="8" w:color="auto"/>
              <w:right w:val="single" w:sz="8" w:color="auto"/>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3780" w:type="dxa"/>
            <w:vAlign w:val="bottom"/>
            <w:gridSpan w:val="26"/>
            <w:vMerge w:val="restart"/>
          </w:tcPr>
          <w:p>
            <w:pPr>
              <w:spacing w:after="0" w:line="209" w:lineRule="exact"/>
              <w:rPr>
                <w:rFonts w:ascii="Arial" w:cs="Arial" w:eastAsia="Arial" w:hAnsi="Arial"/>
                <w:sz w:val="20"/>
                <w:szCs w:val="20"/>
                <w:color w:val="0000EE"/>
                <w:w w:val="90"/>
              </w:rPr>
            </w:pPr>
            <w:hyperlink r:id="rId205">
              <w:r>
                <w:rPr>
                  <w:rFonts w:ascii="Arial" w:cs="Arial" w:eastAsia="Arial" w:hAnsi="Arial"/>
                  <w:sz w:val="20"/>
                  <w:szCs w:val="20"/>
                  <w:color w:val="0000EE"/>
                  <w:w w:val="90"/>
                </w:rPr>
                <w:t>and Dividend Equivalent Grant Agreements for</w:t>
              </w:r>
            </w:hyperlink>
          </w:p>
        </w:tc>
        <w:tc>
          <w:tcPr>
            <w:tcW w:w="380" w:type="dxa"/>
            <w:vAlign w:val="bottom"/>
            <w:tcBorders>
              <w:right w:val="single" w:sz="8" w:color="auto"/>
            </w:tcBorders>
            <w:gridSpan w:val="8"/>
            <w:vMerge w:val="restart"/>
          </w:tcPr>
          <w:p>
            <w:pPr>
              <w:spacing w:after="0"/>
              <w:rPr>
                <w:sz w:val="9"/>
                <w:szCs w:val="9"/>
                <w:color w:val="auto"/>
              </w:rPr>
            </w:pPr>
          </w:p>
        </w:tc>
        <w:tc>
          <w:tcPr>
            <w:tcW w:w="74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10.8.2</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Borders>
              <w:left w:val="single" w:sz="8" w:color="auto"/>
              <w:right w:val="single" w:sz="8" w:color="auto"/>
            </w:tcBorders>
          </w:tcPr>
          <w:p>
            <w:pPr>
              <w:spacing w:after="0"/>
              <w:rPr>
                <w:sz w:val="8"/>
                <w:szCs w:val="8"/>
                <w:color w:val="auto"/>
              </w:rPr>
            </w:pPr>
          </w:p>
        </w:tc>
        <w:tc>
          <w:tcPr>
            <w:tcW w:w="100" w:type="dxa"/>
            <w:vAlign w:val="bottom"/>
            <w:vMerge w:val="continue"/>
          </w:tcPr>
          <w:p>
            <w:pPr>
              <w:spacing w:after="0"/>
              <w:rPr>
                <w:sz w:val="8"/>
                <w:szCs w:val="8"/>
                <w:color w:val="auto"/>
              </w:rPr>
            </w:pPr>
          </w:p>
        </w:tc>
        <w:tc>
          <w:tcPr>
            <w:tcW w:w="3780" w:type="dxa"/>
            <w:vAlign w:val="bottom"/>
            <w:tcBorders>
              <w:bottom w:val="single" w:sz="8" w:color="0000EE"/>
            </w:tcBorders>
            <w:gridSpan w:val="26"/>
            <w:vMerge w:val="continue"/>
          </w:tcPr>
          <w:p>
            <w:pPr>
              <w:spacing w:after="0"/>
              <w:rPr>
                <w:sz w:val="8"/>
                <w:szCs w:val="8"/>
                <w:color w:val="auto"/>
              </w:rPr>
            </w:pPr>
          </w:p>
        </w:tc>
        <w:tc>
          <w:tcPr>
            <w:tcW w:w="380" w:type="dxa"/>
            <w:vAlign w:val="bottom"/>
            <w:tcBorders>
              <w:right w:val="single" w:sz="8" w:color="auto"/>
            </w:tcBorders>
            <w:gridSpan w:val="8"/>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4260" w:type="dxa"/>
            <w:vAlign w:val="bottom"/>
            <w:tcBorders>
              <w:right w:val="single" w:sz="8" w:color="auto"/>
            </w:tcBorders>
            <w:gridSpan w:val="35"/>
            <w:vMerge w:val="restart"/>
          </w:tcPr>
          <w:p>
            <w:pPr>
              <w:ind w:left="100"/>
              <w:spacing w:after="0" w:line="209" w:lineRule="exact"/>
              <w:rPr>
                <w:rFonts w:ascii="Arial" w:cs="Arial" w:eastAsia="Arial" w:hAnsi="Arial"/>
                <w:sz w:val="20"/>
                <w:szCs w:val="20"/>
                <w:color w:val="0000EE"/>
              </w:rPr>
            </w:pPr>
            <w:hyperlink r:id="rId205">
              <w:r>
                <w:rPr>
                  <w:rFonts w:ascii="Arial" w:cs="Arial" w:eastAsia="Arial" w:hAnsi="Arial"/>
                  <w:sz w:val="20"/>
                  <w:szCs w:val="20"/>
                  <w:color w:val="0000EE"/>
                </w:rPr>
                <w:t xml:space="preserve">executive officers </w:t>
              </w:r>
              <w:r>
                <w:rPr>
                  <w:rFonts w:ascii="Arial" w:cs="Arial" w:eastAsia="Arial" w:hAnsi="Arial"/>
                  <w:sz w:val="20"/>
                  <w:szCs w:val="20"/>
                  <w:color w:val="000000"/>
                </w:rPr>
                <w:t>*</w:t>
              </w:r>
            </w:hyperlink>
          </w:p>
        </w:tc>
        <w:tc>
          <w:tcPr>
            <w:tcW w:w="7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4260" w:type="dxa"/>
            <w:vAlign w:val="bottom"/>
            <w:tcBorders>
              <w:right w:val="single" w:sz="8" w:color="auto"/>
            </w:tcBorders>
            <w:gridSpan w:val="35"/>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rPr>
            </w:pPr>
            <w:hyperlink r:id="rId206">
              <w:r>
                <w:rPr>
                  <w:rFonts w:ascii="Arial" w:cs="Arial" w:eastAsia="Arial" w:hAnsi="Arial"/>
                  <w:sz w:val="20"/>
                  <w:szCs w:val="20"/>
                  <w:color w:val="0000EE"/>
                </w:rPr>
                <w:t>Aqua America, Inc. 2009 Omnibus Equity</w:t>
              </w:r>
            </w:hyperlink>
          </w:p>
        </w:tc>
        <w:tc>
          <w:tcPr>
            <w:tcW w:w="7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680" w:type="dxa"/>
            <w:vAlign w:val="bottom"/>
            <w:tcBorders>
              <w:left w:val="single" w:sz="8" w:color="auto"/>
              <w:right w:val="single" w:sz="8" w:color="auto"/>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3340" w:type="dxa"/>
            <w:vAlign w:val="bottom"/>
            <w:tcBorders>
              <w:top w:val="single" w:sz="8" w:color="0000EE"/>
            </w:tcBorders>
            <w:gridSpan w:val="19"/>
            <w:vMerge w:val="restart"/>
          </w:tcPr>
          <w:p>
            <w:pPr>
              <w:spacing w:after="0" w:line="209" w:lineRule="exact"/>
              <w:rPr>
                <w:rFonts w:ascii="Arial" w:cs="Arial" w:eastAsia="Arial" w:hAnsi="Arial"/>
                <w:sz w:val="20"/>
                <w:szCs w:val="20"/>
                <w:color w:val="0000EE"/>
                <w:w w:val="88"/>
              </w:rPr>
            </w:pPr>
            <w:hyperlink r:id="rId206">
              <w:r>
                <w:rPr>
                  <w:rFonts w:ascii="Arial" w:cs="Arial" w:eastAsia="Arial" w:hAnsi="Arial"/>
                  <w:sz w:val="20"/>
                  <w:szCs w:val="20"/>
                  <w:color w:val="0000EE"/>
                  <w:w w:val="88"/>
                </w:rPr>
                <w:t>Compensation Plan (as amended effective</w:t>
              </w:r>
            </w:hyperlink>
          </w:p>
        </w:tc>
        <w:tc>
          <w:tcPr>
            <w:tcW w:w="40" w:type="dxa"/>
            <w:vAlign w:val="bottom"/>
            <w:tcBorders>
              <w:top w:val="single" w:sz="8" w:color="0000EE"/>
            </w:tcBorders>
            <w:vMerge w:val="restart"/>
          </w:tcPr>
          <w:p>
            <w:pPr>
              <w:spacing w:after="0"/>
              <w:rPr>
                <w:sz w:val="9"/>
                <w:szCs w:val="9"/>
                <w:color w:val="auto"/>
              </w:rPr>
            </w:pPr>
          </w:p>
        </w:tc>
        <w:tc>
          <w:tcPr>
            <w:tcW w:w="780" w:type="dxa"/>
            <w:vAlign w:val="bottom"/>
            <w:tcBorders>
              <w:right w:val="single" w:sz="8" w:color="auto"/>
            </w:tcBorders>
            <w:gridSpan w:val="14"/>
            <w:vMerge w:val="restart"/>
          </w:tcPr>
          <w:p>
            <w:pPr>
              <w:spacing w:after="0"/>
              <w:rPr>
                <w:sz w:val="9"/>
                <w:szCs w:val="9"/>
                <w:color w:val="auto"/>
              </w:rPr>
            </w:pPr>
          </w:p>
        </w:tc>
        <w:tc>
          <w:tcPr>
            <w:tcW w:w="74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10.8</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Borders>
              <w:left w:val="single" w:sz="8" w:color="auto"/>
              <w:right w:val="single" w:sz="8" w:color="auto"/>
            </w:tcBorders>
          </w:tcPr>
          <w:p>
            <w:pPr>
              <w:spacing w:after="0"/>
              <w:rPr>
                <w:sz w:val="8"/>
                <w:szCs w:val="8"/>
                <w:color w:val="auto"/>
              </w:rPr>
            </w:pPr>
          </w:p>
        </w:tc>
        <w:tc>
          <w:tcPr>
            <w:tcW w:w="100" w:type="dxa"/>
            <w:vAlign w:val="bottom"/>
            <w:vMerge w:val="continue"/>
          </w:tcPr>
          <w:p>
            <w:pPr>
              <w:spacing w:after="0"/>
              <w:rPr>
                <w:sz w:val="8"/>
                <w:szCs w:val="8"/>
                <w:color w:val="auto"/>
              </w:rPr>
            </w:pPr>
          </w:p>
        </w:tc>
        <w:tc>
          <w:tcPr>
            <w:tcW w:w="3340" w:type="dxa"/>
            <w:vAlign w:val="bottom"/>
            <w:tcBorders>
              <w:bottom w:val="single" w:sz="8" w:color="0000EE"/>
            </w:tcBorders>
            <w:gridSpan w:val="19"/>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780" w:type="dxa"/>
            <w:vAlign w:val="bottom"/>
            <w:tcBorders>
              <w:right w:val="single" w:sz="8" w:color="auto"/>
            </w:tcBorders>
            <w:gridSpan w:val="14"/>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4260" w:type="dxa"/>
            <w:vAlign w:val="bottom"/>
            <w:tcBorders>
              <w:right w:val="single" w:sz="8" w:color="auto"/>
            </w:tcBorders>
            <w:gridSpan w:val="35"/>
            <w:vMerge w:val="restart"/>
          </w:tcPr>
          <w:p>
            <w:pPr>
              <w:ind w:left="100"/>
              <w:spacing w:after="0" w:line="209" w:lineRule="exact"/>
              <w:rPr>
                <w:rFonts w:ascii="Arial" w:cs="Arial" w:eastAsia="Arial" w:hAnsi="Arial"/>
                <w:sz w:val="20"/>
                <w:szCs w:val="20"/>
                <w:color w:val="0000EE"/>
              </w:rPr>
            </w:pPr>
            <w:hyperlink r:id="rId206">
              <w:r>
                <w:rPr>
                  <w:rFonts w:ascii="Arial" w:cs="Arial" w:eastAsia="Arial" w:hAnsi="Arial"/>
                  <w:sz w:val="20"/>
                  <w:szCs w:val="20"/>
                  <w:color w:val="0000EE"/>
                </w:rPr>
                <w:t xml:space="preserve">February 22, 2017) </w:t>
              </w:r>
              <w:r>
                <w:rPr>
                  <w:rFonts w:ascii="Arial" w:cs="Arial" w:eastAsia="Arial" w:hAnsi="Arial"/>
                  <w:sz w:val="20"/>
                  <w:szCs w:val="20"/>
                  <w:color w:val="000000"/>
                </w:rPr>
                <w:t>*</w:t>
              </w:r>
            </w:hyperlink>
          </w:p>
        </w:tc>
        <w:tc>
          <w:tcPr>
            <w:tcW w:w="7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4260" w:type="dxa"/>
            <w:vAlign w:val="bottom"/>
            <w:tcBorders>
              <w:right w:val="single" w:sz="8" w:color="auto"/>
            </w:tcBorders>
            <w:gridSpan w:val="35"/>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10.8.1</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4"/>
              </w:rPr>
            </w:pPr>
            <w:hyperlink r:id="rId207">
              <w:r>
                <w:rPr>
                  <w:rFonts w:ascii="Arial" w:cs="Arial" w:eastAsia="Arial" w:hAnsi="Arial"/>
                  <w:sz w:val="20"/>
                  <w:szCs w:val="20"/>
                  <w:color w:val="0000EE"/>
                  <w:w w:val="94"/>
                </w:rPr>
                <w:t>Form of Performance-Based Share Unit Grant for</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10.9.1</w:t>
            </w:r>
          </w:p>
        </w:tc>
        <w:tc>
          <w:tcPr>
            <w:tcW w:w="13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February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940" w:type="dxa"/>
            <w:vAlign w:val="bottom"/>
            <w:tcBorders>
              <w:top w:val="single" w:sz="8" w:color="0000EE"/>
            </w:tcBorders>
            <w:gridSpan w:val="31"/>
            <w:vMerge w:val="restart"/>
          </w:tcPr>
          <w:p>
            <w:pPr>
              <w:spacing w:after="0" w:line="209" w:lineRule="exact"/>
              <w:rPr>
                <w:rFonts w:ascii="Arial" w:cs="Arial" w:eastAsia="Arial" w:hAnsi="Arial"/>
                <w:sz w:val="20"/>
                <w:szCs w:val="20"/>
                <w:color w:val="0000EE"/>
              </w:rPr>
            </w:pPr>
            <w:hyperlink r:id="rId207">
              <w:r>
                <w:rPr>
                  <w:rFonts w:ascii="Arial" w:cs="Arial" w:eastAsia="Arial" w:hAnsi="Arial"/>
                  <w:sz w:val="20"/>
                  <w:szCs w:val="20"/>
                  <w:color w:val="0000EE"/>
                </w:rPr>
                <w:t>Chief Executive Officer</w:t>
              </w:r>
              <w:r>
                <w:rPr>
                  <w:rFonts w:ascii="Arial" w:cs="Arial" w:eastAsia="Arial" w:hAnsi="Arial"/>
                  <w:sz w:val="20"/>
                  <w:szCs w:val="20"/>
                  <w:color w:val="000000"/>
                </w:rPr>
                <w:t>*</w:t>
              </w:r>
            </w:hyperlink>
          </w:p>
        </w:tc>
        <w:tc>
          <w:tcPr>
            <w:tcW w:w="220" w:type="dxa"/>
            <w:vAlign w:val="bottom"/>
            <w:tcBorders>
              <w:right w:val="single" w:sz="8" w:color="auto"/>
            </w:tcBorders>
            <w:gridSpan w:val="3"/>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3940" w:type="dxa"/>
            <w:vAlign w:val="bottom"/>
            <w:gridSpan w:val="31"/>
            <w:vMerge w:val="continue"/>
          </w:tcPr>
          <w:p>
            <w:pPr>
              <w:spacing w:after="0"/>
              <w:rPr>
                <w:sz w:val="6"/>
                <w:szCs w:val="6"/>
                <w:color w:val="auto"/>
              </w:rPr>
            </w:pPr>
          </w:p>
        </w:tc>
        <w:tc>
          <w:tcPr>
            <w:tcW w:w="220" w:type="dxa"/>
            <w:vAlign w:val="bottom"/>
            <w:tcBorders>
              <w:righ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10.8.2</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4"/>
              </w:rPr>
            </w:pPr>
            <w:hyperlink r:id="rId208">
              <w:r>
                <w:rPr>
                  <w:rFonts w:ascii="Arial" w:cs="Arial" w:eastAsia="Arial" w:hAnsi="Arial"/>
                  <w:sz w:val="20"/>
                  <w:szCs w:val="20"/>
                  <w:color w:val="0000EE"/>
                  <w:w w:val="94"/>
                </w:rPr>
                <w:t>Performance-Based Share Unit Grant Terms and</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10.51(B)</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May 8, 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840" w:type="dxa"/>
            <w:vAlign w:val="bottom"/>
            <w:tcBorders>
              <w:top w:val="single" w:sz="8" w:color="0000EE"/>
            </w:tcBorders>
            <w:gridSpan w:val="29"/>
            <w:vMerge w:val="restart"/>
          </w:tcPr>
          <w:p>
            <w:pPr>
              <w:spacing w:after="0" w:line="209" w:lineRule="exact"/>
              <w:rPr>
                <w:rFonts w:ascii="Arial" w:cs="Arial" w:eastAsia="Arial" w:hAnsi="Arial"/>
                <w:sz w:val="20"/>
                <w:szCs w:val="20"/>
                <w:color w:val="0000EE"/>
              </w:rPr>
            </w:pPr>
            <w:hyperlink r:id="rId208">
              <w:r>
                <w:rPr>
                  <w:rFonts w:ascii="Arial" w:cs="Arial" w:eastAsia="Arial" w:hAnsi="Arial"/>
                  <w:sz w:val="20"/>
                  <w:szCs w:val="20"/>
                  <w:color w:val="0000EE"/>
                </w:rPr>
                <w:t>Conditions for Chief Executive Officer</w:t>
              </w:r>
              <w:r>
                <w:rPr>
                  <w:rFonts w:ascii="Arial" w:cs="Arial" w:eastAsia="Arial" w:hAnsi="Arial"/>
                  <w:sz w:val="20"/>
                  <w:szCs w:val="20"/>
                  <w:color w:val="000000"/>
                </w:rPr>
                <w:t>*</w:t>
              </w:r>
            </w:hyperlink>
          </w:p>
        </w:tc>
        <w:tc>
          <w:tcPr>
            <w:tcW w:w="320" w:type="dxa"/>
            <w:vAlign w:val="bottom"/>
            <w:tcBorders>
              <w:right w:val="single" w:sz="8" w:color="auto"/>
            </w:tcBorders>
            <w:gridSpan w:val="5"/>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3840" w:type="dxa"/>
            <w:vAlign w:val="bottom"/>
            <w:gridSpan w:val="29"/>
            <w:vMerge w:val="continue"/>
          </w:tcPr>
          <w:p>
            <w:pPr>
              <w:spacing w:after="0"/>
              <w:rPr>
                <w:sz w:val="6"/>
                <w:szCs w:val="6"/>
                <w:color w:val="auto"/>
              </w:rPr>
            </w:pPr>
          </w:p>
        </w:tc>
        <w:tc>
          <w:tcPr>
            <w:tcW w:w="320" w:type="dxa"/>
            <w:vAlign w:val="bottom"/>
            <w:tcBorders>
              <w:right w:val="single" w:sz="8" w:color="auto"/>
            </w:tcBorders>
            <w:gridSpan w:val="5"/>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10.8.3</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4"/>
              </w:rPr>
            </w:pPr>
            <w:hyperlink r:id="rId209">
              <w:r>
                <w:rPr>
                  <w:rFonts w:ascii="Arial" w:cs="Arial" w:eastAsia="Arial" w:hAnsi="Arial"/>
                  <w:sz w:val="20"/>
                  <w:szCs w:val="20"/>
                  <w:color w:val="0000EE"/>
                  <w:w w:val="94"/>
                </w:rPr>
                <w:t>Form of Performance-Based Share Unit Grant for</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10.36</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May 6, 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940" w:type="dxa"/>
            <w:vAlign w:val="bottom"/>
            <w:tcBorders>
              <w:top w:val="single" w:sz="8" w:color="0000EE"/>
            </w:tcBorders>
            <w:gridSpan w:val="31"/>
            <w:vMerge w:val="restart"/>
          </w:tcPr>
          <w:p>
            <w:pPr>
              <w:spacing w:after="0" w:line="209" w:lineRule="exact"/>
              <w:rPr>
                <w:rFonts w:ascii="Arial" w:cs="Arial" w:eastAsia="Arial" w:hAnsi="Arial"/>
                <w:sz w:val="20"/>
                <w:szCs w:val="20"/>
                <w:color w:val="0000EE"/>
              </w:rPr>
            </w:pPr>
            <w:hyperlink r:id="rId209">
              <w:r>
                <w:rPr>
                  <w:rFonts w:ascii="Arial" w:cs="Arial" w:eastAsia="Arial" w:hAnsi="Arial"/>
                  <w:sz w:val="20"/>
                  <w:szCs w:val="20"/>
                  <w:color w:val="0000EE"/>
                </w:rPr>
                <w:t>all other executive officers</w:t>
              </w:r>
              <w:r>
                <w:rPr>
                  <w:rFonts w:ascii="Arial" w:cs="Arial" w:eastAsia="Arial" w:hAnsi="Arial"/>
                  <w:sz w:val="20"/>
                  <w:szCs w:val="20"/>
                  <w:color w:val="000000"/>
                </w:rPr>
                <w:t>*</w:t>
              </w:r>
            </w:hyperlink>
          </w:p>
        </w:tc>
        <w:tc>
          <w:tcPr>
            <w:tcW w:w="220" w:type="dxa"/>
            <w:vAlign w:val="bottom"/>
            <w:tcBorders>
              <w:right w:val="single" w:sz="8" w:color="auto"/>
            </w:tcBorders>
            <w:gridSpan w:val="3"/>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3940" w:type="dxa"/>
            <w:vAlign w:val="bottom"/>
            <w:gridSpan w:val="31"/>
            <w:vMerge w:val="continue"/>
          </w:tcPr>
          <w:p>
            <w:pPr>
              <w:spacing w:after="0"/>
              <w:rPr>
                <w:sz w:val="6"/>
                <w:szCs w:val="6"/>
                <w:color w:val="auto"/>
              </w:rPr>
            </w:pPr>
          </w:p>
        </w:tc>
        <w:tc>
          <w:tcPr>
            <w:tcW w:w="220" w:type="dxa"/>
            <w:vAlign w:val="bottom"/>
            <w:tcBorders>
              <w:righ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10.8.4</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4"/>
              </w:rPr>
            </w:pPr>
            <w:hyperlink r:id="rId210">
              <w:r>
                <w:rPr>
                  <w:rFonts w:ascii="Arial" w:cs="Arial" w:eastAsia="Arial" w:hAnsi="Arial"/>
                  <w:sz w:val="20"/>
                  <w:szCs w:val="20"/>
                  <w:color w:val="0000EE"/>
                  <w:w w:val="94"/>
                </w:rPr>
                <w:t>Performance-Based Share Unit Grant Terms and</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10.37</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May 6, 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840" w:type="dxa"/>
            <w:vAlign w:val="bottom"/>
            <w:tcBorders>
              <w:top w:val="single" w:sz="8" w:color="0000EE"/>
            </w:tcBorders>
            <w:gridSpan w:val="29"/>
            <w:vMerge w:val="restart"/>
          </w:tcPr>
          <w:p>
            <w:pPr>
              <w:spacing w:after="0" w:line="209" w:lineRule="exact"/>
              <w:rPr>
                <w:rFonts w:ascii="Arial" w:cs="Arial" w:eastAsia="Arial" w:hAnsi="Arial"/>
                <w:sz w:val="20"/>
                <w:szCs w:val="20"/>
                <w:color w:val="0000EE"/>
              </w:rPr>
            </w:pPr>
            <w:hyperlink r:id="rId210">
              <w:r>
                <w:rPr>
                  <w:rFonts w:ascii="Arial" w:cs="Arial" w:eastAsia="Arial" w:hAnsi="Arial"/>
                  <w:sz w:val="20"/>
                  <w:szCs w:val="20"/>
                  <w:color w:val="0000EE"/>
                </w:rPr>
                <w:t>Conditions for all other executive officers</w:t>
              </w:r>
              <w:r>
                <w:rPr>
                  <w:rFonts w:ascii="Arial" w:cs="Arial" w:eastAsia="Arial" w:hAnsi="Arial"/>
                  <w:sz w:val="20"/>
                  <w:szCs w:val="20"/>
                  <w:color w:val="000000"/>
                </w:rPr>
                <w:t>*</w:t>
              </w:r>
            </w:hyperlink>
          </w:p>
        </w:tc>
        <w:tc>
          <w:tcPr>
            <w:tcW w:w="320" w:type="dxa"/>
            <w:vAlign w:val="bottom"/>
            <w:tcBorders>
              <w:right w:val="single" w:sz="8" w:color="auto"/>
            </w:tcBorders>
            <w:gridSpan w:val="5"/>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3840" w:type="dxa"/>
            <w:vAlign w:val="bottom"/>
            <w:gridSpan w:val="29"/>
            <w:vMerge w:val="continue"/>
          </w:tcPr>
          <w:p>
            <w:pPr>
              <w:spacing w:after="0"/>
              <w:rPr>
                <w:sz w:val="6"/>
                <w:szCs w:val="6"/>
                <w:color w:val="auto"/>
              </w:rPr>
            </w:pPr>
          </w:p>
        </w:tc>
        <w:tc>
          <w:tcPr>
            <w:tcW w:w="320" w:type="dxa"/>
            <w:vAlign w:val="bottom"/>
            <w:tcBorders>
              <w:right w:val="single" w:sz="8" w:color="auto"/>
            </w:tcBorders>
            <w:gridSpan w:val="5"/>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10.8.5</w:t>
            </w:r>
          </w:p>
        </w:tc>
        <w:tc>
          <w:tcPr>
            <w:tcW w:w="100" w:type="dxa"/>
            <w:vAlign w:val="bottom"/>
          </w:tcPr>
          <w:p>
            <w:pPr>
              <w:spacing w:after="0"/>
              <w:rPr>
                <w:sz w:val="15"/>
                <w:szCs w:val="15"/>
                <w:color w:val="auto"/>
              </w:rPr>
            </w:pPr>
          </w:p>
        </w:tc>
        <w:tc>
          <w:tcPr>
            <w:tcW w:w="3680" w:type="dxa"/>
            <w:vAlign w:val="bottom"/>
            <w:tcBorders>
              <w:bottom w:val="single" w:sz="8" w:color="0000EE"/>
            </w:tcBorders>
            <w:gridSpan w:val="24"/>
          </w:tcPr>
          <w:p>
            <w:pPr>
              <w:spacing w:after="0" w:line="183" w:lineRule="exact"/>
              <w:rPr>
                <w:rFonts w:ascii="Arial" w:cs="Arial" w:eastAsia="Arial" w:hAnsi="Arial"/>
                <w:sz w:val="20"/>
                <w:szCs w:val="20"/>
                <w:color w:val="0000EE"/>
                <w:w w:val="91"/>
              </w:rPr>
            </w:pPr>
            <w:hyperlink r:id="rId211">
              <w:r>
                <w:rPr>
                  <w:rFonts w:ascii="Arial" w:cs="Arial" w:eastAsia="Arial" w:hAnsi="Arial"/>
                  <w:sz w:val="20"/>
                  <w:szCs w:val="20"/>
                  <w:color w:val="0000EE"/>
                  <w:w w:val="91"/>
                </w:rPr>
                <w:t>Form of Restricted Stock Unit Grant for Chief</w:t>
              </w:r>
            </w:hyperlink>
          </w:p>
        </w:tc>
        <w:tc>
          <w:tcPr>
            <w:tcW w:w="480" w:type="dxa"/>
            <w:vAlign w:val="bottom"/>
            <w:tcBorders>
              <w:right w:val="single" w:sz="8" w:color="auto"/>
            </w:tcBorders>
            <w:gridSpan w:val="10"/>
          </w:tcPr>
          <w:p>
            <w:pPr>
              <w:spacing w:after="0"/>
              <w:rPr>
                <w:sz w:val="15"/>
                <w:szCs w:val="15"/>
                <w:color w:val="auto"/>
              </w:rPr>
            </w:pPr>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10.9.5</w:t>
            </w:r>
          </w:p>
        </w:tc>
        <w:tc>
          <w:tcPr>
            <w:tcW w:w="13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February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4260" w:type="dxa"/>
            <w:vAlign w:val="bottom"/>
            <w:tcBorders>
              <w:right w:val="single" w:sz="8" w:color="auto"/>
            </w:tcBorders>
            <w:gridSpan w:val="35"/>
            <w:vMerge w:val="restart"/>
          </w:tcPr>
          <w:p>
            <w:pPr>
              <w:ind w:left="100"/>
              <w:spacing w:after="0" w:line="209" w:lineRule="exact"/>
              <w:rPr>
                <w:rFonts w:ascii="Arial" w:cs="Arial" w:eastAsia="Arial" w:hAnsi="Arial"/>
                <w:sz w:val="20"/>
                <w:szCs w:val="20"/>
                <w:color w:val="0000EE"/>
              </w:rPr>
            </w:pPr>
            <w:hyperlink r:id="rId211">
              <w:r>
                <w:rPr>
                  <w:rFonts w:ascii="Arial" w:cs="Arial" w:eastAsia="Arial" w:hAnsi="Arial"/>
                  <w:sz w:val="20"/>
                  <w:szCs w:val="20"/>
                  <w:color w:val="0000EE"/>
                </w:rPr>
                <w:t>Executive Officer</w:t>
              </w:r>
              <w:r>
                <w:rPr>
                  <w:rFonts w:ascii="Arial" w:cs="Arial" w:eastAsia="Arial" w:hAnsi="Arial"/>
                  <w:sz w:val="20"/>
                  <w:szCs w:val="20"/>
                  <w:color w:val="000000"/>
                </w:rPr>
                <w:t>*</w:t>
              </w:r>
            </w:hyperlink>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4260" w:type="dxa"/>
            <w:vAlign w:val="bottom"/>
            <w:tcBorders>
              <w:right w:val="single" w:sz="8" w:color="auto"/>
            </w:tcBorders>
            <w:gridSpan w:val="35"/>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10.8.6</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2"/>
              </w:rPr>
            </w:pPr>
            <w:hyperlink r:id="rId212">
              <w:r>
                <w:rPr>
                  <w:rFonts w:ascii="Arial" w:cs="Arial" w:eastAsia="Arial" w:hAnsi="Arial"/>
                  <w:sz w:val="20"/>
                  <w:szCs w:val="20"/>
                  <w:color w:val="0000EE"/>
                  <w:w w:val="92"/>
                </w:rPr>
                <w:t>Restricted Stock Unit Grant Terms and Conditions</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10.52(B)</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May 8, 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4000" w:type="dxa"/>
            <w:vAlign w:val="bottom"/>
            <w:tcBorders>
              <w:top w:val="single" w:sz="8" w:color="0000EE"/>
            </w:tcBorders>
            <w:gridSpan w:val="32"/>
            <w:vMerge w:val="restart"/>
          </w:tcPr>
          <w:p>
            <w:pPr>
              <w:spacing w:after="0" w:line="209" w:lineRule="exact"/>
              <w:rPr>
                <w:rFonts w:ascii="Arial" w:cs="Arial" w:eastAsia="Arial" w:hAnsi="Arial"/>
                <w:sz w:val="20"/>
                <w:szCs w:val="20"/>
                <w:color w:val="0000EE"/>
              </w:rPr>
            </w:pPr>
            <w:hyperlink r:id="rId212">
              <w:r>
                <w:rPr>
                  <w:rFonts w:ascii="Arial" w:cs="Arial" w:eastAsia="Arial" w:hAnsi="Arial"/>
                  <w:sz w:val="20"/>
                  <w:szCs w:val="20"/>
                  <w:color w:val="0000EE"/>
                </w:rPr>
                <w:t>for Chief Executive Officer</w:t>
              </w:r>
              <w:r>
                <w:rPr>
                  <w:rFonts w:ascii="Arial" w:cs="Arial" w:eastAsia="Arial" w:hAnsi="Arial"/>
                  <w:sz w:val="20"/>
                  <w:szCs w:val="20"/>
                  <w:color w:val="000000"/>
                </w:rPr>
                <w:t>*</w:t>
              </w:r>
            </w:hyperlink>
          </w:p>
        </w:tc>
        <w:tc>
          <w:tcPr>
            <w:tcW w:w="160" w:type="dxa"/>
            <w:vAlign w:val="bottom"/>
            <w:tcBorders>
              <w:right w:val="single" w:sz="8" w:color="auto"/>
            </w:tcBorders>
            <w:gridSpan w:val="2"/>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4000" w:type="dxa"/>
            <w:vAlign w:val="bottom"/>
            <w:gridSpan w:val="32"/>
            <w:vMerge w:val="continue"/>
          </w:tcPr>
          <w:p>
            <w:pPr>
              <w:spacing w:after="0"/>
              <w:rPr>
                <w:sz w:val="6"/>
                <w:szCs w:val="6"/>
                <w:color w:val="auto"/>
              </w:rPr>
            </w:pPr>
          </w:p>
        </w:tc>
        <w:tc>
          <w:tcPr>
            <w:tcW w:w="160" w:type="dxa"/>
            <w:vAlign w:val="bottom"/>
            <w:tcBorders>
              <w:right w:val="single" w:sz="8" w:color="auto"/>
            </w:tcBorders>
            <w:gridSpan w:val="2"/>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10.8.7</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7"/>
              </w:rPr>
            </w:pPr>
            <w:hyperlink r:id="rId213">
              <w:r>
                <w:rPr>
                  <w:rFonts w:ascii="Arial" w:cs="Arial" w:eastAsia="Arial" w:hAnsi="Arial"/>
                  <w:sz w:val="20"/>
                  <w:szCs w:val="20"/>
                  <w:color w:val="0000EE"/>
                  <w:w w:val="97"/>
                </w:rPr>
                <w:t>Form of Restricted Stock Unit Grant for all other</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10.40</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May 6, 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880" w:type="dxa"/>
            <w:vAlign w:val="bottom"/>
            <w:tcBorders>
              <w:top w:val="single" w:sz="8" w:color="0000EE"/>
            </w:tcBorders>
            <w:gridSpan w:val="30"/>
            <w:vMerge w:val="restart"/>
          </w:tcPr>
          <w:p>
            <w:pPr>
              <w:spacing w:after="0" w:line="209" w:lineRule="exact"/>
              <w:rPr>
                <w:rFonts w:ascii="Arial" w:cs="Arial" w:eastAsia="Arial" w:hAnsi="Arial"/>
                <w:sz w:val="20"/>
                <w:szCs w:val="20"/>
                <w:color w:val="0000EE"/>
              </w:rPr>
            </w:pPr>
            <w:hyperlink r:id="rId213">
              <w:r>
                <w:rPr>
                  <w:rFonts w:ascii="Arial" w:cs="Arial" w:eastAsia="Arial" w:hAnsi="Arial"/>
                  <w:sz w:val="20"/>
                  <w:szCs w:val="20"/>
                  <w:color w:val="0000EE"/>
                </w:rPr>
                <w:t>executive officers</w:t>
              </w:r>
              <w:r>
                <w:rPr>
                  <w:rFonts w:ascii="Arial" w:cs="Arial" w:eastAsia="Arial" w:hAnsi="Arial"/>
                  <w:sz w:val="20"/>
                  <w:szCs w:val="20"/>
                  <w:color w:val="000000"/>
                </w:rPr>
                <w:t>*</w:t>
              </w:r>
            </w:hyperlink>
          </w:p>
        </w:tc>
        <w:tc>
          <w:tcPr>
            <w:tcW w:w="280" w:type="dxa"/>
            <w:vAlign w:val="bottom"/>
            <w:tcBorders>
              <w:right w:val="single" w:sz="8" w:color="auto"/>
            </w:tcBorders>
            <w:gridSpan w:val="4"/>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3880" w:type="dxa"/>
            <w:vAlign w:val="bottom"/>
            <w:gridSpan w:val="30"/>
            <w:vMerge w:val="continue"/>
          </w:tcPr>
          <w:p>
            <w:pPr>
              <w:spacing w:after="0"/>
              <w:rPr>
                <w:sz w:val="6"/>
                <w:szCs w:val="6"/>
                <w:color w:val="auto"/>
              </w:rPr>
            </w:pPr>
          </w:p>
        </w:tc>
        <w:tc>
          <w:tcPr>
            <w:tcW w:w="280" w:type="dxa"/>
            <w:vAlign w:val="bottom"/>
            <w:tcBorders>
              <w:right w:val="single" w:sz="8" w:color="auto"/>
            </w:tcBorders>
            <w:gridSpan w:val="4"/>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10.8.8</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2"/>
              </w:rPr>
            </w:pPr>
            <w:hyperlink r:id="rId214">
              <w:r>
                <w:rPr>
                  <w:rFonts w:ascii="Arial" w:cs="Arial" w:eastAsia="Arial" w:hAnsi="Arial"/>
                  <w:sz w:val="20"/>
                  <w:szCs w:val="20"/>
                  <w:color w:val="0000EE"/>
                  <w:w w:val="92"/>
                </w:rPr>
                <w:t>Restricted Stock Unit Grant Terms and Conditions</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10.41</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May 6, 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4000" w:type="dxa"/>
            <w:vAlign w:val="bottom"/>
            <w:tcBorders>
              <w:top w:val="single" w:sz="8" w:color="0000EE"/>
            </w:tcBorders>
            <w:gridSpan w:val="32"/>
            <w:vMerge w:val="restart"/>
          </w:tcPr>
          <w:p>
            <w:pPr>
              <w:spacing w:after="0" w:line="209" w:lineRule="exact"/>
              <w:rPr>
                <w:rFonts w:ascii="Arial" w:cs="Arial" w:eastAsia="Arial" w:hAnsi="Arial"/>
                <w:sz w:val="20"/>
                <w:szCs w:val="20"/>
                <w:color w:val="0000EE"/>
              </w:rPr>
            </w:pPr>
            <w:hyperlink r:id="rId214">
              <w:r>
                <w:rPr>
                  <w:rFonts w:ascii="Arial" w:cs="Arial" w:eastAsia="Arial" w:hAnsi="Arial"/>
                  <w:sz w:val="20"/>
                  <w:szCs w:val="20"/>
                  <w:color w:val="0000EE"/>
                </w:rPr>
                <w:t>for all other executive officers</w:t>
              </w:r>
              <w:r>
                <w:rPr>
                  <w:rFonts w:ascii="Arial" w:cs="Arial" w:eastAsia="Arial" w:hAnsi="Arial"/>
                  <w:sz w:val="20"/>
                  <w:szCs w:val="20"/>
                  <w:color w:val="000000"/>
                </w:rPr>
                <w:t>*</w:t>
              </w:r>
            </w:hyperlink>
          </w:p>
        </w:tc>
        <w:tc>
          <w:tcPr>
            <w:tcW w:w="160" w:type="dxa"/>
            <w:vAlign w:val="bottom"/>
            <w:tcBorders>
              <w:right w:val="single" w:sz="8" w:color="auto"/>
            </w:tcBorders>
            <w:gridSpan w:val="2"/>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4000" w:type="dxa"/>
            <w:vAlign w:val="bottom"/>
            <w:gridSpan w:val="32"/>
            <w:vMerge w:val="continue"/>
          </w:tcPr>
          <w:p>
            <w:pPr>
              <w:spacing w:after="0"/>
              <w:rPr>
                <w:sz w:val="6"/>
                <w:szCs w:val="6"/>
                <w:color w:val="auto"/>
              </w:rPr>
            </w:pPr>
          </w:p>
        </w:tc>
        <w:tc>
          <w:tcPr>
            <w:tcW w:w="160" w:type="dxa"/>
            <w:vAlign w:val="bottom"/>
            <w:tcBorders>
              <w:right w:val="single" w:sz="8" w:color="auto"/>
            </w:tcBorders>
            <w:gridSpan w:val="2"/>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10.8.9</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4"/>
              </w:rPr>
            </w:pPr>
            <w:hyperlink r:id="rId215">
              <w:r>
                <w:rPr>
                  <w:rFonts w:ascii="Arial" w:cs="Arial" w:eastAsia="Arial" w:hAnsi="Arial"/>
                  <w:sz w:val="20"/>
                  <w:szCs w:val="20"/>
                  <w:color w:val="0000EE"/>
                  <w:w w:val="94"/>
                </w:rPr>
                <w:t>Performance-Based Share Unit Grant Terms and</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10.1</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May 4, 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840" w:type="dxa"/>
            <w:vAlign w:val="bottom"/>
            <w:tcBorders>
              <w:top w:val="single" w:sz="8" w:color="0000EE"/>
            </w:tcBorders>
            <w:gridSpan w:val="29"/>
            <w:vMerge w:val="restart"/>
          </w:tcPr>
          <w:p>
            <w:pPr>
              <w:spacing w:after="0" w:line="209" w:lineRule="exact"/>
              <w:rPr>
                <w:rFonts w:ascii="Arial" w:cs="Arial" w:eastAsia="Arial" w:hAnsi="Arial"/>
                <w:sz w:val="20"/>
                <w:szCs w:val="20"/>
                <w:color w:val="0000EE"/>
              </w:rPr>
            </w:pPr>
            <w:hyperlink r:id="rId215">
              <w:r>
                <w:rPr>
                  <w:rFonts w:ascii="Arial" w:cs="Arial" w:eastAsia="Arial" w:hAnsi="Arial"/>
                  <w:sz w:val="20"/>
                  <w:szCs w:val="20"/>
                  <w:color w:val="0000EE"/>
                </w:rPr>
                <w:t>Conditions</w:t>
              </w:r>
              <w:r>
                <w:rPr>
                  <w:rFonts w:ascii="Arial" w:cs="Arial" w:eastAsia="Arial" w:hAnsi="Arial"/>
                  <w:sz w:val="20"/>
                  <w:szCs w:val="20"/>
                  <w:color w:val="000000"/>
                </w:rPr>
                <w:t>*</w:t>
              </w:r>
            </w:hyperlink>
          </w:p>
        </w:tc>
        <w:tc>
          <w:tcPr>
            <w:tcW w:w="320" w:type="dxa"/>
            <w:vAlign w:val="bottom"/>
            <w:tcBorders>
              <w:right w:val="single" w:sz="8" w:color="auto"/>
            </w:tcBorders>
            <w:gridSpan w:val="5"/>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3840" w:type="dxa"/>
            <w:vAlign w:val="bottom"/>
            <w:gridSpan w:val="29"/>
            <w:vMerge w:val="continue"/>
          </w:tcPr>
          <w:p>
            <w:pPr>
              <w:spacing w:after="0"/>
              <w:rPr>
                <w:sz w:val="6"/>
                <w:szCs w:val="6"/>
                <w:color w:val="auto"/>
              </w:rPr>
            </w:pPr>
          </w:p>
        </w:tc>
        <w:tc>
          <w:tcPr>
            <w:tcW w:w="320" w:type="dxa"/>
            <w:vAlign w:val="bottom"/>
            <w:tcBorders>
              <w:right w:val="single" w:sz="8" w:color="auto"/>
            </w:tcBorders>
            <w:gridSpan w:val="5"/>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10.8.10</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2"/>
              </w:rPr>
            </w:pPr>
            <w:hyperlink r:id="rId216">
              <w:r>
                <w:rPr>
                  <w:rFonts w:ascii="Arial" w:cs="Arial" w:eastAsia="Arial" w:hAnsi="Arial"/>
                  <w:sz w:val="20"/>
                  <w:szCs w:val="20"/>
                  <w:color w:val="0000EE"/>
                  <w:w w:val="92"/>
                </w:rPr>
                <w:t>Restricted Stock Unit Grant Terms and Conditions</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10.2</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May 4, 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4000" w:type="dxa"/>
            <w:vAlign w:val="bottom"/>
            <w:tcBorders>
              <w:top w:val="single" w:sz="8" w:color="0000EE"/>
            </w:tcBorders>
            <w:gridSpan w:val="32"/>
            <w:vMerge w:val="restart"/>
          </w:tcPr>
          <w:p>
            <w:pPr>
              <w:spacing w:after="0" w:line="209" w:lineRule="exact"/>
              <w:rPr>
                <w:rFonts w:ascii="Arial" w:cs="Arial" w:eastAsia="Arial" w:hAnsi="Arial"/>
                <w:sz w:val="20"/>
                <w:szCs w:val="20"/>
                <w:color w:val="0000EE"/>
              </w:rPr>
            </w:pPr>
            <w:hyperlink r:id="rId216">
              <w:r>
                <w:rPr>
                  <w:rFonts w:ascii="Arial" w:cs="Arial" w:eastAsia="Arial" w:hAnsi="Arial"/>
                  <w:sz w:val="20"/>
                  <w:szCs w:val="20"/>
                  <w:color w:val="0000EE"/>
                </w:rPr>
                <w:t>for Chief Executive Officer</w:t>
              </w:r>
              <w:r>
                <w:rPr>
                  <w:rFonts w:ascii="Arial" w:cs="Arial" w:eastAsia="Arial" w:hAnsi="Arial"/>
                  <w:sz w:val="20"/>
                  <w:szCs w:val="20"/>
                  <w:color w:val="000000"/>
                </w:rPr>
                <w:t>*</w:t>
              </w:r>
            </w:hyperlink>
          </w:p>
        </w:tc>
        <w:tc>
          <w:tcPr>
            <w:tcW w:w="160" w:type="dxa"/>
            <w:vAlign w:val="bottom"/>
            <w:tcBorders>
              <w:right w:val="single" w:sz="8" w:color="auto"/>
            </w:tcBorders>
            <w:gridSpan w:val="2"/>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4000" w:type="dxa"/>
            <w:vAlign w:val="bottom"/>
            <w:gridSpan w:val="32"/>
            <w:vMerge w:val="continue"/>
          </w:tcPr>
          <w:p>
            <w:pPr>
              <w:spacing w:after="0"/>
              <w:rPr>
                <w:sz w:val="6"/>
                <w:szCs w:val="6"/>
                <w:color w:val="auto"/>
              </w:rPr>
            </w:pPr>
          </w:p>
        </w:tc>
        <w:tc>
          <w:tcPr>
            <w:tcW w:w="160" w:type="dxa"/>
            <w:vAlign w:val="bottom"/>
            <w:tcBorders>
              <w:right w:val="single" w:sz="8" w:color="auto"/>
            </w:tcBorders>
            <w:gridSpan w:val="2"/>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10.8.11</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2"/>
              </w:rPr>
            </w:pPr>
            <w:hyperlink r:id="rId217">
              <w:r>
                <w:rPr>
                  <w:rFonts w:ascii="Arial" w:cs="Arial" w:eastAsia="Arial" w:hAnsi="Arial"/>
                  <w:sz w:val="20"/>
                  <w:szCs w:val="20"/>
                  <w:color w:val="0000EE"/>
                  <w:w w:val="92"/>
                </w:rPr>
                <w:t>Restricted Stock Unit Grant Terms and Conditions</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10.3</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May 4, 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4000" w:type="dxa"/>
            <w:vAlign w:val="bottom"/>
            <w:tcBorders>
              <w:top w:val="single" w:sz="8" w:color="0000EE"/>
            </w:tcBorders>
            <w:gridSpan w:val="32"/>
            <w:vMerge w:val="restart"/>
          </w:tcPr>
          <w:p>
            <w:pPr>
              <w:spacing w:after="0" w:line="209" w:lineRule="exact"/>
              <w:rPr>
                <w:rFonts w:ascii="Arial" w:cs="Arial" w:eastAsia="Arial" w:hAnsi="Arial"/>
                <w:sz w:val="20"/>
                <w:szCs w:val="20"/>
                <w:color w:val="0000EE"/>
              </w:rPr>
            </w:pPr>
            <w:hyperlink r:id="rId217">
              <w:r>
                <w:rPr>
                  <w:rFonts w:ascii="Arial" w:cs="Arial" w:eastAsia="Arial" w:hAnsi="Arial"/>
                  <w:sz w:val="20"/>
                  <w:szCs w:val="20"/>
                  <w:color w:val="0000EE"/>
                </w:rPr>
                <w:t>for all other executive officers</w:t>
              </w:r>
              <w:r>
                <w:rPr>
                  <w:rFonts w:ascii="Arial" w:cs="Arial" w:eastAsia="Arial" w:hAnsi="Arial"/>
                  <w:sz w:val="20"/>
                  <w:szCs w:val="20"/>
                  <w:color w:val="000000"/>
                </w:rPr>
                <w:t>*</w:t>
              </w:r>
            </w:hyperlink>
          </w:p>
        </w:tc>
        <w:tc>
          <w:tcPr>
            <w:tcW w:w="160" w:type="dxa"/>
            <w:vAlign w:val="bottom"/>
            <w:tcBorders>
              <w:right w:val="single" w:sz="8" w:color="auto"/>
            </w:tcBorders>
            <w:gridSpan w:val="2"/>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4000" w:type="dxa"/>
            <w:vAlign w:val="bottom"/>
            <w:gridSpan w:val="32"/>
            <w:vMerge w:val="continue"/>
          </w:tcPr>
          <w:p>
            <w:pPr>
              <w:spacing w:after="0"/>
              <w:rPr>
                <w:sz w:val="6"/>
                <w:szCs w:val="6"/>
                <w:color w:val="auto"/>
              </w:rPr>
            </w:pPr>
          </w:p>
        </w:tc>
        <w:tc>
          <w:tcPr>
            <w:tcW w:w="160" w:type="dxa"/>
            <w:vAlign w:val="bottom"/>
            <w:tcBorders>
              <w:right w:val="single" w:sz="8" w:color="auto"/>
            </w:tcBorders>
            <w:gridSpan w:val="2"/>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10.8.12</w:t>
            </w:r>
          </w:p>
        </w:tc>
        <w:tc>
          <w:tcPr>
            <w:tcW w:w="4260" w:type="dxa"/>
            <w:vAlign w:val="bottom"/>
            <w:tcBorders>
              <w:right w:val="single" w:sz="8" w:color="auto"/>
            </w:tcBorders>
            <w:gridSpan w:val="35"/>
          </w:tcPr>
          <w:p>
            <w:pPr>
              <w:ind w:left="100"/>
              <w:spacing w:after="0" w:line="183" w:lineRule="exact"/>
              <w:rPr>
                <w:rFonts w:ascii="Arial" w:cs="Arial" w:eastAsia="Arial" w:hAnsi="Arial"/>
                <w:sz w:val="20"/>
                <w:szCs w:val="20"/>
                <w:color w:val="0000EE"/>
              </w:rPr>
            </w:pPr>
            <w:hyperlink r:id="rId218">
              <w:r>
                <w:rPr>
                  <w:rFonts w:ascii="Arial" w:cs="Arial" w:eastAsia="Arial" w:hAnsi="Arial"/>
                  <w:sz w:val="20"/>
                  <w:szCs w:val="20"/>
                  <w:color w:val="0000EE"/>
                </w:rPr>
                <w:t>Stock Option Grant Terms and Conditions</w:t>
              </w:r>
            </w:hyperlink>
            <w:r>
              <w:rPr>
                <w:rFonts w:ascii="Arial" w:cs="Arial" w:eastAsia="Arial" w:hAnsi="Arial"/>
                <w:sz w:val="20"/>
                <w:szCs w:val="20"/>
                <w:color w:val="000000"/>
              </w:rPr>
              <w:t>*</w:t>
            </w:r>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10.4</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May 4, 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680" w:type="dxa"/>
            <w:vAlign w:val="bottom"/>
            <w:tcBorders>
              <w:left w:val="single" w:sz="8" w:color="auto"/>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10.9</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rPr>
            </w:pPr>
            <w:hyperlink r:id="rId219">
              <w:r>
                <w:rPr>
                  <w:rFonts w:ascii="Arial" w:cs="Arial" w:eastAsia="Arial" w:hAnsi="Arial"/>
                  <w:sz w:val="20"/>
                  <w:szCs w:val="20"/>
                  <w:color w:val="0000EE"/>
                </w:rPr>
                <w:t>Aqua America, Inc. 2012 Employee Stock</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10.10</w:t>
            </w:r>
          </w:p>
        </w:tc>
        <w:tc>
          <w:tcPr>
            <w:tcW w:w="13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February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380" w:type="dxa"/>
            <w:vAlign w:val="bottom"/>
            <w:tcBorders>
              <w:top w:val="single" w:sz="8" w:color="0000EE"/>
            </w:tcBorders>
            <w:gridSpan w:val="20"/>
            <w:vMerge w:val="restart"/>
          </w:tcPr>
          <w:p>
            <w:pPr>
              <w:spacing w:after="0" w:line="209" w:lineRule="exact"/>
              <w:rPr>
                <w:rFonts w:ascii="Arial" w:cs="Arial" w:eastAsia="Arial" w:hAnsi="Arial"/>
                <w:sz w:val="20"/>
                <w:szCs w:val="20"/>
                <w:color w:val="0000EE"/>
              </w:rPr>
            </w:pPr>
            <w:hyperlink r:id="rId219">
              <w:r>
                <w:rPr>
                  <w:rFonts w:ascii="Arial" w:cs="Arial" w:eastAsia="Arial" w:hAnsi="Arial"/>
                  <w:sz w:val="20"/>
                  <w:szCs w:val="20"/>
                  <w:color w:val="0000EE"/>
                </w:rPr>
                <w:t>Purchase Plan</w:t>
              </w:r>
              <w:r>
                <w:rPr>
                  <w:rFonts w:ascii="Arial" w:cs="Arial" w:eastAsia="Arial" w:hAnsi="Arial"/>
                  <w:sz w:val="20"/>
                  <w:szCs w:val="20"/>
                  <w:color w:val="000000"/>
                </w:rPr>
                <w:t>*</w:t>
              </w:r>
            </w:hyperlink>
          </w:p>
        </w:tc>
        <w:tc>
          <w:tcPr>
            <w:tcW w:w="780" w:type="dxa"/>
            <w:vAlign w:val="bottom"/>
            <w:tcBorders>
              <w:right w:val="single" w:sz="8" w:color="auto"/>
            </w:tcBorders>
            <w:gridSpan w:val="14"/>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3380" w:type="dxa"/>
            <w:vAlign w:val="bottom"/>
            <w:gridSpan w:val="20"/>
            <w:vMerge w:val="continue"/>
          </w:tcPr>
          <w:p>
            <w:pPr>
              <w:spacing w:after="0"/>
              <w:rPr>
                <w:sz w:val="6"/>
                <w:szCs w:val="6"/>
                <w:color w:val="auto"/>
              </w:rPr>
            </w:pPr>
          </w:p>
        </w:tc>
        <w:tc>
          <w:tcPr>
            <w:tcW w:w="780" w:type="dxa"/>
            <w:vAlign w:val="bottom"/>
            <w:tcBorders>
              <w:right w:val="single" w:sz="8" w:color="auto"/>
            </w:tcBorders>
            <w:gridSpan w:val="14"/>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10.10</w:t>
            </w:r>
          </w:p>
        </w:tc>
        <w:tc>
          <w:tcPr>
            <w:tcW w:w="100" w:type="dxa"/>
            <w:vAlign w:val="bottom"/>
          </w:tcPr>
          <w:p>
            <w:pPr>
              <w:spacing w:after="0"/>
              <w:rPr>
                <w:sz w:val="15"/>
                <w:szCs w:val="15"/>
                <w:color w:val="auto"/>
              </w:rPr>
            </w:pPr>
          </w:p>
        </w:tc>
        <w:tc>
          <w:tcPr>
            <w:tcW w:w="4000" w:type="dxa"/>
            <w:vAlign w:val="bottom"/>
            <w:tcBorders>
              <w:bottom w:val="single" w:sz="8" w:color="0000EE"/>
            </w:tcBorders>
            <w:gridSpan w:val="32"/>
          </w:tcPr>
          <w:p>
            <w:pPr>
              <w:spacing w:after="0" w:line="183" w:lineRule="exact"/>
              <w:rPr>
                <w:rFonts w:ascii="Arial" w:cs="Arial" w:eastAsia="Arial" w:hAnsi="Arial"/>
                <w:sz w:val="20"/>
                <w:szCs w:val="20"/>
                <w:color w:val="0000EE"/>
                <w:w w:val="89"/>
              </w:rPr>
            </w:pPr>
            <w:hyperlink r:id="rId220">
              <w:r>
                <w:rPr>
                  <w:rFonts w:ascii="Arial" w:cs="Arial" w:eastAsia="Arial" w:hAnsi="Arial"/>
                  <w:sz w:val="20"/>
                  <w:szCs w:val="20"/>
                  <w:color w:val="0000EE"/>
                  <w:w w:val="89"/>
                </w:rPr>
                <w:t>Aqua America, Inc. and Subsidiaries Annual Cash</w:t>
              </w:r>
            </w:hyperlink>
          </w:p>
        </w:tc>
        <w:tc>
          <w:tcPr>
            <w:tcW w:w="160" w:type="dxa"/>
            <w:vAlign w:val="bottom"/>
            <w:tcBorders>
              <w:right w:val="single" w:sz="8" w:color="auto"/>
            </w:tcBorders>
            <w:gridSpan w:val="2"/>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680" w:type="dxa"/>
            <w:vAlign w:val="bottom"/>
            <w:tcBorders>
              <w:left w:val="single" w:sz="8" w:color="auto"/>
              <w:right w:val="single" w:sz="8" w:color="auto"/>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4160" w:type="dxa"/>
            <w:vAlign w:val="bottom"/>
            <w:tcBorders>
              <w:right w:val="single" w:sz="8" w:color="auto"/>
            </w:tcBorders>
            <w:gridSpan w:val="34"/>
            <w:vMerge w:val="restart"/>
          </w:tcPr>
          <w:p>
            <w:pPr>
              <w:spacing w:after="0" w:line="209" w:lineRule="exact"/>
              <w:rPr>
                <w:rFonts w:ascii="Arial" w:cs="Arial" w:eastAsia="Arial" w:hAnsi="Arial"/>
                <w:sz w:val="20"/>
                <w:szCs w:val="20"/>
                <w:color w:val="0000EE"/>
              </w:rPr>
            </w:pPr>
            <w:hyperlink r:id="rId220">
              <w:r>
                <w:rPr>
                  <w:rFonts w:ascii="Arial" w:cs="Arial" w:eastAsia="Arial" w:hAnsi="Arial"/>
                  <w:sz w:val="20"/>
                  <w:szCs w:val="20"/>
                  <w:color w:val="0000EE"/>
                </w:rPr>
                <w:t>Incentive Compensation Plan (adopted</w:t>
              </w:r>
            </w:hyperlink>
          </w:p>
        </w:tc>
        <w:tc>
          <w:tcPr>
            <w:tcW w:w="74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10.56</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680" w:type="dxa"/>
            <w:vAlign w:val="bottom"/>
            <w:tcBorders>
              <w:left w:val="single" w:sz="8" w:color="auto"/>
              <w:right w:val="single" w:sz="8" w:color="auto"/>
            </w:tcBorders>
          </w:tcPr>
          <w:p>
            <w:pPr>
              <w:spacing w:after="0"/>
              <w:rPr>
                <w:sz w:val="8"/>
                <w:szCs w:val="8"/>
                <w:color w:val="auto"/>
              </w:rPr>
            </w:pPr>
          </w:p>
        </w:tc>
        <w:tc>
          <w:tcPr>
            <w:tcW w:w="100" w:type="dxa"/>
            <w:vAlign w:val="bottom"/>
            <w:vMerge w:val="continue"/>
          </w:tcPr>
          <w:p>
            <w:pPr>
              <w:spacing w:after="0"/>
              <w:rPr>
                <w:sz w:val="8"/>
                <w:szCs w:val="8"/>
                <w:color w:val="auto"/>
              </w:rPr>
            </w:pPr>
          </w:p>
        </w:tc>
        <w:tc>
          <w:tcPr>
            <w:tcW w:w="4160" w:type="dxa"/>
            <w:vAlign w:val="bottom"/>
            <w:tcBorders>
              <w:right w:val="single" w:sz="8" w:color="auto"/>
            </w:tcBorders>
            <w:gridSpan w:val="34"/>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2013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080" w:type="dxa"/>
            <w:vAlign w:val="bottom"/>
            <w:tcBorders>
              <w:top w:val="single" w:sz="8" w:color="0000EE"/>
            </w:tcBorders>
            <w:gridSpan w:val="16"/>
            <w:vMerge w:val="restart"/>
          </w:tcPr>
          <w:p>
            <w:pPr>
              <w:spacing w:after="0" w:line="209" w:lineRule="exact"/>
              <w:rPr>
                <w:rFonts w:ascii="Arial" w:cs="Arial" w:eastAsia="Arial" w:hAnsi="Arial"/>
                <w:sz w:val="20"/>
                <w:szCs w:val="20"/>
                <w:color w:val="0000EE"/>
              </w:rPr>
            </w:pPr>
            <w:hyperlink r:id="rId220">
              <w:r>
                <w:rPr>
                  <w:rFonts w:ascii="Arial" w:cs="Arial" w:eastAsia="Arial" w:hAnsi="Arial"/>
                  <w:sz w:val="20"/>
                  <w:szCs w:val="20"/>
                  <w:color w:val="0000EE"/>
                </w:rPr>
                <w:t>February 26, 2013)</w:t>
              </w:r>
              <w:r>
                <w:rPr>
                  <w:rFonts w:ascii="Arial" w:cs="Arial" w:eastAsia="Arial" w:hAnsi="Arial"/>
                  <w:sz w:val="20"/>
                  <w:szCs w:val="20"/>
                  <w:color w:val="000000"/>
                </w:rPr>
                <w:t>*</w:t>
              </w:r>
            </w:hyperlink>
          </w:p>
        </w:tc>
        <w:tc>
          <w:tcPr>
            <w:tcW w:w="1080" w:type="dxa"/>
            <w:vAlign w:val="bottom"/>
            <w:tcBorders>
              <w:right w:val="single" w:sz="8" w:color="auto"/>
            </w:tcBorders>
            <w:gridSpan w:val="18"/>
            <w:vMerge w:val="restart"/>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3080" w:type="dxa"/>
            <w:vAlign w:val="bottom"/>
            <w:gridSpan w:val="16"/>
            <w:vMerge w:val="continue"/>
          </w:tcPr>
          <w:p>
            <w:pPr>
              <w:spacing w:after="0"/>
              <w:rPr>
                <w:sz w:val="6"/>
                <w:szCs w:val="6"/>
                <w:color w:val="auto"/>
              </w:rPr>
            </w:pPr>
          </w:p>
        </w:tc>
        <w:tc>
          <w:tcPr>
            <w:tcW w:w="1080" w:type="dxa"/>
            <w:vAlign w:val="bottom"/>
            <w:tcBorders>
              <w:right w:val="single" w:sz="8" w:color="auto"/>
            </w:tcBorders>
            <w:gridSpan w:val="18"/>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10.11</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w w:val="98"/>
              </w:rPr>
            </w:pPr>
            <w:hyperlink r:id="rId221">
              <w:r>
                <w:rPr>
                  <w:rFonts w:ascii="Arial" w:cs="Arial" w:eastAsia="Arial" w:hAnsi="Arial"/>
                  <w:sz w:val="20"/>
                  <w:szCs w:val="20"/>
                  <w:color w:val="0000EE"/>
                  <w:w w:val="98"/>
                </w:rPr>
                <w:t>Form of Change in Control Agreement between</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10.1</w:t>
            </w:r>
          </w:p>
        </w:tc>
        <w:tc>
          <w:tcPr>
            <w:tcW w:w="13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November 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800" w:type="dxa"/>
            <w:vAlign w:val="bottom"/>
            <w:tcBorders>
              <w:top w:val="single" w:sz="8" w:color="0000EE"/>
            </w:tcBorders>
            <w:gridSpan w:val="27"/>
            <w:vMerge w:val="restart"/>
          </w:tcPr>
          <w:p>
            <w:pPr>
              <w:spacing w:after="0" w:line="209" w:lineRule="exact"/>
              <w:rPr>
                <w:rFonts w:ascii="Arial" w:cs="Arial" w:eastAsia="Arial" w:hAnsi="Arial"/>
                <w:sz w:val="20"/>
                <w:szCs w:val="20"/>
                <w:color w:val="0000EE"/>
              </w:rPr>
            </w:pPr>
            <w:hyperlink r:id="rId221">
              <w:r>
                <w:rPr>
                  <w:rFonts w:ascii="Arial" w:cs="Arial" w:eastAsia="Arial" w:hAnsi="Arial"/>
                  <w:sz w:val="20"/>
                  <w:szCs w:val="20"/>
                  <w:color w:val="0000EE"/>
                </w:rPr>
                <w:t>the Company and executive officers</w:t>
              </w:r>
              <w:r>
                <w:rPr>
                  <w:rFonts w:ascii="Arial" w:cs="Arial" w:eastAsia="Arial" w:hAnsi="Arial"/>
                  <w:sz w:val="20"/>
                  <w:szCs w:val="20"/>
                  <w:color w:val="000000"/>
                </w:rPr>
                <w:t>*</w:t>
              </w:r>
            </w:hyperlink>
          </w:p>
        </w:tc>
        <w:tc>
          <w:tcPr>
            <w:tcW w:w="360" w:type="dxa"/>
            <w:vAlign w:val="bottom"/>
            <w:tcBorders>
              <w:right w:val="single" w:sz="8" w:color="auto"/>
            </w:tcBorders>
            <w:gridSpan w:val="7"/>
            <w:vMerge w:val="restart"/>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3800" w:type="dxa"/>
            <w:vAlign w:val="bottom"/>
            <w:gridSpan w:val="27"/>
            <w:vMerge w:val="continue"/>
          </w:tcPr>
          <w:p>
            <w:pPr>
              <w:spacing w:after="0"/>
              <w:rPr>
                <w:sz w:val="6"/>
                <w:szCs w:val="6"/>
                <w:color w:val="auto"/>
              </w:rPr>
            </w:pPr>
          </w:p>
        </w:tc>
        <w:tc>
          <w:tcPr>
            <w:tcW w:w="360" w:type="dxa"/>
            <w:vAlign w:val="bottom"/>
            <w:tcBorders>
              <w:right w:val="single" w:sz="8" w:color="auto"/>
            </w:tcBorders>
            <w:gridSpan w:val="7"/>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10.11.1</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rPr>
            </w:pPr>
            <w:hyperlink w:anchor="page307">
              <w:r>
                <w:rPr>
                  <w:rFonts w:ascii="Arial" w:cs="Arial" w:eastAsia="Arial" w:hAnsi="Arial"/>
                  <w:sz w:val="20"/>
                  <w:szCs w:val="20"/>
                  <w:color w:val="0000EE"/>
                </w:rPr>
                <w:t>Schedule of Change in Control Agreement</w:t>
              </w:r>
            </w:hyperlink>
          </w:p>
        </w:tc>
        <w:tc>
          <w:tcPr>
            <w:tcW w:w="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vMerge w:val="continue"/>
          </w:tcPr>
          <w:p>
            <w:pPr>
              <w:spacing w:after="0" w:line="20" w:lineRule="exact"/>
              <w:rPr>
                <w:sz w:val="1"/>
                <w:szCs w:val="1"/>
                <w:color w:val="auto"/>
              </w:rPr>
            </w:pPr>
          </w:p>
        </w:tc>
        <w:tc>
          <w:tcPr>
            <w:tcW w:w="1000" w:type="dxa"/>
            <w:vAlign w:val="bottom"/>
            <w:tcBorders>
              <w:right w:val="single" w:sz="8" w:color="auto"/>
            </w:tcBorders>
            <w:vMerge w:val="continue"/>
          </w:tcPr>
          <w:p>
            <w:pPr>
              <w:spacing w:after="0" w:line="20" w:lineRule="exact"/>
              <w:rPr>
                <w:sz w:val="1"/>
                <w:szCs w:val="1"/>
                <w:color w:val="auto"/>
              </w:rPr>
            </w:pPr>
          </w:p>
        </w:tc>
        <w:tc>
          <w:tcPr>
            <w:tcW w:w="1060" w:type="dxa"/>
            <w:vAlign w:val="bottom"/>
            <w:tcBorders>
              <w:right w:val="single" w:sz="8" w:color="auto"/>
            </w:tcBorders>
            <w:vMerge w:val="continue"/>
          </w:tcPr>
          <w:p>
            <w:pPr>
              <w:spacing w:after="0" w:line="20" w:lineRule="exact"/>
              <w:rPr>
                <w:sz w:val="1"/>
                <w:szCs w:val="1"/>
                <w:color w:val="auto"/>
              </w:rPr>
            </w:pPr>
          </w:p>
        </w:tc>
        <w:tc>
          <w:tcPr>
            <w:tcW w:w="138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4160" w:type="dxa"/>
            <w:vAlign w:val="bottom"/>
            <w:tcBorders>
              <w:right w:val="single" w:sz="8" w:color="auto"/>
            </w:tcBorders>
            <w:gridSpan w:val="34"/>
            <w:vMerge w:val="restart"/>
          </w:tcPr>
          <w:p>
            <w:pPr>
              <w:spacing w:after="0" w:line="209" w:lineRule="exact"/>
              <w:rPr>
                <w:rFonts w:ascii="Arial" w:cs="Arial" w:eastAsia="Arial" w:hAnsi="Arial"/>
                <w:sz w:val="20"/>
                <w:szCs w:val="20"/>
                <w:color w:val="0000EE"/>
              </w:rPr>
            </w:pPr>
            <w:hyperlink w:anchor="page307">
              <w:r>
                <w:rPr>
                  <w:rFonts w:ascii="Arial" w:cs="Arial" w:eastAsia="Arial" w:hAnsi="Arial"/>
                  <w:sz w:val="20"/>
                  <w:szCs w:val="20"/>
                  <w:color w:val="0000EE"/>
                </w:rPr>
                <w:t>between the Company and executive officers</w:t>
              </w:r>
            </w:hyperlink>
            <w:r>
              <w:rPr>
                <w:rFonts w:ascii="Arial" w:cs="Arial" w:eastAsia="Arial" w:hAnsi="Arial"/>
                <w:sz w:val="20"/>
                <w:szCs w:val="20"/>
                <w:color w:val="000000"/>
              </w:rPr>
              <w:t>*</w:t>
            </w:r>
          </w:p>
        </w:tc>
        <w:tc>
          <w:tcPr>
            <w:tcW w:w="7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4160" w:type="dxa"/>
            <w:vAlign w:val="bottom"/>
            <w:tcBorders>
              <w:right w:val="single" w:sz="8" w:color="auto"/>
            </w:tcBorders>
            <w:gridSpan w:val="34"/>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10.12</w:t>
            </w:r>
          </w:p>
        </w:tc>
        <w:tc>
          <w:tcPr>
            <w:tcW w:w="100" w:type="dxa"/>
            <w:vAlign w:val="bottom"/>
          </w:tcPr>
          <w:p>
            <w:pPr>
              <w:spacing w:after="0"/>
              <w:rPr>
                <w:sz w:val="15"/>
                <w:szCs w:val="15"/>
                <w:color w:val="auto"/>
              </w:rPr>
            </w:pPr>
          </w:p>
        </w:tc>
        <w:tc>
          <w:tcPr>
            <w:tcW w:w="4160" w:type="dxa"/>
            <w:vAlign w:val="bottom"/>
            <w:tcBorders>
              <w:right w:val="single" w:sz="8" w:color="auto"/>
            </w:tcBorders>
            <w:gridSpan w:val="34"/>
          </w:tcPr>
          <w:p>
            <w:pPr>
              <w:spacing w:after="0" w:line="183" w:lineRule="exact"/>
              <w:rPr>
                <w:rFonts w:ascii="Arial" w:cs="Arial" w:eastAsia="Arial" w:hAnsi="Arial"/>
                <w:sz w:val="20"/>
                <w:szCs w:val="20"/>
                <w:color w:val="0000EE"/>
              </w:rPr>
            </w:pPr>
            <w:hyperlink r:id="rId222">
              <w:r>
                <w:rPr>
                  <w:rFonts w:ascii="Arial" w:cs="Arial" w:eastAsia="Arial" w:hAnsi="Arial"/>
                  <w:sz w:val="20"/>
                  <w:szCs w:val="20"/>
                  <w:color w:val="0000EE"/>
                </w:rPr>
                <w:t>Change in Control Agreement, dated</w:t>
              </w:r>
            </w:hyperlink>
          </w:p>
        </w:tc>
        <w:tc>
          <w:tcPr>
            <w:tcW w:w="7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February 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vMerge w:val="continue"/>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680" w:type="dxa"/>
            <w:vAlign w:val="bottom"/>
            <w:tcBorders>
              <w:left w:val="single" w:sz="8" w:color="auto"/>
              <w:right w:val="single" w:sz="8" w:color="auto"/>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3940" w:type="dxa"/>
            <w:vAlign w:val="bottom"/>
            <w:gridSpan w:val="31"/>
            <w:vMerge w:val="restart"/>
          </w:tcPr>
          <w:p>
            <w:pPr>
              <w:spacing w:after="0" w:line="209" w:lineRule="exact"/>
              <w:rPr>
                <w:rFonts w:ascii="Arial" w:cs="Arial" w:eastAsia="Arial" w:hAnsi="Arial"/>
                <w:sz w:val="20"/>
                <w:szCs w:val="20"/>
                <w:color w:val="0000EE"/>
                <w:w w:val="89"/>
              </w:rPr>
            </w:pPr>
            <w:hyperlink r:id="rId222">
              <w:r>
                <w:rPr>
                  <w:rFonts w:ascii="Arial" w:cs="Arial" w:eastAsia="Arial" w:hAnsi="Arial"/>
                  <w:sz w:val="20"/>
                  <w:szCs w:val="20"/>
                  <w:color w:val="0000EE"/>
                  <w:w w:val="89"/>
                </w:rPr>
                <w:t>December 31, 2008, between Aqua America, Inc.</w:t>
              </w:r>
            </w:hyperlink>
          </w:p>
        </w:tc>
        <w:tc>
          <w:tcPr>
            <w:tcW w:w="220" w:type="dxa"/>
            <w:vAlign w:val="bottom"/>
            <w:tcBorders>
              <w:right w:val="single" w:sz="8" w:color="auto"/>
            </w:tcBorders>
            <w:gridSpan w:val="3"/>
            <w:vMerge w:val="restart"/>
          </w:tcPr>
          <w:p>
            <w:pPr>
              <w:spacing w:after="0"/>
              <w:rPr>
                <w:sz w:val="9"/>
                <w:szCs w:val="9"/>
                <w:color w:val="auto"/>
              </w:rPr>
            </w:pPr>
          </w:p>
        </w:tc>
        <w:tc>
          <w:tcPr>
            <w:tcW w:w="74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10.46</w:t>
            </w:r>
          </w:p>
        </w:tc>
        <w:tc>
          <w:tcPr>
            <w:tcW w:w="13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80" w:type="dxa"/>
            <w:vAlign w:val="bottom"/>
            <w:tcBorders>
              <w:left w:val="single" w:sz="8" w:color="auto"/>
              <w:right w:val="single" w:sz="8" w:color="auto"/>
            </w:tcBorders>
          </w:tcPr>
          <w:p>
            <w:pPr>
              <w:spacing w:after="0"/>
              <w:rPr>
                <w:sz w:val="8"/>
                <w:szCs w:val="8"/>
                <w:color w:val="auto"/>
              </w:rPr>
            </w:pPr>
          </w:p>
        </w:tc>
        <w:tc>
          <w:tcPr>
            <w:tcW w:w="100" w:type="dxa"/>
            <w:vAlign w:val="bottom"/>
            <w:vMerge w:val="continue"/>
          </w:tcPr>
          <w:p>
            <w:pPr>
              <w:spacing w:after="0"/>
              <w:rPr>
                <w:sz w:val="8"/>
                <w:szCs w:val="8"/>
                <w:color w:val="auto"/>
              </w:rPr>
            </w:pPr>
          </w:p>
        </w:tc>
        <w:tc>
          <w:tcPr>
            <w:tcW w:w="3940" w:type="dxa"/>
            <w:vAlign w:val="bottom"/>
            <w:tcBorders>
              <w:bottom w:val="single" w:sz="8" w:color="0000EE"/>
            </w:tcBorders>
            <w:gridSpan w:val="31"/>
            <w:vMerge w:val="continue"/>
          </w:tcPr>
          <w:p>
            <w:pPr>
              <w:spacing w:after="0"/>
              <w:rPr>
                <w:sz w:val="8"/>
                <w:szCs w:val="8"/>
                <w:color w:val="auto"/>
              </w:rPr>
            </w:pPr>
          </w:p>
        </w:tc>
        <w:tc>
          <w:tcPr>
            <w:tcW w:w="220" w:type="dxa"/>
            <w:vAlign w:val="bottom"/>
            <w:tcBorders>
              <w:right w:val="single" w:sz="8" w:color="auto"/>
            </w:tcBorders>
            <w:gridSpan w:val="3"/>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2009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spacing w:after="0"/>
              <w:rPr>
                <w:sz w:val="11"/>
                <w:szCs w:val="11"/>
                <w:color w:val="auto"/>
              </w:rPr>
            </w:pPr>
          </w:p>
        </w:tc>
        <w:tc>
          <w:tcPr>
            <w:tcW w:w="4260" w:type="dxa"/>
            <w:vAlign w:val="bottom"/>
            <w:tcBorders>
              <w:right w:val="single" w:sz="8" w:color="auto"/>
            </w:tcBorders>
            <w:gridSpan w:val="35"/>
            <w:vMerge w:val="restart"/>
          </w:tcPr>
          <w:p>
            <w:pPr>
              <w:ind w:left="100"/>
              <w:spacing w:after="0" w:line="209" w:lineRule="exact"/>
              <w:rPr>
                <w:rFonts w:ascii="Arial" w:cs="Arial" w:eastAsia="Arial" w:hAnsi="Arial"/>
                <w:sz w:val="20"/>
                <w:szCs w:val="20"/>
                <w:color w:val="0000EE"/>
              </w:rPr>
            </w:pPr>
            <w:hyperlink r:id="rId222">
              <w:r>
                <w:rPr>
                  <w:rFonts w:ascii="Arial" w:cs="Arial" w:eastAsia="Arial" w:hAnsi="Arial"/>
                  <w:sz w:val="20"/>
                  <w:szCs w:val="20"/>
                  <w:color w:val="0000EE"/>
                </w:rPr>
                <w:t>and Christopher H. Franklin</w:t>
              </w:r>
              <w:r>
                <w:rPr>
                  <w:rFonts w:ascii="Arial" w:cs="Arial" w:eastAsia="Arial" w:hAnsi="Arial"/>
                  <w:sz w:val="20"/>
                  <w:szCs w:val="20"/>
                  <w:color w:val="000000"/>
                </w:rPr>
                <w:t>*</w:t>
              </w:r>
            </w:hyperlink>
          </w:p>
        </w:tc>
        <w:tc>
          <w:tcPr>
            <w:tcW w:w="7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80" w:type="dxa"/>
            <w:vAlign w:val="bottom"/>
            <w:tcBorders>
              <w:left w:val="single" w:sz="8" w:color="auto"/>
              <w:right w:val="single" w:sz="8" w:color="auto"/>
            </w:tcBorders>
          </w:tcPr>
          <w:p>
            <w:pPr>
              <w:spacing w:after="0"/>
              <w:rPr>
                <w:sz w:val="6"/>
                <w:szCs w:val="6"/>
                <w:color w:val="auto"/>
              </w:rPr>
            </w:pPr>
          </w:p>
        </w:tc>
        <w:tc>
          <w:tcPr>
            <w:tcW w:w="4260" w:type="dxa"/>
            <w:vAlign w:val="bottom"/>
            <w:tcBorders>
              <w:right w:val="single" w:sz="8" w:color="auto"/>
            </w:tcBorders>
            <w:gridSpan w:val="35"/>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1680" w:type="dxa"/>
            <w:vAlign w:val="bottom"/>
          </w:tcPr>
          <w:p>
            <w:pPr>
              <w:spacing w:after="0"/>
              <w:rPr>
                <w:sz w:val="24"/>
                <w:szCs w:val="24"/>
                <w:color w:val="auto"/>
              </w:rPr>
            </w:pPr>
          </w:p>
        </w:tc>
        <w:tc>
          <w:tcPr>
            <w:tcW w:w="3680" w:type="dxa"/>
            <w:vAlign w:val="bottom"/>
            <w:gridSpan w:val="22"/>
          </w:tcPr>
          <w:p>
            <w:pPr>
              <w:jc w:val="right"/>
              <w:ind w:right="180"/>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115" w:name="page116"/>
    <w:bookmarkEnd w:id="115"/>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4" w:lineRule="exact"/>
        <w:rPr>
          <w:sz w:val="20"/>
          <w:szCs w:val="20"/>
          <w:color w:val="auto"/>
        </w:rPr>
      </w:pPr>
    </w:p>
    <w:tbl>
      <w:tblPr>
        <w:tblLayout w:type="fixed"/>
        <w:tblInd w:w="14" w:type="dxa"/>
        <w:tblCellMar>
          <w:top w:w="0" w:type="dxa"/>
          <w:left w:w="0" w:type="dxa"/>
          <w:bottom w:w="0" w:type="dxa"/>
          <w:right w:w="0" w:type="dxa"/>
        </w:tblCellMar>
      </w:tblPr>
      <w:tr>
        <w:trPr>
          <w:trHeight w:val="203"/>
        </w:trPr>
        <w:tc>
          <w:tcPr>
            <w:tcW w:w="1700" w:type="dxa"/>
            <w:vAlign w:val="bottom"/>
            <w:tcBorders>
              <w:top w:val="single" w:sz="8" w:color="auto"/>
              <w:left w:val="single" w:sz="8" w:color="auto"/>
              <w:right w:val="single" w:sz="8" w:color="auto"/>
            </w:tcBorders>
          </w:tcPr>
          <w:p>
            <w:pPr>
              <w:ind w:left="120"/>
              <w:spacing w:after="0" w:line="203" w:lineRule="exact"/>
              <w:rPr>
                <w:sz w:val="20"/>
                <w:szCs w:val="20"/>
                <w:color w:val="auto"/>
              </w:rPr>
            </w:pPr>
            <w:r>
              <w:rPr>
                <w:rFonts w:ascii="Arial" w:cs="Arial" w:eastAsia="Arial" w:hAnsi="Arial"/>
                <w:sz w:val="20"/>
                <w:szCs w:val="20"/>
                <w:color w:val="auto"/>
              </w:rPr>
              <w:t>10.13</w:t>
            </w:r>
          </w:p>
        </w:tc>
        <w:tc>
          <w:tcPr>
            <w:tcW w:w="120" w:type="dxa"/>
            <w:vAlign w:val="bottom"/>
            <w:tcBorders>
              <w:top w:val="single" w:sz="8" w:color="auto"/>
            </w:tcBorders>
          </w:tcPr>
          <w:p>
            <w:pPr>
              <w:spacing w:after="0"/>
              <w:rPr>
                <w:sz w:val="17"/>
                <w:szCs w:val="17"/>
                <w:color w:val="auto"/>
              </w:rPr>
            </w:pPr>
          </w:p>
        </w:tc>
        <w:tc>
          <w:tcPr>
            <w:tcW w:w="4160" w:type="dxa"/>
            <w:vAlign w:val="bottom"/>
            <w:tcBorders>
              <w:top w:val="single" w:sz="8" w:color="auto"/>
              <w:right w:val="single" w:sz="8" w:color="auto"/>
            </w:tcBorders>
            <w:gridSpan w:val="12"/>
          </w:tcPr>
          <w:p>
            <w:pPr>
              <w:spacing w:after="0" w:line="203" w:lineRule="exact"/>
              <w:rPr>
                <w:rFonts w:ascii="Arial" w:cs="Arial" w:eastAsia="Arial" w:hAnsi="Arial"/>
                <w:sz w:val="20"/>
                <w:szCs w:val="20"/>
                <w:color w:val="0000EE"/>
                <w:w w:val="94"/>
              </w:rPr>
            </w:pPr>
            <w:hyperlink r:id="rId225">
              <w:r>
                <w:rPr>
                  <w:rFonts w:ascii="Arial" w:cs="Arial" w:eastAsia="Arial" w:hAnsi="Arial"/>
                  <w:sz w:val="20"/>
                  <w:szCs w:val="20"/>
                  <w:color w:val="0000EE"/>
                  <w:w w:val="94"/>
                </w:rPr>
                <w:t>Non-Employee Directors’ Compensation effective</w:t>
              </w:r>
            </w:hyperlink>
          </w:p>
        </w:tc>
        <w:tc>
          <w:tcPr>
            <w:tcW w:w="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20"/>
                <w:szCs w:val="20"/>
                <w:color w:val="auto"/>
              </w:rPr>
              <w:t>8-K</w:t>
            </w:r>
          </w:p>
        </w:tc>
        <w:tc>
          <w:tcPr>
            <w:tcW w:w="1000" w:type="dxa"/>
            <w:vAlign w:val="bottom"/>
            <w:tcBorders>
              <w:top w:val="single" w:sz="8" w:color="auto"/>
              <w:right w:val="single" w:sz="8" w:color="auto"/>
            </w:tcBorders>
          </w:tcPr>
          <w:p>
            <w:pPr>
              <w:ind w:left="100"/>
              <w:spacing w:after="0" w:line="203" w:lineRule="exact"/>
              <w:rPr>
                <w:sz w:val="20"/>
                <w:szCs w:val="20"/>
                <w:color w:val="auto"/>
              </w:rPr>
            </w:pPr>
            <w:r>
              <w:rPr>
                <w:rFonts w:ascii="Arial" w:cs="Arial" w:eastAsia="Arial" w:hAnsi="Arial"/>
                <w:sz w:val="20"/>
                <w:szCs w:val="20"/>
                <w:color w:val="auto"/>
              </w:rPr>
              <w:t>001-</w:t>
            </w:r>
          </w:p>
        </w:tc>
        <w:tc>
          <w:tcPr>
            <w:tcW w:w="106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20"/>
                <w:szCs w:val="20"/>
                <w:color w:val="auto"/>
              </w:rPr>
              <w:t>10.1</w:t>
            </w:r>
          </w:p>
        </w:tc>
        <w:tc>
          <w:tcPr>
            <w:tcW w:w="1380" w:type="dxa"/>
            <w:vAlign w:val="bottom"/>
            <w:tcBorders>
              <w:top w:val="single" w:sz="8" w:color="auto"/>
              <w:right w:val="single" w:sz="8" w:color="auto"/>
            </w:tcBorders>
          </w:tcPr>
          <w:p>
            <w:pPr>
              <w:ind w:left="120"/>
              <w:spacing w:after="0" w:line="203" w:lineRule="exact"/>
              <w:rPr>
                <w:sz w:val="20"/>
                <w:szCs w:val="20"/>
                <w:color w:val="auto"/>
              </w:rPr>
            </w:pPr>
            <w:r>
              <w:rPr>
                <w:rFonts w:ascii="Arial" w:cs="Arial" w:eastAsia="Arial" w:hAnsi="Arial"/>
                <w:sz w:val="20"/>
                <w:szCs w:val="20"/>
                <w:color w:val="auto"/>
                <w:w w:val="97"/>
              </w:rPr>
              <w:t>December 15,</w:t>
            </w: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980" w:type="dxa"/>
            <w:vAlign w:val="bottom"/>
            <w:tcBorders>
              <w:top w:val="single" w:sz="8" w:color="0000EE"/>
            </w:tcBorders>
            <w:gridSpan w:val="11"/>
            <w:vMerge w:val="restart"/>
          </w:tcPr>
          <w:p>
            <w:pPr>
              <w:spacing w:after="0" w:line="209" w:lineRule="exact"/>
              <w:rPr>
                <w:rFonts w:ascii="Arial" w:cs="Arial" w:eastAsia="Arial" w:hAnsi="Arial"/>
                <w:sz w:val="20"/>
                <w:szCs w:val="20"/>
                <w:color w:val="0000EE"/>
              </w:rPr>
            </w:pPr>
            <w:hyperlink r:id="rId225">
              <w:r>
                <w:rPr>
                  <w:rFonts w:ascii="Arial" w:cs="Arial" w:eastAsia="Arial" w:hAnsi="Arial"/>
                  <w:sz w:val="20"/>
                  <w:szCs w:val="20"/>
                  <w:color w:val="0000EE"/>
                </w:rPr>
                <w:t>January 1, 2018</w:t>
              </w:r>
              <w:r>
                <w:rPr>
                  <w:rFonts w:ascii="Arial" w:cs="Arial" w:eastAsia="Arial" w:hAnsi="Arial"/>
                  <w:sz w:val="20"/>
                  <w:szCs w:val="20"/>
                  <w:color w:val="000000"/>
                </w:rPr>
                <w:t>*</w:t>
              </w:r>
            </w:hyperlink>
          </w:p>
        </w:tc>
        <w:tc>
          <w:tcPr>
            <w:tcW w:w="180" w:type="dxa"/>
            <w:vAlign w:val="bottom"/>
            <w:tcBorders>
              <w:right w:val="single" w:sz="8" w:color="auto"/>
            </w:tcBorders>
            <w:vMerge w:val="restart"/>
          </w:tcPr>
          <w:p>
            <w:pPr>
              <w:spacing w:after="0"/>
              <w:rPr>
                <w:sz w:val="11"/>
                <w:szCs w:val="11"/>
                <w:color w:val="auto"/>
              </w:rPr>
            </w:pPr>
          </w:p>
        </w:tc>
        <w:tc>
          <w:tcPr>
            <w:tcW w:w="700" w:type="dxa"/>
            <w:vAlign w:val="bottom"/>
            <w:tcBorders>
              <w:top w:val="single" w:sz="8" w:color="auto"/>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top w:val="single" w:sz="8" w:color="auto"/>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980" w:type="dxa"/>
            <w:vAlign w:val="bottom"/>
            <w:gridSpan w:val="11"/>
            <w:vMerge w:val="continue"/>
          </w:tcPr>
          <w:p>
            <w:pPr>
              <w:spacing w:after="0"/>
              <w:rPr>
                <w:sz w:val="6"/>
                <w:szCs w:val="6"/>
                <w:color w:val="auto"/>
              </w:rPr>
            </w:pPr>
          </w:p>
        </w:tc>
        <w:tc>
          <w:tcPr>
            <w:tcW w:w="1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10.14</w:t>
            </w:r>
          </w:p>
        </w:tc>
        <w:tc>
          <w:tcPr>
            <w:tcW w:w="120" w:type="dxa"/>
            <w:vAlign w:val="bottom"/>
          </w:tcPr>
          <w:p>
            <w:pPr>
              <w:spacing w:after="0"/>
              <w:rPr>
                <w:sz w:val="15"/>
                <w:szCs w:val="15"/>
                <w:color w:val="auto"/>
              </w:rPr>
            </w:pPr>
          </w:p>
        </w:tc>
        <w:tc>
          <w:tcPr>
            <w:tcW w:w="4160" w:type="dxa"/>
            <w:vAlign w:val="bottom"/>
            <w:tcBorders>
              <w:right w:val="single" w:sz="8" w:color="auto"/>
            </w:tcBorders>
            <w:gridSpan w:val="12"/>
          </w:tcPr>
          <w:p>
            <w:pPr>
              <w:spacing w:after="0" w:line="183" w:lineRule="exact"/>
              <w:rPr>
                <w:rFonts w:ascii="Arial" w:cs="Arial" w:eastAsia="Arial" w:hAnsi="Arial"/>
                <w:sz w:val="20"/>
                <w:szCs w:val="20"/>
                <w:color w:val="0000EE"/>
                <w:w w:val="94"/>
              </w:rPr>
            </w:pPr>
            <w:hyperlink r:id="rId226">
              <w:r>
                <w:rPr>
                  <w:rFonts w:ascii="Arial" w:cs="Arial" w:eastAsia="Arial" w:hAnsi="Arial"/>
                  <w:sz w:val="20"/>
                  <w:szCs w:val="20"/>
                  <w:color w:val="0000EE"/>
                  <w:w w:val="94"/>
                </w:rPr>
                <w:t>Non-Employee Directors’ Compensation effective</w:t>
              </w:r>
            </w:hyperlink>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8-K</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10.1</w:t>
            </w:r>
          </w:p>
        </w:tc>
        <w:tc>
          <w:tcPr>
            <w:tcW w:w="13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w w:val="97"/>
              </w:rPr>
              <w:t>December 14,</w:t>
            </w: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980" w:type="dxa"/>
            <w:vAlign w:val="bottom"/>
            <w:tcBorders>
              <w:top w:val="single" w:sz="8" w:color="0000EE"/>
            </w:tcBorders>
            <w:gridSpan w:val="11"/>
            <w:vMerge w:val="restart"/>
          </w:tcPr>
          <w:p>
            <w:pPr>
              <w:spacing w:after="0" w:line="209" w:lineRule="exact"/>
              <w:rPr>
                <w:rFonts w:ascii="Arial" w:cs="Arial" w:eastAsia="Arial" w:hAnsi="Arial"/>
                <w:sz w:val="20"/>
                <w:szCs w:val="20"/>
                <w:color w:val="0000EE"/>
              </w:rPr>
            </w:pPr>
            <w:hyperlink r:id="rId226">
              <w:r>
                <w:rPr>
                  <w:rFonts w:ascii="Arial" w:cs="Arial" w:eastAsia="Arial" w:hAnsi="Arial"/>
                  <w:sz w:val="20"/>
                  <w:szCs w:val="20"/>
                  <w:color w:val="0000EE"/>
                </w:rPr>
                <w:t>January 1, 2019</w:t>
              </w:r>
              <w:r>
                <w:rPr>
                  <w:rFonts w:ascii="Arial" w:cs="Arial" w:eastAsia="Arial" w:hAnsi="Arial"/>
                  <w:sz w:val="20"/>
                  <w:szCs w:val="20"/>
                  <w:color w:val="000000"/>
                </w:rPr>
                <w:t>*</w:t>
              </w:r>
            </w:hyperlink>
          </w:p>
        </w:tc>
        <w:tc>
          <w:tcPr>
            <w:tcW w:w="180" w:type="dxa"/>
            <w:vAlign w:val="bottom"/>
            <w:tcBorders>
              <w:right w:val="single" w:sz="8" w:color="auto"/>
            </w:tcBorders>
            <w:vMerge w:val="restart"/>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2018</w:t>
            </w: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980" w:type="dxa"/>
            <w:vAlign w:val="bottom"/>
            <w:gridSpan w:val="11"/>
            <w:vMerge w:val="continue"/>
          </w:tcPr>
          <w:p>
            <w:pPr>
              <w:spacing w:after="0"/>
              <w:rPr>
                <w:sz w:val="6"/>
                <w:szCs w:val="6"/>
                <w:color w:val="auto"/>
              </w:rPr>
            </w:pPr>
          </w:p>
        </w:tc>
        <w:tc>
          <w:tcPr>
            <w:tcW w:w="1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10.15</w:t>
            </w:r>
          </w:p>
        </w:tc>
        <w:tc>
          <w:tcPr>
            <w:tcW w:w="120" w:type="dxa"/>
            <w:vAlign w:val="bottom"/>
          </w:tcPr>
          <w:p>
            <w:pPr>
              <w:spacing w:after="0"/>
              <w:rPr>
                <w:sz w:val="15"/>
                <w:szCs w:val="15"/>
                <w:color w:val="auto"/>
              </w:rPr>
            </w:pPr>
          </w:p>
        </w:tc>
        <w:tc>
          <w:tcPr>
            <w:tcW w:w="4160" w:type="dxa"/>
            <w:vAlign w:val="bottom"/>
            <w:tcBorders>
              <w:right w:val="single" w:sz="8" w:color="auto"/>
            </w:tcBorders>
            <w:gridSpan w:val="12"/>
          </w:tcPr>
          <w:p>
            <w:pPr>
              <w:spacing w:after="0" w:line="183" w:lineRule="exact"/>
              <w:rPr>
                <w:rFonts w:ascii="Arial" w:cs="Arial" w:eastAsia="Arial" w:hAnsi="Arial"/>
                <w:sz w:val="20"/>
                <w:szCs w:val="20"/>
                <w:color w:val="0000EE"/>
              </w:rPr>
            </w:pPr>
            <w:hyperlink r:id="rId227">
              <w:r>
                <w:rPr>
                  <w:rFonts w:ascii="Arial" w:cs="Arial" w:eastAsia="Arial" w:hAnsi="Arial"/>
                  <w:sz w:val="20"/>
                  <w:szCs w:val="20"/>
                  <w:color w:val="0000EE"/>
                </w:rPr>
                <w:t>Employment Agreement dated July 1, 2018</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vMerge w:val="continue"/>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70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160" w:type="dxa"/>
            <w:vAlign w:val="bottom"/>
            <w:tcBorders>
              <w:right w:val="single" w:sz="8" w:color="auto"/>
            </w:tcBorders>
            <w:gridSpan w:val="12"/>
            <w:vMerge w:val="restart"/>
          </w:tcPr>
          <w:p>
            <w:pPr>
              <w:spacing w:after="0" w:line="209" w:lineRule="exact"/>
              <w:rPr>
                <w:rFonts w:ascii="Arial" w:cs="Arial" w:eastAsia="Arial" w:hAnsi="Arial"/>
                <w:sz w:val="20"/>
                <w:szCs w:val="20"/>
                <w:color w:val="0000EE"/>
              </w:rPr>
            </w:pPr>
            <w:hyperlink r:id="rId227">
              <w:r>
                <w:rPr>
                  <w:rFonts w:ascii="Arial" w:cs="Arial" w:eastAsia="Arial" w:hAnsi="Arial"/>
                  <w:sz w:val="20"/>
                  <w:szCs w:val="20"/>
                  <w:color w:val="0000EE"/>
                </w:rPr>
                <w:t>between Aqua America, Inc. and Christopher</w:t>
              </w:r>
            </w:hyperlink>
          </w:p>
        </w:tc>
        <w:tc>
          <w:tcPr>
            <w:tcW w:w="7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8-K</w:t>
            </w:r>
          </w:p>
        </w:tc>
        <w:tc>
          <w:tcPr>
            <w:tcW w:w="10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10.1</w:t>
            </w:r>
          </w:p>
        </w:tc>
        <w:tc>
          <w:tcPr>
            <w:tcW w:w="1380" w:type="dxa"/>
            <w:vAlign w:val="bottom"/>
            <w:tcBorders>
              <w:right w:val="single" w:sz="8" w:color="auto"/>
            </w:tcBorders>
            <w:vMerge w:val="restart"/>
          </w:tcPr>
          <w:p>
            <w:pPr>
              <w:ind w:left="120"/>
              <w:spacing w:after="0" w:line="209" w:lineRule="exact"/>
              <w:rPr>
                <w:sz w:val="20"/>
                <w:szCs w:val="20"/>
                <w:color w:val="auto"/>
              </w:rPr>
            </w:pPr>
            <w:r>
              <w:rPr>
                <w:rFonts w:ascii="Arial" w:cs="Arial" w:eastAsia="Arial" w:hAnsi="Arial"/>
                <w:sz w:val="20"/>
                <w:szCs w:val="20"/>
                <w:color w:val="auto"/>
              </w:rPr>
              <w:t>July 6, 2018</w:t>
            </w:r>
          </w:p>
        </w:tc>
        <w:tc>
          <w:tcPr>
            <w:tcW w:w="0" w:type="dxa"/>
            <w:vAlign w:val="bottom"/>
          </w:tcPr>
          <w:p>
            <w:pPr>
              <w:spacing w:after="0"/>
              <w:rPr>
                <w:sz w:val="1"/>
                <w:szCs w:val="1"/>
                <w:color w:val="auto"/>
              </w:rPr>
            </w:pPr>
          </w:p>
        </w:tc>
      </w:tr>
      <w:tr>
        <w:trPr>
          <w:trHeight w:val="98"/>
        </w:trPr>
        <w:tc>
          <w:tcPr>
            <w:tcW w:w="17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tcBorders>
              <w:right w:val="single" w:sz="8" w:color="auto"/>
            </w:tcBorders>
            <w:gridSpan w:val="12"/>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580" w:type="dxa"/>
            <w:vAlign w:val="bottom"/>
            <w:tcBorders>
              <w:top w:val="single" w:sz="8" w:color="0000EE"/>
            </w:tcBorders>
            <w:gridSpan w:val="8"/>
            <w:vMerge w:val="restart"/>
          </w:tcPr>
          <w:p>
            <w:pPr>
              <w:spacing w:after="0" w:line="209" w:lineRule="exact"/>
              <w:rPr>
                <w:rFonts w:ascii="Arial" w:cs="Arial" w:eastAsia="Arial" w:hAnsi="Arial"/>
                <w:sz w:val="20"/>
                <w:szCs w:val="20"/>
                <w:color w:val="0000EE"/>
              </w:rPr>
            </w:pPr>
            <w:hyperlink r:id="rId227">
              <w:r>
                <w:rPr>
                  <w:rFonts w:ascii="Arial" w:cs="Arial" w:eastAsia="Arial" w:hAnsi="Arial"/>
                  <w:sz w:val="20"/>
                  <w:szCs w:val="20"/>
                  <w:color w:val="0000EE"/>
                </w:rPr>
                <w:t>Franklin</w:t>
              </w:r>
              <w:r>
                <w:rPr>
                  <w:rFonts w:ascii="Arial" w:cs="Arial" w:eastAsia="Arial" w:hAnsi="Arial"/>
                  <w:sz w:val="20"/>
                  <w:szCs w:val="20"/>
                  <w:color w:val="000000"/>
                </w:rPr>
                <w:t>*</w:t>
              </w:r>
            </w:hyperlink>
          </w:p>
        </w:tc>
        <w:tc>
          <w:tcPr>
            <w:tcW w:w="580" w:type="dxa"/>
            <w:vAlign w:val="bottom"/>
            <w:tcBorders>
              <w:right w:val="single" w:sz="8" w:color="auto"/>
            </w:tcBorders>
            <w:gridSpan w:val="4"/>
            <w:vMerge w:val="restart"/>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580" w:type="dxa"/>
            <w:vAlign w:val="bottom"/>
            <w:gridSpan w:val="8"/>
            <w:vMerge w:val="continue"/>
          </w:tcPr>
          <w:p>
            <w:pPr>
              <w:spacing w:after="0"/>
              <w:rPr>
                <w:sz w:val="6"/>
                <w:szCs w:val="6"/>
                <w:color w:val="auto"/>
              </w:rPr>
            </w:pPr>
          </w:p>
        </w:tc>
        <w:tc>
          <w:tcPr>
            <w:tcW w:w="580" w:type="dxa"/>
            <w:vAlign w:val="bottom"/>
            <w:tcBorders>
              <w:right w:val="single" w:sz="8" w:color="auto"/>
            </w:tcBorders>
            <w:gridSpan w:val="4"/>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21.1</w:t>
            </w:r>
          </w:p>
        </w:tc>
        <w:tc>
          <w:tcPr>
            <w:tcW w:w="120" w:type="dxa"/>
            <w:vAlign w:val="bottom"/>
          </w:tcPr>
          <w:p>
            <w:pPr>
              <w:spacing w:after="0"/>
              <w:rPr>
                <w:sz w:val="15"/>
                <w:szCs w:val="15"/>
                <w:color w:val="auto"/>
              </w:rPr>
            </w:pPr>
          </w:p>
        </w:tc>
        <w:tc>
          <w:tcPr>
            <w:tcW w:w="4160" w:type="dxa"/>
            <w:vAlign w:val="bottom"/>
            <w:tcBorders>
              <w:right w:val="single" w:sz="8" w:color="auto"/>
            </w:tcBorders>
            <w:gridSpan w:val="12"/>
          </w:tcPr>
          <w:p>
            <w:pPr>
              <w:spacing w:after="0" w:line="183" w:lineRule="exact"/>
              <w:rPr>
                <w:rFonts w:ascii="Arial" w:cs="Arial" w:eastAsia="Arial" w:hAnsi="Arial"/>
                <w:sz w:val="20"/>
                <w:szCs w:val="20"/>
                <w:color w:val="0000EE"/>
              </w:rPr>
            </w:pPr>
            <w:hyperlink w:anchor="page318">
              <w:r>
                <w:rPr>
                  <w:rFonts w:ascii="Arial" w:cs="Arial" w:eastAsia="Arial" w:hAnsi="Arial"/>
                  <w:sz w:val="20"/>
                  <w:szCs w:val="20"/>
                  <w:color w:val="0000EE"/>
                </w:rPr>
                <w:t>Subsidiaries of Aqua America, Inc.</w:t>
              </w:r>
            </w:hyperlink>
          </w:p>
        </w:tc>
        <w:tc>
          <w:tcPr>
            <w:tcW w:w="7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23.1</w:t>
            </w:r>
          </w:p>
        </w:tc>
        <w:tc>
          <w:tcPr>
            <w:tcW w:w="120" w:type="dxa"/>
            <w:vAlign w:val="bottom"/>
          </w:tcPr>
          <w:p>
            <w:pPr>
              <w:spacing w:after="0"/>
              <w:rPr>
                <w:sz w:val="15"/>
                <w:szCs w:val="15"/>
                <w:color w:val="auto"/>
              </w:rPr>
            </w:pPr>
          </w:p>
        </w:tc>
        <w:tc>
          <w:tcPr>
            <w:tcW w:w="3340" w:type="dxa"/>
            <w:vAlign w:val="bottom"/>
            <w:tcBorders>
              <w:bottom w:val="single" w:sz="8" w:color="0000EE"/>
            </w:tcBorders>
            <w:gridSpan w:val="6"/>
          </w:tcPr>
          <w:p>
            <w:pPr>
              <w:spacing w:after="0" w:line="183" w:lineRule="exact"/>
              <w:rPr>
                <w:rFonts w:ascii="Arial" w:cs="Arial" w:eastAsia="Arial" w:hAnsi="Arial"/>
                <w:sz w:val="20"/>
                <w:szCs w:val="20"/>
                <w:color w:val="0000EE"/>
                <w:w w:val="88"/>
              </w:rPr>
            </w:pPr>
            <w:hyperlink w:anchor="page319">
              <w:r>
                <w:rPr>
                  <w:rFonts w:ascii="Arial" w:cs="Arial" w:eastAsia="Arial" w:hAnsi="Arial"/>
                  <w:sz w:val="20"/>
                  <w:szCs w:val="20"/>
                  <w:color w:val="0000EE"/>
                  <w:w w:val="88"/>
                </w:rPr>
                <w:t>Consent of Independent Registered Public</w:t>
              </w:r>
            </w:hyperlink>
          </w:p>
        </w:tc>
        <w:tc>
          <w:tcPr>
            <w:tcW w:w="820" w:type="dxa"/>
            <w:vAlign w:val="bottom"/>
            <w:tcBorders>
              <w:right w:val="single" w:sz="8" w:color="auto"/>
            </w:tcBorders>
            <w:gridSpan w:val="6"/>
          </w:tcPr>
          <w:p>
            <w:pPr>
              <w:spacing w:after="0"/>
              <w:rPr>
                <w:sz w:val="15"/>
                <w:szCs w:val="15"/>
                <w:color w:val="auto"/>
              </w:rPr>
            </w:pP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12"/>
            <w:vMerge w:val="restart"/>
          </w:tcPr>
          <w:p>
            <w:pPr>
              <w:spacing w:after="0" w:line="209" w:lineRule="exact"/>
              <w:rPr>
                <w:rFonts w:ascii="Arial" w:cs="Arial" w:eastAsia="Arial" w:hAnsi="Arial"/>
                <w:sz w:val="20"/>
                <w:szCs w:val="20"/>
                <w:color w:val="0000EE"/>
                <w:w w:val="95"/>
              </w:rPr>
            </w:pPr>
            <w:hyperlink w:anchor="page319">
              <w:r>
                <w:rPr>
                  <w:rFonts w:ascii="Arial" w:cs="Arial" w:eastAsia="Arial" w:hAnsi="Arial"/>
                  <w:sz w:val="20"/>
                  <w:szCs w:val="20"/>
                  <w:color w:val="0000EE"/>
                  <w:w w:val="95"/>
                </w:rPr>
                <w:t>Accounting Firm – PricewaterhouseCoopers LLP</w:t>
              </w:r>
            </w:hyperlink>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1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31.1</w:t>
            </w:r>
          </w:p>
        </w:tc>
        <w:tc>
          <w:tcPr>
            <w:tcW w:w="120" w:type="dxa"/>
            <w:vAlign w:val="bottom"/>
          </w:tcPr>
          <w:p>
            <w:pPr>
              <w:spacing w:after="0"/>
              <w:rPr>
                <w:sz w:val="15"/>
                <w:szCs w:val="15"/>
                <w:color w:val="auto"/>
              </w:rPr>
            </w:pPr>
          </w:p>
        </w:tc>
        <w:tc>
          <w:tcPr>
            <w:tcW w:w="4160" w:type="dxa"/>
            <w:vAlign w:val="bottom"/>
            <w:tcBorders>
              <w:right w:val="single" w:sz="8" w:color="auto"/>
            </w:tcBorders>
            <w:gridSpan w:val="12"/>
          </w:tcPr>
          <w:p>
            <w:pPr>
              <w:spacing w:after="0" w:line="183" w:lineRule="exact"/>
              <w:rPr>
                <w:rFonts w:ascii="Arial" w:cs="Arial" w:eastAsia="Arial" w:hAnsi="Arial"/>
                <w:sz w:val="20"/>
                <w:szCs w:val="20"/>
                <w:color w:val="0000EE"/>
                <w:w w:val="96"/>
              </w:rPr>
            </w:pPr>
            <w:hyperlink w:anchor="page320">
              <w:r>
                <w:rPr>
                  <w:rFonts w:ascii="Arial" w:cs="Arial" w:eastAsia="Arial" w:hAnsi="Arial"/>
                  <w:sz w:val="20"/>
                  <w:szCs w:val="20"/>
                  <w:color w:val="0000EE"/>
                  <w:w w:val="96"/>
                </w:rPr>
                <w:t>Certification of Chief Executive Officer, pursuant</w:t>
              </w:r>
            </w:hyperlink>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Borders>
              <w:top w:val="single" w:sz="8" w:color="0000EE"/>
            </w:tcBorders>
            <w:gridSpan w:val="10"/>
          </w:tcPr>
          <w:p>
            <w:pPr>
              <w:spacing w:after="0" w:line="209" w:lineRule="exact"/>
              <w:rPr>
                <w:rFonts w:ascii="Arial" w:cs="Arial" w:eastAsia="Arial" w:hAnsi="Arial"/>
                <w:sz w:val="20"/>
                <w:szCs w:val="20"/>
                <w:color w:val="0000EE"/>
              </w:rPr>
            </w:pPr>
            <w:hyperlink w:anchor="page320">
              <w:r>
                <w:rPr>
                  <w:rFonts w:ascii="Arial" w:cs="Arial" w:eastAsia="Arial" w:hAnsi="Arial"/>
                  <w:sz w:val="20"/>
                  <w:szCs w:val="20"/>
                  <w:color w:val="0000EE"/>
                </w:rPr>
                <w:t>to Rule 13a-14(a) under the Securities and</w:t>
              </w:r>
            </w:hyperlink>
          </w:p>
        </w:tc>
        <w:tc>
          <w:tcPr>
            <w:tcW w:w="240" w:type="dxa"/>
            <w:vAlign w:val="bottom"/>
            <w:tcBorders>
              <w:right w:val="single" w:sz="8" w:color="auto"/>
            </w:tcBorders>
            <w:gridSpan w:val="2"/>
          </w:tcPr>
          <w:p>
            <w:pPr>
              <w:spacing w:after="0"/>
              <w:rPr>
                <w:sz w:val="18"/>
                <w:szCs w:val="18"/>
                <w:color w:val="auto"/>
              </w:rPr>
            </w:pPr>
          </w:p>
        </w:tc>
        <w:tc>
          <w:tcPr>
            <w:tcW w:w="7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Borders>
              <w:top w:val="single" w:sz="8" w:color="0000EE"/>
            </w:tcBorders>
            <w:gridSpan w:val="6"/>
          </w:tcPr>
          <w:p>
            <w:pPr>
              <w:spacing w:after="0" w:line="209" w:lineRule="exact"/>
              <w:rPr>
                <w:rFonts w:ascii="Arial" w:cs="Arial" w:eastAsia="Arial" w:hAnsi="Arial"/>
                <w:sz w:val="20"/>
                <w:szCs w:val="20"/>
                <w:color w:val="0000EE"/>
              </w:rPr>
            </w:pPr>
            <w:hyperlink w:anchor="page320">
              <w:r>
                <w:rPr>
                  <w:rFonts w:ascii="Arial" w:cs="Arial" w:eastAsia="Arial" w:hAnsi="Arial"/>
                  <w:sz w:val="20"/>
                  <w:szCs w:val="20"/>
                  <w:color w:val="0000EE"/>
                </w:rPr>
                <w:t>Exchange Act of 1934</w:t>
              </w:r>
            </w:hyperlink>
          </w:p>
        </w:tc>
        <w:tc>
          <w:tcPr>
            <w:tcW w:w="820" w:type="dxa"/>
            <w:vAlign w:val="bottom"/>
            <w:tcBorders>
              <w:right w:val="single" w:sz="8" w:color="auto"/>
            </w:tcBorders>
            <w:gridSpan w:val="6"/>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31.2</w:t>
            </w:r>
          </w:p>
        </w:tc>
        <w:tc>
          <w:tcPr>
            <w:tcW w:w="120" w:type="dxa"/>
            <w:vAlign w:val="bottom"/>
          </w:tcPr>
          <w:p>
            <w:pPr>
              <w:spacing w:after="0"/>
              <w:rPr>
                <w:sz w:val="15"/>
                <w:szCs w:val="15"/>
                <w:color w:val="auto"/>
              </w:rPr>
            </w:pPr>
          </w:p>
        </w:tc>
        <w:tc>
          <w:tcPr>
            <w:tcW w:w="3880" w:type="dxa"/>
            <w:vAlign w:val="bottom"/>
            <w:tcBorders>
              <w:bottom w:val="single" w:sz="8" w:color="0000EE"/>
            </w:tcBorders>
            <w:gridSpan w:val="9"/>
          </w:tcPr>
          <w:p>
            <w:pPr>
              <w:spacing w:after="0" w:line="183" w:lineRule="exact"/>
              <w:rPr>
                <w:rFonts w:ascii="Arial" w:cs="Arial" w:eastAsia="Arial" w:hAnsi="Arial"/>
                <w:sz w:val="20"/>
                <w:szCs w:val="20"/>
                <w:color w:val="0000EE"/>
                <w:w w:val="92"/>
              </w:rPr>
            </w:pPr>
            <w:hyperlink w:anchor="page321">
              <w:r>
                <w:rPr>
                  <w:rFonts w:ascii="Arial" w:cs="Arial" w:eastAsia="Arial" w:hAnsi="Arial"/>
                  <w:sz w:val="20"/>
                  <w:szCs w:val="20"/>
                  <w:color w:val="0000EE"/>
                  <w:w w:val="92"/>
                </w:rPr>
                <w:t>Certification of Chief Financial Officer, pursuant</w:t>
              </w:r>
            </w:hyperlink>
          </w:p>
        </w:tc>
        <w:tc>
          <w:tcPr>
            <w:tcW w:w="280" w:type="dxa"/>
            <w:vAlign w:val="bottom"/>
            <w:tcBorders>
              <w:right w:val="single" w:sz="8" w:color="auto"/>
            </w:tcBorders>
            <w:gridSpan w:val="3"/>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right w:val="single" w:sz="8" w:color="auto"/>
            </w:tcBorders>
            <w:gridSpan w:val="12"/>
          </w:tcPr>
          <w:p>
            <w:pPr>
              <w:spacing w:after="0" w:line="209" w:lineRule="exact"/>
              <w:rPr>
                <w:rFonts w:ascii="Arial" w:cs="Arial" w:eastAsia="Arial" w:hAnsi="Arial"/>
                <w:sz w:val="20"/>
                <w:szCs w:val="20"/>
                <w:color w:val="0000EE"/>
              </w:rPr>
            </w:pPr>
            <w:hyperlink w:anchor="page321">
              <w:r>
                <w:rPr>
                  <w:rFonts w:ascii="Arial" w:cs="Arial" w:eastAsia="Arial" w:hAnsi="Arial"/>
                  <w:sz w:val="20"/>
                  <w:szCs w:val="20"/>
                  <w:color w:val="0000EE"/>
                </w:rPr>
                <w:t>to Rule 13a-14(a) under the Securities and</w:t>
              </w:r>
            </w:hyperlink>
          </w:p>
        </w:tc>
        <w:tc>
          <w:tcPr>
            <w:tcW w:w="7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Borders>
              <w:top w:val="single" w:sz="8" w:color="0000EE"/>
            </w:tcBorders>
            <w:gridSpan w:val="6"/>
          </w:tcPr>
          <w:p>
            <w:pPr>
              <w:spacing w:after="0" w:line="209" w:lineRule="exact"/>
              <w:rPr>
                <w:rFonts w:ascii="Arial" w:cs="Arial" w:eastAsia="Arial" w:hAnsi="Arial"/>
                <w:sz w:val="20"/>
                <w:szCs w:val="20"/>
                <w:color w:val="0000EE"/>
              </w:rPr>
            </w:pPr>
            <w:hyperlink w:anchor="page321">
              <w:r>
                <w:rPr>
                  <w:rFonts w:ascii="Arial" w:cs="Arial" w:eastAsia="Arial" w:hAnsi="Arial"/>
                  <w:sz w:val="20"/>
                  <w:szCs w:val="20"/>
                  <w:color w:val="0000EE"/>
                </w:rPr>
                <w:t>Exchange Act of 1934</w:t>
              </w:r>
            </w:hyperlink>
          </w:p>
        </w:tc>
        <w:tc>
          <w:tcPr>
            <w:tcW w:w="820" w:type="dxa"/>
            <w:vAlign w:val="bottom"/>
            <w:tcBorders>
              <w:right w:val="single" w:sz="8" w:color="auto"/>
            </w:tcBorders>
            <w:gridSpan w:val="6"/>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32.1</w:t>
            </w:r>
          </w:p>
        </w:tc>
        <w:tc>
          <w:tcPr>
            <w:tcW w:w="120" w:type="dxa"/>
            <w:vAlign w:val="bottom"/>
          </w:tcPr>
          <w:p>
            <w:pPr>
              <w:spacing w:after="0"/>
              <w:rPr>
                <w:sz w:val="15"/>
                <w:szCs w:val="15"/>
                <w:color w:val="auto"/>
              </w:rPr>
            </w:pPr>
          </w:p>
        </w:tc>
        <w:tc>
          <w:tcPr>
            <w:tcW w:w="4160" w:type="dxa"/>
            <w:vAlign w:val="bottom"/>
            <w:tcBorders>
              <w:right w:val="single" w:sz="8" w:color="auto"/>
            </w:tcBorders>
            <w:gridSpan w:val="12"/>
          </w:tcPr>
          <w:p>
            <w:pPr>
              <w:spacing w:after="0" w:line="183" w:lineRule="exact"/>
              <w:rPr>
                <w:rFonts w:ascii="Arial" w:cs="Arial" w:eastAsia="Arial" w:hAnsi="Arial"/>
                <w:sz w:val="20"/>
                <w:szCs w:val="20"/>
                <w:color w:val="0000EE"/>
                <w:w w:val="96"/>
              </w:rPr>
            </w:pPr>
            <w:hyperlink w:anchor="page322">
              <w:r>
                <w:rPr>
                  <w:rFonts w:ascii="Arial" w:cs="Arial" w:eastAsia="Arial" w:hAnsi="Arial"/>
                  <w:sz w:val="20"/>
                  <w:szCs w:val="20"/>
                  <w:color w:val="0000EE"/>
                  <w:w w:val="96"/>
                </w:rPr>
                <w:t>Certification of Chief Executive Officer, pursuant</w:t>
              </w:r>
            </w:hyperlink>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920" w:type="dxa"/>
            <w:vAlign w:val="bottom"/>
            <w:tcBorders>
              <w:top w:val="single" w:sz="8" w:color="0000EE"/>
            </w:tcBorders>
            <w:gridSpan w:val="10"/>
            <w:vMerge w:val="restart"/>
          </w:tcPr>
          <w:p>
            <w:pPr>
              <w:spacing w:after="0" w:line="209" w:lineRule="exact"/>
              <w:rPr>
                <w:rFonts w:ascii="Arial" w:cs="Arial" w:eastAsia="Arial" w:hAnsi="Arial"/>
                <w:sz w:val="20"/>
                <w:szCs w:val="20"/>
                <w:color w:val="0000EE"/>
              </w:rPr>
            </w:pPr>
            <w:hyperlink w:anchor="page322">
              <w:r>
                <w:rPr>
                  <w:rFonts w:ascii="Arial" w:cs="Arial" w:eastAsia="Arial" w:hAnsi="Arial"/>
                  <w:sz w:val="20"/>
                  <w:szCs w:val="20"/>
                  <w:color w:val="0000EE"/>
                </w:rPr>
                <w:t>to 18 U.S.C. Section 1350</w:t>
              </w:r>
            </w:hyperlink>
          </w:p>
        </w:tc>
        <w:tc>
          <w:tcPr>
            <w:tcW w:w="240" w:type="dxa"/>
            <w:vAlign w:val="bottom"/>
            <w:tcBorders>
              <w:right w:val="single" w:sz="8" w:color="auto"/>
            </w:tcBorders>
            <w:gridSpan w:val="2"/>
            <w:vMerge w:val="restart"/>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920" w:type="dxa"/>
            <w:vAlign w:val="bottom"/>
            <w:gridSpan w:val="10"/>
            <w:vMerge w:val="continue"/>
          </w:tcPr>
          <w:p>
            <w:pPr>
              <w:spacing w:after="0"/>
              <w:rPr>
                <w:sz w:val="6"/>
                <w:szCs w:val="6"/>
                <w:color w:val="auto"/>
              </w:rPr>
            </w:pPr>
          </w:p>
        </w:tc>
        <w:tc>
          <w:tcPr>
            <w:tcW w:w="24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32.2</w:t>
            </w:r>
          </w:p>
        </w:tc>
        <w:tc>
          <w:tcPr>
            <w:tcW w:w="120" w:type="dxa"/>
            <w:vAlign w:val="bottom"/>
          </w:tcPr>
          <w:p>
            <w:pPr>
              <w:spacing w:after="0"/>
              <w:rPr>
                <w:sz w:val="15"/>
                <w:szCs w:val="15"/>
                <w:color w:val="auto"/>
              </w:rPr>
            </w:pPr>
          </w:p>
        </w:tc>
        <w:tc>
          <w:tcPr>
            <w:tcW w:w="3880" w:type="dxa"/>
            <w:vAlign w:val="bottom"/>
            <w:tcBorders>
              <w:bottom w:val="single" w:sz="8" w:color="0000EE"/>
            </w:tcBorders>
            <w:gridSpan w:val="9"/>
          </w:tcPr>
          <w:p>
            <w:pPr>
              <w:spacing w:after="0" w:line="183" w:lineRule="exact"/>
              <w:rPr>
                <w:rFonts w:ascii="Arial" w:cs="Arial" w:eastAsia="Arial" w:hAnsi="Arial"/>
                <w:sz w:val="20"/>
                <w:szCs w:val="20"/>
                <w:color w:val="0000EE"/>
                <w:w w:val="92"/>
              </w:rPr>
            </w:pPr>
            <w:hyperlink w:anchor="page323">
              <w:r>
                <w:rPr>
                  <w:rFonts w:ascii="Arial" w:cs="Arial" w:eastAsia="Arial" w:hAnsi="Arial"/>
                  <w:sz w:val="20"/>
                  <w:szCs w:val="20"/>
                  <w:color w:val="0000EE"/>
                  <w:w w:val="92"/>
                </w:rPr>
                <w:t>Certification of Chief Financial Officer, pursuant</w:t>
              </w:r>
            </w:hyperlink>
          </w:p>
        </w:tc>
        <w:tc>
          <w:tcPr>
            <w:tcW w:w="280" w:type="dxa"/>
            <w:vAlign w:val="bottom"/>
            <w:tcBorders>
              <w:right w:val="single" w:sz="8" w:color="auto"/>
            </w:tcBorders>
            <w:gridSpan w:val="3"/>
          </w:tcPr>
          <w:p>
            <w:pPr>
              <w:spacing w:after="0"/>
              <w:rPr>
                <w:sz w:val="15"/>
                <w:szCs w:val="15"/>
                <w:color w:val="auto"/>
              </w:rPr>
            </w:pP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12"/>
            <w:vMerge w:val="restart"/>
          </w:tcPr>
          <w:p>
            <w:pPr>
              <w:spacing w:after="0" w:line="209" w:lineRule="exact"/>
              <w:rPr>
                <w:rFonts w:ascii="Arial" w:cs="Arial" w:eastAsia="Arial" w:hAnsi="Arial"/>
                <w:sz w:val="20"/>
                <w:szCs w:val="20"/>
                <w:color w:val="0000EE"/>
              </w:rPr>
            </w:pPr>
            <w:hyperlink w:anchor="page323">
              <w:r>
                <w:rPr>
                  <w:rFonts w:ascii="Arial" w:cs="Arial" w:eastAsia="Arial" w:hAnsi="Arial"/>
                  <w:sz w:val="20"/>
                  <w:szCs w:val="20"/>
                  <w:color w:val="0000EE"/>
                </w:rPr>
                <w:t>to 18 U.S.C. Section 1350</w:t>
              </w:r>
            </w:hyperlink>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70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tcBorders>
              <w:right w:val="single" w:sz="8" w:color="auto"/>
            </w:tcBorders>
            <w:gridSpan w:val="1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101.INS</w:t>
            </w:r>
          </w:p>
        </w:tc>
        <w:tc>
          <w:tcPr>
            <w:tcW w:w="120" w:type="dxa"/>
            <w:vAlign w:val="bottom"/>
            <w:tcBorders>
              <w:bottom w:val="single" w:sz="8" w:color="auto"/>
            </w:tcBorders>
          </w:tcPr>
          <w:p>
            <w:pPr>
              <w:spacing w:after="0"/>
              <w:rPr>
                <w:sz w:val="19"/>
                <w:szCs w:val="19"/>
                <w:color w:val="auto"/>
              </w:rPr>
            </w:pPr>
          </w:p>
        </w:tc>
        <w:tc>
          <w:tcPr>
            <w:tcW w:w="4160" w:type="dxa"/>
            <w:vAlign w:val="bottom"/>
            <w:tcBorders>
              <w:bottom w:val="single" w:sz="8" w:color="auto"/>
              <w:right w:val="single" w:sz="8" w:color="auto"/>
            </w:tcBorders>
            <w:gridSpan w:val="12"/>
          </w:tcPr>
          <w:p>
            <w:pPr>
              <w:spacing w:after="0" w:line="223" w:lineRule="exact"/>
              <w:rPr>
                <w:sz w:val="20"/>
                <w:szCs w:val="20"/>
                <w:color w:val="auto"/>
              </w:rPr>
            </w:pPr>
            <w:r>
              <w:rPr>
                <w:rFonts w:ascii="Arial" w:cs="Arial" w:eastAsia="Arial" w:hAnsi="Arial"/>
                <w:sz w:val="20"/>
                <w:szCs w:val="20"/>
                <w:color w:val="auto"/>
              </w:rPr>
              <w:t>XBRL Instance Document</w:t>
            </w:r>
          </w:p>
        </w:tc>
        <w:tc>
          <w:tcPr>
            <w:tcW w:w="70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380" w:type="dxa"/>
            <w:vAlign w:val="bottom"/>
            <w:tcBorders>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101.SCH</w:t>
            </w:r>
          </w:p>
        </w:tc>
        <w:tc>
          <w:tcPr>
            <w:tcW w:w="120" w:type="dxa"/>
            <w:vAlign w:val="bottom"/>
            <w:tcBorders>
              <w:bottom w:val="single" w:sz="8" w:color="auto"/>
            </w:tcBorders>
          </w:tcPr>
          <w:p>
            <w:pPr>
              <w:spacing w:after="0"/>
              <w:rPr>
                <w:sz w:val="19"/>
                <w:szCs w:val="19"/>
                <w:color w:val="auto"/>
              </w:rPr>
            </w:pPr>
          </w:p>
        </w:tc>
        <w:tc>
          <w:tcPr>
            <w:tcW w:w="4160" w:type="dxa"/>
            <w:vAlign w:val="bottom"/>
            <w:tcBorders>
              <w:bottom w:val="single" w:sz="8" w:color="auto"/>
              <w:right w:val="single" w:sz="8" w:color="auto"/>
            </w:tcBorders>
            <w:gridSpan w:val="12"/>
          </w:tcPr>
          <w:p>
            <w:pPr>
              <w:spacing w:after="0" w:line="223" w:lineRule="exact"/>
              <w:rPr>
                <w:sz w:val="20"/>
                <w:szCs w:val="20"/>
                <w:color w:val="auto"/>
              </w:rPr>
            </w:pPr>
            <w:r>
              <w:rPr>
                <w:rFonts w:ascii="Arial" w:cs="Arial" w:eastAsia="Arial" w:hAnsi="Arial"/>
                <w:sz w:val="20"/>
                <w:szCs w:val="20"/>
                <w:color w:val="auto"/>
                <w:w w:val="98"/>
              </w:rPr>
              <w:t>XBRL Taxonomy Extension Schema Document</w:t>
            </w:r>
          </w:p>
        </w:tc>
        <w:tc>
          <w:tcPr>
            <w:tcW w:w="70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380" w:type="dxa"/>
            <w:vAlign w:val="bottom"/>
            <w:tcBorders>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6"/>
        </w:trPr>
        <w:tc>
          <w:tcPr>
            <w:tcW w:w="17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101.CAL</w:t>
            </w:r>
          </w:p>
        </w:tc>
        <w:tc>
          <w:tcPr>
            <w:tcW w:w="120" w:type="dxa"/>
            <w:vAlign w:val="bottom"/>
          </w:tcPr>
          <w:p>
            <w:pPr>
              <w:spacing w:after="0"/>
              <w:rPr>
                <w:sz w:val="17"/>
                <w:szCs w:val="17"/>
                <w:color w:val="auto"/>
              </w:rPr>
            </w:pPr>
          </w:p>
        </w:tc>
        <w:tc>
          <w:tcPr>
            <w:tcW w:w="4160" w:type="dxa"/>
            <w:vAlign w:val="bottom"/>
            <w:tcBorders>
              <w:right w:val="single" w:sz="8" w:color="auto"/>
            </w:tcBorders>
            <w:gridSpan w:val="12"/>
          </w:tcPr>
          <w:p>
            <w:pPr>
              <w:spacing w:after="0" w:line="207" w:lineRule="exact"/>
              <w:rPr>
                <w:sz w:val="20"/>
                <w:szCs w:val="20"/>
                <w:color w:val="auto"/>
              </w:rPr>
            </w:pPr>
            <w:r>
              <w:rPr>
                <w:rFonts w:ascii="Arial" w:cs="Arial" w:eastAsia="Arial" w:hAnsi="Arial"/>
                <w:sz w:val="20"/>
                <w:szCs w:val="20"/>
                <w:color w:val="auto"/>
                <w:w w:val="94"/>
              </w:rPr>
              <w:t>XBRL Taxonomy Extension Calculation Linkbase</w:t>
            </w: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12"/>
            <w:vMerge w:val="restart"/>
          </w:tcPr>
          <w:p>
            <w:pPr>
              <w:spacing w:after="0"/>
              <w:rPr>
                <w:sz w:val="20"/>
                <w:szCs w:val="20"/>
                <w:color w:val="auto"/>
              </w:rPr>
            </w:pPr>
            <w:r>
              <w:rPr>
                <w:rFonts w:ascii="Arial" w:cs="Arial" w:eastAsia="Arial" w:hAnsi="Arial"/>
                <w:sz w:val="20"/>
                <w:szCs w:val="20"/>
                <w:color w:val="auto"/>
              </w:rPr>
              <w:t>Document</w:t>
            </w:r>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700" w:type="dxa"/>
            <w:vAlign w:val="bottom"/>
            <w:tcBorders>
              <w:left w:val="single" w:sz="8" w:color="auto"/>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160" w:type="dxa"/>
            <w:vAlign w:val="bottom"/>
            <w:tcBorders>
              <w:bottom w:val="single" w:sz="8" w:color="auto"/>
              <w:right w:val="single" w:sz="8" w:color="auto"/>
            </w:tcBorders>
            <w:gridSpan w:val="12"/>
            <w:vMerge w:val="continue"/>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7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101.DEF</w:t>
            </w:r>
          </w:p>
        </w:tc>
        <w:tc>
          <w:tcPr>
            <w:tcW w:w="120" w:type="dxa"/>
            <w:vAlign w:val="bottom"/>
          </w:tcPr>
          <w:p>
            <w:pPr>
              <w:spacing w:after="0"/>
              <w:rPr>
                <w:sz w:val="17"/>
                <w:szCs w:val="17"/>
                <w:color w:val="auto"/>
              </w:rPr>
            </w:pPr>
          </w:p>
        </w:tc>
        <w:tc>
          <w:tcPr>
            <w:tcW w:w="4160" w:type="dxa"/>
            <w:vAlign w:val="bottom"/>
            <w:tcBorders>
              <w:right w:val="single" w:sz="8" w:color="auto"/>
            </w:tcBorders>
            <w:gridSpan w:val="12"/>
          </w:tcPr>
          <w:p>
            <w:pPr>
              <w:spacing w:after="0" w:line="207" w:lineRule="exact"/>
              <w:rPr>
                <w:sz w:val="20"/>
                <w:szCs w:val="20"/>
                <w:color w:val="auto"/>
              </w:rPr>
            </w:pPr>
            <w:r>
              <w:rPr>
                <w:rFonts w:ascii="Arial" w:cs="Arial" w:eastAsia="Arial" w:hAnsi="Arial"/>
                <w:sz w:val="20"/>
                <w:szCs w:val="20"/>
                <w:color w:val="auto"/>
                <w:w w:val="98"/>
              </w:rPr>
              <w:t>XBRL Taxonomy Extension Definition Linkbase</w:t>
            </w: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12"/>
            <w:vMerge w:val="restart"/>
          </w:tcPr>
          <w:p>
            <w:pPr>
              <w:spacing w:after="0"/>
              <w:rPr>
                <w:sz w:val="20"/>
                <w:szCs w:val="20"/>
                <w:color w:val="auto"/>
              </w:rPr>
            </w:pPr>
            <w:r>
              <w:rPr>
                <w:rFonts w:ascii="Arial" w:cs="Arial" w:eastAsia="Arial" w:hAnsi="Arial"/>
                <w:sz w:val="20"/>
                <w:szCs w:val="20"/>
                <w:color w:val="auto"/>
              </w:rPr>
              <w:t>Document</w:t>
            </w:r>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700" w:type="dxa"/>
            <w:vAlign w:val="bottom"/>
            <w:tcBorders>
              <w:left w:val="single" w:sz="8" w:color="auto"/>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160" w:type="dxa"/>
            <w:vAlign w:val="bottom"/>
            <w:tcBorders>
              <w:bottom w:val="single" w:sz="8" w:color="auto"/>
              <w:right w:val="single" w:sz="8" w:color="auto"/>
            </w:tcBorders>
            <w:gridSpan w:val="12"/>
            <w:vMerge w:val="continue"/>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7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101.LAB</w:t>
            </w:r>
          </w:p>
        </w:tc>
        <w:tc>
          <w:tcPr>
            <w:tcW w:w="120" w:type="dxa"/>
            <w:vAlign w:val="bottom"/>
          </w:tcPr>
          <w:p>
            <w:pPr>
              <w:spacing w:after="0"/>
              <w:rPr>
                <w:sz w:val="17"/>
                <w:szCs w:val="17"/>
                <w:color w:val="auto"/>
              </w:rPr>
            </w:pPr>
          </w:p>
        </w:tc>
        <w:tc>
          <w:tcPr>
            <w:tcW w:w="4160" w:type="dxa"/>
            <w:vAlign w:val="bottom"/>
            <w:tcBorders>
              <w:right w:val="single" w:sz="8" w:color="auto"/>
            </w:tcBorders>
            <w:gridSpan w:val="12"/>
          </w:tcPr>
          <w:p>
            <w:pPr>
              <w:spacing w:after="0" w:line="207" w:lineRule="exact"/>
              <w:rPr>
                <w:sz w:val="20"/>
                <w:szCs w:val="20"/>
                <w:color w:val="auto"/>
              </w:rPr>
            </w:pPr>
            <w:r>
              <w:rPr>
                <w:rFonts w:ascii="Arial" w:cs="Arial" w:eastAsia="Arial" w:hAnsi="Arial"/>
                <w:sz w:val="20"/>
                <w:szCs w:val="20"/>
                <w:color w:val="auto"/>
              </w:rPr>
              <w:t>XBRL Taxonomy Extension Label Linkbase</w:t>
            </w: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12"/>
            <w:vMerge w:val="restart"/>
          </w:tcPr>
          <w:p>
            <w:pPr>
              <w:spacing w:after="0"/>
              <w:rPr>
                <w:sz w:val="20"/>
                <w:szCs w:val="20"/>
                <w:color w:val="auto"/>
              </w:rPr>
            </w:pPr>
            <w:r>
              <w:rPr>
                <w:rFonts w:ascii="Arial" w:cs="Arial" w:eastAsia="Arial" w:hAnsi="Arial"/>
                <w:sz w:val="20"/>
                <w:szCs w:val="20"/>
                <w:color w:val="auto"/>
              </w:rPr>
              <w:t>Document</w:t>
            </w:r>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700" w:type="dxa"/>
            <w:vAlign w:val="bottom"/>
            <w:tcBorders>
              <w:left w:val="single" w:sz="8" w:color="auto"/>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160" w:type="dxa"/>
            <w:vAlign w:val="bottom"/>
            <w:tcBorders>
              <w:bottom w:val="single" w:sz="8" w:color="auto"/>
              <w:right w:val="single" w:sz="8" w:color="auto"/>
            </w:tcBorders>
            <w:gridSpan w:val="12"/>
            <w:vMerge w:val="continue"/>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7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101.PRES</w:t>
            </w:r>
          </w:p>
        </w:tc>
        <w:tc>
          <w:tcPr>
            <w:tcW w:w="120" w:type="dxa"/>
            <w:vAlign w:val="bottom"/>
          </w:tcPr>
          <w:p>
            <w:pPr>
              <w:spacing w:after="0"/>
              <w:rPr>
                <w:sz w:val="17"/>
                <w:szCs w:val="17"/>
                <w:color w:val="auto"/>
              </w:rPr>
            </w:pPr>
          </w:p>
        </w:tc>
        <w:tc>
          <w:tcPr>
            <w:tcW w:w="4160" w:type="dxa"/>
            <w:vAlign w:val="bottom"/>
            <w:tcBorders>
              <w:right w:val="single" w:sz="8" w:color="auto"/>
            </w:tcBorders>
            <w:gridSpan w:val="12"/>
          </w:tcPr>
          <w:p>
            <w:pPr>
              <w:spacing w:after="0" w:line="207" w:lineRule="exact"/>
              <w:rPr>
                <w:sz w:val="20"/>
                <w:szCs w:val="20"/>
                <w:color w:val="auto"/>
              </w:rPr>
            </w:pPr>
            <w:r>
              <w:rPr>
                <w:rFonts w:ascii="Arial" w:cs="Arial" w:eastAsia="Arial" w:hAnsi="Arial"/>
                <w:sz w:val="20"/>
                <w:szCs w:val="20"/>
                <w:color w:val="auto"/>
              </w:rPr>
              <w:t>XBRL Taxonomy Extension Presentation</w:t>
            </w:r>
          </w:p>
        </w:tc>
        <w:tc>
          <w:tcPr>
            <w:tcW w:w="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13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70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tcBorders>
              <w:right w:val="single" w:sz="8" w:color="auto"/>
            </w:tcBorders>
            <w:gridSpan w:val="12"/>
            <w:vMerge w:val="restart"/>
          </w:tcPr>
          <w:p>
            <w:pPr>
              <w:spacing w:after="0"/>
              <w:rPr>
                <w:sz w:val="20"/>
                <w:szCs w:val="20"/>
                <w:color w:val="auto"/>
              </w:rPr>
            </w:pPr>
            <w:r>
              <w:rPr>
                <w:rFonts w:ascii="Arial" w:cs="Arial" w:eastAsia="Arial" w:hAnsi="Arial"/>
                <w:sz w:val="20"/>
                <w:szCs w:val="20"/>
                <w:color w:val="auto"/>
              </w:rPr>
              <w:t>Linkbase Document</w:t>
            </w:r>
          </w:p>
        </w:tc>
        <w:tc>
          <w:tcPr>
            <w:tcW w:w="7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700" w:type="dxa"/>
            <w:vAlign w:val="bottom"/>
            <w:tcBorders>
              <w:left w:val="single" w:sz="8" w:color="auto"/>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160" w:type="dxa"/>
            <w:vAlign w:val="bottom"/>
            <w:tcBorders>
              <w:bottom w:val="single" w:sz="8" w:color="auto"/>
              <w:right w:val="single" w:sz="8" w:color="auto"/>
            </w:tcBorders>
            <w:gridSpan w:val="12"/>
            <w:vMerge w:val="continue"/>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4"/>
        <w:spacing w:after="0" w:line="190" w:lineRule="auto"/>
        <w:rPr>
          <w:sz w:val="20"/>
          <w:szCs w:val="20"/>
          <w:color w:val="auto"/>
        </w:rPr>
      </w:pPr>
      <w:r>
        <w:rPr>
          <w:rFonts w:ascii="Arial" w:cs="Arial" w:eastAsia="Arial" w:hAnsi="Arial"/>
          <w:sz w:val="20"/>
          <w:szCs w:val="20"/>
          <w:color w:val="auto"/>
        </w:rPr>
        <w:t>In accordance with Item 601(b)(4)(iii)(A) of Regulation S-K, copies of specific instruments defining the rights of holders of long-term debt of the Company or its subsidiaries are not filed herewith. Pursuant to this regulation, we hereby agree to furnish a copy of any such instrument to the SEC upon request.</w:t>
      </w:r>
    </w:p>
    <w:p>
      <w:pPr>
        <w:spacing w:after="0" w:line="48" w:lineRule="exact"/>
        <w:rPr>
          <w:sz w:val="20"/>
          <w:szCs w:val="20"/>
          <w:color w:val="auto"/>
        </w:rPr>
      </w:pPr>
    </w:p>
    <w:p>
      <w:pPr>
        <w:ind w:left="4"/>
        <w:spacing w:after="0"/>
        <w:rPr>
          <w:sz w:val="20"/>
          <w:szCs w:val="20"/>
          <w:color w:val="auto"/>
        </w:rPr>
      </w:pPr>
      <w:r>
        <w:rPr>
          <w:rFonts w:ascii="Arial" w:cs="Arial" w:eastAsia="Arial" w:hAnsi="Arial"/>
          <w:sz w:val="20"/>
          <w:szCs w:val="20"/>
          <w:color w:val="auto"/>
        </w:rPr>
        <w:t>*Indicates management contract or compensatory plan or arrangement</w:t>
      </w:r>
    </w:p>
    <w:p>
      <w:pPr>
        <w:spacing w:after="0" w:line="67" w:lineRule="exact"/>
        <w:rPr>
          <w:sz w:val="20"/>
          <w:szCs w:val="20"/>
          <w:color w:val="auto"/>
        </w:rPr>
      </w:pPr>
    </w:p>
    <w:p>
      <w:pPr>
        <w:ind w:left="4" w:right="8400" w:hanging="4"/>
        <w:spacing w:after="0" w:line="394" w:lineRule="auto"/>
        <w:tabs>
          <w:tab w:leader="none" w:pos="1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 ^^Furnished herewith</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SIGNATURES</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AQUA AMERICA,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4784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Christopher H. Franklin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Chairman, President and Chief Executive Officer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2019</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5" w:right="9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Pursuant to the requirements of the Securities and Exchange Act of 1934, this report on Form 10-K has been signed below by the following persons on behalf of the Registrant on February 26, 2019 in the capacities indicated below.</w:t>
      </w:r>
    </w:p>
    <w:p>
      <w:pPr>
        <w:sectPr>
          <w:pgSz w:w="11900" w:h="16838" w:orient="portrait"/>
          <w:cols w:equalWidth="0" w:num="1">
            <w:col w:w="10060"/>
          </w:cols>
          <w:pgMar w:left="900" w:top="125" w:right="9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24441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4441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Christopher H. Franklin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4441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Daniel J. Schuller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Robert A.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4441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 Rubin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Elizabeth B.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4441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Elizabeth B. Amato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Carolyn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4441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Carolyn J. Burke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Nicholas DeBenedictis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4441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Nicholas DeBenedictis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William P. Hankowsky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444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William P. Hankowsky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Daniel J. Hilferty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4441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Daniel J. Hilferty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Wendell F.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4441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Wendell F. Holland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Ellen T.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4441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Ellen T. Ruff</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Lee C.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4441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Lee C. Stewart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077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Chairman, President and Chief Executive Officer, Director (Principal Executive Officer)</w:t>
      </w:r>
    </w:p>
    <w:p>
      <w:pPr>
        <w:spacing w:after="0" w:line="200" w:lineRule="exact"/>
        <w:rPr>
          <w:sz w:val="20"/>
          <w:szCs w:val="20"/>
          <w:color w:val="auto"/>
        </w:rPr>
      </w:pPr>
    </w:p>
    <w:p>
      <w:pPr>
        <w:spacing w:after="0" w:line="220"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Executive Vice President and Chief Financial Officer (Principal Financial Officer)</w:t>
      </w:r>
    </w:p>
    <w:p>
      <w:pPr>
        <w:spacing w:after="0" w:line="200" w:lineRule="exact"/>
        <w:rPr>
          <w:sz w:val="20"/>
          <w:szCs w:val="20"/>
          <w:color w:val="auto"/>
        </w:rPr>
      </w:pPr>
    </w:p>
    <w:p>
      <w:pPr>
        <w:spacing w:after="0" w:line="220"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Senior Vice President, Controller and Chief Accounting Officer (Principal Accounting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Chairman Emeritus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20" w:lineRule="exact"/>
        <w:rPr>
          <w:sz w:val="20"/>
          <w:szCs w:val="20"/>
          <w:color w:val="auto"/>
        </w:rPr>
      </w:pPr>
    </w:p>
    <w:p>
      <w:pPr>
        <w:sectPr>
          <w:pgSz w:w="11900" w:h="16838" w:orient="portrait"/>
          <w:cols w:equalWidth="0" w:num="2">
            <w:col w:w="3860" w:space="720"/>
            <w:col w:w="5480"/>
          </w:cols>
          <w:pgMar w:left="900" w:top="125"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92710</wp:posOffset>
            </wp:positionV>
            <wp:extent cx="6465570" cy="51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5" w:right="9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 Condensed Parent Company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Balance Sheets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December 31,</w:t>
            </w:r>
          </w:p>
        </w:tc>
        <w:tc>
          <w:tcPr>
            <w:tcW w:w="880" w:type="dxa"/>
            <w:vAlign w:val="bottom"/>
            <w:tcBorders>
              <w:bottom w:val="single" w:sz="8" w:color="auto"/>
            </w:tcBorders>
          </w:tcPr>
          <w:p>
            <w:pPr>
              <w:spacing w:after="0"/>
              <w:rPr>
                <w:sz w:val="21"/>
                <w:szCs w:val="21"/>
                <w:color w:val="auto"/>
              </w:rPr>
            </w:pPr>
          </w:p>
        </w:tc>
      </w:tr>
      <w:tr>
        <w:trPr>
          <w:trHeight w:val="250"/>
        </w:trPr>
        <w:tc>
          <w:tcPr>
            <w:tcW w:w="7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2018</w:t>
            </w: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w w:val="94"/>
              </w:rPr>
              <w:t>2017</w:t>
            </w:r>
          </w:p>
        </w:tc>
      </w:tr>
      <w:tr>
        <w:trPr>
          <w:trHeight w:val="254"/>
        </w:trPr>
        <w:tc>
          <w:tcPr>
            <w:tcW w:w="7200" w:type="dxa"/>
            <w:vAlign w:val="bottom"/>
          </w:tcPr>
          <w:p>
            <w:pPr>
              <w:ind w:left="3340"/>
              <w:spacing w:after="0"/>
              <w:rPr>
                <w:sz w:val="20"/>
                <w:szCs w:val="20"/>
                <w:color w:val="auto"/>
              </w:rPr>
            </w:pPr>
            <w:r>
              <w:rPr>
                <w:rFonts w:ascii="Arial" w:cs="Arial" w:eastAsia="Arial" w:hAnsi="Arial"/>
                <w:sz w:val="20"/>
                <w:szCs w:val="20"/>
                <w:color w:val="auto"/>
              </w:rPr>
              <w:t>Assets</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6"/>
        </w:trPr>
        <w:tc>
          <w:tcPr>
            <w:tcW w:w="7200" w:type="dxa"/>
            <w:vAlign w:val="bottom"/>
          </w:tcPr>
          <w:p>
            <w:pPr>
              <w:spacing w:after="0"/>
              <w:rPr>
                <w:sz w:val="20"/>
                <w:szCs w:val="20"/>
                <w:color w:val="auto"/>
              </w:rPr>
            </w:pPr>
            <w:r>
              <w:rPr>
                <w:rFonts w:ascii="Arial" w:cs="Arial" w:eastAsia="Arial" w:hAnsi="Arial"/>
                <w:sz w:val="20"/>
                <w:szCs w:val="20"/>
                <w:color w:val="auto"/>
              </w:rPr>
              <w:t>Current assets:</w:t>
            </w: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2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Accounts receivable, net</w:t>
            </w:r>
          </w:p>
        </w:tc>
        <w:tc>
          <w:tcPr>
            <w:tcW w:w="4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w:t>
            </w:r>
          </w:p>
        </w:tc>
        <w:tc>
          <w:tcPr>
            <w:tcW w:w="560" w:type="dxa"/>
            <w:vAlign w:val="bottom"/>
            <w:shd w:val="clear" w:color="auto" w:fill="CCEEFF"/>
          </w:tcPr>
          <w:p>
            <w:pPr>
              <w:jc w:val="right"/>
              <w:ind w:right="28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w:t>
            </w:r>
          </w:p>
        </w:tc>
      </w:tr>
      <w:tr>
        <w:trPr>
          <w:trHeight w:val="270"/>
        </w:trPr>
        <w:tc>
          <w:tcPr>
            <w:tcW w:w="7200" w:type="dxa"/>
            <w:vAlign w:val="bottom"/>
          </w:tcPr>
          <w:p>
            <w:pPr>
              <w:ind w:left="100"/>
              <w:spacing w:after="0"/>
              <w:rPr>
                <w:sz w:val="20"/>
                <w:szCs w:val="20"/>
                <w:color w:val="auto"/>
              </w:rPr>
            </w:pPr>
            <w:r>
              <w:rPr>
                <w:rFonts w:ascii="Arial" w:cs="Arial" w:eastAsia="Arial" w:hAnsi="Arial"/>
                <w:sz w:val="20"/>
                <w:szCs w:val="20"/>
                <w:color w:val="auto"/>
              </w:rPr>
              <w:t>Accounts receivable - affiliates</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104,494</w:t>
            </w: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55,108</w:t>
            </w:r>
          </w:p>
        </w:tc>
      </w:tr>
      <w:tr>
        <w:trPr>
          <w:trHeight w:val="270"/>
        </w:trPr>
        <w:tc>
          <w:tcPr>
            <w:tcW w:w="72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Prepayments and other current assets</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14,321</w:t>
            </w:r>
          </w:p>
        </w:tc>
        <w:tc>
          <w:tcPr>
            <w:tcW w:w="5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3,578</w:t>
            </w:r>
          </w:p>
        </w:tc>
      </w:tr>
      <w:tr>
        <w:trPr>
          <w:trHeight w:val="250"/>
        </w:trPr>
        <w:tc>
          <w:tcPr>
            <w:tcW w:w="72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Total current assets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118,853</w:t>
            </w: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58,825</w:t>
            </w:r>
          </w:p>
        </w:tc>
      </w:tr>
      <w:tr>
        <w:trPr>
          <w:trHeight w:val="250"/>
        </w:trPr>
        <w:tc>
          <w:tcPr>
            <w:tcW w:w="7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70"/>
        </w:trPr>
        <w:tc>
          <w:tcPr>
            <w:tcW w:w="7200" w:type="dxa"/>
            <w:vAlign w:val="bottom"/>
          </w:tcPr>
          <w:p>
            <w:pPr>
              <w:spacing w:after="0"/>
              <w:rPr>
                <w:sz w:val="20"/>
                <w:szCs w:val="20"/>
                <w:color w:val="auto"/>
              </w:rPr>
            </w:pPr>
            <w:r>
              <w:rPr>
                <w:rFonts w:ascii="Arial" w:cs="Arial" w:eastAsia="Arial" w:hAnsi="Arial"/>
                <w:sz w:val="20"/>
                <w:szCs w:val="20"/>
                <w:color w:val="auto"/>
              </w:rPr>
              <w:t>Deferred charges and other assets, net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29,247</w:t>
            </w: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29,397</w:t>
            </w:r>
          </w:p>
        </w:tc>
      </w:tr>
      <w:tr>
        <w:trPr>
          <w:trHeight w:val="270"/>
        </w:trPr>
        <w:tc>
          <w:tcPr>
            <w:tcW w:w="7200" w:type="dxa"/>
            <w:vAlign w:val="bottom"/>
            <w:shd w:val="clear" w:color="auto" w:fill="CCEEFF"/>
          </w:tcPr>
          <w:p>
            <w:pPr>
              <w:spacing w:after="0"/>
              <w:rPr>
                <w:sz w:val="20"/>
                <w:szCs w:val="20"/>
                <w:color w:val="auto"/>
              </w:rPr>
            </w:pPr>
            <w:r>
              <w:rPr>
                <w:rFonts w:ascii="Arial" w:cs="Arial" w:eastAsia="Arial" w:hAnsi="Arial"/>
                <w:sz w:val="20"/>
                <w:szCs w:val="20"/>
                <w:color w:val="auto"/>
              </w:rPr>
              <w:t>Notes receivable - affiliates</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369,740</w:t>
            </w: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329,738</w:t>
            </w:r>
          </w:p>
        </w:tc>
      </w:tr>
      <w:tr>
        <w:trPr>
          <w:trHeight w:val="270"/>
        </w:trPr>
        <w:tc>
          <w:tcPr>
            <w:tcW w:w="7200" w:type="dxa"/>
            <w:vAlign w:val="bottom"/>
          </w:tcPr>
          <w:p>
            <w:pPr>
              <w:spacing w:after="0"/>
              <w:rPr>
                <w:sz w:val="20"/>
                <w:szCs w:val="20"/>
                <w:color w:val="auto"/>
              </w:rPr>
            </w:pPr>
            <w:r>
              <w:rPr>
                <w:rFonts w:ascii="Arial" w:cs="Arial" w:eastAsia="Arial" w:hAnsi="Arial"/>
                <w:sz w:val="20"/>
                <w:szCs w:val="20"/>
                <w:color w:val="auto"/>
              </w:rPr>
              <w:t>Deferred income tax asset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35,696</w:t>
            </w: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32,782</w:t>
            </w:r>
          </w:p>
        </w:tc>
      </w:tr>
      <w:tr>
        <w:trPr>
          <w:trHeight w:val="270"/>
        </w:trPr>
        <w:tc>
          <w:tcPr>
            <w:tcW w:w="7200" w:type="dxa"/>
            <w:vAlign w:val="bottom"/>
            <w:shd w:val="clear" w:color="auto" w:fill="CCEEFF"/>
          </w:tcPr>
          <w:p>
            <w:pPr>
              <w:spacing w:after="0"/>
              <w:rPr>
                <w:sz w:val="20"/>
                <w:szCs w:val="20"/>
                <w:color w:val="auto"/>
              </w:rPr>
            </w:pPr>
            <w:r>
              <w:rPr>
                <w:rFonts w:ascii="Arial" w:cs="Arial" w:eastAsia="Arial" w:hAnsi="Arial"/>
                <w:sz w:val="20"/>
                <w:szCs w:val="20"/>
                <w:color w:val="auto"/>
              </w:rPr>
              <w:t>Investment in subsidiaries</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2,510,120</w:t>
            </w:r>
          </w:p>
        </w:tc>
        <w:tc>
          <w:tcPr>
            <w:tcW w:w="5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2,213,102</w:t>
            </w:r>
          </w:p>
        </w:tc>
      </w:tr>
      <w:tr>
        <w:trPr>
          <w:trHeight w:val="244"/>
        </w:trPr>
        <w:tc>
          <w:tcPr>
            <w:tcW w:w="72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Total assets</w:t>
            </w:r>
          </w:p>
        </w:tc>
        <w:tc>
          <w:tcPr>
            <w:tcW w:w="4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3,063,656</w:t>
            </w:r>
          </w:p>
        </w:tc>
        <w:tc>
          <w:tcPr>
            <w:tcW w:w="5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2,663,844</w:t>
            </w:r>
          </w:p>
        </w:tc>
      </w:tr>
      <w:tr>
        <w:trPr>
          <w:trHeight w:val="257"/>
        </w:trPr>
        <w:tc>
          <w:tcPr>
            <w:tcW w:w="7200" w:type="dxa"/>
            <w:vAlign w:val="bottom"/>
            <w:shd w:val="clear" w:color="auto" w:fill="CCEEFF"/>
          </w:tcPr>
          <w:p>
            <w:pPr>
              <w:ind w:left="2740"/>
              <w:spacing w:after="0"/>
              <w:rPr>
                <w:sz w:val="20"/>
                <w:szCs w:val="20"/>
                <w:color w:val="auto"/>
              </w:rPr>
            </w:pPr>
            <w:r>
              <w:rPr>
                <w:rFonts w:ascii="Arial" w:cs="Arial" w:eastAsia="Arial" w:hAnsi="Arial"/>
                <w:sz w:val="20"/>
                <w:szCs w:val="20"/>
                <w:color w:val="auto"/>
              </w:rPr>
              <w:t>Liabilities and Equity</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70"/>
        </w:trPr>
        <w:tc>
          <w:tcPr>
            <w:tcW w:w="7200" w:type="dxa"/>
            <w:vAlign w:val="bottom"/>
          </w:tcPr>
          <w:p>
            <w:pPr>
              <w:spacing w:after="0"/>
              <w:rPr>
                <w:sz w:val="20"/>
                <w:szCs w:val="20"/>
                <w:color w:val="auto"/>
              </w:rPr>
            </w:pPr>
            <w:r>
              <w:rPr>
                <w:rFonts w:ascii="Arial" w:cs="Arial" w:eastAsia="Arial" w:hAnsi="Arial"/>
                <w:sz w:val="20"/>
                <w:szCs w:val="20"/>
                <w:color w:val="auto"/>
              </w:rPr>
              <w:t>Stockholders' equity</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2,009,363</w:t>
            </w:r>
          </w:p>
        </w:tc>
        <w:tc>
          <w:tcPr>
            <w:tcW w:w="5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w w:val="89"/>
              </w:rPr>
              <w:t>1,957,621</w:t>
            </w:r>
          </w:p>
        </w:tc>
      </w:tr>
      <w:tr>
        <w:trPr>
          <w:trHeight w:val="270"/>
        </w:trPr>
        <w:tc>
          <w:tcPr>
            <w:tcW w:w="7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7200" w:type="dxa"/>
            <w:vAlign w:val="bottom"/>
          </w:tcPr>
          <w:p>
            <w:pPr>
              <w:spacing w:after="0"/>
              <w:rPr>
                <w:sz w:val="20"/>
                <w:szCs w:val="20"/>
                <w:color w:val="auto"/>
              </w:rPr>
            </w:pPr>
            <w:r>
              <w:rPr>
                <w:rFonts w:ascii="Arial" w:cs="Arial" w:eastAsia="Arial" w:hAnsi="Arial"/>
                <w:sz w:val="20"/>
                <w:szCs w:val="20"/>
                <w:color w:val="auto"/>
              </w:rPr>
              <w:t>Long-term debt, excluding current portion, net of debt issuance costs</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758,206</w:t>
            </w: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497,958</w:t>
            </w:r>
          </w:p>
        </w:tc>
      </w:tr>
      <w:tr>
        <w:trPr>
          <w:trHeight w:val="270"/>
        </w:trPr>
        <w:tc>
          <w:tcPr>
            <w:tcW w:w="7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7200" w:type="dxa"/>
            <w:vAlign w:val="bottom"/>
          </w:tcPr>
          <w:p>
            <w:pPr>
              <w:spacing w:after="0"/>
              <w:rPr>
                <w:sz w:val="20"/>
                <w:szCs w:val="20"/>
                <w:color w:val="auto"/>
              </w:rPr>
            </w:pPr>
            <w:r>
              <w:rPr>
                <w:rFonts w:ascii="Arial" w:cs="Arial" w:eastAsia="Arial" w:hAnsi="Arial"/>
                <w:sz w:val="20"/>
                <w:szCs w:val="20"/>
                <w:color w:val="auto"/>
              </w:rPr>
              <w:t>Current liabilities:</w:t>
            </w: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2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Current portion of long-term debt</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50,000</w:t>
            </w: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30,800</w:t>
            </w:r>
          </w:p>
        </w:tc>
      </w:tr>
      <w:tr>
        <w:trPr>
          <w:trHeight w:val="270"/>
        </w:trPr>
        <w:tc>
          <w:tcPr>
            <w:tcW w:w="7200" w:type="dxa"/>
            <w:vAlign w:val="bottom"/>
          </w:tcPr>
          <w:p>
            <w:pPr>
              <w:ind w:left="100"/>
              <w:spacing w:after="0"/>
              <w:rPr>
                <w:sz w:val="20"/>
                <w:szCs w:val="20"/>
                <w:color w:val="auto"/>
              </w:rPr>
            </w:pPr>
            <w:r>
              <w:rPr>
                <w:rFonts w:ascii="Arial" w:cs="Arial" w:eastAsia="Arial" w:hAnsi="Arial"/>
                <w:sz w:val="20"/>
                <w:szCs w:val="20"/>
                <w:color w:val="auto"/>
              </w:rPr>
              <w:t>Accrued interest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3,236</w:t>
            </w: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3,267</w:t>
            </w:r>
          </w:p>
        </w:tc>
      </w:tr>
      <w:tr>
        <w:trPr>
          <w:trHeight w:val="270"/>
        </w:trPr>
        <w:tc>
          <w:tcPr>
            <w:tcW w:w="72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Accounts payable - affiliates</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39,879</w:t>
            </w: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34,537</w:t>
            </w:r>
          </w:p>
        </w:tc>
      </w:tr>
      <w:tr>
        <w:trPr>
          <w:trHeight w:val="270"/>
        </w:trPr>
        <w:tc>
          <w:tcPr>
            <w:tcW w:w="7200" w:type="dxa"/>
            <w:vAlign w:val="bottom"/>
          </w:tcPr>
          <w:p>
            <w:pPr>
              <w:ind w:left="100"/>
              <w:spacing w:after="0"/>
              <w:rPr>
                <w:sz w:val="20"/>
                <w:szCs w:val="20"/>
                <w:color w:val="auto"/>
              </w:rPr>
            </w:pPr>
            <w:r>
              <w:rPr>
                <w:rFonts w:ascii="Arial" w:cs="Arial" w:eastAsia="Arial" w:hAnsi="Arial"/>
                <w:sz w:val="20"/>
                <w:szCs w:val="20"/>
                <w:color w:val="auto"/>
              </w:rPr>
              <w:t>Interest rate swap agreements</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59,779</w:t>
            </w: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2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Other accrued liabilities</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11,583</w:t>
            </w:r>
          </w:p>
        </w:tc>
        <w:tc>
          <w:tcPr>
            <w:tcW w:w="5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9,329</w:t>
            </w:r>
          </w:p>
        </w:tc>
      </w:tr>
      <w:tr>
        <w:trPr>
          <w:trHeight w:val="250"/>
        </w:trPr>
        <w:tc>
          <w:tcPr>
            <w:tcW w:w="72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Total current liabilities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164,477</w:t>
            </w: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77,933</w:t>
            </w:r>
          </w:p>
        </w:tc>
      </w:tr>
      <w:tr>
        <w:trPr>
          <w:trHeight w:val="250"/>
        </w:trPr>
        <w:tc>
          <w:tcPr>
            <w:tcW w:w="7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70"/>
        </w:trPr>
        <w:tc>
          <w:tcPr>
            <w:tcW w:w="72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liabilities</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131,610</w:t>
            </w:r>
          </w:p>
        </w:tc>
        <w:tc>
          <w:tcPr>
            <w:tcW w:w="5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130,332</w:t>
            </w:r>
          </w:p>
        </w:tc>
      </w:tr>
      <w:tr>
        <w:trPr>
          <w:trHeight w:val="244"/>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liabilities and equity</w:t>
            </w:r>
          </w:p>
        </w:tc>
        <w:tc>
          <w:tcPr>
            <w:tcW w:w="4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3,063,656</w:t>
            </w:r>
          </w:p>
        </w:tc>
        <w:tc>
          <w:tcPr>
            <w:tcW w:w="5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2,663,844</w:t>
            </w: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 Condensed Parent Company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Statements of Income and Comprehensive Income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Years ended December 31,</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2018</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2017</w:t>
            </w: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98"/>
              </w:rPr>
              <w:t>2016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20"/>
                <w:szCs w:val="20"/>
                <w:color w:val="auto"/>
              </w:rPr>
              <w:t>Other income</w:t>
            </w:r>
          </w:p>
        </w:tc>
        <w:tc>
          <w:tcPr>
            <w:tcW w:w="4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894</w:t>
            </w:r>
          </w:p>
        </w:tc>
        <w:tc>
          <w:tcPr>
            <w:tcW w:w="32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1,629</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3,301</w:t>
            </w:r>
          </w:p>
        </w:tc>
        <w:tc>
          <w:tcPr>
            <w:tcW w:w="0" w:type="dxa"/>
            <w:vAlign w:val="bottom"/>
          </w:tcPr>
          <w:p>
            <w:pPr>
              <w:spacing w:after="0"/>
              <w:rPr>
                <w:sz w:val="1"/>
                <w:szCs w:val="1"/>
                <w:color w:val="auto"/>
              </w:rPr>
            </w:pPr>
          </w:p>
        </w:tc>
      </w:tr>
      <w:tr>
        <w:trPr>
          <w:trHeight w:val="270"/>
        </w:trPr>
        <w:tc>
          <w:tcPr>
            <w:tcW w:w="6360" w:type="dxa"/>
            <w:vAlign w:val="bottom"/>
            <w:gridSpan w:val="2"/>
          </w:tcPr>
          <w:p>
            <w:pPr>
              <w:spacing w:after="0"/>
              <w:rPr>
                <w:sz w:val="20"/>
                <w:szCs w:val="20"/>
                <w:color w:val="auto"/>
              </w:rPr>
            </w:pPr>
            <w:r>
              <w:rPr>
                <w:rFonts w:ascii="Arial" w:cs="Arial" w:eastAsia="Arial" w:hAnsi="Arial"/>
                <w:sz w:val="20"/>
                <w:szCs w:val="20"/>
                <w:color w:val="auto"/>
              </w:rPr>
              <w:t>Operating expense and other expenses</w:t>
            </w:r>
          </w:p>
        </w:tc>
        <w:tc>
          <w:tcPr>
            <w:tcW w:w="4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19,728</w:t>
            </w:r>
          </w:p>
        </w:tc>
        <w:tc>
          <w:tcPr>
            <w:tcW w:w="32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53</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4,569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Operating (loss) income</w:t>
            </w:r>
          </w:p>
        </w:tc>
        <w:tc>
          <w:tcPr>
            <w:tcW w:w="4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(18,834)</w:t>
            </w:r>
          </w:p>
        </w:tc>
        <w:tc>
          <w:tcPr>
            <w:tcW w:w="3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1,576</w:t>
            </w:r>
          </w:p>
        </w:tc>
        <w:tc>
          <w:tcPr>
            <w:tcW w:w="4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(1,268)</w:t>
            </w:r>
          </w:p>
        </w:tc>
        <w:tc>
          <w:tcPr>
            <w:tcW w:w="0" w:type="dxa"/>
            <w:vAlign w:val="bottom"/>
          </w:tcPr>
          <w:p>
            <w:pPr>
              <w:spacing w:after="0"/>
              <w:rPr>
                <w:sz w:val="1"/>
                <w:szCs w:val="1"/>
                <w:color w:val="auto"/>
              </w:rPr>
            </w:pPr>
          </w:p>
        </w:tc>
      </w:tr>
      <w:tr>
        <w:trPr>
          <w:trHeight w:val="270"/>
        </w:trPr>
        <w:tc>
          <w:tcPr>
            <w:tcW w:w="6360" w:type="dxa"/>
            <w:vAlign w:val="bottom"/>
            <w:gridSpan w:val="2"/>
          </w:tcPr>
          <w:p>
            <w:pPr>
              <w:spacing w:after="0"/>
              <w:rPr>
                <w:sz w:val="20"/>
                <w:szCs w:val="20"/>
                <w:color w:val="auto"/>
              </w:rPr>
            </w:pPr>
            <w:r>
              <w:rPr>
                <w:rFonts w:ascii="Arial" w:cs="Arial" w:eastAsia="Arial" w:hAnsi="Arial"/>
                <w:sz w:val="20"/>
                <w:szCs w:val="20"/>
                <w:color w:val="auto"/>
              </w:rPr>
              <w:t>Interest expense, net</w:t>
            </w:r>
          </w:p>
        </w:tc>
        <w:tc>
          <w:tcPr>
            <w:tcW w:w="4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9,419</w:t>
            </w:r>
          </w:p>
        </w:tc>
        <w:tc>
          <w:tcPr>
            <w:tcW w:w="32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5,210</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2,901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20"/>
                <w:szCs w:val="20"/>
                <w:color w:val="auto"/>
              </w:rPr>
              <w:t>Change in fair value of interest rate swap agreements</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59,779</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6360" w:type="dxa"/>
            <w:vAlign w:val="bottom"/>
            <w:gridSpan w:val="2"/>
          </w:tcPr>
          <w:p>
            <w:pPr>
              <w:spacing w:after="0"/>
              <w:rPr>
                <w:sz w:val="20"/>
                <w:szCs w:val="20"/>
                <w:color w:val="auto"/>
              </w:rPr>
            </w:pPr>
            <w:r>
              <w:rPr>
                <w:rFonts w:ascii="Arial" w:cs="Arial" w:eastAsia="Arial" w:hAnsi="Arial"/>
                <w:sz w:val="20"/>
                <w:szCs w:val="20"/>
                <w:color w:val="auto"/>
              </w:rPr>
              <w:t>Other expense (income)</w:t>
            </w:r>
          </w:p>
        </w:tc>
        <w:tc>
          <w:tcPr>
            <w:tcW w:w="4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95</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Loss before equity in earnings of subsidiaries and income taxes</w:t>
            </w:r>
          </w:p>
        </w:tc>
        <w:tc>
          <w:tcPr>
            <w:tcW w:w="4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(88,127)</w:t>
            </w:r>
          </w:p>
        </w:tc>
        <w:tc>
          <w:tcPr>
            <w:tcW w:w="3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(3,634)</w:t>
            </w:r>
          </w:p>
        </w:tc>
        <w:tc>
          <w:tcPr>
            <w:tcW w:w="4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(4,082)</w:t>
            </w:r>
          </w:p>
        </w:tc>
        <w:tc>
          <w:tcPr>
            <w:tcW w:w="0" w:type="dxa"/>
            <w:vAlign w:val="bottom"/>
          </w:tcPr>
          <w:p>
            <w:pPr>
              <w:spacing w:after="0"/>
              <w:rPr>
                <w:sz w:val="1"/>
                <w:szCs w:val="1"/>
                <w:color w:val="auto"/>
              </w:rPr>
            </w:pPr>
          </w:p>
        </w:tc>
      </w:tr>
      <w:tr>
        <w:trPr>
          <w:trHeight w:val="270"/>
        </w:trPr>
        <w:tc>
          <w:tcPr>
            <w:tcW w:w="6360" w:type="dxa"/>
            <w:vAlign w:val="bottom"/>
            <w:gridSpan w:val="2"/>
          </w:tcPr>
          <w:p>
            <w:pPr>
              <w:spacing w:after="0"/>
              <w:rPr>
                <w:sz w:val="20"/>
                <w:szCs w:val="20"/>
                <w:color w:val="auto"/>
              </w:rPr>
            </w:pPr>
            <w:r>
              <w:rPr>
                <w:rFonts w:ascii="Arial" w:cs="Arial" w:eastAsia="Arial" w:hAnsi="Arial"/>
                <w:sz w:val="20"/>
                <w:szCs w:val="20"/>
                <w:color w:val="auto"/>
              </w:rPr>
              <w:t>Equity in earnings of subsidiaries</w:t>
            </w:r>
          </w:p>
        </w:tc>
        <w:tc>
          <w:tcPr>
            <w:tcW w:w="4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261,700</w:t>
            </w:r>
          </w:p>
        </w:tc>
        <w:tc>
          <w:tcPr>
            <w:tcW w:w="32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244,327</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4"/>
              </w:rPr>
              <w:t>236,309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Income before income taxes</w:t>
            </w:r>
          </w:p>
        </w:tc>
        <w:tc>
          <w:tcPr>
            <w:tcW w:w="4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173,573</w:t>
            </w:r>
          </w:p>
        </w:tc>
        <w:tc>
          <w:tcPr>
            <w:tcW w:w="3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240,693</w:t>
            </w:r>
          </w:p>
        </w:tc>
        <w:tc>
          <w:tcPr>
            <w:tcW w:w="4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4"/>
              </w:rPr>
              <w:t>232,227</w:t>
            </w:r>
          </w:p>
        </w:tc>
        <w:tc>
          <w:tcPr>
            <w:tcW w:w="0" w:type="dxa"/>
            <w:vAlign w:val="bottom"/>
          </w:tcPr>
          <w:p>
            <w:pPr>
              <w:spacing w:after="0"/>
              <w:rPr>
                <w:sz w:val="1"/>
                <w:szCs w:val="1"/>
                <w:color w:val="auto"/>
              </w:rPr>
            </w:pPr>
          </w:p>
        </w:tc>
      </w:tr>
      <w:tr>
        <w:trPr>
          <w:trHeight w:val="270"/>
        </w:trPr>
        <w:tc>
          <w:tcPr>
            <w:tcW w:w="6360" w:type="dxa"/>
            <w:vAlign w:val="bottom"/>
            <w:gridSpan w:val="2"/>
          </w:tcPr>
          <w:p>
            <w:pPr>
              <w:spacing w:after="0"/>
              <w:rPr>
                <w:sz w:val="20"/>
                <w:szCs w:val="20"/>
                <w:color w:val="auto"/>
              </w:rPr>
            </w:pPr>
            <w:r>
              <w:rPr>
                <w:rFonts w:ascii="Arial" w:cs="Arial" w:eastAsia="Arial" w:hAnsi="Arial"/>
                <w:sz w:val="20"/>
                <w:szCs w:val="20"/>
                <w:color w:val="auto"/>
              </w:rPr>
              <w:t>Provision for income taxes (benefit)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(18,415)</w:t>
            </w:r>
          </w:p>
        </w:tc>
        <w:tc>
          <w:tcPr>
            <w:tcW w:w="32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955</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(1,955)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income</w:t>
            </w:r>
          </w:p>
        </w:tc>
        <w:tc>
          <w:tcPr>
            <w:tcW w:w="4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191,988</w:t>
            </w:r>
          </w:p>
        </w:tc>
        <w:tc>
          <w:tcPr>
            <w:tcW w:w="3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239,738</w:t>
            </w:r>
          </w:p>
        </w:tc>
        <w:tc>
          <w:tcPr>
            <w:tcW w:w="4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4"/>
              </w:rPr>
              <w:t>234,182</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6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20"/>
                <w:szCs w:val="20"/>
                <w:color w:val="auto"/>
              </w:rPr>
              <w:t>Comprehensive income</w:t>
            </w:r>
          </w:p>
        </w:tc>
        <w:tc>
          <w:tcPr>
            <w:tcW w:w="4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191,988</w:t>
            </w:r>
          </w:p>
        </w:tc>
        <w:tc>
          <w:tcPr>
            <w:tcW w:w="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239,929</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4"/>
              </w:rPr>
              <w:t>234,164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20"/>
                <w:szCs w:val="20"/>
                <w:color w:val="auto"/>
              </w:rPr>
              <w:t>Net income per common share:</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40" w:type="dxa"/>
            <w:vAlign w:val="bottom"/>
            <w:tcBorders>
              <w:bottom w:val="single" w:sz="8" w:color="CCEEFF"/>
            </w:tcBorders>
          </w:tcPr>
          <w:p>
            <w:pPr>
              <w:ind w:left="80"/>
              <w:spacing w:after="0"/>
              <w:rPr>
                <w:sz w:val="20"/>
                <w:szCs w:val="20"/>
                <w:color w:val="auto"/>
              </w:rPr>
            </w:pPr>
            <w:r>
              <w:rPr>
                <w:rFonts w:ascii="Arial" w:cs="Arial" w:eastAsia="Arial" w:hAnsi="Arial"/>
                <w:sz w:val="20"/>
                <w:szCs w:val="20"/>
                <w:color w:val="auto"/>
              </w:rPr>
              <w:t>Basic</w:t>
            </w: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1.08</w:t>
            </w:r>
          </w:p>
        </w:tc>
        <w:tc>
          <w:tcPr>
            <w:tcW w:w="3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1.35</w:t>
            </w:r>
          </w:p>
        </w:tc>
        <w:tc>
          <w:tcPr>
            <w:tcW w:w="42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shd w:val="clear" w:color="auto" w:fill="CCEEFF"/>
          </w:tcPr>
          <w:p>
            <w:pPr>
              <w:ind w:left="80"/>
              <w:spacing w:after="0"/>
              <w:rPr>
                <w:sz w:val="20"/>
                <w:szCs w:val="20"/>
                <w:color w:val="auto"/>
              </w:rPr>
            </w:pPr>
            <w:r>
              <w:rPr>
                <w:rFonts w:ascii="Arial" w:cs="Arial" w:eastAsia="Arial" w:hAnsi="Arial"/>
                <w:sz w:val="20"/>
                <w:szCs w:val="20"/>
                <w:color w:val="auto"/>
              </w:rPr>
              <w:t>Diluted</w:t>
            </w:r>
          </w:p>
        </w:tc>
        <w:tc>
          <w:tcPr>
            <w:tcW w:w="4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1.08</w:t>
            </w:r>
          </w:p>
        </w:tc>
        <w:tc>
          <w:tcPr>
            <w:tcW w:w="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1.35</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20"/>
                <w:szCs w:val="20"/>
                <w:color w:val="auto"/>
              </w:rPr>
              <w:t>Average common shares outstanding during the period:</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40" w:type="dxa"/>
            <w:vAlign w:val="bottom"/>
            <w:tcBorders>
              <w:bottom w:val="single" w:sz="8" w:color="CCEEFF"/>
            </w:tcBorders>
          </w:tcPr>
          <w:p>
            <w:pPr>
              <w:ind w:left="80"/>
              <w:spacing w:after="0"/>
              <w:rPr>
                <w:sz w:val="20"/>
                <w:szCs w:val="20"/>
                <w:color w:val="auto"/>
              </w:rPr>
            </w:pPr>
            <w:r>
              <w:rPr>
                <w:rFonts w:ascii="Arial" w:cs="Arial" w:eastAsia="Arial" w:hAnsi="Arial"/>
                <w:sz w:val="20"/>
                <w:szCs w:val="20"/>
                <w:color w:val="auto"/>
              </w:rPr>
              <w:t>Basic</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177,904</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177,612</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177,273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Diluted</w:t>
            </w: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178,399</w:t>
            </w: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178,175</w:t>
            </w: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4"/>
              </w:rPr>
              <w:t>177,846</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Aqua America, Inc.</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 Condensed Parent Company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Statements of Cash Flows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Years ended December 31,</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2018</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2016</w:t>
            </w:r>
          </w:p>
        </w:tc>
        <w:tc>
          <w:tcPr>
            <w:tcW w:w="20" w:type="dxa"/>
            <w:vAlign w:val="bottom"/>
          </w:tcPr>
          <w:p>
            <w:pPr>
              <w:spacing w:after="0"/>
              <w:rPr>
                <w:sz w:val="21"/>
                <w:szCs w:val="21"/>
                <w:color w:val="auto"/>
              </w:rPr>
            </w:pPr>
          </w:p>
        </w:tc>
      </w:tr>
      <w:tr>
        <w:trPr>
          <w:trHeight w:val="250"/>
        </w:trPr>
        <w:tc>
          <w:tcPr>
            <w:tcW w:w="6160" w:type="dxa"/>
            <w:vAlign w:val="bottom"/>
            <w:shd w:val="clear" w:color="auto" w:fill="CCEEFF"/>
          </w:tcPr>
          <w:p>
            <w:pPr>
              <w:spacing w:after="0"/>
              <w:rPr>
                <w:sz w:val="20"/>
                <w:szCs w:val="20"/>
                <w:color w:val="auto"/>
              </w:rPr>
            </w:pPr>
            <w:r>
              <w:rPr>
                <w:rFonts w:ascii="Arial" w:cs="Arial" w:eastAsia="Arial" w:hAnsi="Arial"/>
                <w:sz w:val="20"/>
                <w:szCs w:val="20"/>
                <w:color w:val="auto"/>
              </w:rPr>
              <w:t>Net cash flows (used in) from operating activities</w:t>
            </w:r>
          </w:p>
        </w:tc>
        <w:tc>
          <w:tcPr>
            <w:tcW w:w="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(12,930)</w:t>
            </w: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98,821</w:t>
            </w:r>
          </w:p>
        </w:tc>
        <w:tc>
          <w:tcPr>
            <w:tcW w:w="4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84,649</w:t>
            </w:r>
          </w:p>
        </w:tc>
        <w:tc>
          <w:tcPr>
            <w:tcW w:w="20" w:type="dxa"/>
            <w:vAlign w:val="bottom"/>
          </w:tcPr>
          <w:p>
            <w:pPr>
              <w:spacing w:after="0"/>
              <w:rPr>
                <w:sz w:val="21"/>
                <w:szCs w:val="21"/>
                <w:color w:val="auto"/>
              </w:rPr>
            </w:pPr>
          </w:p>
        </w:tc>
      </w:tr>
      <w:tr>
        <w:trPr>
          <w:trHeight w:val="250"/>
        </w:trPr>
        <w:tc>
          <w:tcPr>
            <w:tcW w:w="6160" w:type="dxa"/>
            <w:vAlign w:val="bottom"/>
          </w:tcPr>
          <w:p>
            <w:pPr>
              <w:spacing w:after="0"/>
              <w:rPr>
                <w:sz w:val="20"/>
                <w:szCs w:val="20"/>
                <w:color w:val="auto"/>
              </w:rPr>
            </w:pPr>
            <w:r>
              <w:rPr>
                <w:rFonts w:ascii="Arial" w:cs="Arial" w:eastAsia="Arial" w:hAnsi="Arial"/>
                <w:sz w:val="20"/>
                <w:szCs w:val="20"/>
                <w:color w:val="auto"/>
              </w:rPr>
              <w:t>Cash flows from investing activities: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61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Acquisitions of utility systems and other, net</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(103,364)</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(3,713)</w:t>
            </w:r>
          </w:p>
        </w:tc>
        <w:tc>
          <w:tcPr>
            <w:tcW w:w="20" w:type="dxa"/>
            <w:vAlign w:val="bottom"/>
          </w:tcPr>
          <w:p>
            <w:pPr>
              <w:spacing w:after="0"/>
              <w:rPr>
                <w:sz w:val="23"/>
                <w:szCs w:val="23"/>
                <w:color w:val="auto"/>
              </w:rPr>
            </w:pPr>
          </w:p>
        </w:tc>
      </w:tr>
      <w:tr>
        <w:trPr>
          <w:trHeight w:val="324"/>
        </w:trPr>
        <w:tc>
          <w:tcPr>
            <w:tcW w:w="6160" w:type="dxa"/>
            <w:vAlign w:val="bottom"/>
          </w:tcPr>
          <w:p>
            <w:pPr>
              <w:ind w:left="100"/>
              <w:spacing w:after="0"/>
              <w:rPr>
                <w:sz w:val="20"/>
                <w:szCs w:val="20"/>
                <w:color w:val="auto"/>
              </w:rPr>
            </w:pPr>
            <w:r>
              <w:rPr>
                <w:rFonts w:ascii="Arial" w:cs="Arial" w:eastAsia="Arial" w:hAnsi="Arial"/>
                <w:sz w:val="20"/>
                <w:szCs w:val="20"/>
                <w:color w:val="auto"/>
              </w:rPr>
              <w:t>Net proceeds from the sale of utility systems and other assets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205</w:t>
            </w:r>
          </w:p>
        </w:tc>
        <w:tc>
          <w:tcPr>
            <w:tcW w:w="20" w:type="dxa"/>
            <w:vAlign w:val="bottom"/>
          </w:tcPr>
          <w:p>
            <w:pPr>
              <w:spacing w:after="0"/>
              <w:rPr>
                <w:sz w:val="24"/>
                <w:szCs w:val="24"/>
                <w:color w:val="auto"/>
              </w:rPr>
            </w:pPr>
          </w:p>
        </w:tc>
      </w:tr>
      <w:tr>
        <w:trPr>
          <w:trHeight w:val="270"/>
        </w:trPr>
        <w:tc>
          <w:tcPr>
            <w:tcW w:w="61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(Increase) decrease in investment of subsidiary</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(13,258)</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20,021</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(26,470)</w:t>
            </w:r>
          </w:p>
        </w:tc>
        <w:tc>
          <w:tcPr>
            <w:tcW w:w="20" w:type="dxa"/>
            <w:vAlign w:val="bottom"/>
          </w:tcPr>
          <w:p>
            <w:pPr>
              <w:spacing w:after="0"/>
              <w:rPr>
                <w:sz w:val="23"/>
                <w:szCs w:val="23"/>
                <w:color w:val="auto"/>
              </w:rPr>
            </w:pPr>
          </w:p>
        </w:tc>
      </w:tr>
      <w:tr>
        <w:trPr>
          <w:trHeight w:val="270"/>
        </w:trPr>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20"/>
                <w:szCs w:val="20"/>
                <w:color w:val="auto"/>
              </w:rPr>
              <w:t>Other</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241</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1,811</w:t>
            </w: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w:t>
            </w:r>
          </w:p>
        </w:tc>
        <w:tc>
          <w:tcPr>
            <w:tcW w:w="20" w:type="dxa"/>
            <w:vAlign w:val="bottom"/>
          </w:tcPr>
          <w:p>
            <w:pPr>
              <w:spacing w:after="0"/>
              <w:rPr>
                <w:sz w:val="23"/>
                <w:szCs w:val="23"/>
                <w:color w:val="auto"/>
              </w:rPr>
            </w:pPr>
          </w:p>
        </w:tc>
      </w:tr>
      <w:tr>
        <w:trPr>
          <w:trHeight w:val="250"/>
        </w:trPr>
        <w:tc>
          <w:tcPr>
            <w:tcW w:w="6160" w:type="dxa"/>
            <w:vAlign w:val="bottom"/>
            <w:shd w:val="clear" w:color="auto" w:fill="CCEEFF"/>
          </w:tcPr>
          <w:p>
            <w:pPr>
              <w:spacing w:after="0"/>
              <w:rPr>
                <w:sz w:val="20"/>
                <w:szCs w:val="20"/>
                <w:color w:val="auto"/>
              </w:rPr>
            </w:pPr>
            <w:r>
              <w:rPr>
                <w:rFonts w:ascii="Arial" w:cs="Arial" w:eastAsia="Arial" w:hAnsi="Arial"/>
                <w:sz w:val="20"/>
                <w:szCs w:val="20"/>
                <w:color w:val="auto"/>
              </w:rPr>
              <w:t>Net cash flows (used in) from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(116,381)</w:t>
            </w: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21,612</w:t>
            </w:r>
          </w:p>
        </w:tc>
        <w:tc>
          <w:tcPr>
            <w:tcW w:w="4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(29,774)</w:t>
            </w:r>
          </w:p>
        </w:tc>
        <w:tc>
          <w:tcPr>
            <w:tcW w:w="20" w:type="dxa"/>
            <w:vAlign w:val="bottom"/>
          </w:tcPr>
          <w:p>
            <w:pPr>
              <w:spacing w:after="0"/>
              <w:rPr>
                <w:sz w:val="21"/>
                <w:szCs w:val="21"/>
                <w:color w:val="auto"/>
              </w:rPr>
            </w:pPr>
          </w:p>
        </w:tc>
      </w:tr>
      <w:tr>
        <w:trPr>
          <w:trHeight w:val="250"/>
        </w:trPr>
        <w:tc>
          <w:tcPr>
            <w:tcW w:w="6160" w:type="dxa"/>
            <w:vAlign w:val="bottom"/>
          </w:tcPr>
          <w:p>
            <w:pPr>
              <w:spacing w:after="0"/>
              <w:rPr>
                <w:sz w:val="20"/>
                <w:szCs w:val="20"/>
                <w:color w:val="auto"/>
              </w:rPr>
            </w:pPr>
            <w:r>
              <w:rPr>
                <w:rFonts w:ascii="Arial" w:cs="Arial" w:eastAsia="Arial" w:hAnsi="Arial"/>
                <w:sz w:val="20"/>
                <w:szCs w:val="20"/>
                <w:color w:val="auto"/>
              </w:rPr>
              <w:t>Cash flows from financing activities: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61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Proceeds from long-term debt</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1,107,600</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286,969</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418,957</w:t>
            </w:r>
          </w:p>
        </w:tc>
        <w:tc>
          <w:tcPr>
            <w:tcW w:w="20" w:type="dxa"/>
            <w:vAlign w:val="bottom"/>
          </w:tcPr>
          <w:p>
            <w:pPr>
              <w:spacing w:after="0"/>
              <w:rPr>
                <w:sz w:val="23"/>
                <w:szCs w:val="23"/>
                <w:color w:val="auto"/>
              </w:rPr>
            </w:pPr>
          </w:p>
        </w:tc>
      </w:tr>
      <w:tr>
        <w:trPr>
          <w:trHeight w:val="270"/>
        </w:trPr>
        <w:tc>
          <w:tcPr>
            <w:tcW w:w="6160" w:type="dxa"/>
            <w:vAlign w:val="bottom"/>
          </w:tcPr>
          <w:p>
            <w:pPr>
              <w:ind w:left="100"/>
              <w:spacing w:after="0"/>
              <w:rPr>
                <w:sz w:val="20"/>
                <w:szCs w:val="20"/>
                <w:color w:val="auto"/>
              </w:rPr>
            </w:pPr>
            <w:r>
              <w:rPr>
                <w:rFonts w:ascii="Arial" w:cs="Arial" w:eastAsia="Arial" w:hAnsi="Arial"/>
                <w:sz w:val="20"/>
                <w:szCs w:val="20"/>
                <w:color w:val="auto"/>
              </w:rPr>
              <w:t>Repayments of long-term debt</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(830,900)</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(268,050)</w:t>
            </w:r>
          </w:p>
        </w:tc>
        <w:tc>
          <w:tcPr>
            <w:tcW w:w="42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w w:val="98"/>
              </w:rPr>
              <w:t>(346,050)</w:t>
            </w:r>
          </w:p>
        </w:tc>
      </w:tr>
      <w:tr>
        <w:trPr>
          <w:trHeight w:val="270"/>
        </w:trPr>
        <w:tc>
          <w:tcPr>
            <w:tcW w:w="61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Proceeds from issuing common stock</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5,163</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1,453</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1,388</w:t>
            </w:r>
          </w:p>
        </w:tc>
        <w:tc>
          <w:tcPr>
            <w:tcW w:w="20" w:type="dxa"/>
            <w:vAlign w:val="bottom"/>
          </w:tcPr>
          <w:p>
            <w:pPr>
              <w:spacing w:after="0"/>
              <w:rPr>
                <w:sz w:val="23"/>
                <w:szCs w:val="23"/>
                <w:color w:val="auto"/>
              </w:rPr>
            </w:pPr>
          </w:p>
        </w:tc>
      </w:tr>
      <w:tr>
        <w:trPr>
          <w:trHeight w:val="270"/>
        </w:trPr>
        <w:tc>
          <w:tcPr>
            <w:tcW w:w="6160" w:type="dxa"/>
            <w:vAlign w:val="bottom"/>
          </w:tcPr>
          <w:p>
            <w:pPr>
              <w:ind w:left="100"/>
              <w:spacing w:after="0"/>
              <w:rPr>
                <w:sz w:val="20"/>
                <w:szCs w:val="20"/>
                <w:color w:val="auto"/>
              </w:rPr>
            </w:pPr>
            <w:r>
              <w:rPr>
                <w:rFonts w:ascii="Arial" w:cs="Arial" w:eastAsia="Arial" w:hAnsi="Arial"/>
                <w:sz w:val="20"/>
                <w:szCs w:val="20"/>
                <w:color w:val="auto"/>
              </w:rPr>
              <w:t>Proceeds from exercised stock options</w:t>
            </w:r>
          </w:p>
        </w:tc>
        <w:tc>
          <w:tcPr>
            <w:tcW w:w="34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1,459</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2,873</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4,260</w:t>
            </w:r>
          </w:p>
        </w:tc>
        <w:tc>
          <w:tcPr>
            <w:tcW w:w="20" w:type="dxa"/>
            <w:vAlign w:val="bottom"/>
          </w:tcPr>
          <w:p>
            <w:pPr>
              <w:spacing w:after="0"/>
              <w:rPr>
                <w:sz w:val="23"/>
                <w:szCs w:val="23"/>
                <w:color w:val="auto"/>
              </w:rPr>
            </w:pPr>
          </w:p>
        </w:tc>
      </w:tr>
      <w:tr>
        <w:trPr>
          <w:trHeight w:val="270"/>
        </w:trPr>
        <w:tc>
          <w:tcPr>
            <w:tcW w:w="61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Share-based compensation windfall tax benefits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1,332</w:t>
            </w:r>
          </w:p>
        </w:tc>
        <w:tc>
          <w:tcPr>
            <w:tcW w:w="20" w:type="dxa"/>
            <w:vAlign w:val="bottom"/>
          </w:tcPr>
          <w:p>
            <w:pPr>
              <w:spacing w:after="0"/>
              <w:rPr>
                <w:sz w:val="23"/>
                <w:szCs w:val="23"/>
                <w:color w:val="auto"/>
              </w:rPr>
            </w:pPr>
          </w:p>
        </w:tc>
      </w:tr>
      <w:tr>
        <w:trPr>
          <w:trHeight w:val="270"/>
        </w:trPr>
        <w:tc>
          <w:tcPr>
            <w:tcW w:w="6160" w:type="dxa"/>
            <w:vAlign w:val="bottom"/>
          </w:tcPr>
          <w:p>
            <w:pPr>
              <w:ind w:left="100"/>
              <w:spacing w:after="0"/>
              <w:rPr>
                <w:sz w:val="20"/>
                <w:szCs w:val="20"/>
                <w:color w:val="auto"/>
              </w:rPr>
            </w:pPr>
            <w:r>
              <w:rPr>
                <w:rFonts w:ascii="Arial" w:cs="Arial" w:eastAsia="Arial" w:hAnsi="Arial"/>
                <w:sz w:val="20"/>
                <w:szCs w:val="20"/>
                <w:color w:val="auto"/>
              </w:rPr>
              <w:t>Repurchase of common stock</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(2,555)</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(2,167)</w:t>
            </w:r>
          </w:p>
        </w:tc>
        <w:tc>
          <w:tcPr>
            <w:tcW w:w="42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(3,028)</w:t>
            </w:r>
          </w:p>
        </w:tc>
      </w:tr>
      <w:tr>
        <w:trPr>
          <w:trHeight w:val="270"/>
        </w:trPr>
        <w:tc>
          <w:tcPr>
            <w:tcW w:w="61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Dividends paid on common stock</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(150,736)</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(140,660)</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8"/>
              </w:rPr>
              <w:t>(130,923)</w:t>
            </w:r>
          </w:p>
        </w:tc>
        <w:tc>
          <w:tcPr>
            <w:tcW w:w="20" w:type="dxa"/>
            <w:vAlign w:val="bottom"/>
          </w:tcPr>
          <w:p>
            <w:pPr>
              <w:spacing w:after="0"/>
              <w:rPr>
                <w:sz w:val="23"/>
                <w:szCs w:val="23"/>
                <w:color w:val="auto"/>
              </w:rPr>
            </w:pPr>
          </w:p>
        </w:tc>
      </w:tr>
      <w:tr>
        <w:trPr>
          <w:trHeight w:val="270"/>
        </w:trPr>
        <w:tc>
          <w:tcPr>
            <w:tcW w:w="6160" w:type="dxa"/>
            <w:vAlign w:val="bottom"/>
          </w:tcPr>
          <w:p>
            <w:pPr>
              <w:ind w:left="100"/>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(720)</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(851)</w:t>
            </w:r>
          </w:p>
        </w:tc>
        <w:tc>
          <w:tcPr>
            <w:tcW w:w="42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(811)</w:t>
            </w:r>
          </w:p>
        </w:tc>
      </w:tr>
      <w:tr>
        <w:trPr>
          <w:trHeight w:val="25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flows from (used in) financing activities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129,311</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(120,433)</w:t>
            </w: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(54,875)</w:t>
            </w:r>
          </w:p>
        </w:tc>
        <w:tc>
          <w:tcPr>
            <w:tcW w:w="20" w:type="dxa"/>
            <w:vAlign w:val="bottom"/>
          </w:tcPr>
          <w:p>
            <w:pPr>
              <w:spacing w:after="0"/>
              <w:rPr>
                <w:sz w:val="21"/>
                <w:szCs w:val="21"/>
                <w:color w:val="auto"/>
              </w:rPr>
            </w:pPr>
          </w:p>
        </w:tc>
      </w:tr>
      <w:tr>
        <w:trPr>
          <w:trHeight w:val="250"/>
        </w:trPr>
        <w:tc>
          <w:tcPr>
            <w:tcW w:w="6160" w:type="dxa"/>
            <w:vAlign w:val="bottom"/>
          </w:tcPr>
          <w:p>
            <w:pPr>
              <w:spacing w:after="0"/>
              <w:rPr>
                <w:sz w:val="20"/>
                <w:szCs w:val="20"/>
                <w:color w:val="auto"/>
              </w:rPr>
            </w:pPr>
            <w:r>
              <w:rPr>
                <w:rFonts w:ascii="Arial" w:cs="Arial" w:eastAsia="Arial" w:hAnsi="Arial"/>
                <w:sz w:val="20"/>
                <w:szCs w:val="20"/>
                <w:color w:val="auto"/>
              </w:rPr>
              <w:t>Net change in cash and cash equivalents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r>
      <w:tr>
        <w:trPr>
          <w:trHeight w:val="270"/>
        </w:trPr>
        <w:tc>
          <w:tcPr>
            <w:tcW w:w="616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at beginning of year</w:t>
            </w: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r>
      <w:tr>
        <w:trPr>
          <w:trHeight w:val="244"/>
        </w:trPr>
        <w:tc>
          <w:tcPr>
            <w:tcW w:w="6160" w:type="dxa"/>
            <w:vAlign w:val="bottom"/>
          </w:tcPr>
          <w:p>
            <w:pPr>
              <w:spacing w:after="0"/>
              <w:rPr>
                <w:sz w:val="20"/>
                <w:szCs w:val="20"/>
                <w:color w:val="auto"/>
              </w:rPr>
            </w:pPr>
            <w:r>
              <w:rPr>
                <w:rFonts w:ascii="Arial" w:cs="Arial" w:eastAsia="Arial" w:hAnsi="Arial"/>
                <w:sz w:val="20"/>
                <w:szCs w:val="20"/>
                <w:color w:val="auto"/>
              </w:rPr>
              <w:t>Cash and cash equivalents at end of year</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20"/>
                <w:szCs w:val="20"/>
                <w:color w:val="auto"/>
              </w:rPr>
              <w:t>-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21"/>
                <w:szCs w:val="2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1 - </w:t>
      </w:r>
      <w:r>
        <w:rPr>
          <w:rFonts w:ascii="Arial" w:cs="Arial" w:eastAsia="Arial" w:hAnsi="Arial"/>
          <w:sz w:val="20"/>
          <w:szCs w:val="20"/>
          <w:i w:val="1"/>
          <w:iCs w:val="1"/>
          <w:color w:val="auto"/>
        </w:rPr>
        <w:t>Basis of Presentation</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Aqua America, Inc.</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Condensed Parent Company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217" w:lineRule="exact"/>
        <w:rPr>
          <w:sz w:val="20"/>
          <w:szCs w:val="20"/>
          <w:color w:val="auto"/>
        </w:rPr>
      </w:pPr>
    </w:p>
    <w:p>
      <w:pPr>
        <w:ind w:right="260"/>
        <w:spacing w:after="0" w:line="248" w:lineRule="auto"/>
        <w:rPr>
          <w:sz w:val="20"/>
          <w:szCs w:val="20"/>
          <w:color w:val="auto"/>
        </w:rPr>
      </w:pPr>
      <w:r>
        <w:rPr>
          <w:rFonts w:ascii="Arial" w:cs="Arial" w:eastAsia="Arial" w:hAnsi="Arial"/>
          <w:sz w:val="20"/>
          <w:szCs w:val="20"/>
          <w:b w:val="1"/>
          <w:bCs w:val="1"/>
          <w:color w:val="auto"/>
        </w:rPr>
        <w:t xml:space="preserve">Note 1 – </w:t>
      </w:r>
      <w:r>
        <w:rPr>
          <w:rFonts w:ascii="Arial" w:cs="Arial" w:eastAsia="Arial" w:hAnsi="Arial"/>
          <w:sz w:val="20"/>
          <w:szCs w:val="20"/>
          <w:b w:val="1"/>
          <w:bCs w:val="1"/>
          <w:i w:val="1"/>
          <w:iCs w:val="1"/>
          <w:color w:val="auto"/>
        </w:rPr>
        <w:t>Basis of Presentation</w:t>
      </w:r>
      <w:r>
        <w:rPr>
          <w:rFonts w:ascii="Arial" w:cs="Arial" w:eastAsia="Arial" w:hAnsi="Arial"/>
          <w:sz w:val="20"/>
          <w:szCs w:val="20"/>
          <w:b w:val="1"/>
          <w:bCs w:val="1"/>
          <w:color w:val="auto"/>
        </w:rPr>
        <w:t xml:space="preserve"> </w:t>
      </w:r>
      <w:r>
        <w:rPr>
          <w:rFonts w:ascii="Arial" w:cs="Arial" w:eastAsia="Arial" w:hAnsi="Arial"/>
          <w:sz w:val="20"/>
          <w:szCs w:val="20"/>
          <w:color w:val="auto"/>
        </w:rPr>
        <w:t>– The accompanying condensed financial statements of Aqua America, Inc. (the “Parent”)</w:t>
      </w:r>
      <w:r>
        <w:rPr>
          <w:rFonts w:ascii="Arial" w:cs="Arial" w:eastAsia="Arial" w:hAnsi="Arial"/>
          <w:sz w:val="20"/>
          <w:szCs w:val="20"/>
          <w:b w:val="1"/>
          <w:bCs w:val="1"/>
          <w:color w:val="auto"/>
        </w:rPr>
        <w:t xml:space="preserve"> </w:t>
      </w:r>
      <w:r>
        <w:rPr>
          <w:rFonts w:ascii="Arial" w:cs="Arial" w:eastAsia="Arial" w:hAnsi="Arial"/>
          <w:sz w:val="20"/>
          <w:szCs w:val="20"/>
          <w:color w:val="auto"/>
        </w:rPr>
        <w:t>should be read in conjunction with the consolidated financial statements and notes thereto of Aqua America, Inc. and subsidiaries (collectively, the “Registrant”) included in Part II, Item 8 of the Form 10-K. The Parent’s significant accounting policies are consistent with those of the Registrant.</w:t>
      </w:r>
    </w:p>
    <w:p>
      <w:pPr>
        <w:spacing w:after="0" w:line="203" w:lineRule="exact"/>
        <w:rPr>
          <w:sz w:val="20"/>
          <w:szCs w:val="20"/>
          <w:color w:val="auto"/>
        </w:rPr>
      </w:pPr>
    </w:p>
    <w:p>
      <w:pPr>
        <w:jc w:val="both"/>
        <w:ind w:right="220"/>
        <w:spacing w:after="0" w:line="291" w:lineRule="auto"/>
        <w:rPr>
          <w:sz w:val="20"/>
          <w:szCs w:val="20"/>
          <w:color w:val="auto"/>
        </w:rPr>
      </w:pPr>
      <w:r>
        <w:rPr>
          <w:rFonts w:ascii="Arial" w:cs="Arial" w:eastAsia="Arial" w:hAnsi="Arial"/>
          <w:sz w:val="18"/>
          <w:szCs w:val="18"/>
          <w:color w:val="auto"/>
        </w:rPr>
        <w:t>The Parent borrows from third parties and provides funds to its subsidiaries, in support of their operations. Amounts owed to the Parent for borrowings under this facility are reflected as inter-company receivables on the condensed balance sheets. The interest rate charged to the subsidiaries is sufficient to cover the Parent’s interest costs under its associated borrowings.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2018 and 2017, the Parent had a current accounts receivable – affiliates balance of $104,494 and</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$55,108. As of December 31, 2018 and 2017, the Parent had a notes receivable – affiliates balance of $369,740 and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$329,738. The changes in these balances represent non-cash adjustments that are recorded through the Parent’s investment in</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subsidiaries.</w:t>
      </w:r>
    </w:p>
    <w:p>
      <w:pPr>
        <w:spacing w:after="0" w:line="213" w:lineRule="exact"/>
        <w:rPr>
          <w:sz w:val="20"/>
          <w:szCs w:val="20"/>
          <w:color w:val="auto"/>
        </w:rPr>
      </w:pPr>
    </w:p>
    <w:p>
      <w:pPr>
        <w:ind w:right="560"/>
        <w:spacing w:after="0" w:line="269" w:lineRule="auto"/>
        <w:rPr>
          <w:sz w:val="20"/>
          <w:szCs w:val="20"/>
          <w:color w:val="auto"/>
        </w:rPr>
      </w:pPr>
      <w:r>
        <w:rPr>
          <w:rFonts w:ascii="Arial" w:cs="Arial" w:eastAsia="Arial" w:hAnsi="Arial"/>
          <w:sz w:val="19"/>
          <w:szCs w:val="19"/>
          <w:color w:val="auto"/>
        </w:rPr>
        <w:t>In the ordinary course of business, the Parent indemnifies a third-party for surety bonds issued on behalf of subsidiary companies, guarantees the performance of one of its regulated utilities in a jurisdiction that requires such guarantees, and guarantees several projects associated with the treatment of water in a jurisdiction.</w:t>
      </w:r>
    </w:p>
    <w:p>
      <w:pPr>
        <w:spacing w:after="0" w:line="178" w:lineRule="exact"/>
        <w:rPr>
          <w:sz w:val="20"/>
          <w:szCs w:val="20"/>
          <w:color w:val="auto"/>
        </w:rPr>
      </w:pPr>
    </w:p>
    <w:p>
      <w:pPr>
        <w:ind w:right="180"/>
        <w:spacing w:after="0" w:line="293" w:lineRule="auto"/>
        <w:rPr>
          <w:sz w:val="20"/>
          <w:szCs w:val="20"/>
          <w:color w:val="auto"/>
        </w:rPr>
      </w:pPr>
      <w:r>
        <w:rPr>
          <w:rFonts w:ascii="Arial" w:cs="Arial" w:eastAsia="Arial" w:hAnsi="Arial"/>
          <w:sz w:val="19"/>
          <w:szCs w:val="19"/>
          <w:b w:val="1"/>
          <w:bCs w:val="1"/>
          <w:color w:val="auto"/>
        </w:rPr>
        <w:t xml:space="preserve">Note 2 – </w:t>
      </w:r>
      <w:r>
        <w:rPr>
          <w:rFonts w:ascii="Arial" w:cs="Arial" w:eastAsia="Arial" w:hAnsi="Arial"/>
          <w:sz w:val="19"/>
          <w:szCs w:val="19"/>
          <w:b w:val="1"/>
          <w:bCs w:val="1"/>
          <w:i w:val="1"/>
          <w:iCs w:val="1"/>
          <w:color w:val="auto"/>
        </w:rPr>
        <w:t>Dividends from 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 Dividends in the amount of $81,250 $51,100, and $45,750 were paid to the Parent by</w:t>
      </w:r>
      <w:r>
        <w:rPr>
          <w:rFonts w:ascii="Arial" w:cs="Arial" w:eastAsia="Arial" w:hAnsi="Arial"/>
          <w:sz w:val="19"/>
          <w:szCs w:val="19"/>
          <w:b w:val="1"/>
          <w:bCs w:val="1"/>
          <w:color w:val="auto"/>
        </w:rPr>
        <w:t xml:space="preserve"> </w:t>
      </w:r>
      <w:r>
        <w:rPr>
          <w:rFonts w:ascii="Arial" w:cs="Arial" w:eastAsia="Arial" w:hAnsi="Arial"/>
          <w:sz w:val="19"/>
          <w:szCs w:val="19"/>
          <w:color w:val="auto"/>
        </w:rPr>
        <w:t>its wholly-owned subsidiaries during the years ended December 31, 2018, 2017, and 2016, respectively.</w:t>
      </w:r>
    </w:p>
    <w:p>
      <w:pPr>
        <w:spacing w:after="0" w:line="155"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 xml:space="preserve">Note 3 – </w:t>
      </w:r>
      <w:r>
        <w:rPr>
          <w:rFonts w:ascii="Arial" w:cs="Arial" w:eastAsia="Arial" w:hAnsi="Arial"/>
          <w:sz w:val="20"/>
          <w:szCs w:val="20"/>
          <w:b w:val="1"/>
          <w:bCs w:val="1"/>
          <w:i w:val="1"/>
          <w:iCs w:val="1"/>
          <w:color w:val="auto"/>
        </w:rPr>
        <w:t>Long-term debt</w:t>
      </w:r>
      <w:r>
        <w:rPr>
          <w:rFonts w:ascii="Arial" w:cs="Arial" w:eastAsia="Arial" w:hAnsi="Arial"/>
          <w:sz w:val="20"/>
          <w:szCs w:val="20"/>
          <w:b w:val="1"/>
          <w:bCs w:val="1"/>
          <w:color w:val="auto"/>
        </w:rPr>
        <w:t xml:space="preserve"> </w:t>
      </w:r>
      <w:r>
        <w:rPr>
          <w:rFonts w:ascii="Arial" w:cs="Arial" w:eastAsia="Arial" w:hAnsi="Arial"/>
          <w:sz w:val="20"/>
          <w:szCs w:val="20"/>
          <w:color w:val="auto"/>
        </w:rPr>
        <w:t>– the Parent has long-term debt under unsecured note purchase agreements with investors in addition</w:t>
      </w:r>
      <w:r>
        <w:rPr>
          <w:rFonts w:ascii="Arial" w:cs="Arial" w:eastAsia="Arial" w:hAnsi="Arial"/>
          <w:sz w:val="20"/>
          <w:szCs w:val="20"/>
          <w:b w:val="1"/>
          <w:bCs w:val="1"/>
          <w:color w:val="auto"/>
        </w:rPr>
        <w:t xml:space="preserve"> </w:t>
      </w:r>
      <w:r>
        <w:rPr>
          <w:rFonts w:ascii="Arial" w:cs="Arial" w:eastAsia="Arial" w:hAnsi="Arial"/>
          <w:sz w:val="20"/>
          <w:szCs w:val="20"/>
          <w:color w:val="auto"/>
        </w:rPr>
        <w:t>to its $550,000 revolving credit agreement. Excluding amounts due under the revolving credit agreement, the debt maturities of the Parent’s long-term debt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80" w:type="dxa"/>
            <w:vAlign w:val="bottom"/>
            <w:gridSpan w:val="2"/>
          </w:tcPr>
          <w:p>
            <w:pPr>
              <w:jc w:val="center"/>
              <w:ind w:right="680"/>
              <w:spacing w:after="0"/>
              <w:rPr>
                <w:sz w:val="20"/>
                <w:szCs w:val="20"/>
                <w:color w:val="auto"/>
              </w:rPr>
            </w:pPr>
            <w:r>
              <w:rPr>
                <w:rFonts w:ascii="Arial" w:cs="Arial" w:eastAsia="Arial" w:hAnsi="Arial"/>
                <w:sz w:val="20"/>
                <w:szCs w:val="20"/>
                <w:color w:val="auto"/>
                <w:w w:val="85"/>
              </w:rPr>
              <w:t>Year</w:t>
            </w:r>
          </w:p>
        </w:tc>
        <w:tc>
          <w:tcPr>
            <w:tcW w:w="1800" w:type="dxa"/>
            <w:vAlign w:val="bottom"/>
          </w:tcPr>
          <w:p>
            <w:pPr>
              <w:spacing w:after="0"/>
              <w:rPr>
                <w:sz w:val="21"/>
                <w:szCs w:val="21"/>
                <w:color w:val="auto"/>
              </w:rPr>
            </w:pPr>
          </w:p>
        </w:tc>
        <w:tc>
          <w:tcPr>
            <w:tcW w:w="4040" w:type="dxa"/>
            <w:vAlign w:val="bottom"/>
          </w:tcPr>
          <w:p>
            <w:pPr>
              <w:ind w:left="880"/>
              <w:spacing w:after="0"/>
              <w:rPr>
                <w:sz w:val="20"/>
                <w:szCs w:val="20"/>
                <w:color w:val="auto"/>
              </w:rPr>
            </w:pPr>
            <w:r>
              <w:rPr>
                <w:rFonts w:ascii="Arial" w:cs="Arial" w:eastAsia="Arial" w:hAnsi="Arial"/>
                <w:sz w:val="20"/>
                <w:szCs w:val="20"/>
                <w:color w:val="auto"/>
              </w:rPr>
              <w:t>Debt Maturity</w:t>
            </w:r>
          </w:p>
        </w:tc>
        <w:tc>
          <w:tcPr>
            <w:tcW w:w="20" w:type="dxa"/>
            <w:vAlign w:val="bottom"/>
          </w:tcPr>
          <w:p>
            <w:pPr>
              <w:spacing w:after="0"/>
              <w:rPr>
                <w:sz w:val="21"/>
                <w:szCs w:val="21"/>
                <w:color w:val="auto"/>
              </w:rPr>
            </w:pPr>
          </w:p>
        </w:tc>
      </w:tr>
      <w:tr>
        <w:trPr>
          <w:trHeight w:val="250"/>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89"/>
              </w:rPr>
              <w:t>2019</w:t>
            </w:r>
          </w:p>
        </w:tc>
        <w:tc>
          <w:tcPr>
            <w:tcW w:w="68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tcBorders>
            <w:shd w:val="clear" w:color="auto" w:fill="CCEEFF"/>
          </w:tcPr>
          <w:p>
            <w:pPr>
              <w:jc w:val="right"/>
              <w:ind w:right="1045"/>
              <w:spacing w:after="0"/>
              <w:rPr>
                <w:sz w:val="20"/>
                <w:szCs w:val="20"/>
                <w:color w:val="auto"/>
              </w:rPr>
            </w:pPr>
            <w:r>
              <w:rPr>
                <w:rFonts w:ascii="Arial" w:cs="Arial" w:eastAsia="Arial" w:hAnsi="Arial"/>
                <w:sz w:val="20"/>
                <w:szCs w:val="20"/>
                <w:color w:val="auto"/>
              </w:rPr>
              <w:t>$</w:t>
            </w:r>
          </w:p>
        </w:tc>
        <w:tc>
          <w:tcPr>
            <w:tcW w:w="4040" w:type="dxa"/>
            <w:vAlign w:val="bottom"/>
            <w:tcBorders>
              <w:top w:val="single" w:sz="8" w:color="auto"/>
            </w:tcBorders>
            <w:shd w:val="clear" w:color="auto" w:fill="CCEEFF"/>
          </w:tcPr>
          <w:p>
            <w:pPr>
              <w:jc w:val="center"/>
              <w:ind w:right="1041"/>
              <w:spacing w:after="0"/>
              <w:rPr>
                <w:sz w:val="20"/>
                <w:szCs w:val="20"/>
                <w:color w:val="auto"/>
              </w:rPr>
            </w:pPr>
            <w:r>
              <w:rPr>
                <w:rFonts w:ascii="Arial" w:cs="Arial" w:eastAsia="Arial" w:hAnsi="Arial"/>
                <w:sz w:val="20"/>
                <w:szCs w:val="20"/>
                <w:color w:val="auto"/>
                <w:w w:val="88"/>
              </w:rPr>
              <w:t>50,000</w:t>
            </w:r>
          </w:p>
        </w:tc>
        <w:tc>
          <w:tcPr>
            <w:tcW w:w="20" w:type="dxa"/>
            <w:vAlign w:val="bottom"/>
          </w:tcPr>
          <w:p>
            <w:pPr>
              <w:spacing w:after="0"/>
              <w:rPr>
                <w:sz w:val="21"/>
                <w:szCs w:val="21"/>
                <w:color w:val="auto"/>
              </w:rPr>
            </w:pPr>
          </w:p>
        </w:tc>
      </w:tr>
      <w:tr>
        <w:trPr>
          <w:trHeight w:val="270"/>
        </w:trPr>
        <w:tc>
          <w:tcPr>
            <w:tcW w:w="3600" w:type="dxa"/>
            <w:vAlign w:val="bottom"/>
          </w:tcPr>
          <w:p>
            <w:pPr>
              <w:jc w:val="center"/>
              <w:spacing w:after="0"/>
              <w:rPr>
                <w:sz w:val="20"/>
                <w:szCs w:val="20"/>
                <w:color w:val="auto"/>
              </w:rPr>
            </w:pPr>
            <w:r>
              <w:rPr>
                <w:rFonts w:ascii="Arial" w:cs="Arial" w:eastAsia="Arial" w:hAnsi="Arial"/>
                <w:sz w:val="20"/>
                <w:szCs w:val="20"/>
                <w:color w:val="auto"/>
                <w:w w:val="89"/>
              </w:rPr>
              <w:t>2020</w:t>
            </w:r>
          </w:p>
        </w:tc>
        <w:tc>
          <w:tcPr>
            <w:tcW w:w="6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40" w:type="dxa"/>
            <w:vAlign w:val="bottom"/>
          </w:tcPr>
          <w:p>
            <w:pPr>
              <w:jc w:val="center"/>
              <w:ind w:right="1041"/>
              <w:spacing w:after="0"/>
              <w:rPr>
                <w:sz w:val="20"/>
                <w:szCs w:val="20"/>
                <w:color w:val="auto"/>
              </w:rPr>
            </w:pPr>
            <w:r>
              <w:rPr>
                <w:rFonts w:ascii="Arial" w:cs="Arial" w:eastAsia="Arial" w:hAnsi="Arial"/>
                <w:sz w:val="20"/>
                <w:szCs w:val="20"/>
                <w:color w:val="auto"/>
                <w:w w:val="88"/>
              </w:rPr>
              <w:t>28,200</w:t>
            </w:r>
          </w:p>
        </w:tc>
        <w:tc>
          <w:tcPr>
            <w:tcW w:w="20" w:type="dxa"/>
            <w:vAlign w:val="bottom"/>
          </w:tcPr>
          <w:p>
            <w:pPr>
              <w:spacing w:after="0"/>
              <w:rPr>
                <w:sz w:val="23"/>
                <w:szCs w:val="23"/>
                <w:color w:val="auto"/>
              </w:rPr>
            </w:pPr>
          </w:p>
        </w:tc>
      </w:tr>
      <w:tr>
        <w:trPr>
          <w:trHeight w:val="270"/>
        </w:trPr>
        <w:tc>
          <w:tcPr>
            <w:tcW w:w="36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2021</w:t>
            </w:r>
          </w:p>
        </w:tc>
        <w:tc>
          <w:tcPr>
            <w:tcW w:w="6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40" w:type="dxa"/>
            <w:vAlign w:val="bottom"/>
            <w:shd w:val="clear" w:color="auto" w:fill="CCEEFF"/>
          </w:tcPr>
          <w:p>
            <w:pPr>
              <w:jc w:val="center"/>
              <w:ind w:right="1041"/>
              <w:spacing w:after="0"/>
              <w:rPr>
                <w:sz w:val="20"/>
                <w:szCs w:val="20"/>
                <w:color w:val="auto"/>
              </w:rPr>
            </w:pPr>
            <w:r>
              <w:rPr>
                <w:rFonts w:ascii="Arial" w:cs="Arial" w:eastAsia="Arial" w:hAnsi="Arial"/>
                <w:sz w:val="20"/>
                <w:szCs w:val="20"/>
                <w:color w:val="auto"/>
                <w:w w:val="88"/>
              </w:rPr>
              <w:t>17,250</w:t>
            </w:r>
          </w:p>
        </w:tc>
        <w:tc>
          <w:tcPr>
            <w:tcW w:w="20" w:type="dxa"/>
            <w:vAlign w:val="bottom"/>
          </w:tcPr>
          <w:p>
            <w:pPr>
              <w:spacing w:after="0"/>
              <w:rPr>
                <w:sz w:val="23"/>
                <w:szCs w:val="23"/>
                <w:color w:val="auto"/>
              </w:rPr>
            </w:pPr>
          </w:p>
        </w:tc>
      </w:tr>
      <w:tr>
        <w:trPr>
          <w:trHeight w:val="270"/>
        </w:trPr>
        <w:tc>
          <w:tcPr>
            <w:tcW w:w="3600" w:type="dxa"/>
            <w:vAlign w:val="bottom"/>
          </w:tcPr>
          <w:p>
            <w:pPr>
              <w:jc w:val="center"/>
              <w:spacing w:after="0"/>
              <w:rPr>
                <w:sz w:val="20"/>
                <w:szCs w:val="20"/>
                <w:color w:val="auto"/>
              </w:rPr>
            </w:pPr>
            <w:r>
              <w:rPr>
                <w:rFonts w:ascii="Arial" w:cs="Arial" w:eastAsia="Arial" w:hAnsi="Arial"/>
                <w:sz w:val="20"/>
                <w:szCs w:val="20"/>
                <w:color w:val="auto"/>
                <w:w w:val="89"/>
              </w:rPr>
              <w:t>2022</w:t>
            </w:r>
          </w:p>
        </w:tc>
        <w:tc>
          <w:tcPr>
            <w:tcW w:w="6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40" w:type="dxa"/>
            <w:vAlign w:val="bottom"/>
          </w:tcPr>
          <w:p>
            <w:pPr>
              <w:jc w:val="center"/>
              <w:ind w:right="1041"/>
              <w:spacing w:after="0"/>
              <w:rPr>
                <w:sz w:val="20"/>
                <w:szCs w:val="20"/>
                <w:color w:val="auto"/>
              </w:rPr>
            </w:pPr>
            <w:r>
              <w:rPr>
                <w:rFonts w:ascii="Arial" w:cs="Arial" w:eastAsia="Arial" w:hAnsi="Arial"/>
                <w:sz w:val="20"/>
                <w:szCs w:val="20"/>
                <w:color w:val="auto"/>
                <w:w w:val="88"/>
              </w:rPr>
              <w:t>17,250</w:t>
            </w:r>
          </w:p>
        </w:tc>
        <w:tc>
          <w:tcPr>
            <w:tcW w:w="20" w:type="dxa"/>
            <w:vAlign w:val="bottom"/>
          </w:tcPr>
          <w:p>
            <w:pPr>
              <w:spacing w:after="0"/>
              <w:rPr>
                <w:sz w:val="23"/>
                <w:szCs w:val="23"/>
                <w:color w:val="auto"/>
              </w:rPr>
            </w:pPr>
          </w:p>
        </w:tc>
      </w:tr>
      <w:tr>
        <w:trPr>
          <w:trHeight w:val="270"/>
        </w:trPr>
        <w:tc>
          <w:tcPr>
            <w:tcW w:w="36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2023</w:t>
            </w:r>
          </w:p>
        </w:tc>
        <w:tc>
          <w:tcPr>
            <w:tcW w:w="6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40" w:type="dxa"/>
            <w:vAlign w:val="bottom"/>
            <w:shd w:val="clear" w:color="auto" w:fill="CCEEFF"/>
          </w:tcPr>
          <w:p>
            <w:pPr>
              <w:jc w:val="center"/>
              <w:ind w:right="1041"/>
              <w:spacing w:after="0"/>
              <w:rPr>
                <w:sz w:val="20"/>
                <w:szCs w:val="20"/>
                <w:color w:val="auto"/>
              </w:rPr>
            </w:pPr>
            <w:r>
              <w:rPr>
                <w:rFonts w:ascii="Arial" w:cs="Arial" w:eastAsia="Arial" w:hAnsi="Arial"/>
                <w:sz w:val="20"/>
                <w:szCs w:val="20"/>
                <w:color w:val="auto"/>
                <w:w w:val="88"/>
              </w:rPr>
              <w:t>10,800</w:t>
            </w:r>
          </w:p>
        </w:tc>
        <w:tc>
          <w:tcPr>
            <w:tcW w:w="20" w:type="dxa"/>
            <w:vAlign w:val="bottom"/>
          </w:tcPr>
          <w:p>
            <w:pPr>
              <w:spacing w:after="0"/>
              <w:rPr>
                <w:sz w:val="23"/>
                <w:szCs w:val="23"/>
                <w:color w:val="auto"/>
              </w:rPr>
            </w:pPr>
          </w:p>
        </w:tc>
      </w:tr>
      <w:tr>
        <w:trPr>
          <w:trHeight w:val="274"/>
        </w:trPr>
        <w:tc>
          <w:tcPr>
            <w:tcW w:w="4280" w:type="dxa"/>
            <w:vAlign w:val="bottom"/>
            <w:gridSpan w:val="2"/>
          </w:tcPr>
          <w:p>
            <w:pPr>
              <w:jc w:val="center"/>
              <w:ind w:right="680"/>
              <w:spacing w:after="0"/>
              <w:rPr>
                <w:sz w:val="20"/>
                <w:szCs w:val="20"/>
                <w:color w:val="auto"/>
              </w:rPr>
            </w:pPr>
            <w:r>
              <w:rPr>
                <w:rFonts w:ascii="Arial" w:cs="Arial" w:eastAsia="Arial" w:hAnsi="Arial"/>
                <w:sz w:val="20"/>
                <w:szCs w:val="20"/>
                <w:color w:val="auto"/>
                <w:w w:val="90"/>
              </w:rPr>
              <w:t>Thereafter</w:t>
            </w:r>
          </w:p>
        </w:tc>
        <w:tc>
          <w:tcPr>
            <w:tcW w:w="1800" w:type="dxa"/>
            <w:vAlign w:val="bottom"/>
          </w:tcPr>
          <w:p>
            <w:pPr>
              <w:spacing w:after="0"/>
              <w:rPr>
                <w:sz w:val="23"/>
                <w:szCs w:val="23"/>
                <w:color w:val="auto"/>
              </w:rPr>
            </w:pPr>
          </w:p>
        </w:tc>
        <w:tc>
          <w:tcPr>
            <w:tcW w:w="4040" w:type="dxa"/>
            <w:vAlign w:val="bottom"/>
          </w:tcPr>
          <w:p>
            <w:pPr>
              <w:jc w:val="center"/>
              <w:ind w:right="1061"/>
              <w:spacing w:after="0"/>
              <w:rPr>
                <w:sz w:val="20"/>
                <w:szCs w:val="20"/>
                <w:color w:val="auto"/>
              </w:rPr>
            </w:pPr>
            <w:r>
              <w:rPr>
                <w:rFonts w:ascii="Arial" w:cs="Arial" w:eastAsia="Arial" w:hAnsi="Arial"/>
                <w:sz w:val="20"/>
                <w:szCs w:val="20"/>
                <w:color w:val="auto"/>
                <w:w w:val="88"/>
              </w:rPr>
              <w:t>315,000</w:t>
            </w:r>
          </w:p>
        </w:tc>
        <w:tc>
          <w:tcPr>
            <w:tcW w:w="20" w:type="dxa"/>
            <w:vAlign w:val="bottom"/>
          </w:tcPr>
          <w:p>
            <w:pPr>
              <w:spacing w:after="0"/>
              <w:rPr>
                <w:sz w:val="23"/>
                <w:szCs w:val="23"/>
                <w:color w:val="auto"/>
              </w:rPr>
            </w:pPr>
          </w:p>
        </w:tc>
      </w:tr>
      <w:tr>
        <w:trPr>
          <w:trHeight w:val="874"/>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jc w:val="right"/>
              <w:ind w:right="805"/>
              <w:spacing w:after="0"/>
              <w:rPr>
                <w:sz w:val="20"/>
                <w:szCs w:val="20"/>
                <w:color w:val="auto"/>
              </w:rPr>
            </w:pPr>
            <w:r>
              <w:rPr>
                <w:rFonts w:ascii="Arial" w:cs="Arial" w:eastAsia="Arial" w:hAnsi="Arial"/>
                <w:sz w:val="18"/>
                <w:szCs w:val="18"/>
                <w:color w:val="auto"/>
              </w:rPr>
              <w:t>121</w:t>
            </w: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6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36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800" w:type="dxa"/>
            <w:vAlign w:val="bottom"/>
            <w:tcBorders>
              <w:bottom w:val="single" w:sz="8" w:color="EEEEEE"/>
            </w:tcBorders>
          </w:tcPr>
          <w:p>
            <w:pPr>
              <w:spacing w:after="0" w:line="20" w:lineRule="exact"/>
              <w:rPr>
                <w:sz w:val="1"/>
                <w:szCs w:val="1"/>
                <w:color w:val="auto"/>
              </w:rPr>
            </w:pPr>
          </w:p>
        </w:tc>
        <w:tc>
          <w:tcPr>
            <w:tcW w:w="40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5" w:right="859" w:bottom="1440" w:gutter="0" w:footer="0" w:header="0"/>
        </w:sectPr>
      </w:pPr>
    </w:p>
    <w:bookmarkStart w:id="122" w:name="page123"/>
    <w:bookmarkEnd w:id="122"/>
    <w:p>
      <w:pPr>
        <w:jc w:val="right"/>
        <w:ind w:right="99"/>
        <w:spacing w:after="0"/>
        <w:rPr>
          <w:sz w:val="20"/>
          <w:szCs w:val="20"/>
          <w:color w:val="auto"/>
        </w:rPr>
      </w:pPr>
      <w:r>
        <w:rPr>
          <w:rFonts w:ascii="Arial" w:cs="Arial" w:eastAsia="Arial" w:hAnsi="Arial"/>
          <w:sz w:val="20"/>
          <w:szCs w:val="20"/>
          <w:b w:val="1"/>
          <w:bCs w:val="1"/>
          <w:color w:val="auto"/>
        </w:rPr>
        <w:t>Exhibit 4.1.11.1</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SCHEDULE OF SUPPLEMENTAL INDENTURES SUBSTANTIALLY IDENTICAL TO FORM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INDENTURE DURING AND AFTER 2014</w:t>
      </w:r>
    </w:p>
    <w:p>
      <w:pPr>
        <w:spacing w:after="0" w:line="146" w:lineRule="exact"/>
        <w:rPr>
          <w:sz w:val="20"/>
          <w:szCs w:val="20"/>
          <w:color w:val="auto"/>
        </w:rPr>
      </w:pPr>
    </w:p>
    <w:p>
      <w:pPr>
        <w:ind w:left="100" w:right="139"/>
        <w:spacing w:after="0" w:line="232" w:lineRule="auto"/>
        <w:rPr>
          <w:sz w:val="20"/>
          <w:szCs w:val="20"/>
          <w:color w:val="auto"/>
        </w:rPr>
      </w:pPr>
      <w:r>
        <w:rPr>
          <w:rFonts w:ascii="Arial" w:cs="Arial" w:eastAsia="Arial" w:hAnsi="Arial"/>
          <w:sz w:val="20"/>
          <w:szCs w:val="20"/>
          <w:color w:val="auto"/>
        </w:rPr>
        <w:t>In accordance with Instruction 2 to Item 601 of Regulation S-K, the Registrant has omitted filing the following Supplemental Indentures by and between Aqua Pennsylvania, Inc. and The Bank of New York Mellon Trust Company, N.A. because they are substantially identical in all material respects to the form of Supplemental Indenture filed as Exhibit 4.1.5 to Aqua America, Inc.’s Annual Report on Form 10-K for the fiscal year ended December 31, 2015:</w:t>
      </w:r>
    </w:p>
    <w:p>
      <w:pPr>
        <w:spacing w:after="0" w:line="158" w:lineRule="exact"/>
        <w:rPr>
          <w:sz w:val="20"/>
          <w:szCs w:val="20"/>
          <w:color w:val="auto"/>
        </w:rPr>
      </w:pPr>
    </w:p>
    <w:p>
      <w:pPr>
        <w:ind w:left="760" w:hanging="331"/>
        <w:spacing w:after="0"/>
        <w:tabs>
          <w:tab w:leader="none" w:pos="7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Forty-Ninth Supplemental Indenture, dated as of December 1, 2014</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Fiftieth Supplemental Indenture, dated as of November 1, 2015</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Fifty-First Supplemental Indenture, dated as of November 1, 2016</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Fifty-Second Supplemental Indenture, dated as of June 15, 2017</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Fifty-Third Supplemental Indenture, dated as of June 1, 2018</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Fifty-Fourth Supplemental Indenture, dated as of October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375285</wp:posOffset>
            </wp:positionV>
            <wp:extent cx="5642610" cy="51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3" w:name="page124"/>
    <w:bookmarkEnd w:id="123"/>
    <w:p>
      <w:pPr>
        <w:jc w:val="right"/>
        <w:ind w:right="99"/>
        <w:spacing w:after="0"/>
        <w:rPr>
          <w:sz w:val="20"/>
          <w:szCs w:val="20"/>
          <w:color w:val="auto"/>
        </w:rPr>
      </w:pPr>
      <w:r>
        <w:rPr>
          <w:rFonts w:ascii="Arial" w:cs="Arial" w:eastAsia="Arial" w:hAnsi="Arial"/>
          <w:sz w:val="22"/>
          <w:szCs w:val="22"/>
          <w:b w:val="1"/>
          <w:bCs w:val="1"/>
          <w:color w:val="auto"/>
        </w:rPr>
        <w:t>Exhibit 4.15</w:t>
      </w:r>
    </w:p>
    <w:p>
      <w:pPr>
        <w:spacing w:after="0" w:line="240" w:lineRule="exact"/>
        <w:rPr>
          <w:sz w:val="20"/>
          <w:szCs w:val="20"/>
          <w:color w:val="auto"/>
        </w:rPr>
      </w:pPr>
    </w:p>
    <w:p>
      <w:pPr>
        <w:jc w:val="right"/>
        <w:ind w:right="99"/>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56000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1">
                      <a:extLst>
                        <a:ext uri="{28A0092B-C50C-407E-A947-70E740481C1C}"/>
                      </a:extLst>
                    </a:blip>
                    <a:srcRect/>
                    <a:stretch>
                      <a:fillRect/>
                    </a:stretch>
                  </pic:blipFill>
                  <pic:spPr bwMode="auto">
                    <a:xfrm>
                      <a:off x="0" y="0"/>
                      <a:ext cx="56000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PENNSYLVANIA, INC.</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$125,000,000</w:t>
      </w:r>
    </w:p>
    <w:p>
      <w:pPr>
        <w:spacing w:after="0" w:line="200" w:lineRule="exact"/>
        <w:rPr>
          <w:sz w:val="20"/>
          <w:szCs w:val="20"/>
          <w:color w:val="auto"/>
        </w:rPr>
      </w:pPr>
    </w:p>
    <w:p>
      <w:pPr>
        <w:spacing w:after="0" w:line="357" w:lineRule="exact"/>
        <w:rPr>
          <w:sz w:val="20"/>
          <w:szCs w:val="20"/>
          <w:color w:val="auto"/>
        </w:rPr>
      </w:pPr>
    </w:p>
    <w:p>
      <w:pPr>
        <w:jc w:val="both"/>
        <w:ind w:left="1940" w:right="1939"/>
        <w:spacing w:after="0" w:line="563" w:lineRule="auto"/>
        <w:rPr>
          <w:sz w:val="20"/>
          <w:szCs w:val="20"/>
          <w:color w:val="auto"/>
        </w:rPr>
      </w:pPr>
      <w:r>
        <w:rPr>
          <w:rFonts w:ascii="Arial" w:cs="Arial" w:eastAsia="Arial" w:hAnsi="Arial"/>
          <w:sz w:val="19"/>
          <w:szCs w:val="19"/>
          <w:color w:val="auto"/>
        </w:rPr>
        <w:t>$65,000,000 First Mortgage Bonds, 4.44% Series due 2047 $30,000,000 First Mortgage Bonds, 4.49% Series due 2052 $30,000,000 First Mortgage Bonds, 4.51% Series due 2053</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_____________</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BOND PURCHASE AGREEMENT</w:t>
      </w:r>
    </w:p>
    <w:p>
      <w:pPr>
        <w:spacing w:after="0" w:line="314"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_____________</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November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822325</wp:posOffset>
            </wp:positionV>
            <wp:extent cx="56000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2">
                      <a:extLst>
                        <a:ext uri="{28A0092B-C50C-407E-A947-70E740481C1C}"/>
                      </a:extLst>
                    </a:blip>
                    <a:srcRect/>
                    <a:stretch>
                      <a:fillRect/>
                    </a:stretch>
                  </pic:blipFill>
                  <pic:spPr bwMode="auto">
                    <a:xfrm>
                      <a:off x="0" y="0"/>
                      <a:ext cx="5600065" cy="2603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1924050</wp:posOffset>
            </wp:positionV>
            <wp:extent cx="6465570" cy="51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20" w:type="dxa"/>
            <w:vAlign w:val="bottom"/>
            <w:gridSpan w:val="2"/>
          </w:tcPr>
          <w:p>
            <w:pPr>
              <w:spacing w:after="0"/>
              <w:rPr>
                <w:sz w:val="20"/>
                <w:szCs w:val="20"/>
                <w:color w:val="auto"/>
              </w:rPr>
            </w:pPr>
            <w:r>
              <w:rPr>
                <w:rFonts w:ascii="Arial" w:cs="Arial" w:eastAsia="Arial" w:hAnsi="Arial"/>
                <w:sz w:val="20"/>
                <w:szCs w:val="20"/>
                <w:color w:val="auto"/>
              </w:rPr>
              <w:t>SECTION</w:t>
            </w: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8"/>
          </w:tcPr>
          <w:p>
            <w:pPr>
              <w:ind w:left="40"/>
              <w:spacing w:after="0"/>
              <w:rPr>
                <w:sz w:val="20"/>
                <w:szCs w:val="20"/>
                <w:color w:val="auto"/>
              </w:rPr>
            </w:pPr>
            <w:r>
              <w:rPr>
                <w:rFonts w:ascii="Arial" w:cs="Arial" w:eastAsia="Arial" w:hAnsi="Arial"/>
                <w:sz w:val="20"/>
                <w:szCs w:val="20"/>
                <w:color w:val="auto"/>
              </w:rPr>
              <w:t>HEADING</w:t>
            </w:r>
          </w:p>
        </w:tc>
        <w:tc>
          <w:tcPr>
            <w:tcW w:w="3140" w:type="dxa"/>
            <w:vAlign w:val="bottom"/>
          </w:tcPr>
          <w:p>
            <w:pPr>
              <w:jc w:val="right"/>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428"/>
        </w:trPr>
        <w:tc>
          <w:tcPr>
            <w:tcW w:w="1020" w:type="dxa"/>
            <w:vAlign w:val="bottom"/>
            <w:gridSpan w:val="2"/>
          </w:tcPr>
          <w:p>
            <w:pPr>
              <w:spacing w:after="0"/>
              <w:rPr>
                <w:rFonts w:ascii="Arial" w:cs="Arial" w:eastAsia="Arial" w:hAnsi="Arial"/>
                <w:sz w:val="20"/>
                <w:szCs w:val="20"/>
                <w:color w:val="0000EE"/>
                <w:w w:val="88"/>
              </w:rPr>
            </w:pPr>
            <w:hyperlink w:anchor="page129">
              <w:r>
                <w:rPr>
                  <w:rFonts w:ascii="Arial" w:cs="Arial" w:eastAsia="Arial" w:hAnsi="Arial"/>
                  <w:sz w:val="20"/>
                  <w:szCs w:val="20"/>
                  <w:color w:val="0000EE"/>
                  <w:w w:val="88"/>
                </w:rPr>
                <w:t>SECTION 1.</w:t>
              </w:r>
            </w:hyperlink>
          </w:p>
        </w:tc>
        <w:tc>
          <w:tcPr>
            <w:tcW w:w="5960" w:type="dxa"/>
            <w:vAlign w:val="bottom"/>
            <w:gridSpan w:val="31"/>
          </w:tcPr>
          <w:p>
            <w:pPr>
              <w:ind w:left="560"/>
              <w:spacing w:after="0"/>
              <w:rPr>
                <w:rFonts w:ascii="Arial" w:cs="Arial" w:eastAsia="Arial" w:hAnsi="Arial"/>
                <w:sz w:val="20"/>
                <w:szCs w:val="20"/>
                <w:color w:val="0000EE"/>
              </w:rPr>
            </w:pPr>
            <w:hyperlink w:anchor="page129">
              <w:r>
                <w:rPr>
                  <w:rFonts w:ascii="Arial" w:cs="Arial" w:eastAsia="Arial" w:hAnsi="Arial"/>
                  <w:sz w:val="20"/>
                  <w:szCs w:val="20"/>
                  <w:color w:val="0000EE"/>
                </w:rPr>
                <w:t>AUTHORIZATION OF BONDS</w:t>
              </w:r>
            </w:hyperlink>
          </w:p>
        </w:tc>
        <w:tc>
          <w:tcPr>
            <w:tcW w:w="314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gridSpan w:val="2"/>
          </w:tcPr>
          <w:p>
            <w:pPr>
              <w:spacing w:after="0"/>
              <w:rPr>
                <w:rFonts w:ascii="Arial" w:cs="Arial" w:eastAsia="Arial" w:hAnsi="Arial"/>
                <w:sz w:val="20"/>
                <w:szCs w:val="20"/>
                <w:color w:val="0000EE"/>
                <w:w w:val="88"/>
              </w:rPr>
            </w:pPr>
            <w:hyperlink w:anchor="page130">
              <w:r>
                <w:rPr>
                  <w:rFonts w:ascii="Arial" w:cs="Arial" w:eastAsia="Arial" w:hAnsi="Arial"/>
                  <w:sz w:val="20"/>
                  <w:szCs w:val="20"/>
                  <w:color w:val="0000EE"/>
                  <w:w w:val="88"/>
                </w:rPr>
                <w:t>SECTION 2.</w:t>
              </w:r>
            </w:hyperlink>
          </w:p>
        </w:tc>
        <w:tc>
          <w:tcPr>
            <w:tcW w:w="5960" w:type="dxa"/>
            <w:vAlign w:val="bottom"/>
            <w:gridSpan w:val="31"/>
          </w:tcPr>
          <w:p>
            <w:pPr>
              <w:ind w:left="560"/>
              <w:spacing w:after="0"/>
              <w:rPr>
                <w:rFonts w:ascii="Arial" w:cs="Arial" w:eastAsia="Arial" w:hAnsi="Arial"/>
                <w:sz w:val="20"/>
                <w:szCs w:val="20"/>
                <w:color w:val="0000EE"/>
              </w:rPr>
            </w:pPr>
            <w:hyperlink w:anchor="page130">
              <w:r>
                <w:rPr>
                  <w:rFonts w:ascii="Arial" w:cs="Arial" w:eastAsia="Arial" w:hAnsi="Arial"/>
                  <w:sz w:val="20"/>
                  <w:szCs w:val="20"/>
                  <w:color w:val="0000EE"/>
                </w:rPr>
                <w:t>SALE AND PURCHASE OF BONDS</w:t>
              </w:r>
            </w:hyperlink>
          </w:p>
        </w:tc>
        <w:tc>
          <w:tcPr>
            <w:tcW w:w="314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gridSpan w:val="2"/>
          </w:tcPr>
          <w:p>
            <w:pPr>
              <w:spacing w:after="0"/>
              <w:rPr>
                <w:rFonts w:ascii="Arial" w:cs="Arial" w:eastAsia="Arial" w:hAnsi="Arial"/>
                <w:sz w:val="20"/>
                <w:szCs w:val="20"/>
                <w:color w:val="0000EE"/>
                <w:w w:val="88"/>
              </w:rPr>
            </w:pPr>
            <w:hyperlink w:anchor="page130">
              <w:r>
                <w:rPr>
                  <w:rFonts w:ascii="Arial" w:cs="Arial" w:eastAsia="Arial" w:hAnsi="Arial"/>
                  <w:sz w:val="20"/>
                  <w:szCs w:val="20"/>
                  <w:color w:val="0000EE"/>
                  <w:w w:val="88"/>
                </w:rPr>
                <w:t>SECTION 3.</w:t>
              </w:r>
            </w:hyperlink>
          </w:p>
        </w:tc>
        <w:tc>
          <w:tcPr>
            <w:tcW w:w="5960" w:type="dxa"/>
            <w:vAlign w:val="bottom"/>
            <w:gridSpan w:val="31"/>
          </w:tcPr>
          <w:p>
            <w:pPr>
              <w:ind w:left="560"/>
              <w:spacing w:after="0"/>
              <w:rPr>
                <w:rFonts w:ascii="Arial" w:cs="Arial" w:eastAsia="Arial" w:hAnsi="Arial"/>
                <w:sz w:val="20"/>
                <w:szCs w:val="20"/>
                <w:color w:val="0000EE"/>
              </w:rPr>
            </w:pPr>
            <w:hyperlink w:anchor="page130">
              <w:r>
                <w:rPr>
                  <w:rFonts w:ascii="Arial" w:cs="Arial" w:eastAsia="Arial" w:hAnsi="Arial"/>
                  <w:sz w:val="20"/>
                  <w:szCs w:val="20"/>
                  <w:color w:val="0000EE"/>
                </w:rPr>
                <w:t>CLOSING</w:t>
              </w:r>
            </w:hyperlink>
          </w:p>
        </w:tc>
        <w:tc>
          <w:tcPr>
            <w:tcW w:w="314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gridSpan w:val="2"/>
          </w:tcPr>
          <w:p>
            <w:pPr>
              <w:spacing w:after="0"/>
              <w:rPr>
                <w:rFonts w:ascii="Arial" w:cs="Arial" w:eastAsia="Arial" w:hAnsi="Arial"/>
                <w:sz w:val="20"/>
                <w:szCs w:val="20"/>
                <w:color w:val="0000EE"/>
                <w:w w:val="88"/>
              </w:rPr>
            </w:pPr>
            <w:hyperlink w:anchor="page130">
              <w:r>
                <w:rPr>
                  <w:rFonts w:ascii="Arial" w:cs="Arial" w:eastAsia="Arial" w:hAnsi="Arial"/>
                  <w:sz w:val="20"/>
                  <w:szCs w:val="20"/>
                  <w:color w:val="0000EE"/>
                  <w:w w:val="88"/>
                </w:rPr>
                <w:t>SECTION 4.</w:t>
              </w:r>
            </w:hyperlink>
          </w:p>
        </w:tc>
        <w:tc>
          <w:tcPr>
            <w:tcW w:w="5960" w:type="dxa"/>
            <w:vAlign w:val="bottom"/>
            <w:gridSpan w:val="31"/>
          </w:tcPr>
          <w:p>
            <w:pPr>
              <w:ind w:left="560"/>
              <w:spacing w:after="0"/>
              <w:rPr>
                <w:rFonts w:ascii="Arial" w:cs="Arial" w:eastAsia="Arial" w:hAnsi="Arial"/>
                <w:sz w:val="20"/>
                <w:szCs w:val="20"/>
                <w:color w:val="0000EE"/>
              </w:rPr>
            </w:pPr>
            <w:hyperlink w:anchor="page130">
              <w:r>
                <w:rPr>
                  <w:rFonts w:ascii="Arial" w:cs="Arial" w:eastAsia="Arial" w:hAnsi="Arial"/>
                  <w:sz w:val="20"/>
                  <w:szCs w:val="20"/>
                  <w:color w:val="0000EE"/>
                </w:rPr>
                <w:t>CONDITIONS TO CLOSING</w:t>
              </w:r>
            </w:hyperlink>
          </w:p>
        </w:tc>
        <w:tc>
          <w:tcPr>
            <w:tcW w:w="314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40" w:type="dxa"/>
            <w:vAlign w:val="bottom"/>
          </w:tcPr>
          <w:p>
            <w:pPr>
              <w:spacing w:after="0"/>
              <w:rPr>
                <w:rFonts w:ascii="Arial" w:cs="Arial" w:eastAsia="Arial" w:hAnsi="Arial"/>
                <w:sz w:val="20"/>
                <w:szCs w:val="20"/>
                <w:color w:val="0000EE"/>
                <w:w w:val="87"/>
              </w:rPr>
            </w:pPr>
            <w:hyperlink w:anchor="page131">
              <w:r>
                <w:rPr>
                  <w:rFonts w:ascii="Arial" w:cs="Arial" w:eastAsia="Arial" w:hAnsi="Arial"/>
                  <w:sz w:val="20"/>
                  <w:szCs w:val="20"/>
                  <w:color w:val="0000EE"/>
                  <w:w w:val="87"/>
                </w:rPr>
                <w:t>Section 4.1.</w:t>
              </w:r>
            </w:hyperlink>
          </w:p>
        </w:tc>
        <w:tc>
          <w:tcPr>
            <w:tcW w:w="80" w:type="dxa"/>
            <w:vAlign w:val="bottom"/>
          </w:tcPr>
          <w:p>
            <w:pPr>
              <w:spacing w:after="0"/>
              <w:rPr>
                <w:sz w:val="24"/>
                <w:szCs w:val="24"/>
                <w:color w:val="auto"/>
              </w:rPr>
            </w:pPr>
          </w:p>
        </w:tc>
        <w:tc>
          <w:tcPr>
            <w:tcW w:w="5960" w:type="dxa"/>
            <w:vAlign w:val="bottom"/>
            <w:gridSpan w:val="31"/>
          </w:tcPr>
          <w:p>
            <w:pPr>
              <w:ind w:left="560"/>
              <w:spacing w:after="0"/>
              <w:rPr>
                <w:rFonts w:ascii="Arial" w:cs="Arial" w:eastAsia="Arial" w:hAnsi="Arial"/>
                <w:sz w:val="20"/>
                <w:szCs w:val="20"/>
                <w:color w:val="0000EE"/>
              </w:rPr>
            </w:pPr>
            <w:hyperlink w:anchor="page131">
              <w:r>
                <w:rPr>
                  <w:rFonts w:ascii="Arial" w:cs="Arial" w:eastAsia="Arial" w:hAnsi="Arial"/>
                  <w:sz w:val="20"/>
                  <w:szCs w:val="20"/>
                  <w:color w:val="0000EE"/>
                </w:rPr>
                <w:t>Representations and Warranties</w:t>
              </w:r>
            </w:hyperlink>
          </w:p>
        </w:tc>
        <w:tc>
          <w:tcPr>
            <w:tcW w:w="314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1">
              <w:r>
                <w:rPr>
                  <w:rFonts w:ascii="Arial" w:cs="Arial" w:eastAsia="Arial" w:hAnsi="Arial"/>
                  <w:sz w:val="20"/>
                  <w:szCs w:val="20"/>
                  <w:color w:val="0000EE"/>
                  <w:w w:val="87"/>
                </w:rPr>
                <w:t>Section 4.2.</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1">
              <w:r>
                <w:rPr>
                  <w:rFonts w:ascii="Arial" w:cs="Arial" w:eastAsia="Arial" w:hAnsi="Arial"/>
                  <w:sz w:val="20"/>
                  <w:szCs w:val="20"/>
                  <w:color w:val="0000EE"/>
                </w:rPr>
                <w:t>Performance; No Default</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1">
              <w:r>
                <w:rPr>
                  <w:rFonts w:ascii="Arial" w:cs="Arial" w:eastAsia="Arial" w:hAnsi="Arial"/>
                  <w:sz w:val="20"/>
                  <w:szCs w:val="20"/>
                  <w:color w:val="0000EE"/>
                  <w:w w:val="87"/>
                </w:rPr>
                <w:t>Section 4.3.</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1">
              <w:r>
                <w:rPr>
                  <w:rFonts w:ascii="Arial" w:cs="Arial" w:eastAsia="Arial" w:hAnsi="Arial"/>
                  <w:sz w:val="20"/>
                  <w:szCs w:val="20"/>
                  <w:color w:val="0000EE"/>
                </w:rPr>
                <w:t>Compliance Certificates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1">
              <w:r>
                <w:rPr>
                  <w:rFonts w:ascii="Arial" w:cs="Arial" w:eastAsia="Arial" w:hAnsi="Arial"/>
                  <w:sz w:val="20"/>
                  <w:szCs w:val="20"/>
                  <w:color w:val="0000EE"/>
                  <w:w w:val="87"/>
                </w:rPr>
                <w:t>Section 4.4.</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1">
              <w:r>
                <w:rPr>
                  <w:rFonts w:ascii="Arial" w:cs="Arial" w:eastAsia="Arial" w:hAnsi="Arial"/>
                  <w:sz w:val="20"/>
                  <w:szCs w:val="20"/>
                  <w:color w:val="0000EE"/>
                </w:rPr>
                <w:t>Opinions of Counsel</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2">
              <w:r>
                <w:rPr>
                  <w:rFonts w:ascii="Arial" w:cs="Arial" w:eastAsia="Arial" w:hAnsi="Arial"/>
                  <w:sz w:val="20"/>
                  <w:szCs w:val="20"/>
                  <w:color w:val="0000EE"/>
                  <w:w w:val="87"/>
                </w:rPr>
                <w:t>Section 4.5.</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2">
              <w:r>
                <w:rPr>
                  <w:rFonts w:ascii="Arial" w:cs="Arial" w:eastAsia="Arial" w:hAnsi="Arial"/>
                  <w:sz w:val="20"/>
                  <w:szCs w:val="20"/>
                  <w:color w:val="0000EE"/>
                </w:rPr>
                <w:t>Purchase Permitted by Applicable Law, Etc</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2">
              <w:r>
                <w:rPr>
                  <w:rFonts w:ascii="Arial" w:cs="Arial" w:eastAsia="Arial" w:hAnsi="Arial"/>
                  <w:sz w:val="20"/>
                  <w:szCs w:val="20"/>
                  <w:color w:val="0000EE"/>
                  <w:w w:val="87"/>
                </w:rPr>
                <w:t>Section 4.6.</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2">
              <w:r>
                <w:rPr>
                  <w:rFonts w:ascii="Arial" w:cs="Arial" w:eastAsia="Arial" w:hAnsi="Arial"/>
                  <w:sz w:val="20"/>
                  <w:szCs w:val="20"/>
                  <w:color w:val="0000EE"/>
                </w:rPr>
                <w:t>Sale of Bonds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2">
              <w:r>
                <w:rPr>
                  <w:rFonts w:ascii="Arial" w:cs="Arial" w:eastAsia="Arial" w:hAnsi="Arial"/>
                  <w:sz w:val="20"/>
                  <w:szCs w:val="20"/>
                  <w:color w:val="0000EE"/>
                  <w:w w:val="87"/>
                </w:rPr>
                <w:t>Section 4.7.</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2">
              <w:r>
                <w:rPr>
                  <w:rFonts w:ascii="Arial" w:cs="Arial" w:eastAsia="Arial" w:hAnsi="Arial"/>
                  <w:sz w:val="20"/>
                  <w:szCs w:val="20"/>
                  <w:color w:val="0000EE"/>
                </w:rPr>
                <w:t>Payment of Special Counsel Fees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2">
              <w:r>
                <w:rPr>
                  <w:rFonts w:ascii="Arial" w:cs="Arial" w:eastAsia="Arial" w:hAnsi="Arial"/>
                  <w:sz w:val="20"/>
                  <w:szCs w:val="20"/>
                  <w:color w:val="0000EE"/>
                  <w:w w:val="87"/>
                </w:rPr>
                <w:t>Section 4.8.</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2">
              <w:r>
                <w:rPr>
                  <w:rFonts w:ascii="Arial" w:cs="Arial" w:eastAsia="Arial" w:hAnsi="Arial"/>
                  <w:sz w:val="20"/>
                  <w:szCs w:val="20"/>
                  <w:color w:val="0000EE"/>
                </w:rPr>
                <w:t>Private Placement Number</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2">
              <w:r>
                <w:rPr>
                  <w:rFonts w:ascii="Arial" w:cs="Arial" w:eastAsia="Arial" w:hAnsi="Arial"/>
                  <w:sz w:val="20"/>
                  <w:szCs w:val="20"/>
                  <w:color w:val="0000EE"/>
                  <w:w w:val="87"/>
                </w:rPr>
                <w:t>Section 4.9.</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2">
              <w:r>
                <w:rPr>
                  <w:rFonts w:ascii="Arial" w:cs="Arial" w:eastAsia="Arial" w:hAnsi="Arial"/>
                  <w:sz w:val="20"/>
                  <w:szCs w:val="20"/>
                  <w:color w:val="0000EE"/>
                </w:rPr>
                <w:t>Changes in Corporate Structure</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2">
              <w:r>
                <w:rPr>
                  <w:rFonts w:ascii="Arial" w:cs="Arial" w:eastAsia="Arial" w:hAnsi="Arial"/>
                  <w:sz w:val="20"/>
                  <w:szCs w:val="20"/>
                  <w:color w:val="0000EE"/>
                  <w:w w:val="83"/>
                </w:rPr>
                <w:t>Section 4.10.</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2">
              <w:r>
                <w:rPr>
                  <w:rFonts w:ascii="Arial" w:cs="Arial" w:eastAsia="Arial" w:hAnsi="Arial"/>
                  <w:sz w:val="20"/>
                  <w:szCs w:val="20"/>
                  <w:color w:val="0000EE"/>
                </w:rPr>
                <w:t>Funding Instructions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3">
              <w:r>
                <w:rPr>
                  <w:rFonts w:ascii="Arial" w:cs="Arial" w:eastAsia="Arial" w:hAnsi="Arial"/>
                  <w:sz w:val="20"/>
                  <w:szCs w:val="20"/>
                  <w:color w:val="0000EE"/>
                  <w:w w:val="83"/>
                </w:rPr>
                <w:t>Section 4.11.</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3">
              <w:r>
                <w:rPr>
                  <w:rFonts w:ascii="Arial" w:cs="Arial" w:eastAsia="Arial" w:hAnsi="Arial"/>
                  <w:sz w:val="20"/>
                  <w:szCs w:val="20"/>
                  <w:color w:val="0000EE"/>
                </w:rPr>
                <w:t>Proceedings and Documents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vMerge w:val="restart"/>
          </w:tcPr>
          <w:p>
            <w:pPr>
              <w:spacing w:after="0"/>
              <w:rPr>
                <w:rFonts w:ascii="Arial" w:cs="Arial" w:eastAsia="Arial" w:hAnsi="Arial"/>
                <w:sz w:val="20"/>
                <w:szCs w:val="20"/>
                <w:color w:val="0000EE"/>
                <w:w w:val="83"/>
              </w:rPr>
            </w:pPr>
            <w:hyperlink w:anchor="page133">
              <w:r>
                <w:rPr>
                  <w:rFonts w:ascii="Arial" w:cs="Arial" w:eastAsia="Arial" w:hAnsi="Arial"/>
                  <w:sz w:val="20"/>
                  <w:szCs w:val="20"/>
                  <w:color w:val="0000EE"/>
                  <w:w w:val="83"/>
                </w:rPr>
                <w:t>Section 4.12.</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3">
              <w:r>
                <w:rPr>
                  <w:rFonts w:ascii="Arial" w:cs="Arial" w:eastAsia="Arial" w:hAnsi="Arial"/>
                  <w:sz w:val="20"/>
                  <w:szCs w:val="20"/>
                  <w:color w:val="0000EE"/>
                </w:rPr>
                <w:t>Execution and Delivery and Filing and Recording of the</w:t>
              </w:r>
            </w:hyperlink>
          </w:p>
        </w:tc>
        <w:tc>
          <w:tcPr>
            <w:tcW w:w="3140" w:type="dxa"/>
            <w:vAlign w:val="bottom"/>
            <w:vMerge w:val="restart"/>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102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020" w:type="dxa"/>
            <w:vAlign w:val="bottom"/>
            <w:tcBorders>
              <w:bottom w:val="single" w:sz="8" w:color="0000EE"/>
            </w:tcBorders>
            <w:gridSpan w:val="2"/>
            <w:vMerge w:val="continue"/>
          </w:tcPr>
          <w:p>
            <w:pPr>
              <w:spacing w:after="0"/>
              <w:rPr>
                <w:sz w:val="7"/>
                <w:szCs w:val="7"/>
                <w:color w:val="auto"/>
              </w:rPr>
            </w:pPr>
          </w:p>
        </w:tc>
        <w:tc>
          <w:tcPr>
            <w:tcW w:w="5960" w:type="dxa"/>
            <w:vAlign w:val="bottom"/>
            <w:gridSpan w:val="31"/>
            <w:vMerge w:val="restart"/>
          </w:tcPr>
          <w:p>
            <w:pPr>
              <w:ind w:left="560"/>
              <w:spacing w:after="0" w:line="209" w:lineRule="exact"/>
              <w:rPr>
                <w:rFonts w:ascii="Arial" w:cs="Arial" w:eastAsia="Arial" w:hAnsi="Arial"/>
                <w:sz w:val="20"/>
                <w:szCs w:val="20"/>
                <w:color w:val="0000EE"/>
              </w:rPr>
            </w:pPr>
            <w:hyperlink w:anchor="page133">
              <w:r>
                <w:rPr>
                  <w:rFonts w:ascii="Arial" w:cs="Arial" w:eastAsia="Arial" w:hAnsi="Arial"/>
                  <w:sz w:val="20"/>
                  <w:szCs w:val="20"/>
                  <w:color w:val="0000EE"/>
                </w:rPr>
                <w:t>Supplement</w:t>
              </w:r>
            </w:hyperlink>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5960" w:type="dxa"/>
            <w:vAlign w:val="bottom"/>
            <w:gridSpan w:val="31"/>
            <w:vMerge w:val="continue"/>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3">
              <w:r>
                <w:rPr>
                  <w:rFonts w:ascii="Arial" w:cs="Arial" w:eastAsia="Arial" w:hAnsi="Arial"/>
                  <w:sz w:val="20"/>
                  <w:szCs w:val="20"/>
                  <w:color w:val="0000EE"/>
                  <w:w w:val="83"/>
                </w:rPr>
                <w:t>Section 4.13.</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3">
              <w:r>
                <w:rPr>
                  <w:rFonts w:ascii="Arial" w:cs="Arial" w:eastAsia="Arial" w:hAnsi="Arial"/>
                  <w:sz w:val="20"/>
                  <w:szCs w:val="20"/>
                  <w:color w:val="0000EE"/>
                </w:rPr>
                <w:t>Regulatory Approvals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tcBorders>
              <w:bottom w:val="single" w:sz="8" w:color="0000EE"/>
            </w:tcBorders>
            <w:gridSpan w:val="2"/>
          </w:tcPr>
          <w:p>
            <w:pPr>
              <w:spacing w:after="0"/>
              <w:rPr>
                <w:rFonts w:ascii="Arial" w:cs="Arial" w:eastAsia="Arial" w:hAnsi="Arial"/>
                <w:sz w:val="20"/>
                <w:szCs w:val="20"/>
                <w:color w:val="0000EE"/>
                <w:w w:val="88"/>
              </w:rPr>
            </w:pPr>
            <w:hyperlink w:anchor="page133">
              <w:r>
                <w:rPr>
                  <w:rFonts w:ascii="Arial" w:cs="Arial" w:eastAsia="Arial" w:hAnsi="Arial"/>
                  <w:sz w:val="20"/>
                  <w:szCs w:val="20"/>
                  <w:color w:val="0000EE"/>
                  <w:w w:val="88"/>
                </w:rPr>
                <w:t>SECTION 5.</w:t>
              </w:r>
            </w:hyperlink>
          </w:p>
        </w:tc>
        <w:tc>
          <w:tcPr>
            <w:tcW w:w="560" w:type="dxa"/>
            <w:vAlign w:val="bottom"/>
          </w:tcPr>
          <w:p>
            <w:pPr>
              <w:spacing w:after="0"/>
              <w:rPr>
                <w:sz w:val="24"/>
                <w:szCs w:val="24"/>
                <w:color w:val="auto"/>
              </w:rPr>
            </w:pPr>
          </w:p>
        </w:tc>
        <w:tc>
          <w:tcPr>
            <w:tcW w:w="5400" w:type="dxa"/>
            <w:vAlign w:val="bottom"/>
            <w:tcBorders>
              <w:bottom w:val="single" w:sz="8" w:color="0000EE"/>
            </w:tcBorders>
            <w:gridSpan w:val="30"/>
          </w:tcPr>
          <w:p>
            <w:pPr>
              <w:ind w:left="40"/>
              <w:spacing w:after="0"/>
              <w:rPr>
                <w:rFonts w:ascii="Arial" w:cs="Arial" w:eastAsia="Arial" w:hAnsi="Arial"/>
                <w:sz w:val="20"/>
                <w:szCs w:val="20"/>
                <w:color w:val="0000EE"/>
                <w:w w:val="93"/>
              </w:rPr>
            </w:pPr>
            <w:hyperlink w:anchor="page133">
              <w:r>
                <w:rPr>
                  <w:rFonts w:ascii="Arial" w:cs="Arial" w:eastAsia="Arial" w:hAnsi="Arial"/>
                  <w:sz w:val="20"/>
                  <w:szCs w:val="20"/>
                  <w:color w:val="0000EE"/>
                  <w:w w:val="93"/>
                </w:rPr>
                <w:t>REPRESENTATIONS AND WARRANTIES OF THE COMPANY</w:t>
              </w:r>
            </w:hyperlink>
          </w:p>
        </w:tc>
        <w:tc>
          <w:tcPr>
            <w:tcW w:w="314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453"/>
        </w:trPr>
        <w:tc>
          <w:tcPr>
            <w:tcW w:w="940" w:type="dxa"/>
            <w:vAlign w:val="bottom"/>
          </w:tcPr>
          <w:p>
            <w:pPr>
              <w:spacing w:after="0"/>
              <w:rPr>
                <w:rFonts w:ascii="Arial" w:cs="Arial" w:eastAsia="Arial" w:hAnsi="Arial"/>
                <w:sz w:val="20"/>
                <w:szCs w:val="20"/>
                <w:color w:val="0000EE"/>
                <w:w w:val="87"/>
              </w:rPr>
            </w:pPr>
            <w:hyperlink w:anchor="page133">
              <w:r>
                <w:rPr>
                  <w:rFonts w:ascii="Arial" w:cs="Arial" w:eastAsia="Arial" w:hAnsi="Arial"/>
                  <w:sz w:val="20"/>
                  <w:szCs w:val="20"/>
                  <w:color w:val="0000EE"/>
                  <w:w w:val="87"/>
                </w:rPr>
                <w:t>Section 5.1.</w:t>
              </w:r>
            </w:hyperlink>
          </w:p>
        </w:tc>
        <w:tc>
          <w:tcPr>
            <w:tcW w:w="80" w:type="dxa"/>
            <w:vAlign w:val="bottom"/>
          </w:tcPr>
          <w:p>
            <w:pPr>
              <w:spacing w:after="0"/>
              <w:rPr>
                <w:sz w:val="24"/>
                <w:szCs w:val="24"/>
                <w:color w:val="auto"/>
              </w:rPr>
            </w:pPr>
          </w:p>
        </w:tc>
        <w:tc>
          <w:tcPr>
            <w:tcW w:w="5960" w:type="dxa"/>
            <w:vAlign w:val="bottom"/>
            <w:gridSpan w:val="31"/>
          </w:tcPr>
          <w:p>
            <w:pPr>
              <w:ind w:left="560"/>
              <w:spacing w:after="0"/>
              <w:rPr>
                <w:rFonts w:ascii="Arial" w:cs="Arial" w:eastAsia="Arial" w:hAnsi="Arial"/>
                <w:sz w:val="20"/>
                <w:szCs w:val="20"/>
                <w:color w:val="0000EE"/>
              </w:rPr>
            </w:pPr>
            <w:hyperlink w:anchor="page133">
              <w:r>
                <w:rPr>
                  <w:rFonts w:ascii="Arial" w:cs="Arial" w:eastAsia="Arial" w:hAnsi="Arial"/>
                  <w:sz w:val="20"/>
                  <w:szCs w:val="20"/>
                  <w:color w:val="0000EE"/>
                </w:rPr>
                <w:t>Organization; Power and Authority</w:t>
              </w:r>
            </w:hyperlink>
          </w:p>
        </w:tc>
        <w:tc>
          <w:tcPr>
            <w:tcW w:w="314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4">
              <w:r>
                <w:rPr>
                  <w:rFonts w:ascii="Arial" w:cs="Arial" w:eastAsia="Arial" w:hAnsi="Arial"/>
                  <w:sz w:val="20"/>
                  <w:szCs w:val="20"/>
                  <w:color w:val="0000EE"/>
                  <w:w w:val="87"/>
                </w:rPr>
                <w:t>Section 5.2.</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4">
              <w:r>
                <w:rPr>
                  <w:rFonts w:ascii="Arial" w:cs="Arial" w:eastAsia="Arial" w:hAnsi="Arial"/>
                  <w:sz w:val="20"/>
                  <w:szCs w:val="20"/>
                  <w:color w:val="0000EE"/>
                </w:rPr>
                <w:t>Authorization, Etc</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4">
              <w:r>
                <w:rPr>
                  <w:rFonts w:ascii="Arial" w:cs="Arial" w:eastAsia="Arial" w:hAnsi="Arial"/>
                  <w:sz w:val="20"/>
                  <w:szCs w:val="20"/>
                  <w:color w:val="0000EE"/>
                  <w:w w:val="87"/>
                </w:rPr>
                <w:t>Section 5.3.</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4">
              <w:r>
                <w:rPr>
                  <w:rFonts w:ascii="Arial" w:cs="Arial" w:eastAsia="Arial" w:hAnsi="Arial"/>
                  <w:sz w:val="20"/>
                  <w:szCs w:val="20"/>
                  <w:color w:val="0000EE"/>
                </w:rPr>
                <w:t>Disclosure</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4">
              <w:r>
                <w:rPr>
                  <w:rFonts w:ascii="Arial" w:cs="Arial" w:eastAsia="Arial" w:hAnsi="Arial"/>
                  <w:sz w:val="20"/>
                  <w:szCs w:val="20"/>
                  <w:color w:val="0000EE"/>
                  <w:w w:val="87"/>
                </w:rPr>
                <w:t>Section 5.4.</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4">
              <w:r>
                <w:rPr>
                  <w:rFonts w:ascii="Arial" w:cs="Arial" w:eastAsia="Arial" w:hAnsi="Arial"/>
                  <w:sz w:val="20"/>
                  <w:szCs w:val="20"/>
                  <w:color w:val="0000EE"/>
                </w:rPr>
                <w:t>Organization and Ownership of Shares of Subsidiaries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5">
              <w:r>
                <w:rPr>
                  <w:rFonts w:ascii="Arial" w:cs="Arial" w:eastAsia="Arial" w:hAnsi="Arial"/>
                  <w:sz w:val="20"/>
                  <w:szCs w:val="20"/>
                  <w:color w:val="0000EE"/>
                  <w:w w:val="87"/>
                </w:rPr>
                <w:t>Section 5.5.</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5">
              <w:r>
                <w:rPr>
                  <w:rFonts w:ascii="Arial" w:cs="Arial" w:eastAsia="Arial" w:hAnsi="Arial"/>
                  <w:sz w:val="20"/>
                  <w:szCs w:val="20"/>
                  <w:color w:val="0000EE"/>
                </w:rPr>
                <w:t>Financial Statements; Material Liabilities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5">
              <w:r>
                <w:rPr>
                  <w:rFonts w:ascii="Arial" w:cs="Arial" w:eastAsia="Arial" w:hAnsi="Arial"/>
                  <w:sz w:val="20"/>
                  <w:szCs w:val="20"/>
                  <w:color w:val="0000EE"/>
                  <w:w w:val="87"/>
                </w:rPr>
                <w:t>Section 5.6.</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5">
              <w:r>
                <w:rPr>
                  <w:rFonts w:ascii="Arial" w:cs="Arial" w:eastAsia="Arial" w:hAnsi="Arial"/>
                  <w:sz w:val="20"/>
                  <w:szCs w:val="20"/>
                  <w:color w:val="0000EE"/>
                </w:rPr>
                <w:t>Compliance with Laws, Other Instruments, Etc</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5">
              <w:r>
                <w:rPr>
                  <w:rFonts w:ascii="Arial" w:cs="Arial" w:eastAsia="Arial" w:hAnsi="Arial"/>
                  <w:sz w:val="20"/>
                  <w:szCs w:val="20"/>
                  <w:color w:val="0000EE"/>
                  <w:w w:val="87"/>
                </w:rPr>
                <w:t>Section 5.7.</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5">
              <w:r>
                <w:rPr>
                  <w:rFonts w:ascii="Arial" w:cs="Arial" w:eastAsia="Arial" w:hAnsi="Arial"/>
                  <w:sz w:val="20"/>
                  <w:szCs w:val="20"/>
                  <w:color w:val="0000EE"/>
                </w:rPr>
                <w:t>Governmental Authorizations, Etc</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5">
              <w:r>
                <w:rPr>
                  <w:rFonts w:ascii="Arial" w:cs="Arial" w:eastAsia="Arial" w:hAnsi="Arial"/>
                  <w:sz w:val="20"/>
                  <w:szCs w:val="20"/>
                  <w:color w:val="0000EE"/>
                  <w:w w:val="87"/>
                </w:rPr>
                <w:t>Section 5.8.</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5">
              <w:r>
                <w:rPr>
                  <w:rFonts w:ascii="Arial" w:cs="Arial" w:eastAsia="Arial" w:hAnsi="Arial"/>
                  <w:sz w:val="20"/>
                  <w:szCs w:val="20"/>
                  <w:color w:val="0000EE"/>
                </w:rPr>
                <w:t>Litigation; Observance of Statutes and Orders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line="209" w:lineRule="exact"/>
              <w:rPr>
                <w:rFonts w:ascii="Arial" w:cs="Arial" w:eastAsia="Arial" w:hAnsi="Arial"/>
                <w:sz w:val="20"/>
                <w:szCs w:val="20"/>
                <w:color w:val="0000EE"/>
                <w:w w:val="87"/>
              </w:rPr>
            </w:pPr>
            <w:hyperlink w:anchor="page136">
              <w:r>
                <w:rPr>
                  <w:rFonts w:ascii="Arial" w:cs="Arial" w:eastAsia="Arial" w:hAnsi="Arial"/>
                  <w:sz w:val="20"/>
                  <w:szCs w:val="20"/>
                  <w:color w:val="0000EE"/>
                  <w:w w:val="87"/>
                </w:rPr>
                <w:t>Section 5.9.</w:t>
              </w:r>
            </w:hyperlink>
          </w:p>
        </w:tc>
        <w:tc>
          <w:tcPr>
            <w:tcW w:w="80" w:type="dxa"/>
            <w:vAlign w:val="bottom"/>
          </w:tcPr>
          <w:p>
            <w:pPr>
              <w:spacing w:after="0"/>
              <w:rPr>
                <w:sz w:val="18"/>
                <w:szCs w:val="18"/>
                <w:color w:val="auto"/>
              </w:rPr>
            </w:pPr>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6">
              <w:r>
                <w:rPr>
                  <w:rFonts w:ascii="Arial" w:cs="Arial" w:eastAsia="Arial" w:hAnsi="Arial"/>
                  <w:sz w:val="20"/>
                  <w:szCs w:val="20"/>
                  <w:color w:val="0000EE"/>
                </w:rPr>
                <w:t>Taxes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6">
              <w:r>
                <w:rPr>
                  <w:rFonts w:ascii="Arial" w:cs="Arial" w:eastAsia="Arial" w:hAnsi="Arial"/>
                  <w:sz w:val="20"/>
                  <w:szCs w:val="20"/>
                  <w:color w:val="0000EE"/>
                  <w:w w:val="83"/>
                </w:rPr>
                <w:t>Section 5.10.</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6">
              <w:r>
                <w:rPr>
                  <w:rFonts w:ascii="Arial" w:cs="Arial" w:eastAsia="Arial" w:hAnsi="Arial"/>
                  <w:sz w:val="20"/>
                  <w:szCs w:val="20"/>
                  <w:color w:val="0000EE"/>
                </w:rPr>
                <w:t>Title to Property; Leases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6">
              <w:r>
                <w:rPr>
                  <w:rFonts w:ascii="Arial" w:cs="Arial" w:eastAsia="Arial" w:hAnsi="Arial"/>
                  <w:sz w:val="20"/>
                  <w:szCs w:val="20"/>
                  <w:color w:val="0000EE"/>
                  <w:w w:val="83"/>
                </w:rPr>
                <w:t>Section 5.11.</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6">
              <w:r>
                <w:rPr>
                  <w:rFonts w:ascii="Arial" w:cs="Arial" w:eastAsia="Arial" w:hAnsi="Arial"/>
                  <w:sz w:val="20"/>
                  <w:szCs w:val="20"/>
                  <w:color w:val="0000EE"/>
                </w:rPr>
                <w:t>Licenses, Permits, Etc</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6">
              <w:r>
                <w:rPr>
                  <w:rFonts w:ascii="Arial" w:cs="Arial" w:eastAsia="Arial" w:hAnsi="Arial"/>
                  <w:sz w:val="20"/>
                  <w:szCs w:val="20"/>
                  <w:color w:val="0000EE"/>
                  <w:w w:val="83"/>
                </w:rPr>
                <w:t>Section 5.12.</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6">
              <w:r>
                <w:rPr>
                  <w:rFonts w:ascii="Arial" w:cs="Arial" w:eastAsia="Arial" w:hAnsi="Arial"/>
                  <w:sz w:val="20"/>
                  <w:szCs w:val="20"/>
                  <w:color w:val="0000EE"/>
                </w:rPr>
                <w:t>Compliance with Employee Benefit Plans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7">
              <w:r>
                <w:rPr>
                  <w:rFonts w:ascii="Arial" w:cs="Arial" w:eastAsia="Arial" w:hAnsi="Arial"/>
                  <w:sz w:val="20"/>
                  <w:szCs w:val="20"/>
                  <w:color w:val="0000EE"/>
                  <w:w w:val="83"/>
                </w:rPr>
                <w:t>Section 5.13.</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7">
              <w:r>
                <w:rPr>
                  <w:rFonts w:ascii="Arial" w:cs="Arial" w:eastAsia="Arial" w:hAnsi="Arial"/>
                  <w:sz w:val="20"/>
                  <w:szCs w:val="20"/>
                  <w:color w:val="0000EE"/>
                </w:rPr>
                <w:t>Private Offering by the Company</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8">
              <w:r>
                <w:rPr>
                  <w:rFonts w:ascii="Arial" w:cs="Arial" w:eastAsia="Arial" w:hAnsi="Arial"/>
                  <w:sz w:val="20"/>
                  <w:szCs w:val="20"/>
                  <w:color w:val="0000EE"/>
                  <w:w w:val="83"/>
                </w:rPr>
                <w:t>Section 5.14.</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8">
              <w:r>
                <w:rPr>
                  <w:rFonts w:ascii="Arial" w:cs="Arial" w:eastAsia="Arial" w:hAnsi="Arial"/>
                  <w:sz w:val="20"/>
                  <w:szCs w:val="20"/>
                  <w:color w:val="0000EE"/>
                </w:rPr>
                <w:t>Use of Proceeds; Margin Regulations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8">
              <w:r>
                <w:rPr>
                  <w:rFonts w:ascii="Arial" w:cs="Arial" w:eastAsia="Arial" w:hAnsi="Arial"/>
                  <w:sz w:val="20"/>
                  <w:szCs w:val="20"/>
                  <w:color w:val="0000EE"/>
                  <w:w w:val="83"/>
                </w:rPr>
                <w:t>Section 5.15.</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8">
              <w:r>
                <w:rPr>
                  <w:rFonts w:ascii="Arial" w:cs="Arial" w:eastAsia="Arial" w:hAnsi="Arial"/>
                  <w:sz w:val="20"/>
                  <w:szCs w:val="20"/>
                  <w:color w:val="0000EE"/>
                </w:rPr>
                <w:t>Existing Debt</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8">
              <w:r>
                <w:rPr>
                  <w:rFonts w:ascii="Arial" w:cs="Arial" w:eastAsia="Arial" w:hAnsi="Arial"/>
                  <w:sz w:val="20"/>
                  <w:szCs w:val="20"/>
                  <w:color w:val="0000EE"/>
                  <w:w w:val="83"/>
                </w:rPr>
                <w:t>Section 5.16.</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8">
              <w:r>
                <w:rPr>
                  <w:rFonts w:ascii="Arial" w:cs="Arial" w:eastAsia="Arial" w:hAnsi="Arial"/>
                  <w:sz w:val="20"/>
                  <w:szCs w:val="20"/>
                  <w:color w:val="0000EE"/>
                </w:rPr>
                <w:t>Foreign Assets Control Regulations, Etc</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920" w:type="dxa"/>
            <w:vAlign w:val="bottom"/>
            <w:gridSpan w:val="9"/>
            <w:shd w:val="clear" w:color="auto" w:fill="0000EE"/>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9">
              <w:r>
                <w:rPr>
                  <w:rFonts w:ascii="Arial" w:cs="Arial" w:eastAsia="Arial" w:hAnsi="Arial"/>
                  <w:sz w:val="20"/>
                  <w:szCs w:val="20"/>
                  <w:color w:val="0000EE"/>
                  <w:w w:val="83"/>
                </w:rPr>
                <w:t>Section 5.17.</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9">
              <w:r>
                <w:rPr>
                  <w:rFonts w:ascii="Arial" w:cs="Arial" w:eastAsia="Arial" w:hAnsi="Arial"/>
                  <w:sz w:val="20"/>
                  <w:szCs w:val="20"/>
                  <w:color w:val="0000EE"/>
                </w:rPr>
                <w:t>Status under Certain Statutes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3120" w:type="dxa"/>
            <w:vAlign w:val="bottom"/>
            <w:gridSpan w:val="17"/>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tcPr>
          <w:p>
            <w:pPr>
              <w:spacing w:after="0" w:line="209" w:lineRule="exact"/>
              <w:rPr>
                <w:rFonts w:ascii="Arial" w:cs="Arial" w:eastAsia="Arial" w:hAnsi="Arial"/>
                <w:sz w:val="20"/>
                <w:szCs w:val="20"/>
                <w:color w:val="0000EE"/>
                <w:w w:val="83"/>
              </w:rPr>
            </w:pPr>
            <w:hyperlink w:anchor="page139">
              <w:r>
                <w:rPr>
                  <w:rFonts w:ascii="Arial" w:cs="Arial" w:eastAsia="Arial" w:hAnsi="Arial"/>
                  <w:sz w:val="20"/>
                  <w:szCs w:val="20"/>
                  <w:color w:val="0000EE"/>
                  <w:w w:val="83"/>
                </w:rPr>
                <w:t>Section 5.18.</w:t>
              </w:r>
            </w:hyperlink>
          </w:p>
        </w:tc>
        <w:tc>
          <w:tcPr>
            <w:tcW w:w="5960" w:type="dxa"/>
            <w:vAlign w:val="bottom"/>
            <w:gridSpan w:val="31"/>
          </w:tcPr>
          <w:p>
            <w:pPr>
              <w:ind w:left="560"/>
              <w:spacing w:after="0" w:line="209" w:lineRule="exact"/>
              <w:rPr>
                <w:rFonts w:ascii="Arial" w:cs="Arial" w:eastAsia="Arial" w:hAnsi="Arial"/>
                <w:sz w:val="20"/>
                <w:szCs w:val="20"/>
                <w:color w:val="0000EE"/>
              </w:rPr>
            </w:pPr>
            <w:hyperlink w:anchor="page139">
              <w:r>
                <w:rPr>
                  <w:rFonts w:ascii="Arial" w:cs="Arial" w:eastAsia="Arial" w:hAnsi="Arial"/>
                  <w:sz w:val="20"/>
                  <w:szCs w:val="20"/>
                  <w:color w:val="0000EE"/>
                </w:rPr>
                <w:t>Environmental Matters</w:t>
              </w:r>
            </w:hyperlink>
          </w:p>
        </w:tc>
        <w:tc>
          <w:tcPr>
            <w:tcW w:w="3140" w:type="dxa"/>
            <w:vAlign w:val="bottom"/>
          </w:tcPr>
          <w:p>
            <w:pPr>
              <w:jc w:val="right"/>
              <w:spacing w:after="0" w:line="209" w:lineRule="exact"/>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354965</wp:posOffset>
            </wp:positionV>
            <wp:extent cx="6465570" cy="51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55" w:right="87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0000EE"/>
            </w:tcBorders>
            <w:gridSpan w:val="5"/>
          </w:tcPr>
          <w:p>
            <w:pPr>
              <w:spacing w:after="0"/>
              <w:rPr>
                <w:rFonts w:ascii="Arial" w:cs="Arial" w:eastAsia="Arial" w:hAnsi="Arial"/>
                <w:sz w:val="21"/>
                <w:szCs w:val="21"/>
                <w:color w:val="0000EE"/>
                <w:w w:val="92"/>
              </w:rPr>
            </w:pPr>
            <w:hyperlink w:anchor="page140">
              <w:r>
                <w:rPr>
                  <w:rFonts w:ascii="Arial" w:cs="Arial" w:eastAsia="Arial" w:hAnsi="Arial"/>
                  <w:sz w:val="21"/>
                  <w:szCs w:val="21"/>
                  <w:color w:val="0000EE"/>
                  <w:w w:val="92"/>
                </w:rPr>
                <w:t>Section 5.19.</w:t>
              </w:r>
            </w:hyperlink>
          </w:p>
        </w:tc>
        <w:tc>
          <w:tcPr>
            <w:tcW w:w="680" w:type="dxa"/>
            <w:vAlign w:val="bottom"/>
            <w:gridSpan w:val="3"/>
          </w:tcPr>
          <w:p>
            <w:pPr>
              <w:spacing w:after="0"/>
              <w:rPr>
                <w:sz w:val="21"/>
                <w:szCs w:val="21"/>
                <w:color w:val="auto"/>
              </w:rPr>
            </w:pPr>
          </w:p>
        </w:tc>
        <w:tc>
          <w:tcPr>
            <w:tcW w:w="1460" w:type="dxa"/>
            <w:vAlign w:val="bottom"/>
            <w:tcBorders>
              <w:bottom w:val="single" w:sz="8" w:color="0000EE"/>
            </w:tcBorders>
            <w:gridSpan w:val="8"/>
          </w:tcPr>
          <w:p>
            <w:pPr>
              <w:spacing w:after="0"/>
              <w:rPr>
                <w:rFonts w:ascii="Arial" w:cs="Arial" w:eastAsia="Arial" w:hAnsi="Arial"/>
                <w:sz w:val="21"/>
                <w:szCs w:val="21"/>
                <w:color w:val="0000EE"/>
                <w:w w:val="91"/>
              </w:rPr>
            </w:pPr>
            <w:hyperlink w:anchor="page140">
              <w:r>
                <w:rPr>
                  <w:rFonts w:ascii="Arial" w:cs="Arial" w:eastAsia="Arial" w:hAnsi="Arial"/>
                  <w:sz w:val="21"/>
                  <w:szCs w:val="21"/>
                  <w:color w:val="0000EE"/>
                  <w:w w:val="91"/>
                </w:rPr>
                <w:t>Lien of Indenture</w:t>
              </w:r>
            </w:hyperlink>
          </w:p>
        </w:tc>
        <w:tc>
          <w:tcPr>
            <w:tcW w:w="5540" w:type="dxa"/>
            <w:vAlign w:val="bottom"/>
            <w:gridSpan w:val="22"/>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12</w:t>
            </w:r>
          </w:p>
        </w:tc>
        <w:tc>
          <w:tcPr>
            <w:tcW w:w="0" w:type="dxa"/>
            <w:vAlign w:val="bottom"/>
          </w:tcPr>
          <w:p>
            <w:pPr>
              <w:spacing w:after="0"/>
              <w:rPr>
                <w:sz w:val="1"/>
                <w:szCs w:val="1"/>
                <w:color w:val="auto"/>
              </w:rPr>
            </w:pPr>
          </w:p>
        </w:tc>
      </w:tr>
      <w:tr>
        <w:trPr>
          <w:trHeight w:val="223"/>
        </w:trPr>
        <w:tc>
          <w:tcPr>
            <w:tcW w:w="1140" w:type="dxa"/>
            <w:vAlign w:val="bottom"/>
            <w:gridSpan w:val="4"/>
          </w:tcPr>
          <w:p>
            <w:pPr>
              <w:spacing w:after="0" w:line="223" w:lineRule="exact"/>
              <w:rPr>
                <w:rFonts w:ascii="Arial" w:cs="Arial" w:eastAsia="Arial" w:hAnsi="Arial"/>
                <w:sz w:val="21"/>
                <w:szCs w:val="21"/>
                <w:color w:val="0000EE"/>
                <w:w w:val="89"/>
              </w:rPr>
            </w:pPr>
            <w:hyperlink w:anchor="page140">
              <w:r>
                <w:rPr>
                  <w:rFonts w:ascii="Arial" w:cs="Arial" w:eastAsia="Arial" w:hAnsi="Arial"/>
                  <w:sz w:val="21"/>
                  <w:szCs w:val="21"/>
                  <w:color w:val="0000EE"/>
                  <w:w w:val="89"/>
                </w:rPr>
                <w:t>Section 5.20.</w:t>
              </w:r>
            </w:hyperlink>
          </w:p>
        </w:tc>
        <w:tc>
          <w:tcPr>
            <w:tcW w:w="700" w:type="dxa"/>
            <w:vAlign w:val="bottom"/>
            <w:gridSpan w:val="4"/>
          </w:tcPr>
          <w:p>
            <w:pPr>
              <w:spacing w:after="0"/>
              <w:rPr>
                <w:sz w:val="19"/>
                <w:szCs w:val="19"/>
                <w:color w:val="auto"/>
              </w:rPr>
            </w:pPr>
          </w:p>
        </w:tc>
        <w:tc>
          <w:tcPr>
            <w:tcW w:w="7000" w:type="dxa"/>
            <w:vAlign w:val="bottom"/>
            <w:gridSpan w:val="30"/>
          </w:tcPr>
          <w:p>
            <w:pPr>
              <w:spacing w:after="0" w:line="223" w:lineRule="exact"/>
              <w:rPr>
                <w:rFonts w:ascii="Arial" w:cs="Arial" w:eastAsia="Arial" w:hAnsi="Arial"/>
                <w:sz w:val="21"/>
                <w:szCs w:val="21"/>
                <w:color w:val="0000EE"/>
              </w:rPr>
            </w:pPr>
            <w:hyperlink w:anchor="page140">
              <w:r>
                <w:rPr>
                  <w:rFonts w:ascii="Arial" w:cs="Arial" w:eastAsia="Arial" w:hAnsi="Arial"/>
                  <w:sz w:val="21"/>
                  <w:szCs w:val="21"/>
                  <w:color w:val="0000EE"/>
                </w:rPr>
                <w:t>Filings</w:t>
              </w:r>
            </w:hyperlink>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12</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00" w:type="dxa"/>
            <w:vAlign w:val="bottom"/>
            <w:tcBorders>
              <w:bottom w:val="single" w:sz="8" w:color="0000EE"/>
            </w:tcBorders>
            <w:gridSpan w:val="3"/>
          </w:tcPr>
          <w:p>
            <w:pPr>
              <w:spacing w:after="0"/>
              <w:rPr>
                <w:rFonts w:ascii="Arial" w:cs="Arial" w:eastAsia="Arial" w:hAnsi="Arial"/>
                <w:sz w:val="21"/>
                <w:szCs w:val="21"/>
                <w:color w:val="0000EE"/>
                <w:w w:val="92"/>
              </w:rPr>
            </w:pPr>
            <w:hyperlink w:anchor="page140">
              <w:r>
                <w:rPr>
                  <w:rFonts w:ascii="Arial" w:cs="Arial" w:eastAsia="Arial" w:hAnsi="Arial"/>
                  <w:sz w:val="21"/>
                  <w:szCs w:val="21"/>
                  <w:color w:val="0000EE"/>
                  <w:w w:val="92"/>
                </w:rPr>
                <w:t>SECTION 6.</w:t>
              </w:r>
            </w:hyperlink>
          </w:p>
        </w:tc>
        <w:tc>
          <w:tcPr>
            <w:tcW w:w="40" w:type="dxa"/>
            <w:vAlign w:val="bottom"/>
          </w:tcPr>
          <w:p>
            <w:pPr>
              <w:spacing w:after="0"/>
              <w:rPr>
                <w:sz w:val="24"/>
                <w:szCs w:val="24"/>
                <w:color w:val="auto"/>
              </w:rPr>
            </w:pPr>
          </w:p>
        </w:tc>
        <w:tc>
          <w:tcPr>
            <w:tcW w:w="700" w:type="dxa"/>
            <w:vAlign w:val="bottom"/>
            <w:gridSpan w:val="4"/>
          </w:tcPr>
          <w:p>
            <w:pPr>
              <w:spacing w:after="0"/>
              <w:rPr>
                <w:sz w:val="24"/>
                <w:szCs w:val="24"/>
                <w:color w:val="auto"/>
              </w:rPr>
            </w:pPr>
          </w:p>
        </w:tc>
        <w:tc>
          <w:tcPr>
            <w:tcW w:w="4100" w:type="dxa"/>
            <w:vAlign w:val="bottom"/>
            <w:tcBorders>
              <w:bottom w:val="single" w:sz="8" w:color="0000EE"/>
            </w:tcBorders>
            <w:gridSpan w:val="27"/>
          </w:tcPr>
          <w:p>
            <w:pPr>
              <w:ind w:left="60"/>
              <w:spacing w:after="0"/>
              <w:rPr>
                <w:rFonts w:ascii="Arial" w:cs="Arial" w:eastAsia="Arial" w:hAnsi="Arial"/>
                <w:sz w:val="21"/>
                <w:szCs w:val="21"/>
                <w:color w:val="0000EE"/>
                <w:w w:val="91"/>
              </w:rPr>
            </w:pPr>
            <w:hyperlink w:anchor="page140">
              <w:r>
                <w:rPr>
                  <w:rFonts w:ascii="Arial" w:cs="Arial" w:eastAsia="Arial" w:hAnsi="Arial"/>
                  <w:sz w:val="21"/>
                  <w:szCs w:val="21"/>
                  <w:color w:val="0000EE"/>
                  <w:w w:val="91"/>
                </w:rPr>
                <w:t>REPRESENTATIONS OF THE PURCHASERS</w:t>
              </w:r>
            </w:hyperlink>
          </w:p>
        </w:tc>
        <w:tc>
          <w:tcPr>
            <w:tcW w:w="290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12</w:t>
            </w:r>
          </w:p>
        </w:tc>
        <w:tc>
          <w:tcPr>
            <w:tcW w:w="0" w:type="dxa"/>
            <w:vAlign w:val="bottom"/>
          </w:tcPr>
          <w:p>
            <w:pPr>
              <w:spacing w:after="0"/>
              <w:rPr>
                <w:sz w:val="1"/>
                <w:szCs w:val="1"/>
                <w:color w:val="auto"/>
              </w:rPr>
            </w:pPr>
          </w:p>
        </w:tc>
      </w:tr>
      <w:tr>
        <w:trPr>
          <w:trHeight w:val="466"/>
        </w:trPr>
        <w:tc>
          <w:tcPr>
            <w:tcW w:w="920" w:type="dxa"/>
            <w:vAlign w:val="bottom"/>
            <w:tcBorders>
              <w:bottom w:val="single" w:sz="8" w:color="0000EE"/>
            </w:tcBorders>
          </w:tcPr>
          <w:p>
            <w:pPr>
              <w:spacing w:after="0"/>
              <w:rPr>
                <w:rFonts w:ascii="Arial" w:cs="Arial" w:eastAsia="Arial" w:hAnsi="Arial"/>
                <w:sz w:val="21"/>
                <w:szCs w:val="21"/>
                <w:color w:val="0000EE"/>
                <w:w w:val="79"/>
              </w:rPr>
            </w:pPr>
            <w:hyperlink w:anchor="page140">
              <w:r>
                <w:rPr>
                  <w:rFonts w:ascii="Arial" w:cs="Arial" w:eastAsia="Arial" w:hAnsi="Arial"/>
                  <w:sz w:val="21"/>
                  <w:szCs w:val="21"/>
                  <w:color w:val="0000EE"/>
                  <w:w w:val="79"/>
                </w:rPr>
                <w:t>Section 6.1.</w:t>
              </w:r>
            </w:hyperlink>
          </w:p>
        </w:tc>
        <w:tc>
          <w:tcPr>
            <w:tcW w:w="920" w:type="dxa"/>
            <w:vAlign w:val="bottom"/>
            <w:gridSpan w:val="7"/>
          </w:tcPr>
          <w:p>
            <w:pPr>
              <w:spacing w:after="0"/>
              <w:rPr>
                <w:sz w:val="24"/>
                <w:szCs w:val="24"/>
                <w:color w:val="auto"/>
              </w:rPr>
            </w:pPr>
          </w:p>
        </w:tc>
        <w:tc>
          <w:tcPr>
            <w:tcW w:w="2020" w:type="dxa"/>
            <w:vAlign w:val="bottom"/>
            <w:tcBorders>
              <w:bottom w:val="single" w:sz="8" w:color="0000EE"/>
            </w:tcBorders>
            <w:gridSpan w:val="14"/>
          </w:tcPr>
          <w:p>
            <w:pPr>
              <w:spacing w:after="0"/>
              <w:rPr>
                <w:rFonts w:ascii="Arial" w:cs="Arial" w:eastAsia="Arial" w:hAnsi="Arial"/>
                <w:sz w:val="21"/>
                <w:szCs w:val="21"/>
                <w:color w:val="0000EE"/>
                <w:w w:val="87"/>
              </w:rPr>
            </w:pPr>
            <w:hyperlink w:anchor="page140">
              <w:r>
                <w:rPr>
                  <w:rFonts w:ascii="Arial" w:cs="Arial" w:eastAsia="Arial" w:hAnsi="Arial"/>
                  <w:sz w:val="21"/>
                  <w:szCs w:val="21"/>
                  <w:color w:val="0000EE"/>
                  <w:w w:val="87"/>
                </w:rPr>
                <w:t>Purchase for Investment</w:t>
              </w:r>
            </w:hyperlink>
          </w:p>
        </w:tc>
        <w:tc>
          <w:tcPr>
            <w:tcW w:w="4980" w:type="dxa"/>
            <w:vAlign w:val="bottom"/>
            <w:gridSpan w:val="16"/>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12</w:t>
            </w:r>
          </w:p>
        </w:tc>
        <w:tc>
          <w:tcPr>
            <w:tcW w:w="0" w:type="dxa"/>
            <w:vAlign w:val="bottom"/>
          </w:tcPr>
          <w:p>
            <w:pPr>
              <w:spacing w:after="0"/>
              <w:rPr>
                <w:sz w:val="1"/>
                <w:szCs w:val="1"/>
                <w:color w:val="auto"/>
              </w:rPr>
            </w:pPr>
          </w:p>
        </w:tc>
      </w:tr>
      <w:tr>
        <w:trPr>
          <w:trHeight w:val="223"/>
        </w:trPr>
        <w:tc>
          <w:tcPr>
            <w:tcW w:w="920" w:type="dxa"/>
            <w:vAlign w:val="bottom"/>
          </w:tcPr>
          <w:p>
            <w:pPr>
              <w:spacing w:after="0" w:line="223" w:lineRule="exact"/>
              <w:rPr>
                <w:rFonts w:ascii="Arial" w:cs="Arial" w:eastAsia="Arial" w:hAnsi="Arial"/>
                <w:sz w:val="21"/>
                <w:szCs w:val="21"/>
                <w:color w:val="0000EE"/>
                <w:w w:val="79"/>
              </w:rPr>
            </w:pPr>
            <w:hyperlink w:anchor="page141">
              <w:r>
                <w:rPr>
                  <w:rFonts w:ascii="Arial" w:cs="Arial" w:eastAsia="Arial" w:hAnsi="Arial"/>
                  <w:sz w:val="21"/>
                  <w:szCs w:val="21"/>
                  <w:color w:val="0000EE"/>
                  <w:w w:val="79"/>
                </w:rPr>
                <w:t>Section 6.2.</w:t>
              </w:r>
            </w:hyperlink>
          </w:p>
        </w:tc>
        <w:tc>
          <w:tcPr>
            <w:tcW w:w="920" w:type="dxa"/>
            <w:vAlign w:val="bottom"/>
            <w:gridSpan w:val="7"/>
          </w:tcPr>
          <w:p>
            <w:pPr>
              <w:spacing w:after="0"/>
              <w:rPr>
                <w:sz w:val="19"/>
                <w:szCs w:val="19"/>
                <w:color w:val="auto"/>
              </w:rPr>
            </w:pPr>
          </w:p>
        </w:tc>
        <w:tc>
          <w:tcPr>
            <w:tcW w:w="7000" w:type="dxa"/>
            <w:vAlign w:val="bottom"/>
            <w:gridSpan w:val="30"/>
          </w:tcPr>
          <w:p>
            <w:pPr>
              <w:spacing w:after="0" w:line="223" w:lineRule="exact"/>
              <w:rPr>
                <w:rFonts w:ascii="Arial" w:cs="Arial" w:eastAsia="Arial" w:hAnsi="Arial"/>
                <w:sz w:val="21"/>
                <w:szCs w:val="21"/>
                <w:color w:val="0000EE"/>
              </w:rPr>
            </w:pPr>
            <w:hyperlink w:anchor="page141">
              <w:r>
                <w:rPr>
                  <w:rFonts w:ascii="Arial" w:cs="Arial" w:eastAsia="Arial" w:hAnsi="Arial"/>
                  <w:sz w:val="21"/>
                  <w:szCs w:val="21"/>
                  <w:color w:val="0000EE"/>
                </w:rPr>
                <w:t>Source of Funds</w:t>
              </w:r>
            </w:hyperlink>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13</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00" w:type="dxa"/>
            <w:vAlign w:val="bottom"/>
            <w:gridSpan w:val="3"/>
          </w:tcPr>
          <w:p>
            <w:pPr>
              <w:spacing w:after="0"/>
              <w:rPr>
                <w:rFonts w:ascii="Arial" w:cs="Arial" w:eastAsia="Arial" w:hAnsi="Arial"/>
                <w:sz w:val="21"/>
                <w:szCs w:val="21"/>
                <w:color w:val="0000EE"/>
                <w:w w:val="92"/>
              </w:rPr>
            </w:pPr>
            <w:hyperlink w:anchor="page142">
              <w:r>
                <w:rPr>
                  <w:rFonts w:ascii="Arial" w:cs="Arial" w:eastAsia="Arial" w:hAnsi="Arial"/>
                  <w:sz w:val="21"/>
                  <w:szCs w:val="21"/>
                  <w:color w:val="0000EE"/>
                  <w:w w:val="92"/>
                </w:rPr>
                <w:t>SECTION 7.</w:t>
              </w:r>
            </w:hyperlink>
          </w:p>
        </w:tc>
        <w:tc>
          <w:tcPr>
            <w:tcW w:w="740" w:type="dxa"/>
            <w:vAlign w:val="bottom"/>
            <w:gridSpan w:val="5"/>
          </w:tcPr>
          <w:p>
            <w:pPr>
              <w:spacing w:after="0"/>
              <w:rPr>
                <w:sz w:val="24"/>
                <w:szCs w:val="24"/>
                <w:color w:val="auto"/>
              </w:rPr>
            </w:pPr>
          </w:p>
        </w:tc>
        <w:tc>
          <w:tcPr>
            <w:tcW w:w="7000" w:type="dxa"/>
            <w:vAlign w:val="bottom"/>
            <w:gridSpan w:val="30"/>
          </w:tcPr>
          <w:p>
            <w:pPr>
              <w:spacing w:after="0"/>
              <w:rPr>
                <w:rFonts w:ascii="Arial" w:cs="Arial" w:eastAsia="Arial" w:hAnsi="Arial"/>
                <w:sz w:val="21"/>
                <w:szCs w:val="21"/>
                <w:color w:val="0000EE"/>
              </w:rPr>
            </w:pPr>
            <w:hyperlink w:anchor="page142">
              <w:r>
                <w:rPr>
                  <w:rFonts w:ascii="Arial" w:cs="Arial" w:eastAsia="Arial" w:hAnsi="Arial"/>
                  <w:sz w:val="21"/>
                  <w:szCs w:val="21"/>
                  <w:color w:val="0000EE"/>
                </w:rPr>
                <w:t>INFORMATION AS TO COMPANY</w:t>
              </w:r>
            </w:hyperlink>
          </w:p>
        </w:tc>
        <w:tc>
          <w:tcPr>
            <w:tcW w:w="1220" w:type="dxa"/>
            <w:vAlign w:val="bottom"/>
          </w:tcPr>
          <w:p>
            <w:pPr>
              <w:jc w:val="right"/>
              <w:spacing w:after="0"/>
              <w:rPr>
                <w:sz w:val="20"/>
                <w:szCs w:val="20"/>
                <w:color w:val="auto"/>
              </w:rPr>
            </w:pPr>
            <w:r>
              <w:rPr>
                <w:rFonts w:ascii="Arial" w:cs="Arial" w:eastAsia="Arial" w:hAnsi="Arial"/>
                <w:sz w:val="21"/>
                <w:szCs w:val="21"/>
                <w:color w:val="auto"/>
              </w:rPr>
              <w:t>14</w:t>
            </w:r>
          </w:p>
        </w:tc>
        <w:tc>
          <w:tcPr>
            <w:tcW w:w="0" w:type="dxa"/>
            <w:vAlign w:val="bottom"/>
          </w:tcPr>
          <w:p>
            <w:pPr>
              <w:spacing w:after="0"/>
              <w:rPr>
                <w:sz w:val="1"/>
                <w:szCs w:val="1"/>
                <w:color w:val="auto"/>
              </w:rPr>
            </w:pPr>
          </w:p>
        </w:tc>
      </w:tr>
      <w:tr>
        <w:trPr>
          <w:trHeight w:val="466"/>
        </w:trPr>
        <w:tc>
          <w:tcPr>
            <w:tcW w:w="920" w:type="dxa"/>
            <w:vAlign w:val="bottom"/>
            <w:tcBorders>
              <w:top w:val="single" w:sz="8" w:color="0000EE"/>
              <w:bottom w:val="single" w:sz="8" w:color="0000EE"/>
            </w:tcBorders>
          </w:tcPr>
          <w:p>
            <w:pPr>
              <w:spacing w:after="0"/>
              <w:rPr>
                <w:rFonts w:ascii="Arial" w:cs="Arial" w:eastAsia="Arial" w:hAnsi="Arial"/>
                <w:sz w:val="21"/>
                <w:szCs w:val="21"/>
                <w:color w:val="0000EE"/>
                <w:w w:val="79"/>
              </w:rPr>
            </w:pPr>
            <w:hyperlink w:anchor="page142">
              <w:r>
                <w:rPr>
                  <w:rFonts w:ascii="Arial" w:cs="Arial" w:eastAsia="Arial" w:hAnsi="Arial"/>
                  <w:sz w:val="21"/>
                  <w:szCs w:val="21"/>
                  <w:color w:val="0000EE"/>
                  <w:w w:val="79"/>
                </w:rPr>
                <w:t>Section 7.1.</w:t>
              </w:r>
            </w:hyperlink>
          </w:p>
        </w:tc>
        <w:tc>
          <w:tcPr>
            <w:tcW w:w="180" w:type="dxa"/>
            <w:vAlign w:val="bottom"/>
            <w:tcBorders>
              <w:top w:val="single" w:sz="8" w:color="0000EE"/>
            </w:tcBorders>
            <w:gridSpan w:val="2"/>
          </w:tcPr>
          <w:p>
            <w:pPr>
              <w:spacing w:after="0"/>
              <w:rPr>
                <w:sz w:val="24"/>
                <w:szCs w:val="24"/>
                <w:color w:val="auto"/>
              </w:rPr>
            </w:pPr>
          </w:p>
        </w:tc>
        <w:tc>
          <w:tcPr>
            <w:tcW w:w="740" w:type="dxa"/>
            <w:vAlign w:val="bottom"/>
            <w:gridSpan w:val="5"/>
          </w:tcPr>
          <w:p>
            <w:pPr>
              <w:spacing w:after="0"/>
              <w:rPr>
                <w:sz w:val="24"/>
                <w:szCs w:val="24"/>
                <w:color w:val="auto"/>
              </w:rPr>
            </w:pPr>
          </w:p>
        </w:tc>
        <w:tc>
          <w:tcPr>
            <w:tcW w:w="2960" w:type="dxa"/>
            <w:vAlign w:val="bottom"/>
            <w:tcBorders>
              <w:top w:val="single" w:sz="8" w:color="0000EE"/>
              <w:bottom w:val="single" w:sz="8" w:color="0000EE"/>
            </w:tcBorders>
            <w:gridSpan w:val="25"/>
          </w:tcPr>
          <w:p>
            <w:pPr>
              <w:spacing w:after="0"/>
              <w:rPr>
                <w:rFonts w:ascii="Arial" w:cs="Arial" w:eastAsia="Arial" w:hAnsi="Arial"/>
                <w:sz w:val="21"/>
                <w:szCs w:val="21"/>
                <w:color w:val="0000EE"/>
                <w:w w:val="89"/>
              </w:rPr>
            </w:pPr>
            <w:hyperlink w:anchor="page142">
              <w:r>
                <w:rPr>
                  <w:rFonts w:ascii="Arial" w:cs="Arial" w:eastAsia="Arial" w:hAnsi="Arial"/>
                  <w:sz w:val="21"/>
                  <w:szCs w:val="21"/>
                  <w:color w:val="0000EE"/>
                  <w:w w:val="89"/>
                </w:rPr>
                <w:t>Financial and Business Information</w:t>
              </w:r>
            </w:hyperlink>
          </w:p>
        </w:tc>
        <w:tc>
          <w:tcPr>
            <w:tcW w:w="180" w:type="dxa"/>
            <w:vAlign w:val="bottom"/>
            <w:tcBorders>
              <w:top w:val="single" w:sz="8" w:color="0000EE"/>
            </w:tcBorders>
          </w:tcPr>
          <w:p>
            <w:pPr>
              <w:spacing w:after="0"/>
              <w:rPr>
                <w:sz w:val="24"/>
                <w:szCs w:val="24"/>
                <w:color w:val="auto"/>
              </w:rPr>
            </w:pPr>
          </w:p>
        </w:tc>
        <w:tc>
          <w:tcPr>
            <w:tcW w:w="386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14</w:t>
            </w:r>
          </w:p>
        </w:tc>
        <w:tc>
          <w:tcPr>
            <w:tcW w:w="0" w:type="dxa"/>
            <w:vAlign w:val="bottom"/>
          </w:tcPr>
          <w:p>
            <w:pPr>
              <w:spacing w:after="0"/>
              <w:rPr>
                <w:sz w:val="1"/>
                <w:szCs w:val="1"/>
                <w:color w:val="auto"/>
              </w:rPr>
            </w:pPr>
          </w:p>
        </w:tc>
      </w:tr>
      <w:tr>
        <w:trPr>
          <w:trHeight w:val="223"/>
        </w:trPr>
        <w:tc>
          <w:tcPr>
            <w:tcW w:w="1840" w:type="dxa"/>
            <w:vAlign w:val="bottom"/>
            <w:gridSpan w:val="8"/>
          </w:tcPr>
          <w:p>
            <w:pPr>
              <w:spacing w:after="0" w:line="223" w:lineRule="exact"/>
              <w:rPr>
                <w:rFonts w:ascii="Arial" w:cs="Arial" w:eastAsia="Arial" w:hAnsi="Arial"/>
                <w:sz w:val="21"/>
                <w:szCs w:val="21"/>
                <w:color w:val="0000EE"/>
              </w:rPr>
            </w:pPr>
            <w:hyperlink w:anchor="page145">
              <w:r>
                <w:rPr>
                  <w:rFonts w:ascii="Arial" w:cs="Arial" w:eastAsia="Arial" w:hAnsi="Arial"/>
                  <w:sz w:val="21"/>
                  <w:szCs w:val="21"/>
                  <w:color w:val="0000EE"/>
                </w:rPr>
                <w:t>Section 7.2</w:t>
              </w:r>
            </w:hyperlink>
          </w:p>
        </w:tc>
        <w:tc>
          <w:tcPr>
            <w:tcW w:w="7000" w:type="dxa"/>
            <w:vAlign w:val="bottom"/>
            <w:gridSpan w:val="30"/>
          </w:tcPr>
          <w:p>
            <w:pPr>
              <w:spacing w:after="0" w:line="223" w:lineRule="exact"/>
              <w:rPr>
                <w:rFonts w:ascii="Arial" w:cs="Arial" w:eastAsia="Arial" w:hAnsi="Arial"/>
                <w:sz w:val="21"/>
                <w:szCs w:val="21"/>
                <w:color w:val="0000EE"/>
              </w:rPr>
            </w:pPr>
            <w:hyperlink w:anchor="page145">
              <w:r>
                <w:rPr>
                  <w:rFonts w:ascii="Arial" w:cs="Arial" w:eastAsia="Arial" w:hAnsi="Arial"/>
                  <w:sz w:val="21"/>
                  <w:szCs w:val="21"/>
                  <w:color w:val="0000EE"/>
                </w:rPr>
                <w:t>Officer’s Certificate</w:t>
              </w:r>
            </w:hyperlink>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17</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Borders>
              <w:bottom w:val="single" w:sz="8" w:color="0000EE"/>
            </w:tcBorders>
          </w:tcPr>
          <w:p>
            <w:pPr>
              <w:spacing w:after="0" w:line="223" w:lineRule="exact"/>
              <w:rPr>
                <w:rFonts w:ascii="Arial" w:cs="Arial" w:eastAsia="Arial" w:hAnsi="Arial"/>
                <w:sz w:val="21"/>
                <w:szCs w:val="21"/>
                <w:color w:val="0000EE"/>
                <w:w w:val="79"/>
              </w:rPr>
            </w:pPr>
            <w:hyperlink w:anchor="page145">
              <w:r>
                <w:rPr>
                  <w:rFonts w:ascii="Arial" w:cs="Arial" w:eastAsia="Arial" w:hAnsi="Arial"/>
                  <w:sz w:val="21"/>
                  <w:szCs w:val="21"/>
                  <w:color w:val="0000EE"/>
                  <w:w w:val="79"/>
                </w:rPr>
                <w:t>Section 7.3.</w:t>
              </w:r>
            </w:hyperlink>
          </w:p>
        </w:tc>
        <w:tc>
          <w:tcPr>
            <w:tcW w:w="920" w:type="dxa"/>
            <w:vAlign w:val="bottom"/>
            <w:gridSpan w:val="7"/>
          </w:tcPr>
          <w:p>
            <w:pPr>
              <w:spacing w:after="0"/>
              <w:rPr>
                <w:sz w:val="19"/>
                <w:szCs w:val="19"/>
                <w:color w:val="auto"/>
              </w:rPr>
            </w:pPr>
          </w:p>
        </w:tc>
        <w:tc>
          <w:tcPr>
            <w:tcW w:w="820" w:type="dxa"/>
            <w:vAlign w:val="bottom"/>
            <w:tcBorders>
              <w:bottom w:val="single" w:sz="8" w:color="0000EE"/>
            </w:tcBorders>
            <w:gridSpan w:val="3"/>
          </w:tcPr>
          <w:p>
            <w:pPr>
              <w:spacing w:after="0" w:line="223" w:lineRule="exact"/>
              <w:rPr>
                <w:rFonts w:ascii="Arial" w:cs="Arial" w:eastAsia="Arial" w:hAnsi="Arial"/>
                <w:sz w:val="21"/>
                <w:szCs w:val="21"/>
                <w:color w:val="0000EE"/>
                <w:w w:val="93"/>
              </w:rPr>
            </w:pPr>
            <w:hyperlink w:anchor="page145">
              <w:r>
                <w:rPr>
                  <w:rFonts w:ascii="Arial" w:cs="Arial" w:eastAsia="Arial" w:hAnsi="Arial"/>
                  <w:sz w:val="21"/>
                  <w:szCs w:val="21"/>
                  <w:color w:val="0000EE"/>
                  <w:w w:val="93"/>
                </w:rPr>
                <w:t>Visitation</w:t>
              </w:r>
            </w:hyperlink>
          </w:p>
        </w:tc>
        <w:tc>
          <w:tcPr>
            <w:tcW w:w="6180" w:type="dxa"/>
            <w:vAlign w:val="bottom"/>
            <w:gridSpan w:val="27"/>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17</w:t>
            </w:r>
          </w:p>
        </w:tc>
        <w:tc>
          <w:tcPr>
            <w:tcW w:w="0" w:type="dxa"/>
            <w:vAlign w:val="bottom"/>
          </w:tcPr>
          <w:p>
            <w:pPr>
              <w:spacing w:after="0"/>
              <w:rPr>
                <w:sz w:val="1"/>
                <w:szCs w:val="1"/>
                <w:color w:val="auto"/>
              </w:rPr>
            </w:pPr>
          </w:p>
        </w:tc>
      </w:tr>
      <w:tr>
        <w:trPr>
          <w:trHeight w:val="466"/>
        </w:trPr>
        <w:tc>
          <w:tcPr>
            <w:tcW w:w="1140" w:type="dxa"/>
            <w:vAlign w:val="bottom"/>
            <w:tcBorders>
              <w:bottom w:val="single" w:sz="8" w:color="0000EE"/>
            </w:tcBorders>
            <w:gridSpan w:val="4"/>
          </w:tcPr>
          <w:p>
            <w:pPr>
              <w:spacing w:after="0"/>
              <w:rPr>
                <w:rFonts w:ascii="Arial" w:cs="Arial" w:eastAsia="Arial" w:hAnsi="Arial"/>
                <w:sz w:val="21"/>
                <w:szCs w:val="21"/>
                <w:color w:val="0000EE"/>
                <w:w w:val="94"/>
              </w:rPr>
            </w:pPr>
            <w:hyperlink w:anchor="page146">
              <w:r>
                <w:rPr>
                  <w:rFonts w:ascii="Arial" w:cs="Arial" w:eastAsia="Arial" w:hAnsi="Arial"/>
                  <w:sz w:val="21"/>
                  <w:szCs w:val="21"/>
                  <w:color w:val="0000EE"/>
                  <w:w w:val="94"/>
                </w:rPr>
                <w:t>SECTION 8.</w:t>
              </w:r>
            </w:hyperlink>
          </w:p>
        </w:tc>
        <w:tc>
          <w:tcPr>
            <w:tcW w:w="700" w:type="dxa"/>
            <w:vAlign w:val="bottom"/>
            <w:gridSpan w:val="4"/>
          </w:tcPr>
          <w:p>
            <w:pPr>
              <w:spacing w:after="0"/>
              <w:rPr>
                <w:sz w:val="24"/>
                <w:szCs w:val="24"/>
                <w:color w:val="auto"/>
              </w:rPr>
            </w:pPr>
          </w:p>
        </w:tc>
        <w:tc>
          <w:tcPr>
            <w:tcW w:w="2160" w:type="dxa"/>
            <w:vAlign w:val="bottom"/>
            <w:tcBorders>
              <w:bottom w:val="single" w:sz="8" w:color="0000EE"/>
            </w:tcBorders>
            <w:gridSpan w:val="17"/>
          </w:tcPr>
          <w:p>
            <w:pPr>
              <w:spacing w:after="0"/>
              <w:rPr>
                <w:rFonts w:ascii="Arial" w:cs="Arial" w:eastAsia="Arial" w:hAnsi="Arial"/>
                <w:sz w:val="21"/>
                <w:szCs w:val="21"/>
                <w:color w:val="0000EE"/>
                <w:w w:val="92"/>
              </w:rPr>
            </w:pPr>
            <w:hyperlink w:anchor="page146">
              <w:r>
                <w:rPr>
                  <w:rFonts w:ascii="Arial" w:cs="Arial" w:eastAsia="Arial" w:hAnsi="Arial"/>
                  <w:sz w:val="21"/>
                  <w:szCs w:val="21"/>
                  <w:color w:val="0000EE"/>
                  <w:w w:val="92"/>
                </w:rPr>
                <w:t>PURCHASE OF BONDS</w:t>
              </w:r>
            </w:hyperlink>
          </w:p>
        </w:tc>
        <w:tc>
          <w:tcPr>
            <w:tcW w:w="4840" w:type="dxa"/>
            <w:vAlign w:val="bottom"/>
            <w:gridSpan w:val="1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18</w:t>
            </w:r>
          </w:p>
        </w:tc>
        <w:tc>
          <w:tcPr>
            <w:tcW w:w="0" w:type="dxa"/>
            <w:vAlign w:val="bottom"/>
          </w:tcPr>
          <w:p>
            <w:pPr>
              <w:spacing w:after="0"/>
              <w:rPr>
                <w:sz w:val="1"/>
                <w:szCs w:val="1"/>
                <w:color w:val="auto"/>
              </w:rPr>
            </w:pPr>
          </w:p>
        </w:tc>
      </w:tr>
      <w:tr>
        <w:trPr>
          <w:trHeight w:val="466"/>
        </w:trPr>
        <w:tc>
          <w:tcPr>
            <w:tcW w:w="1100" w:type="dxa"/>
            <w:vAlign w:val="bottom"/>
            <w:gridSpan w:val="3"/>
          </w:tcPr>
          <w:p>
            <w:pPr>
              <w:spacing w:after="0"/>
              <w:rPr>
                <w:rFonts w:ascii="Arial" w:cs="Arial" w:eastAsia="Arial" w:hAnsi="Arial"/>
                <w:sz w:val="21"/>
                <w:szCs w:val="21"/>
                <w:color w:val="0000EE"/>
                <w:w w:val="92"/>
              </w:rPr>
            </w:pPr>
            <w:hyperlink w:anchor="page146">
              <w:r>
                <w:rPr>
                  <w:rFonts w:ascii="Arial" w:cs="Arial" w:eastAsia="Arial" w:hAnsi="Arial"/>
                  <w:sz w:val="21"/>
                  <w:szCs w:val="21"/>
                  <w:color w:val="0000EE"/>
                  <w:w w:val="92"/>
                </w:rPr>
                <w:t>SECTION 9.</w:t>
              </w:r>
            </w:hyperlink>
          </w:p>
        </w:tc>
        <w:tc>
          <w:tcPr>
            <w:tcW w:w="740" w:type="dxa"/>
            <w:vAlign w:val="bottom"/>
            <w:gridSpan w:val="5"/>
          </w:tcPr>
          <w:p>
            <w:pPr>
              <w:spacing w:after="0"/>
              <w:rPr>
                <w:sz w:val="24"/>
                <w:szCs w:val="24"/>
                <w:color w:val="auto"/>
              </w:rPr>
            </w:pPr>
          </w:p>
        </w:tc>
        <w:tc>
          <w:tcPr>
            <w:tcW w:w="7000" w:type="dxa"/>
            <w:vAlign w:val="bottom"/>
            <w:gridSpan w:val="30"/>
          </w:tcPr>
          <w:p>
            <w:pPr>
              <w:spacing w:after="0"/>
              <w:rPr>
                <w:rFonts w:ascii="Arial" w:cs="Arial" w:eastAsia="Arial" w:hAnsi="Arial"/>
                <w:sz w:val="21"/>
                <w:szCs w:val="21"/>
                <w:color w:val="0000EE"/>
              </w:rPr>
            </w:pPr>
            <w:hyperlink w:anchor="page146">
              <w:r>
                <w:rPr>
                  <w:rFonts w:ascii="Arial" w:cs="Arial" w:eastAsia="Arial" w:hAnsi="Arial"/>
                  <w:sz w:val="21"/>
                  <w:szCs w:val="21"/>
                  <w:color w:val="0000EE"/>
                </w:rPr>
                <w:t>AFFIRMATIVE COVENANTS</w:t>
              </w:r>
            </w:hyperlink>
          </w:p>
        </w:tc>
        <w:tc>
          <w:tcPr>
            <w:tcW w:w="1220" w:type="dxa"/>
            <w:vAlign w:val="bottom"/>
          </w:tcPr>
          <w:p>
            <w:pPr>
              <w:jc w:val="right"/>
              <w:spacing w:after="0"/>
              <w:rPr>
                <w:sz w:val="20"/>
                <w:szCs w:val="20"/>
                <w:color w:val="auto"/>
              </w:rPr>
            </w:pPr>
            <w:r>
              <w:rPr>
                <w:rFonts w:ascii="Arial" w:cs="Arial" w:eastAsia="Arial" w:hAnsi="Arial"/>
                <w:sz w:val="21"/>
                <w:szCs w:val="21"/>
                <w:color w:val="auto"/>
              </w:rPr>
              <w:t>18</w:t>
            </w:r>
          </w:p>
        </w:tc>
        <w:tc>
          <w:tcPr>
            <w:tcW w:w="0" w:type="dxa"/>
            <w:vAlign w:val="bottom"/>
          </w:tcPr>
          <w:p>
            <w:pPr>
              <w:spacing w:after="0"/>
              <w:rPr>
                <w:sz w:val="1"/>
                <w:szCs w:val="1"/>
                <w:color w:val="auto"/>
              </w:rPr>
            </w:pPr>
          </w:p>
        </w:tc>
      </w:tr>
      <w:tr>
        <w:trPr>
          <w:trHeight w:val="466"/>
        </w:trPr>
        <w:tc>
          <w:tcPr>
            <w:tcW w:w="920" w:type="dxa"/>
            <w:vAlign w:val="bottom"/>
            <w:tcBorders>
              <w:top w:val="single" w:sz="8" w:color="0000EE"/>
            </w:tcBorders>
          </w:tcPr>
          <w:p>
            <w:pPr>
              <w:spacing w:after="0"/>
              <w:rPr>
                <w:rFonts w:ascii="Arial" w:cs="Arial" w:eastAsia="Arial" w:hAnsi="Arial"/>
                <w:sz w:val="21"/>
                <w:szCs w:val="21"/>
                <w:color w:val="0000EE"/>
                <w:w w:val="79"/>
              </w:rPr>
            </w:pPr>
            <w:hyperlink w:anchor="page146">
              <w:r>
                <w:rPr>
                  <w:rFonts w:ascii="Arial" w:cs="Arial" w:eastAsia="Arial" w:hAnsi="Arial"/>
                  <w:sz w:val="21"/>
                  <w:szCs w:val="21"/>
                  <w:color w:val="0000EE"/>
                  <w:w w:val="79"/>
                </w:rPr>
                <w:t>Section 9.1.</w:t>
              </w:r>
            </w:hyperlink>
          </w:p>
        </w:tc>
        <w:tc>
          <w:tcPr>
            <w:tcW w:w="180" w:type="dxa"/>
            <w:vAlign w:val="bottom"/>
            <w:tcBorders>
              <w:top w:val="single" w:sz="8" w:color="0000EE"/>
            </w:tcBorders>
            <w:gridSpan w:val="2"/>
          </w:tcPr>
          <w:p>
            <w:pPr>
              <w:spacing w:after="0"/>
              <w:rPr>
                <w:sz w:val="24"/>
                <w:szCs w:val="24"/>
                <w:color w:val="auto"/>
              </w:rPr>
            </w:pPr>
          </w:p>
        </w:tc>
        <w:tc>
          <w:tcPr>
            <w:tcW w:w="740" w:type="dxa"/>
            <w:vAlign w:val="bottom"/>
            <w:gridSpan w:val="5"/>
          </w:tcPr>
          <w:p>
            <w:pPr>
              <w:spacing w:after="0"/>
              <w:rPr>
                <w:sz w:val="24"/>
                <w:szCs w:val="24"/>
                <w:color w:val="auto"/>
              </w:rPr>
            </w:pPr>
          </w:p>
        </w:tc>
        <w:tc>
          <w:tcPr>
            <w:tcW w:w="2680" w:type="dxa"/>
            <w:vAlign w:val="bottom"/>
            <w:tcBorders>
              <w:top w:val="single" w:sz="8" w:color="0000EE"/>
            </w:tcBorders>
            <w:gridSpan w:val="23"/>
          </w:tcPr>
          <w:p>
            <w:pPr>
              <w:spacing w:after="0"/>
              <w:rPr>
                <w:rFonts w:ascii="Arial" w:cs="Arial" w:eastAsia="Arial" w:hAnsi="Arial"/>
                <w:sz w:val="21"/>
                <w:szCs w:val="21"/>
                <w:color w:val="0000EE"/>
              </w:rPr>
            </w:pPr>
            <w:hyperlink w:anchor="page146">
              <w:r>
                <w:rPr>
                  <w:rFonts w:ascii="Arial" w:cs="Arial" w:eastAsia="Arial" w:hAnsi="Arial"/>
                  <w:sz w:val="21"/>
                  <w:szCs w:val="21"/>
                  <w:color w:val="0000EE"/>
                </w:rPr>
                <w:t>Compliance with Law</w:t>
              </w:r>
            </w:hyperlink>
          </w:p>
        </w:tc>
        <w:tc>
          <w:tcPr>
            <w:tcW w:w="4320" w:type="dxa"/>
            <w:vAlign w:val="bottom"/>
            <w:gridSpan w:val="7"/>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18</w:t>
            </w:r>
          </w:p>
        </w:tc>
        <w:tc>
          <w:tcPr>
            <w:tcW w:w="0" w:type="dxa"/>
            <w:vAlign w:val="bottom"/>
          </w:tcPr>
          <w:p>
            <w:pPr>
              <w:spacing w:after="0"/>
              <w:rPr>
                <w:sz w:val="1"/>
                <w:szCs w:val="1"/>
                <w:color w:val="auto"/>
              </w:rPr>
            </w:pPr>
          </w:p>
        </w:tc>
      </w:tr>
      <w:tr>
        <w:trPr>
          <w:trHeight w:val="223"/>
        </w:trPr>
        <w:tc>
          <w:tcPr>
            <w:tcW w:w="920" w:type="dxa"/>
            <w:vAlign w:val="bottom"/>
            <w:tcBorders>
              <w:top w:val="single" w:sz="8" w:color="0000EE"/>
              <w:bottom w:val="single" w:sz="8" w:color="0000EE"/>
            </w:tcBorders>
          </w:tcPr>
          <w:p>
            <w:pPr>
              <w:spacing w:after="0" w:line="223" w:lineRule="exact"/>
              <w:rPr>
                <w:rFonts w:ascii="Arial" w:cs="Arial" w:eastAsia="Arial" w:hAnsi="Arial"/>
                <w:sz w:val="21"/>
                <w:szCs w:val="21"/>
                <w:color w:val="0000EE"/>
                <w:w w:val="79"/>
              </w:rPr>
            </w:pPr>
            <w:hyperlink w:anchor="page146">
              <w:r>
                <w:rPr>
                  <w:rFonts w:ascii="Arial" w:cs="Arial" w:eastAsia="Arial" w:hAnsi="Arial"/>
                  <w:sz w:val="21"/>
                  <w:szCs w:val="21"/>
                  <w:color w:val="0000EE"/>
                  <w:w w:val="79"/>
                </w:rPr>
                <w:t>Section 9.2.</w:t>
              </w:r>
            </w:hyperlink>
          </w:p>
        </w:tc>
        <w:tc>
          <w:tcPr>
            <w:tcW w:w="920" w:type="dxa"/>
            <w:vAlign w:val="bottom"/>
            <w:gridSpan w:val="7"/>
          </w:tcPr>
          <w:p>
            <w:pPr>
              <w:spacing w:after="0"/>
              <w:rPr>
                <w:sz w:val="19"/>
                <w:szCs w:val="19"/>
                <w:color w:val="auto"/>
              </w:rPr>
            </w:pPr>
          </w:p>
        </w:tc>
        <w:tc>
          <w:tcPr>
            <w:tcW w:w="820" w:type="dxa"/>
            <w:vAlign w:val="bottom"/>
            <w:tcBorders>
              <w:top w:val="single" w:sz="8" w:color="0000EE"/>
              <w:bottom w:val="single" w:sz="8" w:color="0000EE"/>
            </w:tcBorders>
            <w:gridSpan w:val="3"/>
          </w:tcPr>
          <w:p>
            <w:pPr>
              <w:spacing w:after="0" w:line="223" w:lineRule="exact"/>
              <w:rPr>
                <w:rFonts w:ascii="Arial" w:cs="Arial" w:eastAsia="Arial" w:hAnsi="Arial"/>
                <w:sz w:val="21"/>
                <w:szCs w:val="21"/>
                <w:color w:val="0000EE"/>
                <w:w w:val="86"/>
              </w:rPr>
            </w:pPr>
            <w:hyperlink w:anchor="page146">
              <w:r>
                <w:rPr>
                  <w:rFonts w:ascii="Arial" w:cs="Arial" w:eastAsia="Arial" w:hAnsi="Arial"/>
                  <w:sz w:val="21"/>
                  <w:szCs w:val="21"/>
                  <w:color w:val="0000EE"/>
                  <w:w w:val="86"/>
                </w:rPr>
                <w:t>Insurance</w:t>
              </w:r>
            </w:hyperlink>
          </w:p>
        </w:tc>
        <w:tc>
          <w:tcPr>
            <w:tcW w:w="1020" w:type="dxa"/>
            <w:vAlign w:val="bottom"/>
            <w:tcBorders>
              <w:top w:val="single" w:sz="8" w:color="0000EE"/>
            </w:tcBorders>
            <w:gridSpan w:val="10"/>
          </w:tcPr>
          <w:p>
            <w:pPr>
              <w:spacing w:after="0"/>
              <w:rPr>
                <w:sz w:val="19"/>
                <w:szCs w:val="19"/>
                <w:color w:val="auto"/>
              </w:rPr>
            </w:pPr>
          </w:p>
        </w:tc>
        <w:tc>
          <w:tcPr>
            <w:tcW w:w="5160" w:type="dxa"/>
            <w:vAlign w:val="bottom"/>
            <w:gridSpan w:val="17"/>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18</w:t>
            </w:r>
          </w:p>
        </w:tc>
        <w:tc>
          <w:tcPr>
            <w:tcW w:w="0" w:type="dxa"/>
            <w:vAlign w:val="bottom"/>
          </w:tcPr>
          <w:p>
            <w:pPr>
              <w:spacing w:after="0"/>
              <w:rPr>
                <w:sz w:val="1"/>
                <w:szCs w:val="1"/>
                <w:color w:val="auto"/>
              </w:rPr>
            </w:pPr>
          </w:p>
        </w:tc>
      </w:tr>
      <w:tr>
        <w:trPr>
          <w:trHeight w:val="223"/>
        </w:trPr>
        <w:tc>
          <w:tcPr>
            <w:tcW w:w="920" w:type="dxa"/>
            <w:vAlign w:val="bottom"/>
            <w:tcBorders>
              <w:bottom w:val="single" w:sz="8" w:color="0000EE"/>
            </w:tcBorders>
          </w:tcPr>
          <w:p>
            <w:pPr>
              <w:spacing w:after="0" w:line="223" w:lineRule="exact"/>
              <w:rPr>
                <w:rFonts w:ascii="Arial" w:cs="Arial" w:eastAsia="Arial" w:hAnsi="Arial"/>
                <w:sz w:val="21"/>
                <w:szCs w:val="21"/>
                <w:color w:val="0000EE"/>
                <w:w w:val="79"/>
              </w:rPr>
            </w:pPr>
            <w:hyperlink w:anchor="page147">
              <w:r>
                <w:rPr>
                  <w:rFonts w:ascii="Arial" w:cs="Arial" w:eastAsia="Arial" w:hAnsi="Arial"/>
                  <w:sz w:val="21"/>
                  <w:szCs w:val="21"/>
                  <w:color w:val="0000EE"/>
                  <w:w w:val="79"/>
                </w:rPr>
                <w:t>Section 9.3.</w:t>
              </w:r>
            </w:hyperlink>
          </w:p>
        </w:tc>
        <w:tc>
          <w:tcPr>
            <w:tcW w:w="920" w:type="dxa"/>
            <w:vAlign w:val="bottom"/>
            <w:gridSpan w:val="7"/>
          </w:tcPr>
          <w:p>
            <w:pPr>
              <w:spacing w:after="0"/>
              <w:rPr>
                <w:sz w:val="19"/>
                <w:szCs w:val="19"/>
                <w:color w:val="auto"/>
              </w:rPr>
            </w:pPr>
          </w:p>
        </w:tc>
        <w:tc>
          <w:tcPr>
            <w:tcW w:w="2200" w:type="dxa"/>
            <w:vAlign w:val="bottom"/>
            <w:tcBorders>
              <w:bottom w:val="single" w:sz="8" w:color="0000EE"/>
            </w:tcBorders>
            <w:gridSpan w:val="19"/>
          </w:tcPr>
          <w:p>
            <w:pPr>
              <w:spacing w:after="0" w:line="223" w:lineRule="exact"/>
              <w:rPr>
                <w:rFonts w:ascii="Arial" w:cs="Arial" w:eastAsia="Arial" w:hAnsi="Arial"/>
                <w:sz w:val="21"/>
                <w:szCs w:val="21"/>
                <w:color w:val="0000EE"/>
                <w:w w:val="88"/>
              </w:rPr>
            </w:pPr>
            <w:hyperlink w:anchor="page147">
              <w:r>
                <w:rPr>
                  <w:rFonts w:ascii="Arial" w:cs="Arial" w:eastAsia="Arial" w:hAnsi="Arial"/>
                  <w:sz w:val="21"/>
                  <w:szCs w:val="21"/>
                  <w:color w:val="0000EE"/>
                  <w:w w:val="88"/>
                </w:rPr>
                <w:t>Maintenance of Properties</w:t>
              </w:r>
            </w:hyperlink>
          </w:p>
        </w:tc>
        <w:tc>
          <w:tcPr>
            <w:tcW w:w="4800" w:type="dxa"/>
            <w:vAlign w:val="bottom"/>
            <w:gridSpan w:val="11"/>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19</w:t>
            </w:r>
          </w:p>
        </w:tc>
        <w:tc>
          <w:tcPr>
            <w:tcW w:w="0" w:type="dxa"/>
            <w:vAlign w:val="bottom"/>
          </w:tcPr>
          <w:p>
            <w:pPr>
              <w:spacing w:after="0"/>
              <w:rPr>
                <w:sz w:val="1"/>
                <w:szCs w:val="1"/>
                <w:color w:val="auto"/>
              </w:rPr>
            </w:pPr>
          </w:p>
        </w:tc>
      </w:tr>
      <w:tr>
        <w:trPr>
          <w:trHeight w:val="223"/>
        </w:trPr>
        <w:tc>
          <w:tcPr>
            <w:tcW w:w="920" w:type="dxa"/>
            <w:vAlign w:val="bottom"/>
          </w:tcPr>
          <w:p>
            <w:pPr>
              <w:spacing w:after="0" w:line="223" w:lineRule="exact"/>
              <w:rPr>
                <w:rFonts w:ascii="Arial" w:cs="Arial" w:eastAsia="Arial" w:hAnsi="Arial"/>
                <w:sz w:val="21"/>
                <w:szCs w:val="21"/>
                <w:color w:val="0000EE"/>
                <w:w w:val="79"/>
              </w:rPr>
            </w:pPr>
            <w:hyperlink w:anchor="page147">
              <w:r>
                <w:rPr>
                  <w:rFonts w:ascii="Arial" w:cs="Arial" w:eastAsia="Arial" w:hAnsi="Arial"/>
                  <w:sz w:val="21"/>
                  <w:szCs w:val="21"/>
                  <w:color w:val="0000EE"/>
                  <w:w w:val="79"/>
                </w:rPr>
                <w:t>Section 9.4.</w:t>
              </w:r>
            </w:hyperlink>
          </w:p>
        </w:tc>
        <w:tc>
          <w:tcPr>
            <w:tcW w:w="920" w:type="dxa"/>
            <w:vAlign w:val="bottom"/>
            <w:gridSpan w:val="7"/>
          </w:tcPr>
          <w:p>
            <w:pPr>
              <w:spacing w:after="0"/>
              <w:rPr>
                <w:sz w:val="19"/>
                <w:szCs w:val="19"/>
                <w:color w:val="auto"/>
              </w:rPr>
            </w:pPr>
          </w:p>
        </w:tc>
        <w:tc>
          <w:tcPr>
            <w:tcW w:w="7000" w:type="dxa"/>
            <w:vAlign w:val="bottom"/>
            <w:gridSpan w:val="30"/>
          </w:tcPr>
          <w:p>
            <w:pPr>
              <w:spacing w:after="0" w:line="223" w:lineRule="exact"/>
              <w:rPr>
                <w:rFonts w:ascii="Arial" w:cs="Arial" w:eastAsia="Arial" w:hAnsi="Arial"/>
                <w:sz w:val="21"/>
                <w:szCs w:val="21"/>
                <w:color w:val="0000EE"/>
              </w:rPr>
            </w:pPr>
            <w:hyperlink w:anchor="page147">
              <w:r>
                <w:rPr>
                  <w:rFonts w:ascii="Arial" w:cs="Arial" w:eastAsia="Arial" w:hAnsi="Arial"/>
                  <w:sz w:val="21"/>
                  <w:szCs w:val="21"/>
                  <w:color w:val="0000EE"/>
                </w:rPr>
                <w:t>Payment of Taxes</w:t>
              </w:r>
            </w:hyperlink>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19</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line="223" w:lineRule="exact"/>
              <w:rPr>
                <w:rFonts w:ascii="Arial" w:cs="Arial" w:eastAsia="Arial" w:hAnsi="Arial"/>
                <w:sz w:val="21"/>
                <w:szCs w:val="21"/>
                <w:color w:val="0000EE"/>
                <w:w w:val="79"/>
              </w:rPr>
            </w:pPr>
            <w:hyperlink w:anchor="page147">
              <w:r>
                <w:rPr>
                  <w:rFonts w:ascii="Arial" w:cs="Arial" w:eastAsia="Arial" w:hAnsi="Arial"/>
                  <w:sz w:val="21"/>
                  <w:szCs w:val="21"/>
                  <w:color w:val="0000EE"/>
                  <w:w w:val="79"/>
                </w:rPr>
                <w:t>Section 9.5.</w:t>
              </w:r>
            </w:hyperlink>
          </w:p>
        </w:tc>
        <w:tc>
          <w:tcPr>
            <w:tcW w:w="920" w:type="dxa"/>
            <w:vAlign w:val="bottom"/>
            <w:gridSpan w:val="7"/>
          </w:tcPr>
          <w:p>
            <w:pPr>
              <w:spacing w:after="0"/>
              <w:rPr>
                <w:sz w:val="19"/>
                <w:szCs w:val="19"/>
                <w:color w:val="auto"/>
              </w:rPr>
            </w:pPr>
          </w:p>
        </w:tc>
        <w:tc>
          <w:tcPr>
            <w:tcW w:w="7000" w:type="dxa"/>
            <w:vAlign w:val="bottom"/>
            <w:gridSpan w:val="30"/>
          </w:tcPr>
          <w:p>
            <w:pPr>
              <w:spacing w:after="0" w:line="223" w:lineRule="exact"/>
              <w:rPr>
                <w:rFonts w:ascii="Arial" w:cs="Arial" w:eastAsia="Arial" w:hAnsi="Arial"/>
                <w:sz w:val="21"/>
                <w:szCs w:val="21"/>
                <w:color w:val="0000EE"/>
              </w:rPr>
            </w:pPr>
            <w:hyperlink w:anchor="page147">
              <w:r>
                <w:rPr>
                  <w:rFonts w:ascii="Arial" w:cs="Arial" w:eastAsia="Arial" w:hAnsi="Arial"/>
                  <w:sz w:val="21"/>
                  <w:szCs w:val="21"/>
                  <w:color w:val="0000EE"/>
                </w:rPr>
                <w:t>Corporate Existence, Etc</w:t>
              </w:r>
            </w:hyperlink>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19</w:t>
            </w:r>
          </w:p>
        </w:tc>
        <w:tc>
          <w:tcPr>
            <w:tcW w:w="0" w:type="dxa"/>
            <w:vAlign w:val="bottom"/>
          </w:tcPr>
          <w:p>
            <w:pPr>
              <w:spacing w:after="0"/>
              <w:rPr>
                <w:sz w:val="1"/>
                <w:szCs w:val="1"/>
                <w:color w:val="auto"/>
              </w:rPr>
            </w:pPr>
          </w:p>
        </w:tc>
      </w:tr>
      <w:tr>
        <w:trPr>
          <w:trHeight w:val="223"/>
        </w:trPr>
        <w:tc>
          <w:tcPr>
            <w:tcW w:w="920" w:type="dxa"/>
            <w:vAlign w:val="bottom"/>
            <w:tcBorders>
              <w:top w:val="single" w:sz="8" w:color="0000EE"/>
              <w:bottom w:val="single" w:sz="8" w:color="0000EE"/>
            </w:tcBorders>
          </w:tcPr>
          <w:p>
            <w:pPr>
              <w:spacing w:after="0" w:line="223" w:lineRule="exact"/>
              <w:rPr>
                <w:rFonts w:ascii="Arial" w:cs="Arial" w:eastAsia="Arial" w:hAnsi="Arial"/>
                <w:sz w:val="21"/>
                <w:szCs w:val="21"/>
                <w:color w:val="0000EE"/>
                <w:w w:val="79"/>
              </w:rPr>
            </w:pPr>
            <w:hyperlink w:anchor="page147">
              <w:r>
                <w:rPr>
                  <w:rFonts w:ascii="Arial" w:cs="Arial" w:eastAsia="Arial" w:hAnsi="Arial"/>
                  <w:sz w:val="21"/>
                  <w:szCs w:val="21"/>
                  <w:color w:val="0000EE"/>
                  <w:w w:val="79"/>
                </w:rPr>
                <w:t>Section 9.6.</w:t>
              </w:r>
            </w:hyperlink>
          </w:p>
        </w:tc>
        <w:tc>
          <w:tcPr>
            <w:tcW w:w="920" w:type="dxa"/>
            <w:vAlign w:val="bottom"/>
            <w:gridSpan w:val="7"/>
          </w:tcPr>
          <w:p>
            <w:pPr>
              <w:spacing w:after="0"/>
              <w:rPr>
                <w:sz w:val="19"/>
                <w:szCs w:val="19"/>
                <w:color w:val="auto"/>
              </w:rPr>
            </w:pPr>
          </w:p>
        </w:tc>
        <w:tc>
          <w:tcPr>
            <w:tcW w:w="1680" w:type="dxa"/>
            <w:vAlign w:val="bottom"/>
            <w:tcBorders>
              <w:top w:val="single" w:sz="8" w:color="0000EE"/>
              <w:bottom w:val="single" w:sz="8" w:color="0000EE"/>
            </w:tcBorders>
            <w:gridSpan w:val="10"/>
          </w:tcPr>
          <w:p>
            <w:pPr>
              <w:spacing w:after="0" w:line="223" w:lineRule="exact"/>
              <w:rPr>
                <w:rFonts w:ascii="Arial" w:cs="Arial" w:eastAsia="Arial" w:hAnsi="Arial"/>
                <w:sz w:val="21"/>
                <w:szCs w:val="21"/>
                <w:color w:val="0000EE"/>
                <w:w w:val="89"/>
              </w:rPr>
            </w:pPr>
            <w:hyperlink w:anchor="page147">
              <w:r>
                <w:rPr>
                  <w:rFonts w:ascii="Arial" w:cs="Arial" w:eastAsia="Arial" w:hAnsi="Arial"/>
                  <w:sz w:val="21"/>
                  <w:szCs w:val="21"/>
                  <w:color w:val="0000EE"/>
                  <w:w w:val="89"/>
                </w:rPr>
                <w:t>Books and Records</w:t>
              </w:r>
            </w:hyperlink>
          </w:p>
        </w:tc>
        <w:tc>
          <w:tcPr>
            <w:tcW w:w="380" w:type="dxa"/>
            <w:vAlign w:val="bottom"/>
            <w:tcBorders>
              <w:top w:val="single" w:sz="8" w:color="0000EE"/>
            </w:tcBorders>
            <w:gridSpan w:val="5"/>
          </w:tcPr>
          <w:p>
            <w:pPr>
              <w:spacing w:after="0"/>
              <w:rPr>
                <w:sz w:val="19"/>
                <w:szCs w:val="19"/>
                <w:color w:val="auto"/>
              </w:rPr>
            </w:pPr>
          </w:p>
        </w:tc>
        <w:tc>
          <w:tcPr>
            <w:tcW w:w="4940" w:type="dxa"/>
            <w:vAlign w:val="bottom"/>
            <w:gridSpan w:val="15"/>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19</w:t>
            </w:r>
          </w:p>
        </w:tc>
        <w:tc>
          <w:tcPr>
            <w:tcW w:w="0" w:type="dxa"/>
            <w:vAlign w:val="bottom"/>
          </w:tcPr>
          <w:p>
            <w:pPr>
              <w:spacing w:after="0"/>
              <w:rPr>
                <w:sz w:val="1"/>
                <w:szCs w:val="1"/>
                <w:color w:val="auto"/>
              </w:rPr>
            </w:pPr>
          </w:p>
        </w:tc>
      </w:tr>
      <w:tr>
        <w:trPr>
          <w:trHeight w:val="466"/>
        </w:trPr>
        <w:tc>
          <w:tcPr>
            <w:tcW w:w="1200" w:type="dxa"/>
            <w:vAlign w:val="bottom"/>
            <w:gridSpan w:val="7"/>
          </w:tcPr>
          <w:p>
            <w:pPr>
              <w:spacing w:after="0"/>
              <w:rPr>
                <w:rFonts w:ascii="Arial" w:cs="Arial" w:eastAsia="Arial" w:hAnsi="Arial"/>
                <w:sz w:val="21"/>
                <w:szCs w:val="21"/>
                <w:color w:val="0000EE"/>
                <w:w w:val="91"/>
              </w:rPr>
            </w:pPr>
            <w:hyperlink w:anchor="page147">
              <w:r>
                <w:rPr>
                  <w:rFonts w:ascii="Arial" w:cs="Arial" w:eastAsia="Arial" w:hAnsi="Arial"/>
                  <w:sz w:val="21"/>
                  <w:szCs w:val="21"/>
                  <w:color w:val="0000EE"/>
                  <w:w w:val="91"/>
                </w:rPr>
                <w:t>SECTION 10.</w:t>
              </w:r>
            </w:hyperlink>
          </w:p>
        </w:tc>
        <w:tc>
          <w:tcPr>
            <w:tcW w:w="640" w:type="dxa"/>
            <w:vAlign w:val="bottom"/>
          </w:tcPr>
          <w:p>
            <w:pPr>
              <w:spacing w:after="0"/>
              <w:rPr>
                <w:sz w:val="24"/>
                <w:szCs w:val="24"/>
                <w:color w:val="auto"/>
              </w:rPr>
            </w:pPr>
          </w:p>
        </w:tc>
        <w:tc>
          <w:tcPr>
            <w:tcW w:w="7000" w:type="dxa"/>
            <w:vAlign w:val="bottom"/>
            <w:gridSpan w:val="30"/>
          </w:tcPr>
          <w:p>
            <w:pPr>
              <w:ind w:left="60"/>
              <w:spacing w:after="0"/>
              <w:rPr>
                <w:rFonts w:ascii="Arial" w:cs="Arial" w:eastAsia="Arial" w:hAnsi="Arial"/>
                <w:sz w:val="21"/>
                <w:szCs w:val="21"/>
                <w:color w:val="0000EE"/>
              </w:rPr>
            </w:pPr>
            <w:hyperlink w:anchor="page147">
              <w:r>
                <w:rPr>
                  <w:rFonts w:ascii="Arial" w:cs="Arial" w:eastAsia="Arial" w:hAnsi="Arial"/>
                  <w:sz w:val="21"/>
                  <w:szCs w:val="21"/>
                  <w:color w:val="0000EE"/>
                </w:rPr>
                <w:t>NEGATIVE COVENANTS</w:t>
              </w:r>
            </w:hyperlink>
          </w:p>
        </w:tc>
        <w:tc>
          <w:tcPr>
            <w:tcW w:w="1220" w:type="dxa"/>
            <w:vAlign w:val="bottom"/>
          </w:tcPr>
          <w:p>
            <w:pPr>
              <w:jc w:val="right"/>
              <w:spacing w:after="0"/>
              <w:rPr>
                <w:sz w:val="20"/>
                <w:szCs w:val="20"/>
                <w:color w:val="auto"/>
              </w:rPr>
            </w:pPr>
            <w:r>
              <w:rPr>
                <w:rFonts w:ascii="Arial" w:cs="Arial" w:eastAsia="Arial" w:hAnsi="Arial"/>
                <w:sz w:val="21"/>
                <w:szCs w:val="21"/>
                <w:color w:val="auto"/>
              </w:rPr>
              <w:t>19</w:t>
            </w:r>
          </w:p>
        </w:tc>
        <w:tc>
          <w:tcPr>
            <w:tcW w:w="0" w:type="dxa"/>
            <w:vAlign w:val="bottom"/>
          </w:tcPr>
          <w:p>
            <w:pPr>
              <w:spacing w:after="0"/>
              <w:rPr>
                <w:sz w:val="1"/>
                <w:szCs w:val="1"/>
                <w:color w:val="auto"/>
              </w:rPr>
            </w:pPr>
          </w:p>
        </w:tc>
      </w:tr>
      <w:tr>
        <w:trPr>
          <w:trHeight w:val="466"/>
        </w:trPr>
        <w:tc>
          <w:tcPr>
            <w:tcW w:w="1160" w:type="dxa"/>
            <w:vAlign w:val="bottom"/>
            <w:tcBorders>
              <w:top w:val="single" w:sz="8" w:color="0000EE"/>
            </w:tcBorders>
            <w:gridSpan w:val="5"/>
          </w:tcPr>
          <w:p>
            <w:pPr>
              <w:spacing w:after="0"/>
              <w:rPr>
                <w:rFonts w:ascii="Arial" w:cs="Arial" w:eastAsia="Arial" w:hAnsi="Arial"/>
                <w:sz w:val="21"/>
                <w:szCs w:val="21"/>
                <w:color w:val="0000EE"/>
                <w:w w:val="92"/>
              </w:rPr>
            </w:pPr>
            <w:hyperlink w:anchor="page147">
              <w:r>
                <w:rPr>
                  <w:rFonts w:ascii="Arial" w:cs="Arial" w:eastAsia="Arial" w:hAnsi="Arial"/>
                  <w:sz w:val="21"/>
                  <w:szCs w:val="21"/>
                  <w:color w:val="0000EE"/>
                  <w:w w:val="92"/>
                </w:rPr>
                <w:t>Section 10.1.</w:t>
              </w:r>
            </w:hyperlink>
          </w:p>
        </w:tc>
        <w:tc>
          <w:tcPr>
            <w:tcW w:w="40" w:type="dxa"/>
            <w:vAlign w:val="bottom"/>
            <w:tcBorders>
              <w:top w:val="single" w:sz="8" w:color="0000EE"/>
            </w:tcBorders>
            <w:gridSpan w:val="2"/>
          </w:tcPr>
          <w:p>
            <w:pPr>
              <w:spacing w:after="0"/>
              <w:rPr>
                <w:sz w:val="24"/>
                <w:szCs w:val="24"/>
                <w:color w:val="auto"/>
              </w:rPr>
            </w:pPr>
          </w:p>
        </w:tc>
        <w:tc>
          <w:tcPr>
            <w:tcW w:w="640" w:type="dxa"/>
            <w:vAlign w:val="bottom"/>
          </w:tcPr>
          <w:p>
            <w:pPr>
              <w:spacing w:after="0"/>
              <w:rPr>
                <w:sz w:val="24"/>
                <w:szCs w:val="24"/>
                <w:color w:val="auto"/>
              </w:rPr>
            </w:pPr>
          </w:p>
        </w:tc>
        <w:tc>
          <w:tcPr>
            <w:tcW w:w="2380" w:type="dxa"/>
            <w:vAlign w:val="bottom"/>
            <w:tcBorders>
              <w:top w:val="single" w:sz="8" w:color="0000EE"/>
            </w:tcBorders>
            <w:gridSpan w:val="22"/>
          </w:tcPr>
          <w:p>
            <w:pPr>
              <w:spacing w:after="0"/>
              <w:rPr>
                <w:rFonts w:ascii="Arial" w:cs="Arial" w:eastAsia="Arial" w:hAnsi="Arial"/>
                <w:sz w:val="21"/>
                <w:szCs w:val="21"/>
                <w:color w:val="0000EE"/>
                <w:w w:val="94"/>
              </w:rPr>
            </w:pPr>
            <w:hyperlink w:anchor="page147">
              <w:r>
                <w:rPr>
                  <w:rFonts w:ascii="Arial" w:cs="Arial" w:eastAsia="Arial" w:hAnsi="Arial"/>
                  <w:sz w:val="21"/>
                  <w:szCs w:val="21"/>
                  <w:color w:val="0000EE"/>
                  <w:w w:val="94"/>
                </w:rPr>
                <w:t>Transactions with Affiliates</w:t>
              </w:r>
            </w:hyperlink>
          </w:p>
        </w:tc>
        <w:tc>
          <w:tcPr>
            <w:tcW w:w="4620" w:type="dxa"/>
            <w:vAlign w:val="bottom"/>
            <w:gridSpan w:val="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19</w:t>
            </w:r>
          </w:p>
        </w:tc>
        <w:tc>
          <w:tcPr>
            <w:tcW w:w="0" w:type="dxa"/>
            <w:vAlign w:val="bottom"/>
          </w:tcPr>
          <w:p>
            <w:pPr>
              <w:spacing w:after="0"/>
              <w:rPr>
                <w:sz w:val="1"/>
                <w:szCs w:val="1"/>
                <w:color w:val="auto"/>
              </w:rPr>
            </w:pPr>
          </w:p>
        </w:tc>
      </w:tr>
      <w:tr>
        <w:trPr>
          <w:trHeight w:val="223"/>
        </w:trPr>
        <w:tc>
          <w:tcPr>
            <w:tcW w:w="1160" w:type="dxa"/>
            <w:vAlign w:val="bottom"/>
            <w:tcBorders>
              <w:top w:val="single" w:sz="8" w:color="0000EE"/>
            </w:tcBorders>
            <w:gridSpan w:val="5"/>
          </w:tcPr>
          <w:p>
            <w:pPr>
              <w:spacing w:after="0" w:line="223" w:lineRule="exact"/>
              <w:rPr>
                <w:rFonts w:ascii="Arial" w:cs="Arial" w:eastAsia="Arial" w:hAnsi="Arial"/>
                <w:sz w:val="21"/>
                <w:szCs w:val="21"/>
                <w:color w:val="0000EE"/>
                <w:w w:val="92"/>
              </w:rPr>
            </w:pPr>
            <w:hyperlink w:anchor="page148">
              <w:r>
                <w:rPr>
                  <w:rFonts w:ascii="Arial" w:cs="Arial" w:eastAsia="Arial" w:hAnsi="Arial"/>
                  <w:sz w:val="21"/>
                  <w:szCs w:val="21"/>
                  <w:color w:val="0000EE"/>
                  <w:w w:val="92"/>
                </w:rPr>
                <w:t>Section 10.2.</w:t>
              </w:r>
            </w:hyperlink>
          </w:p>
        </w:tc>
        <w:tc>
          <w:tcPr>
            <w:tcW w:w="680" w:type="dxa"/>
            <w:vAlign w:val="bottom"/>
            <w:gridSpan w:val="3"/>
          </w:tcPr>
          <w:p>
            <w:pPr>
              <w:spacing w:after="0"/>
              <w:rPr>
                <w:sz w:val="19"/>
                <w:szCs w:val="19"/>
                <w:color w:val="auto"/>
              </w:rPr>
            </w:pPr>
          </w:p>
        </w:tc>
        <w:tc>
          <w:tcPr>
            <w:tcW w:w="2300" w:type="dxa"/>
            <w:vAlign w:val="bottom"/>
            <w:tcBorders>
              <w:top w:val="single" w:sz="8" w:color="0000EE"/>
            </w:tcBorders>
            <w:gridSpan w:val="21"/>
          </w:tcPr>
          <w:p>
            <w:pPr>
              <w:spacing w:after="0" w:line="223" w:lineRule="exact"/>
              <w:rPr>
                <w:rFonts w:ascii="Arial" w:cs="Arial" w:eastAsia="Arial" w:hAnsi="Arial"/>
                <w:sz w:val="21"/>
                <w:szCs w:val="21"/>
                <w:color w:val="0000EE"/>
                <w:w w:val="92"/>
              </w:rPr>
            </w:pPr>
            <w:hyperlink w:anchor="page148">
              <w:r>
                <w:rPr>
                  <w:rFonts w:ascii="Arial" w:cs="Arial" w:eastAsia="Arial" w:hAnsi="Arial"/>
                  <w:sz w:val="21"/>
                  <w:szCs w:val="21"/>
                  <w:color w:val="0000EE"/>
                  <w:w w:val="92"/>
                </w:rPr>
                <w:t>Merger, Consolidation, Etc</w:t>
              </w:r>
            </w:hyperlink>
          </w:p>
        </w:tc>
        <w:tc>
          <w:tcPr>
            <w:tcW w:w="4700" w:type="dxa"/>
            <w:vAlign w:val="bottom"/>
            <w:gridSpan w:val="9"/>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20</w:t>
            </w:r>
          </w:p>
        </w:tc>
        <w:tc>
          <w:tcPr>
            <w:tcW w:w="0" w:type="dxa"/>
            <w:vAlign w:val="bottom"/>
          </w:tcPr>
          <w:p>
            <w:pPr>
              <w:spacing w:after="0"/>
              <w:rPr>
                <w:sz w:val="1"/>
                <w:szCs w:val="1"/>
                <w:color w:val="auto"/>
              </w:rPr>
            </w:pPr>
          </w:p>
        </w:tc>
      </w:tr>
      <w:tr>
        <w:trPr>
          <w:trHeight w:val="223"/>
        </w:trPr>
        <w:tc>
          <w:tcPr>
            <w:tcW w:w="1160" w:type="dxa"/>
            <w:vAlign w:val="bottom"/>
            <w:tcBorders>
              <w:top w:val="single" w:sz="8" w:color="0000EE"/>
              <w:bottom w:val="single" w:sz="8" w:color="0000EE"/>
            </w:tcBorders>
            <w:gridSpan w:val="5"/>
          </w:tcPr>
          <w:p>
            <w:pPr>
              <w:spacing w:after="0" w:line="223" w:lineRule="exact"/>
              <w:rPr>
                <w:rFonts w:ascii="Arial" w:cs="Arial" w:eastAsia="Arial" w:hAnsi="Arial"/>
                <w:sz w:val="21"/>
                <w:szCs w:val="21"/>
                <w:color w:val="0000EE"/>
                <w:w w:val="92"/>
              </w:rPr>
            </w:pPr>
            <w:hyperlink w:anchor="page148">
              <w:r>
                <w:rPr>
                  <w:rFonts w:ascii="Arial" w:cs="Arial" w:eastAsia="Arial" w:hAnsi="Arial"/>
                  <w:sz w:val="21"/>
                  <w:szCs w:val="21"/>
                  <w:color w:val="0000EE"/>
                  <w:w w:val="92"/>
                </w:rPr>
                <w:t>Section 10.3.</w:t>
              </w:r>
            </w:hyperlink>
          </w:p>
        </w:tc>
        <w:tc>
          <w:tcPr>
            <w:tcW w:w="680" w:type="dxa"/>
            <w:vAlign w:val="bottom"/>
            <w:gridSpan w:val="3"/>
          </w:tcPr>
          <w:p>
            <w:pPr>
              <w:spacing w:after="0"/>
              <w:rPr>
                <w:sz w:val="19"/>
                <w:szCs w:val="19"/>
                <w:color w:val="auto"/>
              </w:rPr>
            </w:pPr>
          </w:p>
        </w:tc>
        <w:tc>
          <w:tcPr>
            <w:tcW w:w="1400" w:type="dxa"/>
            <w:vAlign w:val="bottom"/>
            <w:tcBorders>
              <w:top w:val="single" w:sz="8" w:color="0000EE"/>
              <w:bottom w:val="single" w:sz="8" w:color="0000EE"/>
            </w:tcBorders>
            <w:gridSpan w:val="7"/>
          </w:tcPr>
          <w:p>
            <w:pPr>
              <w:spacing w:after="0" w:line="223" w:lineRule="exact"/>
              <w:rPr>
                <w:rFonts w:ascii="Arial" w:cs="Arial" w:eastAsia="Arial" w:hAnsi="Arial"/>
                <w:sz w:val="21"/>
                <w:szCs w:val="21"/>
                <w:color w:val="0000EE"/>
                <w:w w:val="89"/>
              </w:rPr>
            </w:pPr>
            <w:hyperlink w:anchor="page148">
              <w:r>
                <w:rPr>
                  <w:rFonts w:ascii="Arial" w:cs="Arial" w:eastAsia="Arial" w:hAnsi="Arial"/>
                  <w:sz w:val="21"/>
                  <w:szCs w:val="21"/>
                  <w:color w:val="0000EE"/>
                  <w:w w:val="89"/>
                </w:rPr>
                <w:t>Line of Business</w:t>
              </w:r>
            </w:hyperlink>
          </w:p>
        </w:tc>
        <w:tc>
          <w:tcPr>
            <w:tcW w:w="840" w:type="dxa"/>
            <w:vAlign w:val="bottom"/>
            <w:tcBorders>
              <w:top w:val="single" w:sz="8" w:color="0000EE"/>
            </w:tcBorders>
            <w:gridSpan w:val="13"/>
          </w:tcPr>
          <w:p>
            <w:pPr>
              <w:spacing w:after="0"/>
              <w:rPr>
                <w:sz w:val="19"/>
                <w:szCs w:val="19"/>
                <w:color w:val="auto"/>
              </w:rPr>
            </w:pPr>
          </w:p>
        </w:tc>
        <w:tc>
          <w:tcPr>
            <w:tcW w:w="4760" w:type="dxa"/>
            <w:vAlign w:val="bottom"/>
            <w:gridSpan w:val="10"/>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20</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0000EE"/>
            </w:tcBorders>
            <w:gridSpan w:val="5"/>
          </w:tcPr>
          <w:p>
            <w:pPr>
              <w:spacing w:after="0" w:line="223" w:lineRule="exact"/>
              <w:rPr>
                <w:rFonts w:ascii="Arial" w:cs="Arial" w:eastAsia="Arial" w:hAnsi="Arial"/>
                <w:sz w:val="21"/>
                <w:szCs w:val="21"/>
                <w:color w:val="0000EE"/>
                <w:w w:val="92"/>
              </w:rPr>
            </w:pPr>
            <w:hyperlink w:anchor="page148">
              <w:r>
                <w:rPr>
                  <w:rFonts w:ascii="Arial" w:cs="Arial" w:eastAsia="Arial" w:hAnsi="Arial"/>
                  <w:sz w:val="21"/>
                  <w:szCs w:val="21"/>
                  <w:color w:val="0000EE"/>
                  <w:w w:val="92"/>
                </w:rPr>
                <w:t>Section 10.4.</w:t>
              </w:r>
            </w:hyperlink>
          </w:p>
        </w:tc>
        <w:tc>
          <w:tcPr>
            <w:tcW w:w="680" w:type="dxa"/>
            <w:vAlign w:val="bottom"/>
            <w:gridSpan w:val="3"/>
          </w:tcPr>
          <w:p>
            <w:pPr>
              <w:spacing w:after="0"/>
              <w:rPr>
                <w:sz w:val="19"/>
                <w:szCs w:val="19"/>
                <w:color w:val="auto"/>
              </w:rPr>
            </w:pPr>
          </w:p>
        </w:tc>
        <w:tc>
          <w:tcPr>
            <w:tcW w:w="2140" w:type="dxa"/>
            <w:vAlign w:val="bottom"/>
            <w:tcBorders>
              <w:bottom w:val="single" w:sz="8" w:color="0000EE"/>
            </w:tcBorders>
            <w:gridSpan w:val="16"/>
          </w:tcPr>
          <w:p>
            <w:pPr>
              <w:spacing w:after="0" w:line="223" w:lineRule="exact"/>
              <w:rPr>
                <w:rFonts w:ascii="Arial" w:cs="Arial" w:eastAsia="Arial" w:hAnsi="Arial"/>
                <w:sz w:val="21"/>
                <w:szCs w:val="21"/>
                <w:color w:val="0000EE"/>
                <w:w w:val="89"/>
              </w:rPr>
            </w:pPr>
            <w:hyperlink w:anchor="page148">
              <w:r>
                <w:rPr>
                  <w:rFonts w:ascii="Arial" w:cs="Arial" w:eastAsia="Arial" w:hAnsi="Arial"/>
                  <w:sz w:val="21"/>
                  <w:szCs w:val="21"/>
                  <w:color w:val="0000EE"/>
                  <w:w w:val="89"/>
                </w:rPr>
                <w:t>Economic Sanctions, Etc.</w:t>
              </w:r>
            </w:hyperlink>
          </w:p>
        </w:tc>
        <w:tc>
          <w:tcPr>
            <w:tcW w:w="4860" w:type="dxa"/>
            <w:vAlign w:val="bottom"/>
            <w:gridSpan w:val="14"/>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20</w:t>
            </w:r>
          </w:p>
        </w:tc>
        <w:tc>
          <w:tcPr>
            <w:tcW w:w="0" w:type="dxa"/>
            <w:vAlign w:val="bottom"/>
          </w:tcPr>
          <w:p>
            <w:pPr>
              <w:spacing w:after="0"/>
              <w:rPr>
                <w:sz w:val="1"/>
                <w:szCs w:val="1"/>
                <w:color w:val="auto"/>
              </w:rPr>
            </w:pPr>
          </w:p>
        </w:tc>
      </w:tr>
      <w:tr>
        <w:trPr>
          <w:trHeight w:val="466"/>
        </w:trPr>
        <w:tc>
          <w:tcPr>
            <w:tcW w:w="1180" w:type="dxa"/>
            <w:vAlign w:val="bottom"/>
            <w:gridSpan w:val="6"/>
          </w:tcPr>
          <w:p>
            <w:pPr>
              <w:spacing w:after="0"/>
              <w:rPr>
                <w:rFonts w:ascii="Arial" w:cs="Arial" w:eastAsia="Arial" w:hAnsi="Arial"/>
                <w:sz w:val="21"/>
                <w:szCs w:val="21"/>
                <w:color w:val="0000EE"/>
                <w:w w:val="90"/>
              </w:rPr>
            </w:pPr>
            <w:hyperlink w:anchor="page149">
              <w:r>
                <w:rPr>
                  <w:rFonts w:ascii="Arial" w:cs="Arial" w:eastAsia="Arial" w:hAnsi="Arial"/>
                  <w:sz w:val="21"/>
                  <w:szCs w:val="21"/>
                  <w:color w:val="0000EE"/>
                  <w:w w:val="90"/>
                </w:rPr>
                <w:t>SECTION 11.</w:t>
              </w:r>
            </w:hyperlink>
          </w:p>
        </w:tc>
        <w:tc>
          <w:tcPr>
            <w:tcW w:w="660" w:type="dxa"/>
            <w:vAlign w:val="bottom"/>
            <w:gridSpan w:val="2"/>
          </w:tcPr>
          <w:p>
            <w:pPr>
              <w:spacing w:after="0"/>
              <w:rPr>
                <w:sz w:val="24"/>
                <w:szCs w:val="24"/>
                <w:color w:val="auto"/>
              </w:rPr>
            </w:pPr>
          </w:p>
        </w:tc>
        <w:tc>
          <w:tcPr>
            <w:tcW w:w="7000" w:type="dxa"/>
            <w:vAlign w:val="bottom"/>
            <w:gridSpan w:val="30"/>
          </w:tcPr>
          <w:p>
            <w:pPr>
              <w:spacing w:after="0"/>
              <w:rPr>
                <w:rFonts w:ascii="Arial" w:cs="Arial" w:eastAsia="Arial" w:hAnsi="Arial"/>
                <w:sz w:val="21"/>
                <w:szCs w:val="21"/>
                <w:color w:val="0000EE"/>
              </w:rPr>
            </w:pPr>
            <w:hyperlink w:anchor="page149">
              <w:r>
                <w:rPr>
                  <w:rFonts w:ascii="Arial" w:cs="Arial" w:eastAsia="Arial" w:hAnsi="Arial"/>
                  <w:sz w:val="21"/>
                  <w:szCs w:val="21"/>
                  <w:color w:val="0000EE"/>
                </w:rPr>
                <w:t>PAYMENTS ON BONDS</w:t>
              </w:r>
            </w:hyperlink>
          </w:p>
        </w:tc>
        <w:tc>
          <w:tcPr>
            <w:tcW w:w="1220" w:type="dxa"/>
            <w:vAlign w:val="bottom"/>
          </w:tcPr>
          <w:p>
            <w:pPr>
              <w:jc w:val="right"/>
              <w:spacing w:after="0"/>
              <w:rPr>
                <w:sz w:val="20"/>
                <w:szCs w:val="20"/>
                <w:color w:val="auto"/>
              </w:rPr>
            </w:pPr>
            <w:r>
              <w:rPr>
                <w:rFonts w:ascii="Arial" w:cs="Arial" w:eastAsia="Arial" w:hAnsi="Arial"/>
                <w:sz w:val="21"/>
                <w:szCs w:val="21"/>
                <w:color w:val="auto"/>
              </w:rPr>
              <w:t>21</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80" w:type="dxa"/>
            <w:vAlign w:val="bottom"/>
            <w:tcBorders>
              <w:bottom w:val="single" w:sz="8" w:color="0000EE"/>
            </w:tcBorders>
            <w:gridSpan w:val="2"/>
          </w:tcPr>
          <w:p>
            <w:pPr>
              <w:spacing w:after="0"/>
              <w:rPr>
                <w:rFonts w:ascii="Arial" w:cs="Arial" w:eastAsia="Arial" w:hAnsi="Arial"/>
                <w:sz w:val="21"/>
                <w:szCs w:val="21"/>
                <w:color w:val="0000EE"/>
                <w:w w:val="86"/>
              </w:rPr>
            </w:pPr>
            <w:hyperlink w:anchor="page149">
              <w:r>
                <w:rPr>
                  <w:rFonts w:ascii="Arial" w:cs="Arial" w:eastAsia="Arial" w:hAnsi="Arial"/>
                  <w:sz w:val="21"/>
                  <w:szCs w:val="21"/>
                  <w:color w:val="0000EE"/>
                  <w:w w:val="86"/>
                </w:rPr>
                <w:t>Section 11.1.</w:t>
              </w:r>
            </w:hyperlink>
          </w:p>
        </w:tc>
        <w:tc>
          <w:tcPr>
            <w:tcW w:w="100" w:type="dxa"/>
            <w:vAlign w:val="bottom"/>
            <w:gridSpan w:val="4"/>
          </w:tcPr>
          <w:p>
            <w:pPr>
              <w:spacing w:after="0"/>
              <w:rPr>
                <w:sz w:val="24"/>
                <w:szCs w:val="24"/>
                <w:color w:val="auto"/>
              </w:rPr>
            </w:pPr>
          </w:p>
        </w:tc>
        <w:tc>
          <w:tcPr>
            <w:tcW w:w="660" w:type="dxa"/>
            <w:vAlign w:val="bottom"/>
            <w:gridSpan w:val="2"/>
          </w:tcPr>
          <w:p>
            <w:pPr>
              <w:spacing w:after="0"/>
              <w:rPr>
                <w:sz w:val="24"/>
                <w:szCs w:val="24"/>
                <w:color w:val="auto"/>
              </w:rPr>
            </w:pPr>
          </w:p>
        </w:tc>
        <w:tc>
          <w:tcPr>
            <w:tcW w:w="2200" w:type="dxa"/>
            <w:vAlign w:val="bottom"/>
            <w:tcBorders>
              <w:bottom w:val="single" w:sz="8" w:color="0000EE"/>
            </w:tcBorders>
            <w:gridSpan w:val="19"/>
          </w:tcPr>
          <w:p>
            <w:pPr>
              <w:spacing w:after="0"/>
              <w:rPr>
                <w:rFonts w:ascii="Arial" w:cs="Arial" w:eastAsia="Arial" w:hAnsi="Arial"/>
                <w:sz w:val="21"/>
                <w:szCs w:val="21"/>
                <w:color w:val="0000EE"/>
                <w:w w:val="89"/>
              </w:rPr>
            </w:pPr>
            <w:hyperlink w:anchor="page149">
              <w:r>
                <w:rPr>
                  <w:rFonts w:ascii="Arial" w:cs="Arial" w:eastAsia="Arial" w:hAnsi="Arial"/>
                  <w:sz w:val="21"/>
                  <w:szCs w:val="21"/>
                  <w:color w:val="0000EE"/>
                  <w:w w:val="89"/>
                </w:rPr>
                <w:t>Payment by Wire Transfer</w:t>
              </w:r>
            </w:hyperlink>
          </w:p>
        </w:tc>
        <w:tc>
          <w:tcPr>
            <w:tcW w:w="4800" w:type="dxa"/>
            <w:vAlign w:val="bottom"/>
            <w:gridSpan w:val="11"/>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21</w:t>
            </w:r>
          </w:p>
        </w:tc>
        <w:tc>
          <w:tcPr>
            <w:tcW w:w="0" w:type="dxa"/>
            <w:vAlign w:val="bottom"/>
          </w:tcPr>
          <w:p>
            <w:pPr>
              <w:spacing w:after="0"/>
              <w:rPr>
                <w:sz w:val="1"/>
                <w:szCs w:val="1"/>
                <w:color w:val="auto"/>
              </w:rPr>
            </w:pPr>
          </w:p>
        </w:tc>
      </w:tr>
      <w:tr>
        <w:trPr>
          <w:trHeight w:val="466"/>
        </w:trPr>
        <w:tc>
          <w:tcPr>
            <w:tcW w:w="1200" w:type="dxa"/>
            <w:vAlign w:val="bottom"/>
            <w:gridSpan w:val="7"/>
          </w:tcPr>
          <w:p>
            <w:pPr>
              <w:spacing w:after="0"/>
              <w:rPr>
                <w:rFonts w:ascii="Arial" w:cs="Arial" w:eastAsia="Arial" w:hAnsi="Arial"/>
                <w:sz w:val="21"/>
                <w:szCs w:val="21"/>
                <w:color w:val="0000EE"/>
                <w:w w:val="91"/>
              </w:rPr>
            </w:pPr>
            <w:hyperlink w:anchor="page149">
              <w:r>
                <w:rPr>
                  <w:rFonts w:ascii="Arial" w:cs="Arial" w:eastAsia="Arial" w:hAnsi="Arial"/>
                  <w:sz w:val="21"/>
                  <w:szCs w:val="21"/>
                  <w:color w:val="0000EE"/>
                  <w:w w:val="91"/>
                </w:rPr>
                <w:t>SECTION 12.</w:t>
              </w:r>
            </w:hyperlink>
          </w:p>
        </w:tc>
        <w:tc>
          <w:tcPr>
            <w:tcW w:w="640" w:type="dxa"/>
            <w:vAlign w:val="bottom"/>
          </w:tcPr>
          <w:p>
            <w:pPr>
              <w:spacing w:after="0"/>
              <w:rPr>
                <w:sz w:val="24"/>
                <w:szCs w:val="24"/>
                <w:color w:val="auto"/>
              </w:rPr>
            </w:pPr>
          </w:p>
        </w:tc>
        <w:tc>
          <w:tcPr>
            <w:tcW w:w="7000" w:type="dxa"/>
            <w:vAlign w:val="bottom"/>
            <w:gridSpan w:val="30"/>
          </w:tcPr>
          <w:p>
            <w:pPr>
              <w:spacing w:after="0"/>
              <w:rPr>
                <w:rFonts w:ascii="Arial" w:cs="Arial" w:eastAsia="Arial" w:hAnsi="Arial"/>
                <w:sz w:val="21"/>
                <w:szCs w:val="21"/>
                <w:color w:val="0000EE"/>
              </w:rPr>
            </w:pPr>
            <w:hyperlink w:anchor="page149">
              <w:r>
                <w:rPr>
                  <w:rFonts w:ascii="Arial" w:cs="Arial" w:eastAsia="Arial" w:hAnsi="Arial"/>
                  <w:sz w:val="21"/>
                  <w:szCs w:val="21"/>
                  <w:color w:val="0000EE"/>
                </w:rPr>
                <w:t>REGISTRATION; EXCHANGE; EXPENSES, ETC</w:t>
              </w:r>
            </w:hyperlink>
          </w:p>
        </w:tc>
        <w:tc>
          <w:tcPr>
            <w:tcW w:w="1220" w:type="dxa"/>
            <w:vAlign w:val="bottom"/>
          </w:tcPr>
          <w:p>
            <w:pPr>
              <w:jc w:val="right"/>
              <w:spacing w:after="0"/>
              <w:rPr>
                <w:sz w:val="20"/>
                <w:szCs w:val="20"/>
                <w:color w:val="auto"/>
              </w:rPr>
            </w:pPr>
            <w:r>
              <w:rPr>
                <w:rFonts w:ascii="Arial" w:cs="Arial" w:eastAsia="Arial" w:hAnsi="Arial"/>
                <w:sz w:val="21"/>
                <w:szCs w:val="21"/>
                <w:color w:val="auto"/>
              </w:rPr>
              <w:t>21</w:t>
            </w:r>
          </w:p>
        </w:tc>
        <w:tc>
          <w:tcPr>
            <w:tcW w:w="0" w:type="dxa"/>
            <w:vAlign w:val="bottom"/>
          </w:tcPr>
          <w:p>
            <w:pPr>
              <w:spacing w:after="0"/>
              <w:rPr>
                <w:sz w:val="1"/>
                <w:szCs w:val="1"/>
                <w:color w:val="auto"/>
              </w:rPr>
            </w:pPr>
          </w:p>
        </w:tc>
      </w:tr>
      <w:tr>
        <w:trPr>
          <w:trHeight w:val="466"/>
        </w:trPr>
        <w:tc>
          <w:tcPr>
            <w:tcW w:w="1160" w:type="dxa"/>
            <w:vAlign w:val="bottom"/>
            <w:tcBorders>
              <w:top w:val="single" w:sz="8" w:color="0000EE"/>
            </w:tcBorders>
            <w:gridSpan w:val="5"/>
          </w:tcPr>
          <w:p>
            <w:pPr>
              <w:spacing w:after="0"/>
              <w:rPr>
                <w:rFonts w:ascii="Arial" w:cs="Arial" w:eastAsia="Arial" w:hAnsi="Arial"/>
                <w:sz w:val="21"/>
                <w:szCs w:val="21"/>
                <w:color w:val="0000EE"/>
                <w:w w:val="92"/>
              </w:rPr>
            </w:pPr>
            <w:hyperlink w:anchor="page149">
              <w:r>
                <w:rPr>
                  <w:rFonts w:ascii="Arial" w:cs="Arial" w:eastAsia="Arial" w:hAnsi="Arial"/>
                  <w:sz w:val="21"/>
                  <w:szCs w:val="21"/>
                  <w:color w:val="0000EE"/>
                  <w:w w:val="92"/>
                </w:rPr>
                <w:t>Section 12.1.</w:t>
              </w:r>
            </w:hyperlink>
          </w:p>
        </w:tc>
        <w:tc>
          <w:tcPr>
            <w:tcW w:w="40" w:type="dxa"/>
            <w:vAlign w:val="bottom"/>
            <w:tcBorders>
              <w:top w:val="single" w:sz="8" w:color="0000EE"/>
            </w:tcBorders>
            <w:gridSpan w:val="2"/>
          </w:tcPr>
          <w:p>
            <w:pPr>
              <w:spacing w:after="0"/>
              <w:rPr>
                <w:sz w:val="24"/>
                <w:szCs w:val="24"/>
                <w:color w:val="auto"/>
              </w:rPr>
            </w:pPr>
          </w:p>
        </w:tc>
        <w:tc>
          <w:tcPr>
            <w:tcW w:w="640" w:type="dxa"/>
            <w:vAlign w:val="bottom"/>
          </w:tcPr>
          <w:p>
            <w:pPr>
              <w:spacing w:after="0"/>
              <w:rPr>
                <w:sz w:val="24"/>
                <w:szCs w:val="24"/>
                <w:color w:val="auto"/>
              </w:rPr>
            </w:pPr>
          </w:p>
        </w:tc>
        <w:tc>
          <w:tcPr>
            <w:tcW w:w="4360" w:type="dxa"/>
            <w:vAlign w:val="bottom"/>
            <w:tcBorders>
              <w:top w:val="single" w:sz="8" w:color="0000EE"/>
            </w:tcBorders>
            <w:gridSpan w:val="28"/>
          </w:tcPr>
          <w:p>
            <w:pPr>
              <w:spacing w:after="0"/>
              <w:rPr>
                <w:rFonts w:ascii="Arial" w:cs="Arial" w:eastAsia="Arial" w:hAnsi="Arial"/>
                <w:sz w:val="21"/>
                <w:szCs w:val="21"/>
                <w:color w:val="0000EE"/>
              </w:rPr>
            </w:pPr>
            <w:hyperlink w:anchor="page149">
              <w:r>
                <w:rPr>
                  <w:rFonts w:ascii="Arial" w:cs="Arial" w:eastAsia="Arial" w:hAnsi="Arial"/>
                  <w:sz w:val="21"/>
                  <w:szCs w:val="21"/>
                  <w:color w:val="0000EE"/>
                </w:rPr>
                <w:t>Registration of Bonds</w:t>
              </w:r>
            </w:hyperlink>
          </w:p>
        </w:tc>
        <w:tc>
          <w:tcPr>
            <w:tcW w:w="264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21</w:t>
            </w:r>
          </w:p>
        </w:tc>
        <w:tc>
          <w:tcPr>
            <w:tcW w:w="0" w:type="dxa"/>
            <w:vAlign w:val="bottom"/>
          </w:tcPr>
          <w:p>
            <w:pPr>
              <w:spacing w:after="0"/>
              <w:rPr>
                <w:sz w:val="1"/>
                <w:szCs w:val="1"/>
                <w:color w:val="auto"/>
              </w:rPr>
            </w:pPr>
          </w:p>
        </w:tc>
      </w:tr>
      <w:tr>
        <w:trPr>
          <w:trHeight w:val="223"/>
        </w:trPr>
        <w:tc>
          <w:tcPr>
            <w:tcW w:w="1160" w:type="dxa"/>
            <w:vAlign w:val="bottom"/>
            <w:tcBorders>
              <w:top w:val="single" w:sz="8" w:color="0000EE"/>
            </w:tcBorders>
            <w:gridSpan w:val="5"/>
          </w:tcPr>
          <w:p>
            <w:pPr>
              <w:spacing w:after="0" w:line="223" w:lineRule="exact"/>
              <w:rPr>
                <w:rFonts w:ascii="Arial" w:cs="Arial" w:eastAsia="Arial" w:hAnsi="Arial"/>
                <w:sz w:val="21"/>
                <w:szCs w:val="21"/>
                <w:color w:val="0000EE"/>
                <w:w w:val="92"/>
              </w:rPr>
            </w:pPr>
            <w:hyperlink w:anchor="page149">
              <w:r>
                <w:rPr>
                  <w:rFonts w:ascii="Arial" w:cs="Arial" w:eastAsia="Arial" w:hAnsi="Arial"/>
                  <w:sz w:val="21"/>
                  <w:szCs w:val="21"/>
                  <w:color w:val="0000EE"/>
                  <w:w w:val="92"/>
                </w:rPr>
                <w:t>Section 12.2.</w:t>
              </w:r>
            </w:hyperlink>
          </w:p>
        </w:tc>
        <w:tc>
          <w:tcPr>
            <w:tcW w:w="680" w:type="dxa"/>
            <w:vAlign w:val="bottom"/>
            <w:gridSpan w:val="3"/>
          </w:tcPr>
          <w:p>
            <w:pPr>
              <w:spacing w:after="0"/>
              <w:rPr>
                <w:sz w:val="19"/>
                <w:szCs w:val="19"/>
                <w:color w:val="auto"/>
              </w:rPr>
            </w:pPr>
          </w:p>
        </w:tc>
        <w:tc>
          <w:tcPr>
            <w:tcW w:w="1820" w:type="dxa"/>
            <w:vAlign w:val="bottom"/>
            <w:tcBorders>
              <w:top w:val="single" w:sz="8" w:color="0000EE"/>
            </w:tcBorders>
            <w:gridSpan w:val="12"/>
          </w:tcPr>
          <w:p>
            <w:pPr>
              <w:spacing w:after="0" w:line="223" w:lineRule="exact"/>
              <w:rPr>
                <w:rFonts w:ascii="Arial" w:cs="Arial" w:eastAsia="Arial" w:hAnsi="Arial"/>
                <w:sz w:val="21"/>
                <w:szCs w:val="21"/>
                <w:color w:val="0000EE"/>
                <w:w w:val="86"/>
              </w:rPr>
            </w:pPr>
            <w:hyperlink w:anchor="page149">
              <w:r>
                <w:rPr>
                  <w:rFonts w:ascii="Arial" w:cs="Arial" w:eastAsia="Arial" w:hAnsi="Arial"/>
                  <w:sz w:val="21"/>
                  <w:szCs w:val="21"/>
                  <w:color w:val="0000EE"/>
                  <w:w w:val="86"/>
                </w:rPr>
                <w:t>Transaction Expenses</w:t>
              </w:r>
            </w:hyperlink>
          </w:p>
        </w:tc>
        <w:tc>
          <w:tcPr>
            <w:tcW w:w="5180" w:type="dxa"/>
            <w:vAlign w:val="bottom"/>
            <w:gridSpan w:val="18"/>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21</w:t>
            </w:r>
          </w:p>
        </w:tc>
        <w:tc>
          <w:tcPr>
            <w:tcW w:w="0" w:type="dxa"/>
            <w:vAlign w:val="bottom"/>
          </w:tcPr>
          <w:p>
            <w:pPr>
              <w:spacing w:after="0"/>
              <w:rPr>
                <w:sz w:val="1"/>
                <w:szCs w:val="1"/>
                <w:color w:val="auto"/>
              </w:rPr>
            </w:pPr>
          </w:p>
        </w:tc>
      </w:tr>
      <w:tr>
        <w:trPr>
          <w:trHeight w:val="223"/>
        </w:trPr>
        <w:tc>
          <w:tcPr>
            <w:tcW w:w="1160" w:type="dxa"/>
            <w:vAlign w:val="bottom"/>
            <w:tcBorders>
              <w:top w:val="single" w:sz="8" w:color="0000EE"/>
            </w:tcBorders>
            <w:gridSpan w:val="5"/>
          </w:tcPr>
          <w:p>
            <w:pPr>
              <w:spacing w:after="0" w:line="223" w:lineRule="exact"/>
              <w:rPr>
                <w:rFonts w:ascii="Arial" w:cs="Arial" w:eastAsia="Arial" w:hAnsi="Arial"/>
                <w:sz w:val="21"/>
                <w:szCs w:val="21"/>
                <w:color w:val="0000EE"/>
                <w:w w:val="92"/>
              </w:rPr>
            </w:pPr>
            <w:hyperlink w:anchor="page150">
              <w:r>
                <w:rPr>
                  <w:rFonts w:ascii="Arial" w:cs="Arial" w:eastAsia="Arial" w:hAnsi="Arial"/>
                  <w:sz w:val="21"/>
                  <w:szCs w:val="21"/>
                  <w:color w:val="0000EE"/>
                  <w:w w:val="92"/>
                </w:rPr>
                <w:t>Section 12.3.</w:t>
              </w:r>
            </w:hyperlink>
          </w:p>
        </w:tc>
        <w:tc>
          <w:tcPr>
            <w:tcW w:w="680" w:type="dxa"/>
            <w:vAlign w:val="bottom"/>
            <w:gridSpan w:val="3"/>
          </w:tcPr>
          <w:p>
            <w:pPr>
              <w:spacing w:after="0"/>
              <w:rPr>
                <w:sz w:val="19"/>
                <w:szCs w:val="19"/>
                <w:color w:val="auto"/>
              </w:rPr>
            </w:pPr>
          </w:p>
        </w:tc>
        <w:tc>
          <w:tcPr>
            <w:tcW w:w="1800" w:type="dxa"/>
            <w:vAlign w:val="bottom"/>
            <w:tcBorders>
              <w:top w:val="single" w:sz="8" w:color="0000EE"/>
            </w:tcBorders>
            <w:gridSpan w:val="11"/>
          </w:tcPr>
          <w:p>
            <w:pPr>
              <w:spacing w:after="0" w:line="223" w:lineRule="exact"/>
              <w:rPr>
                <w:rFonts w:ascii="Arial" w:cs="Arial" w:eastAsia="Arial" w:hAnsi="Arial"/>
                <w:sz w:val="21"/>
                <w:szCs w:val="21"/>
                <w:color w:val="0000EE"/>
              </w:rPr>
            </w:pPr>
            <w:hyperlink w:anchor="page150">
              <w:r>
                <w:rPr>
                  <w:rFonts w:ascii="Arial" w:cs="Arial" w:eastAsia="Arial" w:hAnsi="Arial"/>
                  <w:sz w:val="21"/>
                  <w:szCs w:val="21"/>
                  <w:color w:val="0000EE"/>
                </w:rPr>
                <w:t>Survival</w:t>
              </w:r>
            </w:hyperlink>
          </w:p>
        </w:tc>
        <w:tc>
          <w:tcPr>
            <w:tcW w:w="5200" w:type="dxa"/>
            <w:vAlign w:val="bottom"/>
            <w:gridSpan w:val="19"/>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22</w:t>
            </w:r>
          </w:p>
        </w:tc>
        <w:tc>
          <w:tcPr>
            <w:tcW w:w="0" w:type="dxa"/>
            <w:vAlign w:val="bottom"/>
          </w:tcPr>
          <w:p>
            <w:pPr>
              <w:spacing w:after="0"/>
              <w:rPr>
                <w:sz w:val="1"/>
                <w:szCs w:val="1"/>
                <w:color w:val="auto"/>
              </w:rPr>
            </w:pPr>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gridSpan w:val="17"/>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4"/>
          </w:tcPr>
          <w:p>
            <w:pPr>
              <w:spacing w:after="0" w:line="223" w:lineRule="exact"/>
              <w:rPr>
                <w:rFonts w:ascii="Arial" w:cs="Arial" w:eastAsia="Arial" w:hAnsi="Arial"/>
                <w:sz w:val="21"/>
                <w:szCs w:val="21"/>
                <w:color w:val="0000EE"/>
                <w:w w:val="89"/>
              </w:rPr>
            </w:pPr>
            <w:hyperlink w:anchor="page150">
              <w:r>
                <w:rPr>
                  <w:rFonts w:ascii="Arial" w:cs="Arial" w:eastAsia="Arial" w:hAnsi="Arial"/>
                  <w:sz w:val="21"/>
                  <w:szCs w:val="21"/>
                  <w:color w:val="0000EE"/>
                  <w:w w:val="89"/>
                </w:rPr>
                <w:t>Section 12.4.</w:t>
              </w:r>
            </w:hyperlink>
          </w:p>
        </w:tc>
        <w:tc>
          <w:tcPr>
            <w:tcW w:w="20" w:type="dxa"/>
            <w:vAlign w:val="bottom"/>
          </w:tcPr>
          <w:p>
            <w:pPr>
              <w:spacing w:after="0"/>
              <w:rPr>
                <w:sz w:val="19"/>
                <w:szCs w:val="19"/>
                <w:color w:val="auto"/>
              </w:rPr>
            </w:pPr>
          </w:p>
        </w:tc>
        <w:tc>
          <w:tcPr>
            <w:tcW w:w="680" w:type="dxa"/>
            <w:vAlign w:val="bottom"/>
            <w:gridSpan w:val="3"/>
          </w:tcPr>
          <w:p>
            <w:pPr>
              <w:spacing w:after="0"/>
              <w:rPr>
                <w:sz w:val="19"/>
                <w:szCs w:val="19"/>
                <w:color w:val="auto"/>
              </w:rPr>
            </w:pPr>
          </w:p>
        </w:tc>
        <w:tc>
          <w:tcPr>
            <w:tcW w:w="7000" w:type="dxa"/>
            <w:vAlign w:val="bottom"/>
            <w:gridSpan w:val="30"/>
          </w:tcPr>
          <w:p>
            <w:pPr>
              <w:spacing w:after="0" w:line="223" w:lineRule="exact"/>
              <w:rPr>
                <w:rFonts w:ascii="Arial" w:cs="Arial" w:eastAsia="Arial" w:hAnsi="Arial"/>
                <w:sz w:val="21"/>
                <w:szCs w:val="21"/>
                <w:color w:val="0000EE"/>
              </w:rPr>
            </w:pPr>
            <w:hyperlink w:anchor="page150">
              <w:r>
                <w:rPr>
                  <w:rFonts w:ascii="Arial" w:cs="Arial" w:eastAsia="Arial" w:hAnsi="Arial"/>
                  <w:sz w:val="21"/>
                  <w:szCs w:val="21"/>
                  <w:color w:val="0000EE"/>
                </w:rPr>
                <w:t>Tax Withholding</w:t>
              </w:r>
            </w:hyperlink>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22</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00" w:type="dxa"/>
            <w:vAlign w:val="bottom"/>
            <w:gridSpan w:val="17"/>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840" w:type="dxa"/>
            <w:vAlign w:val="bottom"/>
            <w:gridSpan w:val="8"/>
            <w:vMerge w:val="restart"/>
          </w:tcPr>
          <w:p>
            <w:pPr>
              <w:spacing w:after="0"/>
              <w:rPr>
                <w:rFonts w:ascii="Arial" w:cs="Arial" w:eastAsia="Arial" w:hAnsi="Arial"/>
                <w:sz w:val="21"/>
                <w:szCs w:val="21"/>
                <w:color w:val="0000EE"/>
              </w:rPr>
            </w:pPr>
            <w:hyperlink w:anchor="page150">
              <w:r>
                <w:rPr>
                  <w:rFonts w:ascii="Arial" w:cs="Arial" w:eastAsia="Arial" w:hAnsi="Arial"/>
                  <w:sz w:val="21"/>
                  <w:szCs w:val="21"/>
                  <w:color w:val="0000EE"/>
                </w:rPr>
                <w:t>SECTION 13.</w:t>
              </w:r>
            </w:hyperlink>
          </w:p>
        </w:tc>
        <w:tc>
          <w:tcPr>
            <w:tcW w:w="6000" w:type="dxa"/>
            <w:vAlign w:val="bottom"/>
            <w:tcBorders>
              <w:bottom w:val="single" w:sz="8" w:color="0000EE"/>
            </w:tcBorders>
            <w:gridSpan w:val="29"/>
          </w:tcPr>
          <w:p>
            <w:pPr>
              <w:spacing w:after="0"/>
              <w:rPr>
                <w:rFonts w:ascii="Arial" w:cs="Arial" w:eastAsia="Arial" w:hAnsi="Arial"/>
                <w:sz w:val="21"/>
                <w:szCs w:val="21"/>
                <w:color w:val="0000EE"/>
                <w:w w:val="94"/>
              </w:rPr>
            </w:pPr>
            <w:hyperlink w:anchor="page150">
              <w:r>
                <w:rPr>
                  <w:rFonts w:ascii="Arial" w:cs="Arial" w:eastAsia="Arial" w:hAnsi="Arial"/>
                  <w:sz w:val="21"/>
                  <w:szCs w:val="21"/>
                  <w:color w:val="0000EE"/>
                  <w:w w:val="94"/>
                </w:rPr>
                <w:t>SURVIVAL OF REPRESENTATIONS AND WARRANTIES; ENTIRE</w:t>
              </w:r>
            </w:hyperlink>
          </w:p>
        </w:tc>
        <w:tc>
          <w:tcPr>
            <w:tcW w:w="100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21"/>
                <w:szCs w:val="21"/>
                <w:color w:val="auto"/>
              </w:rPr>
              <w:t>22</w:t>
            </w:r>
          </w:p>
        </w:tc>
        <w:tc>
          <w:tcPr>
            <w:tcW w:w="0" w:type="dxa"/>
            <w:vAlign w:val="bottom"/>
          </w:tcPr>
          <w:p>
            <w:pPr>
              <w:spacing w:after="0"/>
              <w:rPr>
                <w:sz w:val="1"/>
                <w:szCs w:val="1"/>
                <w:color w:val="auto"/>
              </w:rPr>
            </w:pPr>
          </w:p>
        </w:tc>
      </w:tr>
      <w:tr>
        <w:trPr>
          <w:trHeight w:val="102"/>
        </w:trPr>
        <w:tc>
          <w:tcPr>
            <w:tcW w:w="1840" w:type="dxa"/>
            <w:vAlign w:val="bottom"/>
            <w:gridSpan w:val="8"/>
            <w:vMerge w:val="continue"/>
          </w:tcPr>
          <w:p>
            <w:pPr>
              <w:spacing w:after="0"/>
              <w:rPr>
                <w:sz w:val="8"/>
                <w:szCs w:val="8"/>
                <w:color w:val="auto"/>
              </w:rPr>
            </w:pPr>
          </w:p>
        </w:tc>
        <w:tc>
          <w:tcPr>
            <w:tcW w:w="7000" w:type="dxa"/>
            <w:vAlign w:val="bottom"/>
            <w:gridSpan w:val="30"/>
            <w:vMerge w:val="restart"/>
          </w:tcPr>
          <w:p>
            <w:pPr>
              <w:spacing w:after="0" w:line="223" w:lineRule="exact"/>
              <w:rPr>
                <w:rFonts w:ascii="Arial" w:cs="Arial" w:eastAsia="Arial" w:hAnsi="Arial"/>
                <w:sz w:val="21"/>
                <w:szCs w:val="21"/>
                <w:color w:val="0000EE"/>
              </w:rPr>
            </w:pPr>
            <w:hyperlink w:anchor="page150">
              <w:r>
                <w:rPr>
                  <w:rFonts w:ascii="Arial" w:cs="Arial" w:eastAsia="Arial" w:hAnsi="Arial"/>
                  <w:sz w:val="21"/>
                  <w:szCs w:val="21"/>
                  <w:color w:val="0000EE"/>
                </w:rPr>
                <w:t>AGREEMENT</w:t>
              </w:r>
            </w:hyperlink>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7000" w:type="dxa"/>
            <w:vAlign w:val="bottom"/>
            <w:gridSpan w:val="30"/>
            <w:vMerge w:val="continue"/>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40" w:type="dxa"/>
            <w:vAlign w:val="bottom"/>
            <w:gridSpan w:val="8"/>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19"/>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0" w:type="dxa"/>
            <w:vAlign w:val="bottom"/>
            <w:gridSpan w:val="7"/>
          </w:tcPr>
          <w:p>
            <w:pPr>
              <w:spacing w:after="0"/>
              <w:rPr>
                <w:rFonts w:ascii="Arial" w:cs="Arial" w:eastAsia="Arial" w:hAnsi="Arial"/>
                <w:sz w:val="21"/>
                <w:szCs w:val="21"/>
                <w:color w:val="0000EE"/>
                <w:w w:val="91"/>
              </w:rPr>
            </w:pPr>
            <w:hyperlink w:anchor="page150">
              <w:r>
                <w:rPr>
                  <w:rFonts w:ascii="Arial" w:cs="Arial" w:eastAsia="Arial" w:hAnsi="Arial"/>
                  <w:sz w:val="21"/>
                  <w:szCs w:val="21"/>
                  <w:color w:val="0000EE"/>
                  <w:w w:val="91"/>
                </w:rPr>
                <w:t>SECTION 14.</w:t>
              </w:r>
            </w:hyperlink>
          </w:p>
        </w:tc>
        <w:tc>
          <w:tcPr>
            <w:tcW w:w="640" w:type="dxa"/>
            <w:vAlign w:val="bottom"/>
          </w:tcPr>
          <w:p>
            <w:pPr>
              <w:spacing w:after="0"/>
              <w:rPr>
                <w:sz w:val="24"/>
                <w:szCs w:val="24"/>
                <w:color w:val="auto"/>
              </w:rPr>
            </w:pPr>
          </w:p>
        </w:tc>
        <w:tc>
          <w:tcPr>
            <w:tcW w:w="7000" w:type="dxa"/>
            <w:vAlign w:val="bottom"/>
            <w:gridSpan w:val="30"/>
          </w:tcPr>
          <w:p>
            <w:pPr>
              <w:spacing w:after="0"/>
              <w:rPr>
                <w:rFonts w:ascii="Arial" w:cs="Arial" w:eastAsia="Arial" w:hAnsi="Arial"/>
                <w:sz w:val="21"/>
                <w:szCs w:val="21"/>
                <w:color w:val="0000EE"/>
              </w:rPr>
            </w:pPr>
            <w:hyperlink w:anchor="page150">
              <w:r>
                <w:rPr>
                  <w:rFonts w:ascii="Arial" w:cs="Arial" w:eastAsia="Arial" w:hAnsi="Arial"/>
                  <w:sz w:val="21"/>
                  <w:szCs w:val="21"/>
                  <w:color w:val="0000EE"/>
                </w:rPr>
                <w:t>AMENDMENT AND WAIVER</w:t>
              </w:r>
            </w:hyperlink>
          </w:p>
        </w:tc>
        <w:tc>
          <w:tcPr>
            <w:tcW w:w="1220" w:type="dxa"/>
            <w:vAlign w:val="bottom"/>
          </w:tcPr>
          <w:p>
            <w:pPr>
              <w:jc w:val="right"/>
              <w:spacing w:after="0"/>
              <w:rPr>
                <w:sz w:val="20"/>
                <w:szCs w:val="20"/>
                <w:color w:val="auto"/>
              </w:rPr>
            </w:pPr>
            <w:r>
              <w:rPr>
                <w:rFonts w:ascii="Arial" w:cs="Arial" w:eastAsia="Arial" w:hAnsi="Arial"/>
                <w:sz w:val="21"/>
                <w:szCs w:val="21"/>
                <w:color w:val="auto"/>
              </w:rPr>
              <w:t>22</w:t>
            </w:r>
          </w:p>
        </w:tc>
        <w:tc>
          <w:tcPr>
            <w:tcW w:w="0" w:type="dxa"/>
            <w:vAlign w:val="bottom"/>
          </w:tcPr>
          <w:p>
            <w:pPr>
              <w:spacing w:after="0"/>
              <w:rPr>
                <w:sz w:val="1"/>
                <w:szCs w:val="1"/>
                <w:color w:val="auto"/>
              </w:rPr>
            </w:pPr>
          </w:p>
        </w:tc>
      </w:tr>
      <w:tr>
        <w:trPr>
          <w:trHeight w:val="466"/>
        </w:trPr>
        <w:tc>
          <w:tcPr>
            <w:tcW w:w="1160" w:type="dxa"/>
            <w:vAlign w:val="bottom"/>
            <w:tcBorders>
              <w:top w:val="single" w:sz="8" w:color="0000EE"/>
              <w:bottom w:val="single" w:sz="8" w:color="0000EE"/>
            </w:tcBorders>
            <w:gridSpan w:val="5"/>
          </w:tcPr>
          <w:p>
            <w:pPr>
              <w:spacing w:after="0"/>
              <w:rPr>
                <w:rFonts w:ascii="Arial" w:cs="Arial" w:eastAsia="Arial" w:hAnsi="Arial"/>
                <w:sz w:val="21"/>
                <w:szCs w:val="21"/>
                <w:color w:val="0000EE"/>
                <w:w w:val="92"/>
              </w:rPr>
            </w:pPr>
            <w:hyperlink w:anchor="page150">
              <w:r>
                <w:rPr>
                  <w:rFonts w:ascii="Arial" w:cs="Arial" w:eastAsia="Arial" w:hAnsi="Arial"/>
                  <w:sz w:val="21"/>
                  <w:szCs w:val="21"/>
                  <w:color w:val="0000EE"/>
                  <w:w w:val="92"/>
                </w:rPr>
                <w:t>Section 14.1.</w:t>
              </w:r>
            </w:hyperlink>
          </w:p>
        </w:tc>
        <w:tc>
          <w:tcPr>
            <w:tcW w:w="40" w:type="dxa"/>
            <w:vAlign w:val="bottom"/>
            <w:tcBorders>
              <w:top w:val="single" w:sz="8" w:color="0000EE"/>
            </w:tcBorders>
            <w:gridSpan w:val="2"/>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4"/>
          </w:tcPr>
          <w:p>
            <w:pPr>
              <w:spacing w:after="0"/>
              <w:rPr>
                <w:rFonts w:ascii="Arial" w:cs="Arial" w:eastAsia="Arial" w:hAnsi="Arial"/>
                <w:sz w:val="21"/>
                <w:szCs w:val="21"/>
                <w:color w:val="0000EE"/>
                <w:w w:val="87"/>
              </w:rPr>
            </w:pPr>
            <w:hyperlink w:anchor="page150">
              <w:r>
                <w:rPr>
                  <w:rFonts w:ascii="Arial" w:cs="Arial" w:eastAsia="Arial" w:hAnsi="Arial"/>
                  <w:sz w:val="21"/>
                  <w:szCs w:val="21"/>
                  <w:color w:val="0000EE"/>
                  <w:w w:val="87"/>
                </w:rPr>
                <w:t>Requirements</w:t>
              </w:r>
            </w:hyperlink>
          </w:p>
        </w:tc>
        <w:tc>
          <w:tcPr>
            <w:tcW w:w="1540" w:type="dxa"/>
            <w:vAlign w:val="bottom"/>
            <w:tcBorders>
              <w:top w:val="single" w:sz="8" w:color="0000EE"/>
            </w:tcBorders>
            <w:gridSpan w:val="20"/>
          </w:tcPr>
          <w:p>
            <w:pPr>
              <w:spacing w:after="0"/>
              <w:rPr>
                <w:sz w:val="24"/>
                <w:szCs w:val="24"/>
                <w:color w:val="auto"/>
              </w:rPr>
            </w:pPr>
          </w:p>
        </w:tc>
        <w:tc>
          <w:tcPr>
            <w:tcW w:w="4300" w:type="dxa"/>
            <w:vAlign w:val="bottom"/>
            <w:gridSpan w:val="6"/>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22</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0000EE"/>
            </w:tcBorders>
            <w:gridSpan w:val="5"/>
          </w:tcPr>
          <w:p>
            <w:pPr>
              <w:spacing w:after="0" w:line="223" w:lineRule="exact"/>
              <w:rPr>
                <w:rFonts w:ascii="Arial" w:cs="Arial" w:eastAsia="Arial" w:hAnsi="Arial"/>
                <w:sz w:val="21"/>
                <w:szCs w:val="21"/>
                <w:color w:val="0000EE"/>
                <w:w w:val="92"/>
              </w:rPr>
            </w:pPr>
            <w:hyperlink w:anchor="page151">
              <w:r>
                <w:rPr>
                  <w:rFonts w:ascii="Arial" w:cs="Arial" w:eastAsia="Arial" w:hAnsi="Arial"/>
                  <w:sz w:val="21"/>
                  <w:szCs w:val="21"/>
                  <w:color w:val="0000EE"/>
                  <w:w w:val="92"/>
                </w:rPr>
                <w:t>Section 14.2.</w:t>
              </w:r>
            </w:hyperlink>
          </w:p>
        </w:tc>
        <w:tc>
          <w:tcPr>
            <w:tcW w:w="680" w:type="dxa"/>
            <w:vAlign w:val="bottom"/>
            <w:gridSpan w:val="3"/>
          </w:tcPr>
          <w:p>
            <w:pPr>
              <w:spacing w:after="0"/>
              <w:rPr>
                <w:sz w:val="19"/>
                <w:szCs w:val="19"/>
                <w:color w:val="auto"/>
              </w:rPr>
            </w:pPr>
          </w:p>
        </w:tc>
        <w:tc>
          <w:tcPr>
            <w:tcW w:w="2700" w:type="dxa"/>
            <w:vAlign w:val="bottom"/>
            <w:tcBorders>
              <w:bottom w:val="single" w:sz="8" w:color="0000EE"/>
            </w:tcBorders>
            <w:gridSpan w:val="24"/>
          </w:tcPr>
          <w:p>
            <w:pPr>
              <w:spacing w:after="0" w:line="223" w:lineRule="exact"/>
              <w:rPr>
                <w:rFonts w:ascii="Arial" w:cs="Arial" w:eastAsia="Arial" w:hAnsi="Arial"/>
                <w:sz w:val="21"/>
                <w:szCs w:val="21"/>
                <w:color w:val="0000EE"/>
                <w:w w:val="91"/>
              </w:rPr>
            </w:pPr>
            <w:hyperlink w:anchor="page151">
              <w:r>
                <w:rPr>
                  <w:rFonts w:ascii="Arial" w:cs="Arial" w:eastAsia="Arial" w:hAnsi="Arial"/>
                  <w:sz w:val="21"/>
                  <w:szCs w:val="21"/>
                  <w:color w:val="0000EE"/>
                  <w:w w:val="91"/>
                </w:rPr>
                <w:t>Solicitation of Holders of Bonds</w:t>
              </w:r>
            </w:hyperlink>
          </w:p>
        </w:tc>
        <w:tc>
          <w:tcPr>
            <w:tcW w:w="4300" w:type="dxa"/>
            <w:vAlign w:val="bottom"/>
            <w:gridSpan w:val="6"/>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1"/>
                <w:szCs w:val="21"/>
                <w:color w:val="auto"/>
              </w:rPr>
              <w:t>23</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354965</wp:posOffset>
            </wp:positionV>
            <wp:extent cx="6465570" cy="51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600" w:right="9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41"/>
        </w:trPr>
        <w:tc>
          <w:tcPr>
            <w:tcW w:w="1840" w:type="dxa"/>
            <w:vAlign w:val="bottom"/>
            <w:gridSpan w:val="3"/>
          </w:tcPr>
          <w:p>
            <w:pPr>
              <w:spacing w:after="0"/>
              <w:rPr>
                <w:rFonts w:ascii="Arial" w:cs="Arial" w:eastAsia="Arial" w:hAnsi="Arial"/>
                <w:sz w:val="21"/>
                <w:szCs w:val="21"/>
                <w:color w:val="0000EE"/>
              </w:rPr>
            </w:pPr>
            <w:hyperlink w:anchor="page151">
              <w:r>
                <w:rPr>
                  <w:rFonts w:ascii="Arial" w:cs="Arial" w:eastAsia="Arial" w:hAnsi="Arial"/>
                  <w:sz w:val="21"/>
                  <w:szCs w:val="21"/>
                  <w:color w:val="0000EE"/>
                </w:rPr>
                <w:t>Section 14.3.</w:t>
              </w:r>
            </w:hyperlink>
          </w:p>
        </w:tc>
        <w:tc>
          <w:tcPr>
            <w:tcW w:w="5900" w:type="dxa"/>
            <w:vAlign w:val="bottom"/>
            <w:gridSpan w:val="14"/>
          </w:tcPr>
          <w:p>
            <w:pPr>
              <w:spacing w:after="0"/>
              <w:rPr>
                <w:rFonts w:ascii="Arial" w:cs="Arial" w:eastAsia="Arial" w:hAnsi="Arial"/>
                <w:sz w:val="21"/>
                <w:szCs w:val="21"/>
                <w:color w:val="0000EE"/>
              </w:rPr>
            </w:pPr>
            <w:hyperlink w:anchor="page151">
              <w:r>
                <w:rPr>
                  <w:rFonts w:ascii="Arial" w:cs="Arial" w:eastAsia="Arial" w:hAnsi="Arial"/>
                  <w:sz w:val="21"/>
                  <w:szCs w:val="21"/>
                  <w:color w:val="0000EE"/>
                </w:rPr>
                <w:t>Binding Effect, Etc</w:t>
              </w:r>
            </w:hyperlink>
          </w:p>
        </w:tc>
        <w:tc>
          <w:tcPr>
            <w:tcW w:w="232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20"/>
        </w:trPr>
        <w:tc>
          <w:tcPr>
            <w:tcW w:w="10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3"/>
        </w:trPr>
        <w:tc>
          <w:tcPr>
            <w:tcW w:w="1840" w:type="dxa"/>
            <w:vAlign w:val="bottom"/>
            <w:gridSpan w:val="3"/>
          </w:tcPr>
          <w:p>
            <w:pPr>
              <w:spacing w:after="0" w:line="223" w:lineRule="exact"/>
              <w:rPr>
                <w:rFonts w:ascii="Arial" w:cs="Arial" w:eastAsia="Arial" w:hAnsi="Arial"/>
                <w:sz w:val="21"/>
                <w:szCs w:val="21"/>
                <w:color w:val="0000EE"/>
              </w:rPr>
            </w:pPr>
            <w:hyperlink w:anchor="page152">
              <w:r>
                <w:rPr>
                  <w:rFonts w:ascii="Arial" w:cs="Arial" w:eastAsia="Arial" w:hAnsi="Arial"/>
                  <w:sz w:val="21"/>
                  <w:szCs w:val="21"/>
                  <w:color w:val="0000EE"/>
                </w:rPr>
                <w:t>Section 14.4.</w:t>
              </w:r>
            </w:hyperlink>
          </w:p>
        </w:tc>
        <w:tc>
          <w:tcPr>
            <w:tcW w:w="5900" w:type="dxa"/>
            <w:vAlign w:val="bottom"/>
            <w:gridSpan w:val="14"/>
          </w:tcPr>
          <w:p>
            <w:pPr>
              <w:spacing w:after="0" w:line="223" w:lineRule="exact"/>
              <w:rPr>
                <w:rFonts w:ascii="Arial" w:cs="Arial" w:eastAsia="Arial" w:hAnsi="Arial"/>
                <w:sz w:val="21"/>
                <w:szCs w:val="21"/>
                <w:color w:val="0000EE"/>
              </w:rPr>
            </w:pPr>
            <w:hyperlink w:anchor="page152">
              <w:r>
                <w:rPr>
                  <w:rFonts w:ascii="Arial" w:cs="Arial" w:eastAsia="Arial" w:hAnsi="Arial"/>
                  <w:sz w:val="21"/>
                  <w:szCs w:val="21"/>
                  <w:color w:val="0000EE"/>
                </w:rPr>
                <w:t>Bonds Held by Company, Etc</w:t>
              </w:r>
            </w:hyperlink>
          </w:p>
        </w:tc>
        <w:tc>
          <w:tcPr>
            <w:tcW w:w="2320" w:type="dxa"/>
            <w:vAlign w:val="bottom"/>
          </w:tcPr>
          <w:p>
            <w:pPr>
              <w:jc w:val="right"/>
              <w:spacing w:after="0" w:line="223" w:lineRule="exact"/>
              <w:rPr>
                <w:sz w:val="20"/>
                <w:szCs w:val="20"/>
                <w:color w:val="auto"/>
              </w:rPr>
            </w:pPr>
            <w:r>
              <w:rPr>
                <w:rFonts w:ascii="Arial" w:cs="Arial" w:eastAsia="Arial" w:hAnsi="Arial"/>
                <w:sz w:val="21"/>
                <w:szCs w:val="21"/>
                <w:color w:val="auto"/>
              </w:rPr>
              <w:t>24</w:t>
            </w:r>
          </w:p>
        </w:tc>
      </w:tr>
      <w:tr>
        <w:trPr>
          <w:trHeight w:val="20"/>
        </w:trPr>
        <w:tc>
          <w:tcPr>
            <w:tcW w:w="10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rFonts w:ascii="Arial" w:cs="Arial" w:eastAsia="Arial" w:hAnsi="Arial"/>
                <w:sz w:val="21"/>
                <w:szCs w:val="21"/>
                <w:color w:val="0000EE"/>
                <w:w w:val="88"/>
              </w:rPr>
            </w:pPr>
            <w:hyperlink w:anchor="page152">
              <w:r>
                <w:rPr>
                  <w:rFonts w:ascii="Arial" w:cs="Arial" w:eastAsia="Arial" w:hAnsi="Arial"/>
                  <w:sz w:val="21"/>
                  <w:szCs w:val="21"/>
                  <w:color w:val="0000EE"/>
                  <w:w w:val="88"/>
                </w:rPr>
                <w:t>SECTION 15.</w:t>
              </w:r>
            </w:hyperlink>
          </w:p>
        </w:tc>
        <w:tc>
          <w:tcPr>
            <w:tcW w:w="660" w:type="dxa"/>
            <w:vAlign w:val="bottom"/>
          </w:tcPr>
          <w:p>
            <w:pPr>
              <w:spacing w:after="0"/>
              <w:rPr>
                <w:sz w:val="24"/>
                <w:szCs w:val="24"/>
                <w:color w:val="auto"/>
              </w:rPr>
            </w:pPr>
          </w:p>
        </w:tc>
        <w:tc>
          <w:tcPr>
            <w:tcW w:w="5900" w:type="dxa"/>
            <w:vAlign w:val="bottom"/>
            <w:gridSpan w:val="14"/>
          </w:tcPr>
          <w:p>
            <w:pPr>
              <w:spacing w:after="0"/>
              <w:rPr>
                <w:rFonts w:ascii="Arial" w:cs="Arial" w:eastAsia="Arial" w:hAnsi="Arial"/>
                <w:sz w:val="21"/>
                <w:szCs w:val="21"/>
                <w:color w:val="0000EE"/>
              </w:rPr>
            </w:pPr>
            <w:hyperlink w:anchor="page152">
              <w:r>
                <w:rPr>
                  <w:rFonts w:ascii="Arial" w:cs="Arial" w:eastAsia="Arial" w:hAnsi="Arial"/>
                  <w:sz w:val="21"/>
                  <w:szCs w:val="21"/>
                  <w:color w:val="0000EE"/>
                </w:rPr>
                <w:t>NOTICES</w:t>
              </w:r>
            </w:hyperlink>
          </w:p>
        </w:tc>
        <w:tc>
          <w:tcPr>
            <w:tcW w:w="232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rFonts w:ascii="Arial" w:cs="Arial" w:eastAsia="Arial" w:hAnsi="Arial"/>
                <w:sz w:val="21"/>
                <w:szCs w:val="21"/>
                <w:color w:val="0000EE"/>
                <w:w w:val="88"/>
              </w:rPr>
            </w:pPr>
            <w:hyperlink w:anchor="page152">
              <w:r>
                <w:rPr>
                  <w:rFonts w:ascii="Arial" w:cs="Arial" w:eastAsia="Arial" w:hAnsi="Arial"/>
                  <w:sz w:val="21"/>
                  <w:szCs w:val="21"/>
                  <w:color w:val="0000EE"/>
                  <w:w w:val="88"/>
                </w:rPr>
                <w:t>SECTION 16.</w:t>
              </w:r>
            </w:hyperlink>
          </w:p>
        </w:tc>
        <w:tc>
          <w:tcPr>
            <w:tcW w:w="660" w:type="dxa"/>
            <w:vAlign w:val="bottom"/>
          </w:tcPr>
          <w:p>
            <w:pPr>
              <w:spacing w:after="0"/>
              <w:rPr>
                <w:sz w:val="24"/>
                <w:szCs w:val="24"/>
                <w:color w:val="auto"/>
              </w:rPr>
            </w:pPr>
          </w:p>
        </w:tc>
        <w:tc>
          <w:tcPr>
            <w:tcW w:w="5900" w:type="dxa"/>
            <w:vAlign w:val="bottom"/>
            <w:gridSpan w:val="14"/>
          </w:tcPr>
          <w:p>
            <w:pPr>
              <w:spacing w:after="0"/>
              <w:rPr>
                <w:rFonts w:ascii="Arial" w:cs="Arial" w:eastAsia="Arial" w:hAnsi="Arial"/>
                <w:sz w:val="21"/>
                <w:szCs w:val="21"/>
                <w:color w:val="0000EE"/>
              </w:rPr>
            </w:pPr>
            <w:hyperlink w:anchor="page152">
              <w:r>
                <w:rPr>
                  <w:rFonts w:ascii="Arial" w:cs="Arial" w:eastAsia="Arial" w:hAnsi="Arial"/>
                  <w:sz w:val="21"/>
                  <w:szCs w:val="21"/>
                  <w:color w:val="0000EE"/>
                </w:rPr>
                <w:t>INDEMNIFICATION</w:t>
              </w:r>
            </w:hyperlink>
          </w:p>
        </w:tc>
        <w:tc>
          <w:tcPr>
            <w:tcW w:w="232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rFonts w:ascii="Arial" w:cs="Arial" w:eastAsia="Arial" w:hAnsi="Arial"/>
                <w:sz w:val="21"/>
                <w:szCs w:val="21"/>
                <w:color w:val="0000EE"/>
                <w:w w:val="88"/>
              </w:rPr>
            </w:pPr>
            <w:hyperlink w:anchor="page153">
              <w:r>
                <w:rPr>
                  <w:rFonts w:ascii="Arial" w:cs="Arial" w:eastAsia="Arial" w:hAnsi="Arial"/>
                  <w:sz w:val="21"/>
                  <w:szCs w:val="21"/>
                  <w:color w:val="0000EE"/>
                  <w:w w:val="88"/>
                </w:rPr>
                <w:t>SECTION 17.</w:t>
              </w:r>
            </w:hyperlink>
          </w:p>
        </w:tc>
        <w:tc>
          <w:tcPr>
            <w:tcW w:w="660" w:type="dxa"/>
            <w:vAlign w:val="bottom"/>
          </w:tcPr>
          <w:p>
            <w:pPr>
              <w:spacing w:after="0"/>
              <w:rPr>
                <w:sz w:val="24"/>
                <w:szCs w:val="24"/>
                <w:color w:val="auto"/>
              </w:rPr>
            </w:pPr>
          </w:p>
        </w:tc>
        <w:tc>
          <w:tcPr>
            <w:tcW w:w="5900" w:type="dxa"/>
            <w:vAlign w:val="bottom"/>
            <w:gridSpan w:val="14"/>
          </w:tcPr>
          <w:p>
            <w:pPr>
              <w:spacing w:after="0"/>
              <w:rPr>
                <w:rFonts w:ascii="Arial" w:cs="Arial" w:eastAsia="Arial" w:hAnsi="Arial"/>
                <w:sz w:val="21"/>
                <w:szCs w:val="21"/>
                <w:color w:val="0000EE"/>
              </w:rPr>
            </w:pPr>
            <w:hyperlink w:anchor="page153">
              <w:r>
                <w:rPr>
                  <w:rFonts w:ascii="Arial" w:cs="Arial" w:eastAsia="Arial" w:hAnsi="Arial"/>
                  <w:sz w:val="21"/>
                  <w:szCs w:val="21"/>
                  <w:color w:val="0000EE"/>
                </w:rPr>
                <w:t>REPRODUCTION OF DOCUMENTS</w:t>
              </w:r>
            </w:hyperlink>
          </w:p>
        </w:tc>
        <w:tc>
          <w:tcPr>
            <w:tcW w:w="232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466"/>
        </w:trPr>
        <w:tc>
          <w:tcPr>
            <w:tcW w:w="1180" w:type="dxa"/>
            <w:vAlign w:val="bottom"/>
            <w:tcBorders>
              <w:top w:val="single" w:sz="8" w:color="0000EE"/>
            </w:tcBorders>
            <w:gridSpan w:val="2"/>
          </w:tcPr>
          <w:p>
            <w:pPr>
              <w:spacing w:after="0"/>
              <w:rPr>
                <w:rFonts w:ascii="Arial" w:cs="Arial" w:eastAsia="Arial" w:hAnsi="Arial"/>
                <w:sz w:val="21"/>
                <w:szCs w:val="21"/>
                <w:color w:val="0000EE"/>
                <w:w w:val="88"/>
              </w:rPr>
            </w:pPr>
            <w:hyperlink w:anchor="page153">
              <w:r>
                <w:rPr>
                  <w:rFonts w:ascii="Arial" w:cs="Arial" w:eastAsia="Arial" w:hAnsi="Arial"/>
                  <w:sz w:val="21"/>
                  <w:szCs w:val="21"/>
                  <w:color w:val="0000EE"/>
                  <w:w w:val="88"/>
                </w:rPr>
                <w:t>SECTION 18.</w:t>
              </w:r>
            </w:hyperlink>
          </w:p>
        </w:tc>
        <w:tc>
          <w:tcPr>
            <w:tcW w:w="660" w:type="dxa"/>
            <w:vAlign w:val="bottom"/>
          </w:tcPr>
          <w:p>
            <w:pPr>
              <w:spacing w:after="0"/>
              <w:rPr>
                <w:sz w:val="24"/>
                <w:szCs w:val="24"/>
                <w:color w:val="auto"/>
              </w:rPr>
            </w:pPr>
          </w:p>
        </w:tc>
        <w:tc>
          <w:tcPr>
            <w:tcW w:w="3260" w:type="dxa"/>
            <w:vAlign w:val="bottom"/>
            <w:tcBorders>
              <w:top w:val="single" w:sz="8" w:color="0000EE"/>
            </w:tcBorders>
            <w:gridSpan w:val="12"/>
          </w:tcPr>
          <w:p>
            <w:pPr>
              <w:spacing w:after="0"/>
              <w:rPr>
                <w:rFonts w:ascii="Arial" w:cs="Arial" w:eastAsia="Arial" w:hAnsi="Arial"/>
                <w:sz w:val="21"/>
                <w:szCs w:val="21"/>
                <w:color w:val="0000EE"/>
              </w:rPr>
            </w:pPr>
            <w:hyperlink w:anchor="page153">
              <w:r>
                <w:rPr>
                  <w:rFonts w:ascii="Arial" w:cs="Arial" w:eastAsia="Arial" w:hAnsi="Arial"/>
                  <w:sz w:val="21"/>
                  <w:szCs w:val="21"/>
                  <w:color w:val="0000EE"/>
                </w:rPr>
                <w:t>CONFIDENTIAL INFORMATION</w:t>
              </w:r>
            </w:hyperlink>
          </w:p>
        </w:tc>
        <w:tc>
          <w:tcPr>
            <w:tcW w:w="2640" w:type="dxa"/>
            <w:vAlign w:val="bottom"/>
            <w:gridSpan w:val="2"/>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466"/>
        </w:trPr>
        <w:tc>
          <w:tcPr>
            <w:tcW w:w="1180" w:type="dxa"/>
            <w:vAlign w:val="bottom"/>
            <w:tcBorders>
              <w:top w:val="single" w:sz="8" w:color="0000EE"/>
            </w:tcBorders>
            <w:gridSpan w:val="2"/>
          </w:tcPr>
          <w:p>
            <w:pPr>
              <w:spacing w:after="0"/>
              <w:rPr>
                <w:rFonts w:ascii="Arial" w:cs="Arial" w:eastAsia="Arial" w:hAnsi="Arial"/>
                <w:sz w:val="21"/>
                <w:szCs w:val="21"/>
                <w:color w:val="0000EE"/>
                <w:w w:val="88"/>
              </w:rPr>
            </w:pPr>
            <w:hyperlink w:anchor="page154">
              <w:r>
                <w:rPr>
                  <w:rFonts w:ascii="Arial" w:cs="Arial" w:eastAsia="Arial" w:hAnsi="Arial"/>
                  <w:sz w:val="21"/>
                  <w:szCs w:val="21"/>
                  <w:color w:val="0000EE"/>
                  <w:w w:val="88"/>
                </w:rPr>
                <w:t>SECTION 19.</w:t>
              </w:r>
            </w:hyperlink>
          </w:p>
        </w:tc>
        <w:tc>
          <w:tcPr>
            <w:tcW w:w="660" w:type="dxa"/>
            <w:vAlign w:val="bottom"/>
          </w:tcPr>
          <w:p>
            <w:pPr>
              <w:spacing w:after="0"/>
              <w:rPr>
                <w:sz w:val="24"/>
                <w:szCs w:val="24"/>
                <w:color w:val="auto"/>
              </w:rPr>
            </w:pPr>
          </w:p>
        </w:tc>
        <w:tc>
          <w:tcPr>
            <w:tcW w:w="3000" w:type="dxa"/>
            <w:vAlign w:val="bottom"/>
            <w:tcBorders>
              <w:top w:val="single" w:sz="8" w:color="0000EE"/>
            </w:tcBorders>
            <w:gridSpan w:val="10"/>
          </w:tcPr>
          <w:p>
            <w:pPr>
              <w:ind w:left="60"/>
              <w:spacing w:after="0"/>
              <w:rPr>
                <w:rFonts w:ascii="Arial" w:cs="Arial" w:eastAsia="Arial" w:hAnsi="Arial"/>
                <w:sz w:val="21"/>
                <w:szCs w:val="21"/>
                <w:color w:val="0000EE"/>
              </w:rPr>
            </w:pPr>
            <w:hyperlink w:anchor="page154">
              <w:r>
                <w:rPr>
                  <w:rFonts w:ascii="Arial" w:cs="Arial" w:eastAsia="Arial" w:hAnsi="Arial"/>
                  <w:sz w:val="21"/>
                  <w:szCs w:val="21"/>
                  <w:color w:val="0000EE"/>
                </w:rPr>
                <w:t>MISCELLANEOUS</w:t>
              </w:r>
            </w:hyperlink>
          </w:p>
        </w:tc>
        <w:tc>
          <w:tcPr>
            <w:tcW w:w="2900" w:type="dxa"/>
            <w:vAlign w:val="bottom"/>
            <w:gridSpan w:val="4"/>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rFonts w:ascii="Arial" w:cs="Arial" w:eastAsia="Arial" w:hAnsi="Arial"/>
                <w:sz w:val="21"/>
                <w:szCs w:val="21"/>
                <w:color w:val="0000EE"/>
                <w:w w:val="92"/>
              </w:rPr>
            </w:pPr>
            <w:hyperlink w:anchor="page154">
              <w:r>
                <w:rPr>
                  <w:rFonts w:ascii="Arial" w:cs="Arial" w:eastAsia="Arial" w:hAnsi="Arial"/>
                  <w:sz w:val="21"/>
                  <w:szCs w:val="21"/>
                  <w:color w:val="0000EE"/>
                  <w:w w:val="92"/>
                </w:rPr>
                <w:t>Section 19.1.</w:t>
              </w:r>
            </w:hyperlink>
          </w:p>
        </w:tc>
        <w:tc>
          <w:tcPr>
            <w:tcW w:w="660" w:type="dxa"/>
            <w:vAlign w:val="bottom"/>
          </w:tcPr>
          <w:p>
            <w:pPr>
              <w:spacing w:after="0"/>
              <w:rPr>
                <w:sz w:val="24"/>
                <w:szCs w:val="24"/>
                <w:color w:val="auto"/>
              </w:rPr>
            </w:pPr>
          </w:p>
        </w:tc>
        <w:tc>
          <w:tcPr>
            <w:tcW w:w="5900" w:type="dxa"/>
            <w:vAlign w:val="bottom"/>
            <w:gridSpan w:val="14"/>
          </w:tcPr>
          <w:p>
            <w:pPr>
              <w:spacing w:after="0"/>
              <w:rPr>
                <w:rFonts w:ascii="Arial" w:cs="Arial" w:eastAsia="Arial" w:hAnsi="Arial"/>
                <w:sz w:val="21"/>
                <w:szCs w:val="21"/>
                <w:color w:val="0000EE"/>
              </w:rPr>
            </w:pPr>
            <w:hyperlink w:anchor="page154">
              <w:r>
                <w:rPr>
                  <w:rFonts w:ascii="Arial" w:cs="Arial" w:eastAsia="Arial" w:hAnsi="Arial"/>
                  <w:sz w:val="21"/>
                  <w:szCs w:val="21"/>
                  <w:color w:val="0000EE"/>
                </w:rPr>
                <w:t>Successors and Assigns</w:t>
              </w:r>
            </w:hyperlink>
          </w:p>
        </w:tc>
        <w:tc>
          <w:tcPr>
            <w:tcW w:w="232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20"/>
        </w:trPr>
        <w:tc>
          <w:tcPr>
            <w:tcW w:w="10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3"/>
        </w:trPr>
        <w:tc>
          <w:tcPr>
            <w:tcW w:w="1840" w:type="dxa"/>
            <w:vAlign w:val="bottom"/>
            <w:gridSpan w:val="3"/>
          </w:tcPr>
          <w:p>
            <w:pPr>
              <w:spacing w:after="0" w:line="223" w:lineRule="exact"/>
              <w:rPr>
                <w:rFonts w:ascii="Arial" w:cs="Arial" w:eastAsia="Arial" w:hAnsi="Arial"/>
                <w:sz w:val="21"/>
                <w:szCs w:val="21"/>
                <w:color w:val="0000EE"/>
              </w:rPr>
            </w:pPr>
            <w:hyperlink w:anchor="page154">
              <w:r>
                <w:rPr>
                  <w:rFonts w:ascii="Arial" w:cs="Arial" w:eastAsia="Arial" w:hAnsi="Arial"/>
                  <w:sz w:val="21"/>
                  <w:szCs w:val="21"/>
                  <w:color w:val="0000EE"/>
                </w:rPr>
                <w:t>Section 19.2.</w:t>
              </w:r>
            </w:hyperlink>
          </w:p>
        </w:tc>
        <w:tc>
          <w:tcPr>
            <w:tcW w:w="5900" w:type="dxa"/>
            <w:vAlign w:val="bottom"/>
            <w:gridSpan w:val="14"/>
          </w:tcPr>
          <w:p>
            <w:pPr>
              <w:spacing w:after="0" w:line="223" w:lineRule="exact"/>
              <w:rPr>
                <w:rFonts w:ascii="Arial" w:cs="Arial" w:eastAsia="Arial" w:hAnsi="Arial"/>
                <w:sz w:val="21"/>
                <w:szCs w:val="21"/>
                <w:color w:val="0000EE"/>
              </w:rPr>
            </w:pPr>
            <w:hyperlink w:anchor="page154">
              <w:r>
                <w:rPr>
                  <w:rFonts w:ascii="Arial" w:cs="Arial" w:eastAsia="Arial" w:hAnsi="Arial"/>
                  <w:sz w:val="21"/>
                  <w:szCs w:val="21"/>
                  <w:color w:val="0000EE"/>
                </w:rPr>
                <w:t>Accounting Terms</w:t>
              </w:r>
            </w:hyperlink>
          </w:p>
        </w:tc>
        <w:tc>
          <w:tcPr>
            <w:tcW w:w="2320" w:type="dxa"/>
            <w:vAlign w:val="bottom"/>
          </w:tcPr>
          <w:p>
            <w:pPr>
              <w:jc w:val="right"/>
              <w:spacing w:after="0" w:line="223" w:lineRule="exact"/>
              <w:rPr>
                <w:sz w:val="20"/>
                <w:szCs w:val="20"/>
                <w:color w:val="auto"/>
              </w:rPr>
            </w:pPr>
            <w:r>
              <w:rPr>
                <w:rFonts w:ascii="Arial" w:cs="Arial" w:eastAsia="Arial" w:hAnsi="Arial"/>
                <w:sz w:val="21"/>
                <w:szCs w:val="21"/>
                <w:color w:val="auto"/>
              </w:rPr>
              <w:t>26</w:t>
            </w:r>
          </w:p>
        </w:tc>
      </w:tr>
      <w:tr>
        <w:trPr>
          <w:trHeight w:val="20"/>
        </w:trPr>
        <w:tc>
          <w:tcPr>
            <w:tcW w:w="10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3"/>
        </w:trPr>
        <w:tc>
          <w:tcPr>
            <w:tcW w:w="1840" w:type="dxa"/>
            <w:vAlign w:val="bottom"/>
            <w:gridSpan w:val="3"/>
          </w:tcPr>
          <w:p>
            <w:pPr>
              <w:spacing w:after="0" w:line="223" w:lineRule="exact"/>
              <w:rPr>
                <w:rFonts w:ascii="Arial" w:cs="Arial" w:eastAsia="Arial" w:hAnsi="Arial"/>
                <w:sz w:val="21"/>
                <w:szCs w:val="21"/>
                <w:color w:val="0000EE"/>
              </w:rPr>
            </w:pPr>
            <w:hyperlink w:anchor="page155">
              <w:r>
                <w:rPr>
                  <w:rFonts w:ascii="Arial" w:cs="Arial" w:eastAsia="Arial" w:hAnsi="Arial"/>
                  <w:sz w:val="21"/>
                  <w:szCs w:val="21"/>
                  <w:color w:val="0000EE"/>
                </w:rPr>
                <w:t>Section 19.3.</w:t>
              </w:r>
            </w:hyperlink>
          </w:p>
        </w:tc>
        <w:tc>
          <w:tcPr>
            <w:tcW w:w="5900" w:type="dxa"/>
            <w:vAlign w:val="bottom"/>
            <w:gridSpan w:val="14"/>
          </w:tcPr>
          <w:p>
            <w:pPr>
              <w:spacing w:after="0" w:line="223" w:lineRule="exact"/>
              <w:rPr>
                <w:rFonts w:ascii="Arial" w:cs="Arial" w:eastAsia="Arial" w:hAnsi="Arial"/>
                <w:sz w:val="21"/>
                <w:szCs w:val="21"/>
                <w:color w:val="0000EE"/>
              </w:rPr>
            </w:pPr>
            <w:hyperlink w:anchor="page155">
              <w:r>
                <w:rPr>
                  <w:rFonts w:ascii="Arial" w:cs="Arial" w:eastAsia="Arial" w:hAnsi="Arial"/>
                  <w:sz w:val="21"/>
                  <w:szCs w:val="21"/>
                  <w:color w:val="0000EE"/>
                </w:rPr>
                <w:t>Severability</w:t>
              </w:r>
            </w:hyperlink>
          </w:p>
        </w:tc>
        <w:tc>
          <w:tcPr>
            <w:tcW w:w="2320" w:type="dxa"/>
            <w:vAlign w:val="bottom"/>
          </w:tcPr>
          <w:p>
            <w:pPr>
              <w:jc w:val="right"/>
              <w:spacing w:after="0" w:line="223" w:lineRule="exact"/>
              <w:rPr>
                <w:sz w:val="20"/>
                <w:szCs w:val="20"/>
                <w:color w:val="auto"/>
              </w:rPr>
            </w:pPr>
            <w:r>
              <w:rPr>
                <w:rFonts w:ascii="Arial" w:cs="Arial" w:eastAsia="Arial" w:hAnsi="Arial"/>
                <w:sz w:val="21"/>
                <w:szCs w:val="21"/>
                <w:color w:val="auto"/>
              </w:rPr>
              <w:t>27</w:t>
            </w:r>
          </w:p>
        </w:tc>
      </w:tr>
      <w:tr>
        <w:trPr>
          <w:trHeight w:val="20"/>
        </w:trPr>
        <w:tc>
          <w:tcPr>
            <w:tcW w:w="10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3"/>
        </w:trPr>
        <w:tc>
          <w:tcPr>
            <w:tcW w:w="1840" w:type="dxa"/>
            <w:vAlign w:val="bottom"/>
            <w:gridSpan w:val="3"/>
          </w:tcPr>
          <w:p>
            <w:pPr>
              <w:spacing w:after="0" w:line="223" w:lineRule="exact"/>
              <w:rPr>
                <w:rFonts w:ascii="Arial" w:cs="Arial" w:eastAsia="Arial" w:hAnsi="Arial"/>
                <w:sz w:val="21"/>
                <w:szCs w:val="21"/>
                <w:color w:val="0000EE"/>
              </w:rPr>
            </w:pPr>
            <w:hyperlink w:anchor="page155">
              <w:r>
                <w:rPr>
                  <w:rFonts w:ascii="Arial" w:cs="Arial" w:eastAsia="Arial" w:hAnsi="Arial"/>
                  <w:sz w:val="21"/>
                  <w:szCs w:val="21"/>
                  <w:color w:val="0000EE"/>
                </w:rPr>
                <w:t>Section 19.4.</w:t>
              </w:r>
            </w:hyperlink>
          </w:p>
        </w:tc>
        <w:tc>
          <w:tcPr>
            <w:tcW w:w="5900" w:type="dxa"/>
            <w:vAlign w:val="bottom"/>
            <w:gridSpan w:val="14"/>
          </w:tcPr>
          <w:p>
            <w:pPr>
              <w:spacing w:after="0" w:line="223" w:lineRule="exact"/>
              <w:rPr>
                <w:rFonts w:ascii="Arial" w:cs="Arial" w:eastAsia="Arial" w:hAnsi="Arial"/>
                <w:sz w:val="21"/>
                <w:szCs w:val="21"/>
                <w:color w:val="0000EE"/>
              </w:rPr>
            </w:pPr>
            <w:hyperlink w:anchor="page155">
              <w:r>
                <w:rPr>
                  <w:rFonts w:ascii="Arial" w:cs="Arial" w:eastAsia="Arial" w:hAnsi="Arial"/>
                  <w:sz w:val="21"/>
                  <w:szCs w:val="21"/>
                  <w:color w:val="0000EE"/>
                </w:rPr>
                <w:t>Construction, Etc</w:t>
              </w:r>
            </w:hyperlink>
          </w:p>
        </w:tc>
        <w:tc>
          <w:tcPr>
            <w:tcW w:w="2320" w:type="dxa"/>
            <w:vAlign w:val="bottom"/>
          </w:tcPr>
          <w:p>
            <w:pPr>
              <w:jc w:val="right"/>
              <w:spacing w:after="0" w:line="223" w:lineRule="exact"/>
              <w:rPr>
                <w:sz w:val="20"/>
                <w:szCs w:val="20"/>
                <w:color w:val="auto"/>
              </w:rPr>
            </w:pPr>
            <w:r>
              <w:rPr>
                <w:rFonts w:ascii="Arial" w:cs="Arial" w:eastAsia="Arial" w:hAnsi="Arial"/>
                <w:sz w:val="21"/>
                <w:szCs w:val="21"/>
                <w:color w:val="auto"/>
              </w:rPr>
              <w:t>27</w:t>
            </w:r>
          </w:p>
        </w:tc>
      </w:tr>
      <w:tr>
        <w:trPr>
          <w:trHeight w:val="20"/>
        </w:trPr>
        <w:tc>
          <w:tcPr>
            <w:tcW w:w="10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3"/>
        </w:trPr>
        <w:tc>
          <w:tcPr>
            <w:tcW w:w="1840" w:type="dxa"/>
            <w:vAlign w:val="bottom"/>
            <w:gridSpan w:val="3"/>
          </w:tcPr>
          <w:p>
            <w:pPr>
              <w:spacing w:after="0" w:line="223" w:lineRule="exact"/>
              <w:rPr>
                <w:rFonts w:ascii="Arial" w:cs="Arial" w:eastAsia="Arial" w:hAnsi="Arial"/>
                <w:sz w:val="21"/>
                <w:szCs w:val="21"/>
                <w:color w:val="0000EE"/>
              </w:rPr>
            </w:pPr>
            <w:hyperlink w:anchor="page155">
              <w:r>
                <w:rPr>
                  <w:rFonts w:ascii="Arial" w:cs="Arial" w:eastAsia="Arial" w:hAnsi="Arial"/>
                  <w:sz w:val="21"/>
                  <w:szCs w:val="21"/>
                  <w:color w:val="0000EE"/>
                </w:rPr>
                <w:t>Section 19.5.</w:t>
              </w:r>
            </w:hyperlink>
          </w:p>
        </w:tc>
        <w:tc>
          <w:tcPr>
            <w:tcW w:w="5900" w:type="dxa"/>
            <w:vAlign w:val="bottom"/>
            <w:gridSpan w:val="14"/>
          </w:tcPr>
          <w:p>
            <w:pPr>
              <w:spacing w:after="0" w:line="223" w:lineRule="exact"/>
              <w:rPr>
                <w:rFonts w:ascii="Arial" w:cs="Arial" w:eastAsia="Arial" w:hAnsi="Arial"/>
                <w:sz w:val="21"/>
                <w:szCs w:val="21"/>
                <w:color w:val="0000EE"/>
              </w:rPr>
            </w:pPr>
            <w:hyperlink w:anchor="page155">
              <w:r>
                <w:rPr>
                  <w:rFonts w:ascii="Arial" w:cs="Arial" w:eastAsia="Arial" w:hAnsi="Arial"/>
                  <w:sz w:val="21"/>
                  <w:szCs w:val="21"/>
                  <w:color w:val="0000EE"/>
                </w:rPr>
                <w:t>Counterparts</w:t>
              </w:r>
            </w:hyperlink>
          </w:p>
        </w:tc>
        <w:tc>
          <w:tcPr>
            <w:tcW w:w="2320" w:type="dxa"/>
            <w:vAlign w:val="bottom"/>
          </w:tcPr>
          <w:p>
            <w:pPr>
              <w:jc w:val="right"/>
              <w:spacing w:after="0" w:line="223" w:lineRule="exact"/>
              <w:rPr>
                <w:sz w:val="20"/>
                <w:szCs w:val="20"/>
                <w:color w:val="auto"/>
              </w:rPr>
            </w:pPr>
            <w:r>
              <w:rPr>
                <w:rFonts w:ascii="Arial" w:cs="Arial" w:eastAsia="Arial" w:hAnsi="Arial"/>
                <w:sz w:val="21"/>
                <w:szCs w:val="21"/>
                <w:color w:val="auto"/>
              </w:rPr>
              <w:t>27</w:t>
            </w:r>
          </w:p>
        </w:tc>
      </w:tr>
      <w:tr>
        <w:trPr>
          <w:trHeight w:val="20"/>
        </w:trPr>
        <w:tc>
          <w:tcPr>
            <w:tcW w:w="10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3"/>
        </w:trPr>
        <w:tc>
          <w:tcPr>
            <w:tcW w:w="1840" w:type="dxa"/>
            <w:vAlign w:val="bottom"/>
            <w:gridSpan w:val="3"/>
          </w:tcPr>
          <w:p>
            <w:pPr>
              <w:spacing w:after="0" w:line="223" w:lineRule="exact"/>
              <w:rPr>
                <w:rFonts w:ascii="Arial" w:cs="Arial" w:eastAsia="Arial" w:hAnsi="Arial"/>
                <w:sz w:val="21"/>
                <w:szCs w:val="21"/>
                <w:color w:val="0000EE"/>
              </w:rPr>
            </w:pPr>
            <w:hyperlink w:anchor="page155">
              <w:r>
                <w:rPr>
                  <w:rFonts w:ascii="Arial" w:cs="Arial" w:eastAsia="Arial" w:hAnsi="Arial"/>
                  <w:sz w:val="21"/>
                  <w:szCs w:val="21"/>
                  <w:color w:val="0000EE"/>
                </w:rPr>
                <w:t>Section 19.6.</w:t>
              </w:r>
            </w:hyperlink>
          </w:p>
        </w:tc>
        <w:tc>
          <w:tcPr>
            <w:tcW w:w="5900" w:type="dxa"/>
            <w:vAlign w:val="bottom"/>
            <w:gridSpan w:val="14"/>
          </w:tcPr>
          <w:p>
            <w:pPr>
              <w:spacing w:after="0" w:line="223" w:lineRule="exact"/>
              <w:rPr>
                <w:rFonts w:ascii="Arial" w:cs="Arial" w:eastAsia="Arial" w:hAnsi="Arial"/>
                <w:sz w:val="21"/>
                <w:szCs w:val="21"/>
                <w:color w:val="0000EE"/>
              </w:rPr>
            </w:pPr>
            <w:hyperlink w:anchor="page155">
              <w:r>
                <w:rPr>
                  <w:rFonts w:ascii="Arial" w:cs="Arial" w:eastAsia="Arial" w:hAnsi="Arial"/>
                  <w:sz w:val="21"/>
                  <w:szCs w:val="21"/>
                  <w:color w:val="0000EE"/>
                </w:rPr>
                <w:t>Governing Law</w:t>
              </w:r>
            </w:hyperlink>
          </w:p>
        </w:tc>
        <w:tc>
          <w:tcPr>
            <w:tcW w:w="2320" w:type="dxa"/>
            <w:vAlign w:val="bottom"/>
          </w:tcPr>
          <w:p>
            <w:pPr>
              <w:jc w:val="right"/>
              <w:spacing w:after="0" w:line="223" w:lineRule="exact"/>
              <w:rPr>
                <w:sz w:val="20"/>
                <w:szCs w:val="20"/>
                <w:color w:val="auto"/>
              </w:rPr>
            </w:pPr>
            <w:r>
              <w:rPr>
                <w:rFonts w:ascii="Arial" w:cs="Arial" w:eastAsia="Arial" w:hAnsi="Arial"/>
                <w:sz w:val="21"/>
                <w:szCs w:val="21"/>
                <w:color w:val="auto"/>
              </w:rPr>
              <w:t>27</w:t>
            </w:r>
          </w:p>
        </w:tc>
      </w:tr>
      <w:tr>
        <w:trPr>
          <w:trHeight w:val="20"/>
        </w:trPr>
        <w:tc>
          <w:tcPr>
            <w:tcW w:w="10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3"/>
        </w:trPr>
        <w:tc>
          <w:tcPr>
            <w:tcW w:w="1840" w:type="dxa"/>
            <w:vAlign w:val="bottom"/>
            <w:gridSpan w:val="3"/>
          </w:tcPr>
          <w:p>
            <w:pPr>
              <w:spacing w:after="0" w:line="223" w:lineRule="exact"/>
              <w:rPr>
                <w:rFonts w:ascii="Arial" w:cs="Arial" w:eastAsia="Arial" w:hAnsi="Arial"/>
                <w:sz w:val="21"/>
                <w:szCs w:val="21"/>
                <w:color w:val="0000EE"/>
              </w:rPr>
            </w:pPr>
            <w:hyperlink w:anchor="page155">
              <w:r>
                <w:rPr>
                  <w:rFonts w:ascii="Arial" w:cs="Arial" w:eastAsia="Arial" w:hAnsi="Arial"/>
                  <w:sz w:val="21"/>
                  <w:szCs w:val="21"/>
                  <w:color w:val="0000EE"/>
                </w:rPr>
                <w:t>Section 19.7.</w:t>
              </w:r>
            </w:hyperlink>
          </w:p>
        </w:tc>
        <w:tc>
          <w:tcPr>
            <w:tcW w:w="5900" w:type="dxa"/>
            <w:vAlign w:val="bottom"/>
            <w:gridSpan w:val="14"/>
          </w:tcPr>
          <w:p>
            <w:pPr>
              <w:spacing w:after="0" w:line="223" w:lineRule="exact"/>
              <w:rPr>
                <w:rFonts w:ascii="Arial" w:cs="Arial" w:eastAsia="Arial" w:hAnsi="Arial"/>
                <w:sz w:val="21"/>
                <w:szCs w:val="21"/>
                <w:color w:val="0000EE"/>
              </w:rPr>
            </w:pPr>
            <w:hyperlink w:anchor="page155">
              <w:r>
                <w:rPr>
                  <w:rFonts w:ascii="Arial" w:cs="Arial" w:eastAsia="Arial" w:hAnsi="Arial"/>
                  <w:sz w:val="21"/>
                  <w:szCs w:val="21"/>
                  <w:color w:val="0000EE"/>
                </w:rPr>
                <w:t>Jurisdiction and Process; Waiver of Jury Trial</w:t>
              </w:r>
            </w:hyperlink>
          </w:p>
        </w:tc>
        <w:tc>
          <w:tcPr>
            <w:tcW w:w="2320" w:type="dxa"/>
            <w:vAlign w:val="bottom"/>
          </w:tcPr>
          <w:p>
            <w:pPr>
              <w:jc w:val="right"/>
              <w:spacing w:after="0" w:line="223" w:lineRule="exact"/>
              <w:rPr>
                <w:sz w:val="20"/>
                <w:szCs w:val="20"/>
                <w:color w:val="auto"/>
              </w:rPr>
            </w:pPr>
            <w:r>
              <w:rPr>
                <w:rFonts w:ascii="Arial" w:cs="Arial" w:eastAsia="Arial" w:hAnsi="Arial"/>
                <w:sz w:val="21"/>
                <w:szCs w:val="21"/>
                <w:color w:val="auto"/>
              </w:rPr>
              <w:t>27</w:t>
            </w:r>
          </w:p>
        </w:tc>
      </w:tr>
      <w:tr>
        <w:trPr>
          <w:trHeight w:val="20"/>
        </w:trPr>
        <w:tc>
          <w:tcPr>
            <w:tcW w:w="10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60" w:type="dxa"/>
            <w:vAlign w:val="bottom"/>
            <w:gridSpan w:val="11"/>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3"/>
        </w:trPr>
        <w:tc>
          <w:tcPr>
            <w:tcW w:w="1840" w:type="dxa"/>
            <w:vAlign w:val="bottom"/>
            <w:gridSpan w:val="3"/>
          </w:tcPr>
          <w:p>
            <w:pPr>
              <w:spacing w:after="0" w:line="223" w:lineRule="exact"/>
              <w:rPr>
                <w:rFonts w:ascii="Arial" w:cs="Arial" w:eastAsia="Arial" w:hAnsi="Arial"/>
                <w:sz w:val="21"/>
                <w:szCs w:val="21"/>
                <w:color w:val="0000EE"/>
              </w:rPr>
            </w:pPr>
            <w:hyperlink w:anchor="page156">
              <w:r>
                <w:rPr>
                  <w:rFonts w:ascii="Arial" w:cs="Arial" w:eastAsia="Arial" w:hAnsi="Arial"/>
                  <w:sz w:val="21"/>
                  <w:szCs w:val="21"/>
                  <w:color w:val="0000EE"/>
                </w:rPr>
                <w:t>Section 19.8.</w:t>
              </w:r>
            </w:hyperlink>
          </w:p>
        </w:tc>
        <w:tc>
          <w:tcPr>
            <w:tcW w:w="5900" w:type="dxa"/>
            <w:vAlign w:val="bottom"/>
            <w:gridSpan w:val="14"/>
          </w:tcPr>
          <w:p>
            <w:pPr>
              <w:spacing w:after="0" w:line="223" w:lineRule="exact"/>
              <w:rPr>
                <w:rFonts w:ascii="Arial" w:cs="Arial" w:eastAsia="Arial" w:hAnsi="Arial"/>
                <w:sz w:val="21"/>
                <w:szCs w:val="21"/>
                <w:color w:val="0000EE"/>
              </w:rPr>
            </w:pPr>
            <w:hyperlink w:anchor="page156">
              <w:r>
                <w:rPr>
                  <w:rFonts w:ascii="Arial" w:cs="Arial" w:eastAsia="Arial" w:hAnsi="Arial"/>
                  <w:sz w:val="21"/>
                  <w:szCs w:val="21"/>
                  <w:color w:val="0000EE"/>
                </w:rPr>
                <w:t>Payments Due on Non-Business Days</w:t>
              </w:r>
            </w:hyperlink>
          </w:p>
        </w:tc>
        <w:tc>
          <w:tcPr>
            <w:tcW w:w="2320" w:type="dxa"/>
            <w:vAlign w:val="bottom"/>
          </w:tcPr>
          <w:p>
            <w:pPr>
              <w:jc w:val="right"/>
              <w:spacing w:after="0" w:line="223" w:lineRule="exact"/>
              <w:rPr>
                <w:sz w:val="20"/>
                <w:szCs w:val="20"/>
                <w:color w:val="auto"/>
              </w:rPr>
            </w:pPr>
            <w:r>
              <w:rPr>
                <w:rFonts w:ascii="Arial" w:cs="Arial" w:eastAsia="Arial" w:hAnsi="Arial"/>
                <w:sz w:val="21"/>
                <w:szCs w:val="21"/>
                <w:color w:val="auto"/>
              </w:rPr>
              <w:t>28</w:t>
            </w:r>
          </w:p>
        </w:tc>
      </w:tr>
      <w:tr>
        <w:trPr>
          <w:trHeight w:val="20"/>
        </w:trPr>
        <w:tc>
          <w:tcPr>
            <w:tcW w:w="10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354965</wp:posOffset>
            </wp:positionV>
            <wp:extent cx="6465570"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087" w:right="9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Schedule A</w:t>
            </w:r>
          </w:p>
        </w:tc>
        <w:tc>
          <w:tcPr>
            <w:tcW w:w="1300" w:type="dxa"/>
            <w:vAlign w:val="bottom"/>
          </w:tcPr>
          <w:p>
            <w:pPr>
              <w:ind w:left="600"/>
              <w:spacing w:after="0"/>
              <w:rPr>
                <w:sz w:val="20"/>
                <w:szCs w:val="20"/>
                <w:color w:val="auto"/>
              </w:rPr>
            </w:pPr>
            <w:r>
              <w:rPr>
                <w:rFonts w:ascii="Arial" w:cs="Arial" w:eastAsia="Arial" w:hAnsi="Arial"/>
                <w:sz w:val="22"/>
                <w:szCs w:val="22"/>
                <w:color w:val="auto"/>
              </w:rPr>
              <w:t>—</w:t>
            </w:r>
          </w:p>
        </w:tc>
        <w:tc>
          <w:tcPr>
            <w:tcW w:w="6140" w:type="dxa"/>
            <w:vAlign w:val="bottom"/>
          </w:tcPr>
          <w:p>
            <w:pPr>
              <w:ind w:left="500"/>
              <w:spacing w:after="0"/>
              <w:rPr>
                <w:sz w:val="20"/>
                <w:szCs w:val="20"/>
                <w:color w:val="auto"/>
              </w:rPr>
            </w:pPr>
            <w:r>
              <w:rPr>
                <w:rFonts w:ascii="Arial" w:cs="Arial" w:eastAsia="Arial" w:hAnsi="Arial"/>
                <w:sz w:val="22"/>
                <w:szCs w:val="22"/>
                <w:color w:val="auto"/>
              </w:rPr>
              <w:t>Information Relating to Purchasers</w:t>
            </w:r>
          </w:p>
        </w:tc>
      </w:tr>
      <w:tr>
        <w:trPr>
          <w:trHeight w:val="243"/>
        </w:trPr>
        <w:tc>
          <w:tcPr>
            <w:tcW w:w="2080" w:type="dxa"/>
            <w:vAlign w:val="bottom"/>
          </w:tcPr>
          <w:p>
            <w:pPr>
              <w:spacing w:after="0" w:line="243" w:lineRule="exact"/>
              <w:rPr>
                <w:sz w:val="20"/>
                <w:szCs w:val="20"/>
                <w:color w:val="auto"/>
              </w:rPr>
            </w:pPr>
            <w:r>
              <w:rPr>
                <w:rFonts w:ascii="Arial" w:cs="Arial" w:eastAsia="Arial" w:hAnsi="Arial"/>
                <w:sz w:val="22"/>
                <w:szCs w:val="22"/>
                <w:color w:val="auto"/>
              </w:rPr>
              <w:t>Schedule B</w:t>
            </w:r>
          </w:p>
        </w:tc>
        <w:tc>
          <w:tcPr>
            <w:tcW w:w="1300" w:type="dxa"/>
            <w:vAlign w:val="bottom"/>
          </w:tcPr>
          <w:p>
            <w:pPr>
              <w:ind w:left="600"/>
              <w:spacing w:after="0" w:line="243" w:lineRule="exact"/>
              <w:rPr>
                <w:sz w:val="20"/>
                <w:szCs w:val="20"/>
                <w:color w:val="auto"/>
              </w:rPr>
            </w:pPr>
            <w:r>
              <w:rPr>
                <w:rFonts w:ascii="Arial" w:cs="Arial" w:eastAsia="Arial" w:hAnsi="Arial"/>
                <w:sz w:val="22"/>
                <w:szCs w:val="22"/>
                <w:color w:val="auto"/>
              </w:rPr>
              <w:t>—</w:t>
            </w:r>
          </w:p>
        </w:tc>
        <w:tc>
          <w:tcPr>
            <w:tcW w:w="6140" w:type="dxa"/>
            <w:vAlign w:val="bottom"/>
          </w:tcPr>
          <w:p>
            <w:pPr>
              <w:ind w:left="500"/>
              <w:spacing w:after="0" w:line="243" w:lineRule="exact"/>
              <w:rPr>
                <w:sz w:val="20"/>
                <w:szCs w:val="20"/>
                <w:color w:val="auto"/>
              </w:rPr>
            </w:pPr>
            <w:r>
              <w:rPr>
                <w:rFonts w:ascii="Arial" w:cs="Arial" w:eastAsia="Arial" w:hAnsi="Arial"/>
                <w:sz w:val="22"/>
                <w:szCs w:val="22"/>
                <w:color w:val="auto"/>
              </w:rPr>
              <w:t>Defined Terms</w:t>
            </w:r>
          </w:p>
        </w:tc>
      </w:tr>
      <w:tr>
        <w:trPr>
          <w:trHeight w:val="243"/>
        </w:trPr>
        <w:tc>
          <w:tcPr>
            <w:tcW w:w="2080" w:type="dxa"/>
            <w:vAlign w:val="bottom"/>
          </w:tcPr>
          <w:p>
            <w:pPr>
              <w:spacing w:after="0" w:line="243" w:lineRule="exact"/>
              <w:rPr>
                <w:sz w:val="20"/>
                <w:szCs w:val="20"/>
                <w:color w:val="auto"/>
              </w:rPr>
            </w:pPr>
            <w:r>
              <w:rPr>
                <w:rFonts w:ascii="Arial" w:cs="Arial" w:eastAsia="Arial" w:hAnsi="Arial"/>
                <w:sz w:val="22"/>
                <w:szCs w:val="22"/>
                <w:color w:val="auto"/>
              </w:rPr>
              <w:t>Schedule 5.4</w:t>
            </w:r>
          </w:p>
        </w:tc>
        <w:tc>
          <w:tcPr>
            <w:tcW w:w="1300" w:type="dxa"/>
            <w:vAlign w:val="bottom"/>
          </w:tcPr>
          <w:p>
            <w:pPr>
              <w:ind w:left="600"/>
              <w:spacing w:after="0" w:line="243" w:lineRule="exact"/>
              <w:rPr>
                <w:sz w:val="20"/>
                <w:szCs w:val="20"/>
                <w:color w:val="auto"/>
              </w:rPr>
            </w:pPr>
            <w:r>
              <w:rPr>
                <w:rFonts w:ascii="Arial" w:cs="Arial" w:eastAsia="Arial" w:hAnsi="Arial"/>
                <w:sz w:val="22"/>
                <w:szCs w:val="22"/>
                <w:color w:val="auto"/>
              </w:rPr>
              <w:t>—</w:t>
            </w:r>
          </w:p>
        </w:tc>
        <w:tc>
          <w:tcPr>
            <w:tcW w:w="6140" w:type="dxa"/>
            <w:vAlign w:val="bottom"/>
          </w:tcPr>
          <w:p>
            <w:pPr>
              <w:ind w:left="500"/>
              <w:spacing w:after="0" w:line="243" w:lineRule="exact"/>
              <w:rPr>
                <w:sz w:val="20"/>
                <w:szCs w:val="20"/>
                <w:color w:val="auto"/>
              </w:rPr>
            </w:pPr>
            <w:r>
              <w:rPr>
                <w:rFonts w:ascii="Arial" w:cs="Arial" w:eastAsia="Arial" w:hAnsi="Arial"/>
                <w:sz w:val="22"/>
                <w:szCs w:val="22"/>
                <w:color w:val="auto"/>
                <w:w w:val="89"/>
              </w:rPr>
              <w:t>Subsidiaries of the Company and Ownership of Subsidiary Stock</w:t>
            </w:r>
          </w:p>
        </w:tc>
      </w:tr>
      <w:tr>
        <w:trPr>
          <w:trHeight w:val="243"/>
        </w:trPr>
        <w:tc>
          <w:tcPr>
            <w:tcW w:w="2080" w:type="dxa"/>
            <w:vAlign w:val="bottom"/>
          </w:tcPr>
          <w:p>
            <w:pPr>
              <w:spacing w:after="0" w:line="243" w:lineRule="exact"/>
              <w:rPr>
                <w:sz w:val="20"/>
                <w:szCs w:val="20"/>
                <w:color w:val="auto"/>
              </w:rPr>
            </w:pPr>
            <w:r>
              <w:rPr>
                <w:rFonts w:ascii="Arial" w:cs="Arial" w:eastAsia="Arial" w:hAnsi="Arial"/>
                <w:sz w:val="22"/>
                <w:szCs w:val="22"/>
                <w:color w:val="auto"/>
              </w:rPr>
              <w:t>Schedule 5.5</w:t>
            </w:r>
          </w:p>
        </w:tc>
        <w:tc>
          <w:tcPr>
            <w:tcW w:w="1300" w:type="dxa"/>
            <w:vAlign w:val="bottom"/>
          </w:tcPr>
          <w:p>
            <w:pPr>
              <w:ind w:left="600"/>
              <w:spacing w:after="0" w:line="243" w:lineRule="exact"/>
              <w:rPr>
                <w:sz w:val="20"/>
                <w:szCs w:val="20"/>
                <w:color w:val="auto"/>
              </w:rPr>
            </w:pPr>
            <w:r>
              <w:rPr>
                <w:rFonts w:ascii="Arial" w:cs="Arial" w:eastAsia="Arial" w:hAnsi="Arial"/>
                <w:sz w:val="22"/>
                <w:szCs w:val="22"/>
                <w:color w:val="auto"/>
              </w:rPr>
              <w:t>—</w:t>
            </w:r>
          </w:p>
        </w:tc>
        <w:tc>
          <w:tcPr>
            <w:tcW w:w="6140" w:type="dxa"/>
            <w:vAlign w:val="bottom"/>
          </w:tcPr>
          <w:p>
            <w:pPr>
              <w:ind w:left="500"/>
              <w:spacing w:after="0" w:line="243" w:lineRule="exact"/>
              <w:rPr>
                <w:sz w:val="20"/>
                <w:szCs w:val="20"/>
                <w:color w:val="auto"/>
              </w:rPr>
            </w:pPr>
            <w:r>
              <w:rPr>
                <w:rFonts w:ascii="Arial" w:cs="Arial" w:eastAsia="Arial" w:hAnsi="Arial"/>
                <w:sz w:val="22"/>
                <w:szCs w:val="22"/>
                <w:color w:val="auto"/>
              </w:rPr>
              <w:t>Financial Statements</w:t>
            </w:r>
          </w:p>
        </w:tc>
      </w:tr>
      <w:tr>
        <w:trPr>
          <w:trHeight w:val="243"/>
        </w:trPr>
        <w:tc>
          <w:tcPr>
            <w:tcW w:w="2080" w:type="dxa"/>
            <w:vAlign w:val="bottom"/>
          </w:tcPr>
          <w:p>
            <w:pPr>
              <w:spacing w:after="0" w:line="243" w:lineRule="exact"/>
              <w:rPr>
                <w:sz w:val="20"/>
                <w:szCs w:val="20"/>
                <w:color w:val="auto"/>
              </w:rPr>
            </w:pPr>
            <w:r>
              <w:rPr>
                <w:rFonts w:ascii="Arial" w:cs="Arial" w:eastAsia="Arial" w:hAnsi="Arial"/>
                <w:sz w:val="22"/>
                <w:szCs w:val="22"/>
                <w:color w:val="auto"/>
              </w:rPr>
              <w:t>Schedule 5.15(a)</w:t>
            </w:r>
          </w:p>
        </w:tc>
        <w:tc>
          <w:tcPr>
            <w:tcW w:w="1300" w:type="dxa"/>
            <w:vAlign w:val="bottom"/>
          </w:tcPr>
          <w:p>
            <w:pPr>
              <w:ind w:left="600"/>
              <w:spacing w:after="0" w:line="243" w:lineRule="exact"/>
              <w:rPr>
                <w:sz w:val="20"/>
                <w:szCs w:val="20"/>
                <w:color w:val="auto"/>
              </w:rPr>
            </w:pPr>
            <w:r>
              <w:rPr>
                <w:rFonts w:ascii="Arial" w:cs="Arial" w:eastAsia="Arial" w:hAnsi="Arial"/>
                <w:sz w:val="22"/>
                <w:szCs w:val="22"/>
                <w:color w:val="auto"/>
              </w:rPr>
              <w:t>—</w:t>
            </w:r>
          </w:p>
        </w:tc>
        <w:tc>
          <w:tcPr>
            <w:tcW w:w="6140" w:type="dxa"/>
            <w:vAlign w:val="bottom"/>
          </w:tcPr>
          <w:p>
            <w:pPr>
              <w:ind w:left="500"/>
              <w:spacing w:after="0" w:line="243" w:lineRule="exact"/>
              <w:rPr>
                <w:sz w:val="20"/>
                <w:szCs w:val="20"/>
                <w:color w:val="auto"/>
              </w:rPr>
            </w:pPr>
            <w:r>
              <w:rPr>
                <w:rFonts w:ascii="Arial" w:cs="Arial" w:eastAsia="Arial" w:hAnsi="Arial"/>
                <w:sz w:val="22"/>
                <w:szCs w:val="22"/>
                <w:color w:val="auto"/>
              </w:rPr>
              <w:t>Existing Debt</w:t>
            </w:r>
          </w:p>
        </w:tc>
      </w:tr>
      <w:tr>
        <w:trPr>
          <w:trHeight w:val="243"/>
        </w:trPr>
        <w:tc>
          <w:tcPr>
            <w:tcW w:w="2080" w:type="dxa"/>
            <w:vAlign w:val="bottom"/>
          </w:tcPr>
          <w:p>
            <w:pPr>
              <w:spacing w:after="0" w:line="243" w:lineRule="exact"/>
              <w:rPr>
                <w:sz w:val="20"/>
                <w:szCs w:val="20"/>
                <w:color w:val="auto"/>
              </w:rPr>
            </w:pPr>
            <w:r>
              <w:rPr>
                <w:rFonts w:ascii="Arial" w:cs="Arial" w:eastAsia="Arial" w:hAnsi="Arial"/>
                <w:sz w:val="22"/>
                <w:szCs w:val="22"/>
                <w:color w:val="auto"/>
              </w:rPr>
              <w:t>Schedule 5.15(b)</w:t>
            </w:r>
          </w:p>
        </w:tc>
        <w:tc>
          <w:tcPr>
            <w:tcW w:w="1300" w:type="dxa"/>
            <w:vAlign w:val="bottom"/>
          </w:tcPr>
          <w:p>
            <w:pPr>
              <w:ind w:left="600"/>
              <w:spacing w:after="0" w:line="243" w:lineRule="exact"/>
              <w:rPr>
                <w:sz w:val="20"/>
                <w:szCs w:val="20"/>
                <w:color w:val="auto"/>
              </w:rPr>
            </w:pPr>
            <w:r>
              <w:rPr>
                <w:rFonts w:ascii="Arial" w:cs="Arial" w:eastAsia="Arial" w:hAnsi="Arial"/>
                <w:sz w:val="22"/>
                <w:szCs w:val="22"/>
                <w:color w:val="auto"/>
              </w:rPr>
              <w:t>—</w:t>
            </w:r>
          </w:p>
        </w:tc>
        <w:tc>
          <w:tcPr>
            <w:tcW w:w="6140" w:type="dxa"/>
            <w:vAlign w:val="bottom"/>
          </w:tcPr>
          <w:p>
            <w:pPr>
              <w:ind w:left="500"/>
              <w:spacing w:after="0" w:line="243" w:lineRule="exact"/>
              <w:rPr>
                <w:sz w:val="20"/>
                <w:szCs w:val="20"/>
                <w:color w:val="auto"/>
              </w:rPr>
            </w:pPr>
            <w:r>
              <w:rPr>
                <w:rFonts w:ascii="Arial" w:cs="Arial" w:eastAsia="Arial" w:hAnsi="Arial"/>
                <w:sz w:val="22"/>
                <w:szCs w:val="22"/>
                <w:color w:val="auto"/>
              </w:rPr>
              <w:t>Debt Instruments</w:t>
            </w:r>
          </w:p>
        </w:tc>
      </w:tr>
      <w:tr>
        <w:trPr>
          <w:trHeight w:val="243"/>
        </w:trPr>
        <w:tc>
          <w:tcPr>
            <w:tcW w:w="2080" w:type="dxa"/>
            <w:vAlign w:val="bottom"/>
          </w:tcPr>
          <w:p>
            <w:pPr>
              <w:spacing w:after="0" w:line="243" w:lineRule="exact"/>
              <w:rPr>
                <w:sz w:val="20"/>
                <w:szCs w:val="20"/>
                <w:color w:val="auto"/>
              </w:rPr>
            </w:pPr>
            <w:r>
              <w:rPr>
                <w:rFonts w:ascii="Arial" w:cs="Arial" w:eastAsia="Arial" w:hAnsi="Arial"/>
                <w:sz w:val="22"/>
                <w:szCs w:val="22"/>
                <w:color w:val="auto"/>
              </w:rPr>
              <w:t>Exhibit A</w:t>
            </w:r>
          </w:p>
        </w:tc>
        <w:tc>
          <w:tcPr>
            <w:tcW w:w="1300" w:type="dxa"/>
            <w:vAlign w:val="bottom"/>
          </w:tcPr>
          <w:p>
            <w:pPr>
              <w:ind w:left="600"/>
              <w:spacing w:after="0" w:line="243" w:lineRule="exact"/>
              <w:rPr>
                <w:sz w:val="20"/>
                <w:szCs w:val="20"/>
                <w:color w:val="auto"/>
              </w:rPr>
            </w:pPr>
            <w:r>
              <w:rPr>
                <w:rFonts w:ascii="Arial" w:cs="Arial" w:eastAsia="Arial" w:hAnsi="Arial"/>
                <w:sz w:val="22"/>
                <w:szCs w:val="22"/>
                <w:color w:val="auto"/>
              </w:rPr>
              <w:t>—</w:t>
            </w:r>
          </w:p>
        </w:tc>
        <w:tc>
          <w:tcPr>
            <w:tcW w:w="6140" w:type="dxa"/>
            <w:vAlign w:val="bottom"/>
          </w:tcPr>
          <w:p>
            <w:pPr>
              <w:ind w:left="500"/>
              <w:spacing w:after="0" w:line="243" w:lineRule="exact"/>
              <w:rPr>
                <w:sz w:val="20"/>
                <w:szCs w:val="20"/>
                <w:color w:val="auto"/>
              </w:rPr>
            </w:pPr>
            <w:r>
              <w:rPr>
                <w:rFonts w:ascii="Arial" w:cs="Arial" w:eastAsia="Arial" w:hAnsi="Arial"/>
                <w:sz w:val="22"/>
                <w:szCs w:val="22"/>
                <w:color w:val="auto"/>
              </w:rPr>
              <w:t>Form of Fifty-fourth Supplemental Indenture</w:t>
            </w:r>
          </w:p>
        </w:tc>
      </w:tr>
      <w:tr>
        <w:trPr>
          <w:trHeight w:val="243"/>
        </w:trPr>
        <w:tc>
          <w:tcPr>
            <w:tcW w:w="2080" w:type="dxa"/>
            <w:vAlign w:val="bottom"/>
          </w:tcPr>
          <w:p>
            <w:pPr>
              <w:spacing w:after="0" w:line="243" w:lineRule="exact"/>
              <w:rPr>
                <w:sz w:val="20"/>
                <w:szCs w:val="20"/>
                <w:color w:val="auto"/>
              </w:rPr>
            </w:pPr>
            <w:r>
              <w:rPr>
                <w:rFonts w:ascii="Arial" w:cs="Arial" w:eastAsia="Arial" w:hAnsi="Arial"/>
                <w:sz w:val="22"/>
                <w:szCs w:val="22"/>
                <w:color w:val="auto"/>
              </w:rPr>
              <w:t>Exhibit 4.4(a)</w:t>
            </w:r>
          </w:p>
        </w:tc>
        <w:tc>
          <w:tcPr>
            <w:tcW w:w="1300" w:type="dxa"/>
            <w:vAlign w:val="bottom"/>
          </w:tcPr>
          <w:p>
            <w:pPr>
              <w:ind w:left="600"/>
              <w:spacing w:after="0" w:line="243" w:lineRule="exact"/>
              <w:rPr>
                <w:sz w:val="20"/>
                <w:szCs w:val="20"/>
                <w:color w:val="auto"/>
              </w:rPr>
            </w:pPr>
            <w:r>
              <w:rPr>
                <w:rFonts w:ascii="Arial" w:cs="Arial" w:eastAsia="Arial" w:hAnsi="Arial"/>
                <w:sz w:val="22"/>
                <w:szCs w:val="22"/>
                <w:color w:val="auto"/>
              </w:rPr>
              <w:t>—</w:t>
            </w:r>
          </w:p>
        </w:tc>
        <w:tc>
          <w:tcPr>
            <w:tcW w:w="6140" w:type="dxa"/>
            <w:vAlign w:val="bottom"/>
          </w:tcPr>
          <w:p>
            <w:pPr>
              <w:ind w:left="500"/>
              <w:spacing w:after="0" w:line="243" w:lineRule="exact"/>
              <w:rPr>
                <w:sz w:val="20"/>
                <w:szCs w:val="20"/>
                <w:color w:val="auto"/>
              </w:rPr>
            </w:pPr>
            <w:r>
              <w:rPr>
                <w:rFonts w:ascii="Arial" w:cs="Arial" w:eastAsia="Arial" w:hAnsi="Arial"/>
                <w:sz w:val="22"/>
                <w:szCs w:val="22"/>
                <w:color w:val="auto"/>
              </w:rPr>
              <w:t>Form of Opinion of Counsel for the Company</w:t>
            </w:r>
          </w:p>
        </w:tc>
      </w:tr>
      <w:tr>
        <w:trPr>
          <w:trHeight w:val="243"/>
        </w:trPr>
        <w:tc>
          <w:tcPr>
            <w:tcW w:w="2080" w:type="dxa"/>
            <w:vAlign w:val="bottom"/>
          </w:tcPr>
          <w:p>
            <w:pPr>
              <w:spacing w:after="0" w:line="243" w:lineRule="exact"/>
              <w:rPr>
                <w:sz w:val="20"/>
                <w:szCs w:val="20"/>
                <w:color w:val="auto"/>
              </w:rPr>
            </w:pPr>
            <w:r>
              <w:rPr>
                <w:rFonts w:ascii="Arial" w:cs="Arial" w:eastAsia="Arial" w:hAnsi="Arial"/>
                <w:sz w:val="22"/>
                <w:szCs w:val="22"/>
                <w:color w:val="auto"/>
              </w:rPr>
              <w:t>Exhibit 4.4(b)</w:t>
            </w:r>
          </w:p>
        </w:tc>
        <w:tc>
          <w:tcPr>
            <w:tcW w:w="1300" w:type="dxa"/>
            <w:vAlign w:val="bottom"/>
          </w:tcPr>
          <w:p>
            <w:pPr>
              <w:ind w:left="600"/>
              <w:spacing w:after="0" w:line="243" w:lineRule="exact"/>
              <w:rPr>
                <w:sz w:val="20"/>
                <w:szCs w:val="20"/>
                <w:color w:val="auto"/>
              </w:rPr>
            </w:pPr>
            <w:r>
              <w:rPr>
                <w:rFonts w:ascii="Arial" w:cs="Arial" w:eastAsia="Arial" w:hAnsi="Arial"/>
                <w:sz w:val="22"/>
                <w:szCs w:val="22"/>
                <w:color w:val="auto"/>
              </w:rPr>
              <w:t>—</w:t>
            </w:r>
          </w:p>
        </w:tc>
        <w:tc>
          <w:tcPr>
            <w:tcW w:w="6140" w:type="dxa"/>
            <w:vAlign w:val="bottom"/>
          </w:tcPr>
          <w:p>
            <w:pPr>
              <w:ind w:left="500"/>
              <w:spacing w:after="0" w:line="243" w:lineRule="exact"/>
              <w:rPr>
                <w:sz w:val="20"/>
                <w:szCs w:val="20"/>
                <w:color w:val="auto"/>
              </w:rPr>
            </w:pPr>
            <w:r>
              <w:rPr>
                <w:rFonts w:ascii="Arial" w:cs="Arial" w:eastAsia="Arial" w:hAnsi="Arial"/>
                <w:sz w:val="22"/>
                <w:szCs w:val="22"/>
                <w:color w:val="auto"/>
              </w:rPr>
              <w:t>Form of Opinion of Special Counsel for the Company</w:t>
            </w:r>
          </w:p>
        </w:tc>
      </w:tr>
      <w:tr>
        <w:trPr>
          <w:trHeight w:val="243"/>
        </w:trPr>
        <w:tc>
          <w:tcPr>
            <w:tcW w:w="2080" w:type="dxa"/>
            <w:vAlign w:val="bottom"/>
          </w:tcPr>
          <w:p>
            <w:pPr>
              <w:spacing w:after="0" w:line="243" w:lineRule="exact"/>
              <w:rPr>
                <w:sz w:val="20"/>
                <w:szCs w:val="20"/>
                <w:color w:val="auto"/>
              </w:rPr>
            </w:pPr>
            <w:r>
              <w:rPr>
                <w:rFonts w:ascii="Arial" w:cs="Arial" w:eastAsia="Arial" w:hAnsi="Arial"/>
                <w:sz w:val="22"/>
                <w:szCs w:val="22"/>
                <w:color w:val="auto"/>
              </w:rPr>
              <w:t>Exhibit 4.4(c)</w:t>
            </w:r>
          </w:p>
        </w:tc>
        <w:tc>
          <w:tcPr>
            <w:tcW w:w="1300" w:type="dxa"/>
            <w:vAlign w:val="bottom"/>
          </w:tcPr>
          <w:p>
            <w:pPr>
              <w:ind w:left="600"/>
              <w:spacing w:after="0" w:line="243" w:lineRule="exact"/>
              <w:rPr>
                <w:sz w:val="20"/>
                <w:szCs w:val="20"/>
                <w:color w:val="auto"/>
              </w:rPr>
            </w:pPr>
            <w:r>
              <w:rPr>
                <w:rFonts w:ascii="Arial" w:cs="Arial" w:eastAsia="Arial" w:hAnsi="Arial"/>
                <w:sz w:val="22"/>
                <w:szCs w:val="22"/>
                <w:color w:val="auto"/>
              </w:rPr>
              <w:t>—</w:t>
            </w:r>
          </w:p>
        </w:tc>
        <w:tc>
          <w:tcPr>
            <w:tcW w:w="6140" w:type="dxa"/>
            <w:vAlign w:val="bottom"/>
          </w:tcPr>
          <w:p>
            <w:pPr>
              <w:ind w:left="500"/>
              <w:spacing w:after="0" w:line="243" w:lineRule="exact"/>
              <w:rPr>
                <w:sz w:val="20"/>
                <w:szCs w:val="20"/>
                <w:color w:val="auto"/>
              </w:rPr>
            </w:pPr>
            <w:r>
              <w:rPr>
                <w:rFonts w:ascii="Arial" w:cs="Arial" w:eastAsia="Arial" w:hAnsi="Arial"/>
                <w:sz w:val="22"/>
                <w:szCs w:val="22"/>
                <w:color w:val="auto"/>
              </w:rPr>
              <w:t>Form of Opinion of Special Counsel for the Purchasers</w:t>
            </w:r>
          </w:p>
        </w:tc>
      </w:t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Exhibit 12.4</w:t>
            </w:r>
          </w:p>
        </w:tc>
        <w:tc>
          <w:tcPr>
            <w:tcW w:w="1300" w:type="dxa"/>
            <w:vAlign w:val="bottom"/>
          </w:tcPr>
          <w:p>
            <w:pPr>
              <w:ind w:left="600"/>
              <w:spacing w:after="0"/>
              <w:rPr>
                <w:sz w:val="20"/>
                <w:szCs w:val="20"/>
                <w:color w:val="auto"/>
              </w:rPr>
            </w:pPr>
            <w:r>
              <w:rPr>
                <w:rFonts w:ascii="Arial" w:cs="Arial" w:eastAsia="Arial" w:hAnsi="Arial"/>
                <w:sz w:val="22"/>
                <w:szCs w:val="22"/>
                <w:color w:val="auto"/>
              </w:rPr>
              <w:t>—</w:t>
            </w:r>
          </w:p>
        </w:tc>
        <w:tc>
          <w:tcPr>
            <w:tcW w:w="6140" w:type="dxa"/>
            <w:vAlign w:val="bottom"/>
          </w:tcPr>
          <w:p>
            <w:pPr>
              <w:ind w:left="500"/>
              <w:spacing w:after="0"/>
              <w:rPr>
                <w:sz w:val="20"/>
                <w:szCs w:val="20"/>
                <w:color w:val="auto"/>
              </w:rPr>
            </w:pPr>
            <w:r>
              <w:rPr>
                <w:rFonts w:ascii="Arial" w:cs="Arial" w:eastAsia="Arial" w:hAnsi="Arial"/>
                <w:sz w:val="22"/>
                <w:szCs w:val="22"/>
                <w:color w:val="auto"/>
              </w:rPr>
              <w:t>Form of US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663575</wp:posOffset>
            </wp:positionV>
            <wp:extent cx="5642610" cy="5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559"/>
          </w:cols>
          <w:pgMar w:left="900" w:top="608"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color w:val="auto"/>
        </w:rPr>
        <w:t>AQUA PENNSYLVANIA,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762 West Lancaster Avenue</w:t>
      </w:r>
    </w:p>
    <w:p>
      <w:pPr>
        <w:jc w:val="center"/>
        <w:spacing w:after="0"/>
        <w:rPr>
          <w:sz w:val="20"/>
          <w:szCs w:val="20"/>
          <w:color w:val="auto"/>
        </w:rPr>
      </w:pPr>
      <w:r>
        <w:rPr>
          <w:rFonts w:ascii="Arial" w:cs="Arial" w:eastAsia="Arial" w:hAnsi="Arial"/>
          <w:sz w:val="22"/>
          <w:szCs w:val="22"/>
          <w:color w:val="auto"/>
        </w:rPr>
        <w:t>Bryn Mawr, Pennsylvania 19010-3489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$125,000,000</w:t>
      </w:r>
    </w:p>
    <w:p>
      <w:pPr>
        <w:spacing w:after="0" w:line="314" w:lineRule="exact"/>
        <w:rPr>
          <w:sz w:val="20"/>
          <w:szCs w:val="20"/>
          <w:color w:val="auto"/>
        </w:rPr>
      </w:pPr>
    </w:p>
    <w:p>
      <w:pPr>
        <w:jc w:val="both"/>
        <w:ind w:left="1940" w:right="1939"/>
        <w:spacing w:after="0" w:line="297" w:lineRule="auto"/>
        <w:rPr>
          <w:sz w:val="20"/>
          <w:szCs w:val="20"/>
          <w:color w:val="auto"/>
        </w:rPr>
      </w:pPr>
      <w:r>
        <w:rPr>
          <w:rFonts w:ascii="Arial" w:cs="Arial" w:eastAsia="Arial" w:hAnsi="Arial"/>
          <w:sz w:val="19"/>
          <w:szCs w:val="19"/>
          <w:color w:val="auto"/>
        </w:rPr>
        <w:t>$65,000,000 First Mortgage Bonds, 4.44% Series due 2047 $30,000,000 First Mortgage Bonds, 4.49% Series due 2052 $30,000,000 First Mortgage Bonds, 4.51% Series due 2053</w:t>
      </w:r>
    </w:p>
    <w:p>
      <w:pPr>
        <w:spacing w:after="0" w:line="175" w:lineRule="exact"/>
        <w:rPr>
          <w:sz w:val="20"/>
          <w:szCs w:val="20"/>
          <w:color w:val="auto"/>
        </w:rPr>
      </w:pPr>
    </w:p>
    <w:p>
      <w:pPr>
        <w:jc w:val="right"/>
        <w:ind w:right="99"/>
        <w:spacing w:after="0"/>
        <w:rPr>
          <w:sz w:val="20"/>
          <w:szCs w:val="20"/>
          <w:color w:val="auto"/>
        </w:rPr>
      </w:pPr>
      <w:r>
        <w:rPr>
          <w:rFonts w:ascii="Arial" w:cs="Arial" w:eastAsia="Arial" w:hAnsi="Arial"/>
          <w:sz w:val="22"/>
          <w:szCs w:val="22"/>
          <w:color w:val="auto"/>
        </w:rPr>
        <w:t>As of November 15, 2018</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To Each of the Purchasers Listed in</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Schedule A Hereto:</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color w:val="auto"/>
        </w:rPr>
        <w:t xml:space="preserve">Aqua Pennsylvania, Inc., a corporation organized under the laws of the Commonwealth of Pennsylvania (the </w:t>
      </w:r>
      <w:r>
        <w:rPr>
          <w:rFonts w:ascii="Arial" w:cs="Arial" w:eastAsia="Arial" w:hAnsi="Arial"/>
          <w:sz w:val="21"/>
          <w:szCs w:val="21"/>
          <w:i w:val="1"/>
          <w:iCs w:val="1"/>
          <w:color w:val="auto"/>
        </w:rPr>
        <w:t>“Company”</w:t>
      </w:r>
      <w:r>
        <w:rPr>
          <w:rFonts w:ascii="Arial" w:cs="Arial" w:eastAsia="Arial" w:hAnsi="Arial"/>
          <w:sz w:val="21"/>
          <w:szCs w:val="21"/>
          <w:color w:val="auto"/>
        </w:rPr>
        <w:t xml:space="preserve">), agrees with each of the purchasers whose names appear at the end hereof (each, a </w:t>
      </w:r>
      <w:r>
        <w:rPr>
          <w:rFonts w:ascii="Arial" w:cs="Arial" w:eastAsia="Arial" w:hAnsi="Arial"/>
          <w:sz w:val="21"/>
          <w:szCs w:val="21"/>
          <w:i w:val="1"/>
          <w:iCs w:val="1"/>
          <w:color w:val="auto"/>
        </w:rPr>
        <w:t>“Purchaser”</w:t>
      </w:r>
      <w:r>
        <w:rPr>
          <w:rFonts w:ascii="Arial" w:cs="Arial" w:eastAsia="Arial" w:hAnsi="Arial"/>
          <w:sz w:val="21"/>
          <w:szCs w:val="21"/>
          <w:color w:val="auto"/>
        </w:rPr>
        <w:t xml:space="preserve"> and, collectively, the </w:t>
      </w:r>
      <w:r>
        <w:rPr>
          <w:rFonts w:ascii="Arial" w:cs="Arial" w:eastAsia="Arial" w:hAnsi="Arial"/>
          <w:sz w:val="21"/>
          <w:szCs w:val="21"/>
          <w:i w:val="1"/>
          <w:iCs w:val="1"/>
          <w:color w:val="auto"/>
        </w:rPr>
        <w:t>“Purchasers”</w:t>
      </w:r>
      <w:r>
        <w:rPr>
          <w:rFonts w:ascii="Arial" w:cs="Arial" w:eastAsia="Arial" w:hAnsi="Arial"/>
          <w:sz w:val="21"/>
          <w:szCs w:val="21"/>
          <w:color w:val="auto"/>
        </w:rPr>
        <w:t>) as follows:</w:t>
      </w:r>
    </w:p>
    <w:p>
      <w:pPr>
        <w:spacing w:after="0" w:line="194" w:lineRule="exact"/>
        <w:rPr>
          <w:sz w:val="20"/>
          <w:szCs w:val="20"/>
          <w:color w:val="auto"/>
        </w:rPr>
      </w:pPr>
    </w:p>
    <w:p>
      <w:pPr>
        <w:ind w:left="100"/>
        <w:spacing w:after="0"/>
        <w:tabs>
          <w:tab w:leader="none" w:pos="18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AUTHORIZATION OF BONDS.</w:t>
      </w:r>
    </w:p>
    <w:p>
      <w:pPr>
        <w:spacing w:after="0" w:line="247"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color w:val="auto"/>
        </w:rPr>
        <w:t xml:space="preserve">The Company will authorize the issue and sale of (i) First Mortgage Bonds, 4.44% Series due 2047 (herein referred to as the </w:t>
      </w:r>
      <w:r>
        <w:rPr>
          <w:rFonts w:ascii="Arial" w:cs="Arial" w:eastAsia="Arial" w:hAnsi="Arial"/>
          <w:sz w:val="19"/>
          <w:szCs w:val="19"/>
          <w:i w:val="1"/>
          <w:iCs w:val="1"/>
          <w:color w:val="auto"/>
        </w:rPr>
        <w:t>“4.44% Series due 2047 Bonds”</w:t>
      </w:r>
      <w:r>
        <w:rPr>
          <w:rFonts w:ascii="Arial" w:cs="Arial" w:eastAsia="Arial" w:hAnsi="Arial"/>
          <w:sz w:val="19"/>
          <w:szCs w:val="19"/>
          <w:color w:val="auto"/>
        </w:rPr>
        <w:t>) in an aggregate principal amount of $65,000,000, to bear interest at the rate of 4.44% per annum, and to mature on November 15, 2047,</w:t>
      </w:r>
    </w:p>
    <w:p>
      <w:pPr>
        <w:spacing w:after="0" w:line="2" w:lineRule="exact"/>
        <w:rPr>
          <w:sz w:val="20"/>
          <w:szCs w:val="20"/>
          <w:color w:val="auto"/>
        </w:rPr>
      </w:pPr>
    </w:p>
    <w:p>
      <w:pPr>
        <w:jc w:val="both"/>
        <w:ind w:left="100" w:right="99" w:firstLine="59"/>
        <w:spacing w:after="0" w:line="269" w:lineRule="auto"/>
        <w:tabs>
          <w:tab w:leader="none" w:pos="472"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First Mortgage Bonds, 4.49% Series due 2052 (herein referred to as the </w:t>
      </w:r>
      <w:r>
        <w:rPr>
          <w:rFonts w:ascii="Arial" w:cs="Arial" w:eastAsia="Arial" w:hAnsi="Arial"/>
          <w:sz w:val="19"/>
          <w:szCs w:val="19"/>
          <w:i w:val="1"/>
          <w:iCs w:val="1"/>
          <w:color w:val="auto"/>
        </w:rPr>
        <w:t>“4.49% Series due 2052</w:t>
      </w:r>
      <w:r>
        <w:rPr>
          <w:rFonts w:ascii="Arial" w:cs="Arial" w:eastAsia="Arial" w:hAnsi="Arial"/>
          <w:sz w:val="19"/>
          <w:szCs w:val="19"/>
          <w:color w:val="auto"/>
        </w:rPr>
        <w:t xml:space="preserve"> </w:t>
      </w:r>
      <w:r>
        <w:rPr>
          <w:rFonts w:ascii="Arial" w:cs="Arial" w:eastAsia="Arial" w:hAnsi="Arial"/>
          <w:sz w:val="19"/>
          <w:szCs w:val="19"/>
          <w:i w:val="1"/>
          <w:iCs w:val="1"/>
          <w:color w:val="auto"/>
        </w:rPr>
        <w:t>Bonds”</w:t>
      </w:r>
      <w:r>
        <w:rPr>
          <w:rFonts w:ascii="Arial" w:cs="Arial" w:eastAsia="Arial" w:hAnsi="Arial"/>
          <w:sz w:val="19"/>
          <w:szCs w:val="19"/>
          <w:color w:val="auto"/>
        </w:rPr>
        <w:t>) in an aggregate principal amount of $30,000,000, to bear interest at the rate of 4.49% per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annum, and to mature on November 15, 2052, and (iii) First Mortgage Bonds, 4.51% Series due 2053 (herein referred to as the </w:t>
      </w:r>
      <w:r>
        <w:rPr>
          <w:rFonts w:ascii="Arial" w:cs="Arial" w:eastAsia="Arial" w:hAnsi="Arial"/>
          <w:sz w:val="19"/>
          <w:szCs w:val="19"/>
          <w:i w:val="1"/>
          <w:iCs w:val="1"/>
          <w:color w:val="auto"/>
        </w:rPr>
        <w:t>“4.51% Series due 2053 Bonds”</w:t>
      </w:r>
      <w:r>
        <w:rPr>
          <w:rFonts w:ascii="Arial" w:cs="Arial" w:eastAsia="Arial" w:hAnsi="Arial"/>
          <w:sz w:val="19"/>
          <w:szCs w:val="19"/>
          <w:color w:val="auto"/>
        </w:rPr>
        <w:t xml:space="preserve">) in an aggregate principal amount of $30,000,000, to bear interest at the rate of 4.51% per annum, and to mature on November 15, 2053 (the 4.44% Series due 2047 Bonds, the 4.49% Series due 2052 Bonds, and the 4.51% Series due 2053 Bonds are collectively referred to as the </w:t>
      </w:r>
      <w:r>
        <w:rPr>
          <w:rFonts w:ascii="Arial" w:cs="Arial" w:eastAsia="Arial" w:hAnsi="Arial"/>
          <w:sz w:val="19"/>
          <w:szCs w:val="19"/>
          <w:i w:val="1"/>
          <w:iCs w:val="1"/>
          <w:color w:val="auto"/>
        </w:rPr>
        <w:t>“Bonds”</w:t>
      </w:r>
      <w:r>
        <w:rPr>
          <w:rFonts w:ascii="Arial" w:cs="Arial" w:eastAsia="Arial" w:hAnsi="Arial"/>
          <w:sz w:val="19"/>
          <w:szCs w:val="19"/>
          <w:color w:val="auto"/>
        </w:rPr>
        <w:t xml:space="preserve"> and such term includes any such bonds issued in substitution therefor). The Bonds will be issued under and secured by that certain Indenture of Mortgage dated as of January 1, 1941, from the Company (as successor by merger to the Philadelphia Suburban Water Company), as grantor, to The Bank of New York Mellon Trust Company, N.A., as successor trustee (the “</w:t>
      </w:r>
      <w:r>
        <w:rPr>
          <w:rFonts w:ascii="Arial" w:cs="Arial" w:eastAsia="Arial" w:hAnsi="Arial"/>
          <w:sz w:val="19"/>
          <w:szCs w:val="19"/>
          <w:i w:val="1"/>
          <w:iCs w:val="1"/>
          <w:color w:val="auto"/>
        </w:rPr>
        <w:t>Trustee</w:t>
      </w:r>
      <w:r>
        <w:rPr>
          <w:rFonts w:ascii="Arial" w:cs="Arial" w:eastAsia="Arial" w:hAnsi="Arial"/>
          <w:sz w:val="19"/>
          <w:szCs w:val="19"/>
          <w:color w:val="auto"/>
        </w:rPr>
        <w:t xml:space="preserve">”) (the </w:t>
      </w:r>
      <w:r>
        <w:rPr>
          <w:rFonts w:ascii="Arial" w:cs="Arial" w:eastAsia="Arial" w:hAnsi="Arial"/>
          <w:sz w:val="19"/>
          <w:szCs w:val="19"/>
          <w:i w:val="1"/>
          <w:iCs w:val="1"/>
          <w:color w:val="auto"/>
        </w:rPr>
        <w:t>“Original Indenture”</w:t>
      </w:r>
      <w:r>
        <w:rPr>
          <w:rFonts w:ascii="Arial" w:cs="Arial" w:eastAsia="Arial" w:hAnsi="Arial"/>
          <w:sz w:val="19"/>
          <w:szCs w:val="19"/>
          <w:color w:val="auto"/>
        </w:rPr>
        <w:t xml:space="preserve">), as previously amended and supplemented by fifty-three supplemental indentures and as further supplemented by the Fifty-fourth Supplemental Indenture dated as of October 15, 2018 (such Fifty-fourth Supplemental Indenture being referred to herein as the </w:t>
      </w:r>
      <w:r>
        <w:rPr>
          <w:rFonts w:ascii="Arial" w:cs="Arial" w:eastAsia="Arial" w:hAnsi="Arial"/>
          <w:sz w:val="19"/>
          <w:szCs w:val="19"/>
          <w:i w:val="1"/>
          <w:iCs w:val="1"/>
          <w:color w:val="auto"/>
        </w:rPr>
        <w:t>“Supplement”</w:t>
      </w:r>
      <w:r>
        <w:rPr>
          <w:rFonts w:ascii="Arial" w:cs="Arial" w:eastAsia="Arial" w:hAnsi="Arial"/>
          <w:sz w:val="19"/>
          <w:szCs w:val="19"/>
          <w:color w:val="auto"/>
        </w:rPr>
        <w:t>) which will be substantially in the form attached hereto as Exhibit A, with such changes therein, if any, as shall be approved by the Purchasers and the Company. The Original Indenture, as supplemented and amended by the aforementioned fifty-three supplemental indentures and the Supplement, and as further supplemented or amended according to its terms, is hereinafter referred to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328930</wp:posOffset>
            </wp:positionV>
            <wp:extent cx="5642610" cy="5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9" w:name="page130"/>
    <w:bookmarkEnd w:id="129"/>
    <w:p>
      <w:pPr>
        <w:jc w:val="both"/>
        <w:ind w:left="100" w:right="99"/>
        <w:spacing w:after="0" w:line="238" w:lineRule="auto"/>
        <w:rPr>
          <w:sz w:val="20"/>
          <w:szCs w:val="20"/>
          <w:color w:val="auto"/>
        </w:rPr>
      </w:pPr>
      <w:r>
        <w:rPr>
          <w:rFonts w:ascii="Arial" w:cs="Arial" w:eastAsia="Arial" w:hAnsi="Arial"/>
          <w:sz w:val="22"/>
          <w:szCs w:val="22"/>
          <w:i w:val="1"/>
          <w:iCs w:val="1"/>
          <w:color w:val="auto"/>
        </w:rPr>
        <w:t xml:space="preserve">“Indenture”. </w:t>
      </w:r>
      <w:r>
        <w:rPr>
          <w:rFonts w:ascii="Arial" w:cs="Arial" w:eastAsia="Arial" w:hAnsi="Arial"/>
          <w:sz w:val="22"/>
          <w:szCs w:val="22"/>
          <w:color w:val="auto"/>
        </w:rPr>
        <w:t>Certain capitalized and other terms used in this Agreement are defined in Schedule B;</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and references to a </w:t>
      </w:r>
      <w:r>
        <w:rPr>
          <w:rFonts w:ascii="Arial" w:cs="Arial" w:eastAsia="Arial" w:hAnsi="Arial"/>
          <w:sz w:val="22"/>
          <w:szCs w:val="22"/>
          <w:i w:val="1"/>
          <w:iCs w:val="1"/>
          <w:color w:val="auto"/>
        </w:rPr>
        <w:t>“Schedule”</w:t>
      </w:r>
      <w:r>
        <w:rPr>
          <w:rFonts w:ascii="Arial" w:cs="Arial" w:eastAsia="Arial" w:hAnsi="Arial"/>
          <w:sz w:val="22"/>
          <w:szCs w:val="22"/>
          <w:color w:val="auto"/>
        </w:rPr>
        <w:t xml:space="preserve"> or an </w:t>
      </w:r>
      <w:r>
        <w:rPr>
          <w:rFonts w:ascii="Arial" w:cs="Arial" w:eastAsia="Arial" w:hAnsi="Arial"/>
          <w:sz w:val="22"/>
          <w:szCs w:val="22"/>
          <w:i w:val="1"/>
          <w:iCs w:val="1"/>
          <w:color w:val="auto"/>
        </w:rPr>
        <w:t>“Exhibit”</w:t>
      </w:r>
      <w:r>
        <w:rPr>
          <w:rFonts w:ascii="Arial" w:cs="Arial" w:eastAsia="Arial" w:hAnsi="Arial"/>
          <w:sz w:val="22"/>
          <w:szCs w:val="22"/>
          <w:color w:val="auto"/>
        </w:rPr>
        <w:t xml:space="preserve"> are, unless otherwise specified, to a Schedule or an Exhibit attached to this Agreement. Terms used herein but not defined herein shall have the meanings set forth in the Indenture.</w:t>
      </w:r>
    </w:p>
    <w:p>
      <w:pPr>
        <w:spacing w:after="0" w:line="212" w:lineRule="exact"/>
        <w:rPr>
          <w:sz w:val="20"/>
          <w:szCs w:val="20"/>
          <w:color w:val="auto"/>
        </w:rPr>
      </w:pPr>
    </w:p>
    <w:p>
      <w:pPr>
        <w:ind w:left="100"/>
        <w:spacing w:after="0"/>
        <w:tabs>
          <w:tab w:leader="none" w:pos="18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SALE AND PURCHASE OF BONDS.</w:t>
      </w:r>
    </w:p>
    <w:p>
      <w:pPr>
        <w:spacing w:after="0" w:line="247" w:lineRule="exact"/>
        <w:rPr>
          <w:sz w:val="20"/>
          <w:szCs w:val="20"/>
          <w:color w:val="auto"/>
        </w:rPr>
      </w:pPr>
    </w:p>
    <w:p>
      <w:pPr>
        <w:jc w:val="both"/>
        <w:ind w:left="100" w:right="99" w:firstLine="648"/>
        <w:spacing w:after="0" w:line="247" w:lineRule="exact"/>
        <w:rPr>
          <w:sz w:val="20"/>
          <w:szCs w:val="20"/>
          <w:color w:val="auto"/>
        </w:rPr>
      </w:pPr>
      <w:r>
        <w:rPr>
          <w:rFonts w:ascii="Arial" w:cs="Arial" w:eastAsia="Arial" w:hAnsi="Arial"/>
          <w:sz w:val="22"/>
          <w:szCs w:val="22"/>
          <w:color w:val="auto"/>
        </w:rPr>
        <w:t>Subject to the terms and conditions of this Agreement, the Company will issue and sell to each Purchaser and each Purchaser will purchase from the Company, at the Closing provided for in Section 3, Bonds in the principal amount and in the series specified opposite such Purchaser’s name in Schedule A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Arial" w:cs="Arial" w:eastAsia="Arial" w:hAnsi="Arial"/>
          <w:sz w:val="22"/>
          <w:szCs w:val="22"/>
          <w:color w:val="auto"/>
        </w:rPr>
        <w:t>performance of any obligation by any other Purchaser hereunder.</w:t>
      </w:r>
    </w:p>
    <w:p>
      <w:pPr>
        <w:spacing w:after="0" w:line="232" w:lineRule="exact"/>
        <w:rPr>
          <w:sz w:val="20"/>
          <w:szCs w:val="20"/>
          <w:color w:val="auto"/>
        </w:rPr>
      </w:pPr>
    </w:p>
    <w:p>
      <w:pPr>
        <w:ind w:left="100"/>
        <w:spacing w:after="0"/>
        <w:tabs>
          <w:tab w:leader="none" w:pos="18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CLOSING.</w:t>
      </w:r>
    </w:p>
    <w:p>
      <w:pPr>
        <w:spacing w:after="0" w:line="233" w:lineRule="exact"/>
        <w:rPr>
          <w:sz w:val="20"/>
          <w:szCs w:val="20"/>
          <w:color w:val="auto"/>
        </w:rPr>
      </w:pPr>
    </w:p>
    <w:p>
      <w:pPr>
        <w:jc w:val="both"/>
        <w:ind w:left="100" w:right="99" w:firstLine="648"/>
        <w:spacing w:after="0" w:line="244" w:lineRule="exact"/>
        <w:rPr>
          <w:sz w:val="20"/>
          <w:szCs w:val="20"/>
          <w:color w:val="auto"/>
        </w:rPr>
      </w:pPr>
      <w:r>
        <w:rPr>
          <w:rFonts w:ascii="Arial" w:cs="Arial" w:eastAsia="Arial" w:hAnsi="Arial"/>
          <w:sz w:val="19"/>
          <w:szCs w:val="19"/>
          <w:color w:val="auto"/>
        </w:rPr>
        <w:t xml:space="preserve">The execution and delivery of this Agreement and the sale and purchase of the Bonds to be purchased by each Purchaser shall occur at the offices of Chapman and Cutler LLP, 111 West Monroe Street, Chicago, Illinois 60603, at 10:00 a.m., Chicago time, at a closing on November 15, 2018 or on such other Business Day thereafter on or prior to November 30, 2018 as may be agreed upon by the Company and the Purchasers (the </w:t>
      </w:r>
      <w:r>
        <w:rPr>
          <w:rFonts w:ascii="Arial" w:cs="Arial" w:eastAsia="Arial" w:hAnsi="Arial"/>
          <w:sz w:val="19"/>
          <w:szCs w:val="19"/>
          <w:i w:val="1"/>
          <w:iCs w:val="1"/>
          <w:color w:val="auto"/>
        </w:rPr>
        <w:t>“Closing”</w:t>
      </w:r>
      <w:r>
        <w:rPr>
          <w:rFonts w:ascii="Arial" w:cs="Arial" w:eastAsia="Arial" w:hAnsi="Arial"/>
          <w:sz w:val="19"/>
          <w:szCs w:val="19"/>
          <w:color w:val="auto"/>
        </w:rPr>
        <w:t>). At the Closing the Company will deliver to each Purchaser the Bonds to be purchased by such Purchaser in the form of one or more Bonds to be purchased by such Purchaser, as applicable, in such denominations as such Purchaser may request (with a minimum denomination of $100,000 for each Bond),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8559742757, Account Name: Aqua Pennsylvania, Inc., at PNC Bank, N.A., Philadelphia, Pennsylvania, ABA Number 031</w:t>
      </w:r>
      <w:r>
        <w:rPr>
          <w:rFonts w:ascii="MS PGothic" w:cs="MS PGothic" w:eastAsia="MS PGothic" w:hAnsi="MS PGothic"/>
          <w:sz w:val="19"/>
          <w:szCs w:val="19"/>
          <w:color w:val="auto"/>
        </w:rPr>
        <w:t>‑</w:t>
      </w:r>
      <w:r>
        <w:rPr>
          <w:rFonts w:ascii="Arial" w:cs="Arial" w:eastAsia="Arial" w:hAnsi="Arial"/>
          <w:sz w:val="19"/>
          <w:szCs w:val="19"/>
          <w:color w:val="auto"/>
        </w:rPr>
        <w:t>000053. If at the Closing the Company shall fail to tender such Bonds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Bonds or any of the conditions specified in Section 4 not having been fulfilled to such Purchaser’s satisfaction.</w:t>
      </w:r>
    </w:p>
    <w:p>
      <w:pPr>
        <w:spacing w:after="0" w:line="241" w:lineRule="exact"/>
        <w:rPr>
          <w:sz w:val="20"/>
          <w:szCs w:val="20"/>
          <w:color w:val="auto"/>
        </w:rPr>
      </w:pPr>
    </w:p>
    <w:p>
      <w:pPr>
        <w:ind w:left="100"/>
        <w:spacing w:after="0"/>
        <w:tabs>
          <w:tab w:leader="none" w:pos="18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CONDITIONS TO CLOSING.</w:t>
      </w:r>
    </w:p>
    <w:p>
      <w:pPr>
        <w:spacing w:after="0" w:line="247"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color w:val="auto"/>
        </w:rPr>
        <w:t>Each Purchaser’s obligation to execute and deliver this Agreement and to purchase and pay for the Bonds to be sold to such Purchaser at the Closing is subject to the fulfillment to such Purchaser’s satisfaction prior to or at the Closing of the following conditions: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30" w:name="page131"/>
    <w:bookmarkEnd w:id="130"/>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Section 4.1. Representations and Warranties</w:t>
      </w:r>
      <w:r>
        <w:rPr>
          <w:rFonts w:ascii="Arial" w:cs="Arial" w:eastAsia="Arial" w:hAnsi="Arial"/>
          <w:sz w:val="21"/>
          <w:szCs w:val="21"/>
          <w:color w:val="auto"/>
        </w:rPr>
        <w:t>. The representations and warranties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in this Agreement shall be correct when made and at the time of the Closing.</w:t>
      </w:r>
    </w:p>
    <w:p>
      <w:pPr>
        <w:spacing w:after="0" w:line="178" w:lineRule="exact"/>
        <w:rPr>
          <w:sz w:val="20"/>
          <w:szCs w:val="20"/>
          <w:color w:val="auto"/>
        </w:rPr>
      </w:pPr>
    </w:p>
    <w:p>
      <w:pPr>
        <w:jc w:val="both"/>
        <w:ind w:left="100" w:right="99" w:firstLine="716"/>
        <w:spacing w:after="0" w:line="282" w:lineRule="auto"/>
        <w:rPr>
          <w:sz w:val="20"/>
          <w:szCs w:val="20"/>
          <w:color w:val="auto"/>
        </w:rPr>
      </w:pPr>
      <w:r>
        <w:rPr>
          <w:rFonts w:ascii="Arial" w:cs="Arial" w:eastAsia="Arial" w:hAnsi="Arial"/>
          <w:sz w:val="19"/>
          <w:szCs w:val="19"/>
          <w:i w:val="1"/>
          <w:iCs w:val="1"/>
          <w:color w:val="auto"/>
        </w:rPr>
        <w:t>Section 4.2. Performance; No Default</w:t>
      </w:r>
      <w:r>
        <w:rPr>
          <w:rFonts w:ascii="Arial" w:cs="Arial" w:eastAsia="Arial" w:hAnsi="Arial"/>
          <w:sz w:val="19"/>
          <w:szCs w:val="19"/>
          <w:color w:val="auto"/>
        </w:rPr>
        <w:t>. The Company shall have performed and complied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with all agreements and conditions contained in each Financing Agreement required to be performed or </w:t>
      </w:r>
      <w:r>
        <w:rPr>
          <w:rFonts w:ascii="Arial" w:cs="Arial" w:eastAsia="Arial" w:hAnsi="Arial"/>
          <w:sz w:val="19"/>
          <w:szCs w:val="19"/>
          <w:i w:val="1"/>
          <w:iCs w:val="1"/>
          <w:color w:val="auto"/>
        </w:rPr>
        <w:t>complied</w:t>
      </w:r>
      <w:r>
        <w:rPr>
          <w:rFonts w:ascii="Arial" w:cs="Arial" w:eastAsia="Arial" w:hAnsi="Arial"/>
          <w:sz w:val="19"/>
          <w:szCs w:val="19"/>
          <w:color w:val="auto"/>
        </w:rPr>
        <w:t xml:space="preserve"> with by the Company prior to or at the Closing, and after giving effect to the issue and sale of the Bonds (and the application of the proceeds thereof as contemplated by Section 5.14), no Default or Event of Default shall have occurred and be continuing.</w:t>
      </w:r>
    </w:p>
    <w:p>
      <w:pPr>
        <w:spacing w:after="0" w:line="188" w:lineRule="exact"/>
        <w:rPr>
          <w:sz w:val="20"/>
          <w:szCs w:val="20"/>
          <w:color w:val="auto"/>
        </w:rPr>
      </w:pPr>
    </w:p>
    <w:p>
      <w:pPr>
        <w:jc w:val="both"/>
        <w:ind w:left="100" w:right="99" w:firstLine="716"/>
        <w:spacing w:after="0" w:line="238" w:lineRule="auto"/>
        <w:rPr>
          <w:sz w:val="20"/>
          <w:szCs w:val="20"/>
          <w:color w:val="auto"/>
        </w:rPr>
      </w:pPr>
      <w:r>
        <w:rPr>
          <w:rFonts w:ascii="Arial" w:cs="Arial" w:eastAsia="Arial" w:hAnsi="Arial"/>
          <w:sz w:val="22"/>
          <w:szCs w:val="22"/>
          <w:i w:val="1"/>
          <w:iCs w:val="1"/>
          <w:color w:val="auto"/>
        </w:rPr>
        <w:t>Section 4.3. Compliance Certificates</w:t>
      </w:r>
      <w:r>
        <w:rPr>
          <w:rFonts w:ascii="Arial" w:cs="Arial" w:eastAsia="Arial" w:hAnsi="Arial"/>
          <w:sz w:val="22"/>
          <w:szCs w:val="22"/>
          <w:color w:val="auto"/>
        </w:rPr>
        <w:t>. The Company shall have performed and complied</w:t>
      </w:r>
      <w:r>
        <w:rPr>
          <w:rFonts w:ascii="Arial" w:cs="Arial" w:eastAsia="Arial" w:hAnsi="Arial"/>
          <w:sz w:val="22"/>
          <w:szCs w:val="22"/>
          <w:i w:val="1"/>
          <w:iCs w:val="1"/>
          <w:color w:val="auto"/>
        </w:rPr>
        <w:t xml:space="preserve"> </w:t>
      </w:r>
      <w:r>
        <w:rPr>
          <w:rFonts w:ascii="Arial" w:cs="Arial" w:eastAsia="Arial" w:hAnsi="Arial"/>
          <w:sz w:val="22"/>
          <w:szCs w:val="22"/>
          <w:color w:val="auto"/>
        </w:rPr>
        <w:t>with all agreements and conditions contained in the Indenture which are required to be performed or complied with by the Company for the issuance of the Bonds at the Closing. In addition, the Company shall have delivered the following certificates:</w:t>
      </w:r>
    </w:p>
    <w:p>
      <w:pPr>
        <w:spacing w:after="0" w:line="226" w:lineRule="exact"/>
        <w:rPr>
          <w:sz w:val="20"/>
          <w:szCs w:val="20"/>
          <w:color w:val="auto"/>
        </w:rPr>
      </w:pPr>
    </w:p>
    <w:p>
      <w:pPr>
        <w:ind w:left="2200" w:hanging="515"/>
        <w:spacing w:after="0"/>
        <w:tabs>
          <w:tab w:leader="none" w:pos="2200" w:val="left"/>
        </w:tabs>
        <w:numPr>
          <w:ilvl w:val="2"/>
          <w:numId w:val="64"/>
        </w:numPr>
        <w:rPr>
          <w:rFonts w:ascii="Arial" w:cs="Arial" w:eastAsia="Arial" w:hAnsi="Arial"/>
          <w:sz w:val="19"/>
          <w:szCs w:val="19"/>
          <w:color w:val="auto"/>
        </w:rPr>
      </w:pPr>
      <w:r>
        <w:rPr>
          <w:rFonts w:ascii="Arial" w:cs="Arial" w:eastAsia="Arial" w:hAnsi="Arial"/>
          <w:sz w:val="19"/>
          <w:szCs w:val="19"/>
          <w:i w:val="1"/>
          <w:iCs w:val="1"/>
          <w:color w:val="auto"/>
        </w:rPr>
        <w:t xml:space="preserve">Officer’s Certificate.  </w:t>
      </w:r>
      <w:r>
        <w:rPr>
          <w:rFonts w:ascii="Arial" w:cs="Arial" w:eastAsia="Arial" w:hAnsi="Arial"/>
          <w:sz w:val="19"/>
          <w:szCs w:val="19"/>
          <w:color w:val="auto"/>
        </w:rPr>
        <w:t>The Company shall have delivered to such Purchaser</w:t>
      </w:r>
    </w:p>
    <w:p>
      <w:pPr>
        <w:spacing w:after="0" w:line="42" w:lineRule="exact"/>
        <w:rPr>
          <w:rFonts w:ascii="Arial" w:cs="Arial" w:eastAsia="Arial" w:hAnsi="Arial"/>
          <w:sz w:val="19"/>
          <w:szCs w:val="19"/>
          <w:color w:val="auto"/>
        </w:rPr>
      </w:pPr>
    </w:p>
    <w:p>
      <w:pPr>
        <w:jc w:val="both"/>
        <w:ind w:left="760" w:right="99" w:hanging="7"/>
        <w:spacing w:after="0" w:line="246" w:lineRule="auto"/>
        <w:tabs>
          <w:tab w:leader="none" w:pos="1074" w:val="left"/>
        </w:tabs>
        <w:numPr>
          <w:ilvl w:val="0"/>
          <w:numId w:val="65"/>
        </w:numPr>
        <w:rPr>
          <w:rFonts w:ascii="Arial" w:cs="Arial" w:eastAsia="Arial" w:hAnsi="Arial"/>
          <w:sz w:val="21"/>
          <w:szCs w:val="21"/>
          <w:color w:val="auto"/>
        </w:rPr>
      </w:pPr>
      <w:r>
        <w:rPr>
          <w:rFonts w:ascii="Arial" w:cs="Arial" w:eastAsia="Arial" w:hAnsi="Arial"/>
          <w:sz w:val="21"/>
          <w:szCs w:val="21"/>
          <w:color w:val="auto"/>
        </w:rPr>
        <w:t>an Officer’s Certificate, dated the date of the Closing, certifying that the conditions specified in Section 4 of this Agreement have been fulfilled, and (ii) copies of all certificates and opinions required to be delivered to the Trustee under the Indenture in connection with the issuance of the Bonds, in each case, dated the date of the Closing.</w:t>
      </w:r>
    </w:p>
    <w:p>
      <w:pPr>
        <w:spacing w:after="0" w:line="207" w:lineRule="exact"/>
        <w:rPr>
          <w:rFonts w:ascii="Arial" w:cs="Arial" w:eastAsia="Arial" w:hAnsi="Arial"/>
          <w:sz w:val="21"/>
          <w:szCs w:val="21"/>
          <w:color w:val="auto"/>
        </w:rPr>
      </w:pPr>
    </w:p>
    <w:p>
      <w:pPr>
        <w:jc w:val="both"/>
        <w:ind w:left="760" w:right="99" w:firstLine="722"/>
        <w:spacing w:after="0" w:line="273" w:lineRule="auto"/>
        <w:tabs>
          <w:tab w:leader="none" w:pos="1822" w:val="left"/>
        </w:tabs>
        <w:numPr>
          <w:ilvl w:val="1"/>
          <w:numId w:val="65"/>
        </w:numPr>
        <w:rPr>
          <w:rFonts w:ascii="Arial" w:cs="Arial" w:eastAsia="Arial" w:hAnsi="Arial"/>
          <w:sz w:val="19"/>
          <w:szCs w:val="19"/>
          <w:color w:val="auto"/>
        </w:rPr>
      </w:pPr>
      <w:r>
        <w:rPr>
          <w:rFonts w:ascii="Arial" w:cs="Arial" w:eastAsia="Arial" w:hAnsi="Arial"/>
          <w:sz w:val="19"/>
          <w:szCs w:val="19"/>
          <w:i w:val="1"/>
          <w:iCs w:val="1"/>
          <w:color w:val="auto"/>
        </w:rPr>
        <w:t xml:space="preserve">Secretary’s Certificate. </w:t>
      </w:r>
      <w:r>
        <w:rPr>
          <w:rFonts w:ascii="Arial" w:cs="Arial" w:eastAsia="Arial" w:hAnsi="Arial"/>
          <w:sz w:val="19"/>
          <w:szCs w:val="19"/>
          <w:color w:val="auto"/>
        </w:rPr>
        <w:t>The Company shall have delivered to such Purchaser a</w:t>
      </w:r>
      <w:r>
        <w:rPr>
          <w:rFonts w:ascii="Arial" w:cs="Arial" w:eastAsia="Arial" w:hAnsi="Arial"/>
          <w:sz w:val="19"/>
          <w:szCs w:val="19"/>
          <w:i w:val="1"/>
          <w:iCs w:val="1"/>
          <w:color w:val="auto"/>
        </w:rPr>
        <w:t xml:space="preserve"> </w:t>
      </w:r>
      <w:r>
        <w:rPr>
          <w:rFonts w:ascii="Arial" w:cs="Arial" w:eastAsia="Arial" w:hAnsi="Arial"/>
          <w:sz w:val="19"/>
          <w:szCs w:val="19"/>
          <w:color w:val="auto"/>
        </w:rPr>
        <w:t>certificate of its Secretary or Assistant Secretary, dated the date of the Closing, certifying as to the resolutions attached thereto and other corporate proceedings relating to the authorization,</w:t>
      </w:r>
    </w:p>
    <w:p>
      <w:pPr>
        <w:spacing w:after="0" w:line="2" w:lineRule="exact"/>
        <w:rPr>
          <w:sz w:val="20"/>
          <w:szCs w:val="20"/>
          <w:color w:val="auto"/>
        </w:rPr>
      </w:pPr>
    </w:p>
    <w:p>
      <w:pPr>
        <w:ind w:left="760" w:right="99"/>
        <w:spacing w:after="0" w:line="237" w:lineRule="auto"/>
        <w:rPr>
          <w:sz w:val="20"/>
          <w:szCs w:val="20"/>
          <w:color w:val="auto"/>
        </w:rPr>
      </w:pPr>
      <w:r>
        <w:rPr>
          <w:rFonts w:ascii="Arial" w:cs="Arial" w:eastAsia="Arial" w:hAnsi="Arial"/>
          <w:sz w:val="22"/>
          <w:szCs w:val="22"/>
          <w:color w:val="auto"/>
        </w:rPr>
        <w:t>execution and delivery of this Agreement, the Bonds, under the Indenture, and the Supplement.</w:t>
      </w:r>
    </w:p>
    <w:p>
      <w:pPr>
        <w:spacing w:after="0" w:line="225" w:lineRule="exact"/>
        <w:rPr>
          <w:sz w:val="20"/>
          <w:szCs w:val="20"/>
          <w:color w:val="auto"/>
        </w:rPr>
      </w:pPr>
    </w:p>
    <w:p>
      <w:pPr>
        <w:jc w:val="both"/>
        <w:ind w:left="760" w:right="99" w:firstLine="722"/>
        <w:spacing w:after="0" w:line="238" w:lineRule="auto"/>
        <w:tabs>
          <w:tab w:leader="none" w:pos="1810"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 xml:space="preserve">Certification of Indenture. </w:t>
      </w:r>
      <w:r>
        <w:rPr>
          <w:rFonts w:ascii="Arial" w:cs="Arial" w:eastAsia="Arial" w:hAnsi="Arial"/>
          <w:sz w:val="22"/>
          <w:szCs w:val="22"/>
          <w:color w:val="auto"/>
        </w:rPr>
        <w:t>Such Purchaser shall have received a composite copy</w:t>
      </w:r>
      <w:r>
        <w:rPr>
          <w:rFonts w:ascii="Arial" w:cs="Arial" w:eastAsia="Arial" w:hAnsi="Arial"/>
          <w:sz w:val="22"/>
          <w:szCs w:val="22"/>
          <w:i w:val="1"/>
          <w:iCs w:val="1"/>
          <w:color w:val="auto"/>
        </w:rPr>
        <w:t xml:space="preserve"> </w:t>
      </w:r>
      <w:r>
        <w:rPr>
          <w:rFonts w:ascii="Arial" w:cs="Arial" w:eastAsia="Arial" w:hAnsi="Arial"/>
          <w:sz w:val="22"/>
          <w:szCs w:val="22"/>
          <w:color w:val="auto"/>
        </w:rPr>
        <w:t>of the Indenture (together with all amendments and supplements thereto), certified by the Company as of the date of the Closing, exclusive of property exhibits, recording information and the like.</w:t>
      </w:r>
    </w:p>
    <w:p>
      <w:pPr>
        <w:spacing w:after="0" w:line="226" w:lineRule="exact"/>
        <w:rPr>
          <w:sz w:val="20"/>
          <w:szCs w:val="20"/>
          <w:color w:val="auto"/>
        </w:rPr>
      </w:pPr>
    </w:p>
    <w:p>
      <w:pPr>
        <w:jc w:val="both"/>
        <w:ind w:left="100" w:right="99" w:firstLine="716"/>
        <w:spacing w:after="0" w:line="272" w:lineRule="auto"/>
        <w:rPr>
          <w:sz w:val="20"/>
          <w:szCs w:val="20"/>
          <w:color w:val="auto"/>
        </w:rPr>
      </w:pPr>
      <w:r>
        <w:rPr>
          <w:rFonts w:ascii="Arial" w:cs="Arial" w:eastAsia="Arial" w:hAnsi="Arial"/>
          <w:sz w:val="19"/>
          <w:szCs w:val="19"/>
          <w:i w:val="1"/>
          <w:iCs w:val="1"/>
          <w:color w:val="auto"/>
        </w:rPr>
        <w:t>Section 4.4. Opinions of Counsel</w:t>
      </w:r>
      <w:r>
        <w:rPr>
          <w:rFonts w:ascii="Arial" w:cs="Arial" w:eastAsia="Arial" w:hAnsi="Arial"/>
          <w:sz w:val="19"/>
          <w:szCs w:val="19"/>
          <w:color w:val="auto"/>
        </w:rPr>
        <w:t>. Such Purchaser shall have received opinions in form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substance satisfactory to such Purchaser, dated the date of the Closing (a) from Christopher P. Luning, counsel for the Company, covering the matters set forth in Exhibit 4.4(a) and covering such other matters incident to the transactions contemplated hereby as such Purchaser or its counsel may reasonably request (and the Company hereby instructs its counsel to deliver such opinion to the </w:t>
      </w:r>
      <w:r>
        <w:rPr>
          <w:rFonts w:ascii="Arial" w:cs="Arial" w:eastAsia="Arial" w:hAnsi="Arial"/>
          <w:sz w:val="19"/>
          <w:szCs w:val="19"/>
          <w:i w:val="1"/>
          <w:iCs w:val="1"/>
          <w:color w:val="auto"/>
        </w:rPr>
        <w:t>Purchasers</w:t>
      </w:r>
      <w:r>
        <w:rPr>
          <w:rFonts w:ascii="Arial" w:cs="Arial" w:eastAsia="Arial" w:hAnsi="Arial"/>
          <w:sz w:val="19"/>
          <w:szCs w:val="19"/>
          <w:color w:val="auto"/>
        </w:rPr>
        <w:t>) and (b) from Dilworth Paxson, LLP, special counsel to the Company, covering the</w:t>
      </w:r>
      <w:r>
        <w:rPr>
          <w:rFonts w:ascii="Arial" w:cs="Arial" w:eastAsia="Arial" w:hAnsi="Arial"/>
          <w:sz w:val="19"/>
          <w:szCs w:val="19"/>
          <w:i w:val="1"/>
          <w:iCs w:val="1"/>
          <w:color w:val="auto"/>
        </w:rPr>
        <w:t xml:space="preserve"> </w:t>
      </w:r>
      <w:r>
        <w:rPr>
          <w:rFonts w:ascii="Arial" w:cs="Arial" w:eastAsia="Arial" w:hAnsi="Arial"/>
          <w:sz w:val="19"/>
          <w:szCs w:val="19"/>
          <w:color w:val="auto"/>
        </w:rPr>
        <w:t>matters set forth in Exhibit 4.4(b) and covering such other matters incident to the transactions contemplated hereby as such Purchaser or such Purchaser’s counsel may reasonably request (and the Company hereby instructs its counsel to deliver such opinion to the Purchasers), and (c) from Chapman and Cutler LLP, the Purchasers’ special counsel in connection with such transactions, substantially in the form set forth in Exhibit 4.4(c) and covering such other matters incident to such transactions as such Purchaser may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31" w:name="page132"/>
    <w:bookmarkEnd w:id="131"/>
    <w:p>
      <w:pPr>
        <w:jc w:val="both"/>
        <w:ind w:left="100" w:right="99"/>
        <w:spacing w:after="0"/>
        <w:rPr>
          <w:sz w:val="20"/>
          <w:szCs w:val="20"/>
          <w:color w:val="auto"/>
        </w:rPr>
      </w:pPr>
      <w:r>
        <w:rPr>
          <w:rFonts w:ascii="Arial" w:cs="Arial" w:eastAsia="Arial" w:hAnsi="Arial"/>
          <w:sz w:val="22"/>
          <w:szCs w:val="22"/>
          <w:color w:val="auto"/>
        </w:rPr>
        <w:t>reasonably request. The Company hereby directs its counsel to deliver the opinions required by this Section 4.4 and understands and agrees that each Purchaser will and hereby is authorized to rely on such opinions.</w:t>
      </w:r>
    </w:p>
    <w:p>
      <w:pPr>
        <w:spacing w:after="0" w:line="213" w:lineRule="exact"/>
        <w:rPr>
          <w:sz w:val="20"/>
          <w:szCs w:val="20"/>
          <w:color w:val="auto"/>
        </w:rPr>
      </w:pPr>
    </w:p>
    <w:p>
      <w:pPr>
        <w:jc w:val="both"/>
        <w:ind w:left="100" w:right="99" w:firstLine="716"/>
        <w:spacing w:after="0" w:line="273" w:lineRule="auto"/>
        <w:rPr>
          <w:sz w:val="20"/>
          <w:szCs w:val="20"/>
          <w:color w:val="auto"/>
        </w:rPr>
      </w:pPr>
      <w:r>
        <w:rPr>
          <w:rFonts w:ascii="Arial" w:cs="Arial" w:eastAsia="Arial" w:hAnsi="Arial"/>
          <w:sz w:val="19"/>
          <w:szCs w:val="19"/>
          <w:i w:val="1"/>
          <w:iCs w:val="1"/>
          <w:color w:val="auto"/>
        </w:rPr>
        <w:t>Section 4.5. Purchase Permitted by Applicable Law, Etc</w:t>
      </w:r>
      <w:r>
        <w:rPr>
          <w:rFonts w:ascii="Arial" w:cs="Arial" w:eastAsia="Arial" w:hAnsi="Arial"/>
          <w:sz w:val="19"/>
          <w:szCs w:val="19"/>
          <w:color w:val="auto"/>
        </w:rPr>
        <w:t>. On the date of the Closing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Purchaser’s purchase of Bonds shall (a) be permitted by the laws and regulations of each jurisdiction to which such Purchaser is subject, without recourse to provisions (such as section 1405(a)(8) of the New York Insurance Law) permitting limited investments by insurance companies </w:t>
      </w:r>
      <w:r>
        <w:rPr>
          <w:rFonts w:ascii="Arial" w:cs="Arial" w:eastAsia="Arial" w:hAnsi="Arial"/>
          <w:sz w:val="19"/>
          <w:szCs w:val="19"/>
          <w:i w:val="1"/>
          <w:iCs w:val="1"/>
          <w:color w:val="auto"/>
        </w:rPr>
        <w:t>without</w:t>
      </w:r>
      <w:r>
        <w:rPr>
          <w:rFonts w:ascii="Arial" w:cs="Arial" w:eastAsia="Arial" w:hAnsi="Arial"/>
          <w:sz w:val="19"/>
          <w:szCs w:val="19"/>
          <w:color w:val="auto"/>
        </w:rPr>
        <w:t xml:space="preserve">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of the Closing.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197" w:lineRule="exact"/>
        <w:rPr>
          <w:sz w:val="20"/>
          <w:szCs w:val="20"/>
          <w:color w:val="auto"/>
        </w:rPr>
      </w:pPr>
    </w:p>
    <w:p>
      <w:pPr>
        <w:jc w:val="both"/>
        <w:ind w:left="100" w:right="99" w:firstLine="716"/>
        <w:spacing w:after="0"/>
        <w:rPr>
          <w:sz w:val="20"/>
          <w:szCs w:val="20"/>
          <w:color w:val="auto"/>
        </w:rPr>
      </w:pPr>
      <w:r>
        <w:rPr>
          <w:rFonts w:ascii="Arial" w:cs="Arial" w:eastAsia="Arial" w:hAnsi="Arial"/>
          <w:sz w:val="22"/>
          <w:szCs w:val="22"/>
          <w:i w:val="1"/>
          <w:iCs w:val="1"/>
          <w:color w:val="auto"/>
        </w:rPr>
        <w:t>Section 4.6. Sale of Bonds</w:t>
      </w:r>
      <w:r>
        <w:rPr>
          <w:rFonts w:ascii="Arial" w:cs="Arial" w:eastAsia="Arial" w:hAnsi="Arial"/>
          <w:sz w:val="22"/>
          <w:szCs w:val="22"/>
          <w:color w:val="auto"/>
        </w:rPr>
        <w:t>. Contemporaneously with the Closing, the Company shall sell to</w:t>
      </w:r>
      <w:r>
        <w:rPr>
          <w:rFonts w:ascii="Arial" w:cs="Arial" w:eastAsia="Arial" w:hAnsi="Arial"/>
          <w:sz w:val="22"/>
          <w:szCs w:val="22"/>
          <w:i w:val="1"/>
          <w:iCs w:val="1"/>
          <w:color w:val="auto"/>
        </w:rPr>
        <w:t xml:space="preserve"> </w:t>
      </w:r>
      <w:r>
        <w:rPr>
          <w:rFonts w:ascii="Arial" w:cs="Arial" w:eastAsia="Arial" w:hAnsi="Arial"/>
          <w:sz w:val="22"/>
          <w:szCs w:val="22"/>
          <w:color w:val="auto"/>
        </w:rPr>
        <w:t>each Purchaser and each Purchaser shall purchase the Bonds to be purchased by it as specified in Schedule A.</w:t>
      </w:r>
    </w:p>
    <w:p>
      <w:pPr>
        <w:spacing w:after="0" w:line="227" w:lineRule="exact"/>
        <w:rPr>
          <w:sz w:val="20"/>
          <w:szCs w:val="20"/>
          <w:color w:val="auto"/>
        </w:rPr>
      </w:pPr>
    </w:p>
    <w:p>
      <w:pPr>
        <w:jc w:val="both"/>
        <w:ind w:left="100" w:right="99" w:firstLine="716"/>
        <w:spacing w:after="0" w:line="236" w:lineRule="auto"/>
        <w:rPr>
          <w:sz w:val="20"/>
          <w:szCs w:val="20"/>
          <w:color w:val="auto"/>
        </w:rPr>
      </w:pPr>
      <w:r>
        <w:rPr>
          <w:rFonts w:ascii="Arial" w:cs="Arial" w:eastAsia="Arial" w:hAnsi="Arial"/>
          <w:sz w:val="22"/>
          <w:szCs w:val="22"/>
          <w:i w:val="1"/>
          <w:iCs w:val="1"/>
          <w:color w:val="auto"/>
        </w:rPr>
        <w:t>Section 4.7. Payment of Special Counsel Fees</w:t>
      </w:r>
      <w:r>
        <w:rPr>
          <w:rFonts w:ascii="Arial" w:cs="Arial" w:eastAsia="Arial" w:hAnsi="Arial"/>
          <w:sz w:val="22"/>
          <w:szCs w:val="22"/>
          <w:color w:val="auto"/>
        </w:rPr>
        <w:t>. Without limiting the provisions of</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12.2, the Company shall have paid on or before the Closing the reasonable fees, reasonable charges and reasonable disbursements of the Purchasers’ special counsel referred to in Section 4.4(c) to the extent reflected in a statement of such counsel rendered to the Company at least one Business Day prior to the Closing.</w:t>
      </w:r>
    </w:p>
    <w:p>
      <w:pPr>
        <w:spacing w:after="0" w:line="215" w:lineRule="exact"/>
        <w:rPr>
          <w:sz w:val="20"/>
          <w:szCs w:val="20"/>
          <w:color w:val="auto"/>
        </w:rPr>
      </w:pPr>
    </w:p>
    <w:p>
      <w:pPr>
        <w:jc w:val="both"/>
        <w:ind w:left="100" w:right="99" w:firstLine="716"/>
        <w:spacing w:after="0"/>
        <w:rPr>
          <w:sz w:val="20"/>
          <w:szCs w:val="20"/>
          <w:color w:val="auto"/>
        </w:rPr>
      </w:pPr>
      <w:r>
        <w:rPr>
          <w:rFonts w:ascii="Arial" w:cs="Arial" w:eastAsia="Arial" w:hAnsi="Arial"/>
          <w:sz w:val="22"/>
          <w:szCs w:val="22"/>
          <w:i w:val="1"/>
          <w:iCs w:val="1"/>
          <w:color w:val="auto"/>
        </w:rPr>
        <w:t>Section 4.8. Private Placement Number</w:t>
      </w:r>
      <w:r>
        <w:rPr>
          <w:rFonts w:ascii="Arial" w:cs="Arial" w:eastAsia="Arial" w:hAnsi="Arial"/>
          <w:sz w:val="22"/>
          <w:szCs w:val="22"/>
          <w:color w:val="auto"/>
        </w:rPr>
        <w:t>. A Private Placement Number issued by Standard &amp;</w:t>
      </w:r>
      <w:r>
        <w:rPr>
          <w:rFonts w:ascii="Arial" w:cs="Arial" w:eastAsia="Arial" w:hAnsi="Arial"/>
          <w:sz w:val="22"/>
          <w:szCs w:val="22"/>
          <w:i w:val="1"/>
          <w:iCs w:val="1"/>
          <w:color w:val="auto"/>
        </w:rPr>
        <w:t xml:space="preserve"> </w:t>
      </w:r>
      <w:r>
        <w:rPr>
          <w:rFonts w:ascii="Arial" w:cs="Arial" w:eastAsia="Arial" w:hAnsi="Arial"/>
          <w:sz w:val="22"/>
          <w:szCs w:val="22"/>
          <w:color w:val="auto"/>
        </w:rPr>
        <w:t>Poor’s CUSIP Service Bureau (in cooperation with the SVO) shall have been obtained for each series of Bonds issued at the Closing.</w:t>
      </w:r>
    </w:p>
    <w:p>
      <w:pPr>
        <w:spacing w:after="0" w:line="227" w:lineRule="exact"/>
        <w:rPr>
          <w:sz w:val="20"/>
          <w:szCs w:val="20"/>
          <w:color w:val="auto"/>
        </w:rPr>
      </w:pPr>
    </w:p>
    <w:p>
      <w:pPr>
        <w:jc w:val="both"/>
        <w:ind w:left="100" w:right="99" w:firstLine="716"/>
        <w:spacing w:after="0" w:line="252" w:lineRule="auto"/>
        <w:rPr>
          <w:sz w:val="20"/>
          <w:szCs w:val="20"/>
          <w:color w:val="auto"/>
        </w:rPr>
      </w:pPr>
      <w:r>
        <w:rPr>
          <w:rFonts w:ascii="Arial" w:cs="Arial" w:eastAsia="Arial" w:hAnsi="Arial"/>
          <w:sz w:val="21"/>
          <w:szCs w:val="21"/>
          <w:i w:val="1"/>
          <w:iCs w:val="1"/>
          <w:color w:val="auto"/>
        </w:rPr>
        <w:t>Section 4.9. Changes in Corporate Structure</w:t>
      </w:r>
      <w:r>
        <w:rPr>
          <w:rFonts w:ascii="Arial" w:cs="Arial" w:eastAsia="Arial" w:hAnsi="Arial"/>
          <w:sz w:val="21"/>
          <w:szCs w:val="21"/>
          <w:color w:val="auto"/>
        </w:rPr>
        <w:t>. The Company shall not have changed its</w:t>
      </w:r>
      <w:r>
        <w:rPr>
          <w:rFonts w:ascii="Arial" w:cs="Arial" w:eastAsia="Arial" w:hAnsi="Arial"/>
          <w:sz w:val="21"/>
          <w:szCs w:val="21"/>
          <w:i w:val="1"/>
          <w:iCs w:val="1"/>
          <w:color w:val="auto"/>
        </w:rPr>
        <w:t xml:space="preserve"> </w:t>
      </w:r>
      <w:r>
        <w:rPr>
          <w:rFonts w:ascii="Arial" w:cs="Arial" w:eastAsia="Arial" w:hAnsi="Arial"/>
          <w:sz w:val="21"/>
          <w:szCs w:val="21"/>
          <w:color w:val="auto"/>
        </w:rPr>
        <w:t>jurisdiction of incorporation or organization, as applicable, or been a party to any merger or consolidation or succeeded to all or any substantial part of the liabilities of any other entity, at any time following the date of the most recent financial statements referred to in Schedule 5.5.</w:t>
      </w:r>
    </w:p>
    <w:p>
      <w:pPr>
        <w:spacing w:after="0" w:line="215" w:lineRule="exact"/>
        <w:rPr>
          <w:sz w:val="20"/>
          <w:szCs w:val="20"/>
          <w:color w:val="auto"/>
        </w:rPr>
      </w:pPr>
    </w:p>
    <w:p>
      <w:pPr>
        <w:jc w:val="both"/>
        <w:ind w:left="100" w:right="99" w:firstLine="716"/>
        <w:spacing w:after="0" w:line="279" w:lineRule="auto"/>
        <w:rPr>
          <w:sz w:val="20"/>
          <w:szCs w:val="20"/>
          <w:color w:val="auto"/>
        </w:rPr>
      </w:pPr>
      <w:r>
        <w:rPr>
          <w:rFonts w:ascii="Arial" w:cs="Arial" w:eastAsia="Arial" w:hAnsi="Arial"/>
          <w:sz w:val="19"/>
          <w:szCs w:val="19"/>
          <w:i w:val="1"/>
          <w:iCs w:val="1"/>
          <w:color w:val="auto"/>
        </w:rPr>
        <w:t>Section 4.10. Funding Instructions</w:t>
      </w:r>
      <w:r>
        <w:rPr>
          <w:rFonts w:ascii="Arial" w:cs="Arial" w:eastAsia="Arial" w:hAnsi="Arial"/>
          <w:sz w:val="19"/>
          <w:szCs w:val="19"/>
          <w:color w:val="auto"/>
        </w:rPr>
        <w:t>. At least three Business Days prior to the date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Closing, such Purchaser shall have received written instructions signed by a Responsible Officer on letterhead of the Company confirming the information specified in Section 3 including (a) the name and address of the transferee bank, (b) such transferee bank’s ABA number (c) the account name and number into which the purchase price for the Bonds is to be deposited, and (d) the name and telephone number and/or email address for an appropriate contact person at such transferee bank.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32" w:name="page133"/>
    <w:bookmarkEnd w:id="132"/>
    <w:p>
      <w:pPr>
        <w:jc w:val="both"/>
        <w:ind w:left="100" w:right="99" w:firstLine="716"/>
        <w:spacing w:after="0" w:line="235" w:lineRule="auto"/>
        <w:rPr>
          <w:sz w:val="20"/>
          <w:szCs w:val="20"/>
          <w:color w:val="auto"/>
        </w:rPr>
      </w:pPr>
      <w:r>
        <w:rPr>
          <w:rFonts w:ascii="Arial" w:cs="Arial" w:eastAsia="Arial" w:hAnsi="Arial"/>
          <w:sz w:val="22"/>
          <w:szCs w:val="22"/>
          <w:i w:val="1"/>
          <w:iCs w:val="1"/>
          <w:color w:val="auto"/>
        </w:rPr>
        <w:t>Section 4.11. Proceedings and Documents</w:t>
      </w:r>
      <w:r>
        <w:rPr>
          <w:rFonts w:ascii="Arial" w:cs="Arial" w:eastAsia="Arial" w:hAnsi="Arial"/>
          <w:sz w:val="22"/>
          <w:szCs w:val="22"/>
          <w:color w:val="auto"/>
        </w:rPr>
        <w:t>. All corporate and other proceedings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215" w:lineRule="exact"/>
        <w:rPr>
          <w:sz w:val="20"/>
          <w:szCs w:val="20"/>
          <w:color w:val="auto"/>
        </w:rPr>
      </w:pPr>
    </w:p>
    <w:p>
      <w:pPr>
        <w:jc w:val="both"/>
        <w:ind w:left="100" w:right="99" w:firstLine="716"/>
        <w:spacing w:after="0" w:line="274" w:lineRule="auto"/>
        <w:rPr>
          <w:sz w:val="20"/>
          <w:szCs w:val="20"/>
          <w:color w:val="auto"/>
        </w:rPr>
      </w:pPr>
      <w:r>
        <w:rPr>
          <w:rFonts w:ascii="Arial" w:cs="Arial" w:eastAsia="Arial" w:hAnsi="Arial"/>
          <w:sz w:val="19"/>
          <w:szCs w:val="19"/>
          <w:i w:val="1"/>
          <w:iCs w:val="1"/>
          <w:color w:val="auto"/>
        </w:rPr>
        <w:t>Section 4.12. Execution and Delivery and Filing and Recording of the Supplement</w:t>
      </w:r>
      <w:r>
        <w:rPr>
          <w:rFonts w:ascii="Arial" w:cs="Arial" w:eastAsia="Arial" w:hAnsi="Arial"/>
          <w:sz w:val="19"/>
          <w:szCs w:val="19"/>
          <w:color w:val="auto"/>
        </w:rPr>
        <w:t>.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or at the Closing, the Supplement shall have been duly executed and delivered by the Company, and the Company shall have filed, or delivered for recordation, the Supplement in all locations in Pennsylvania (and financing statements in respect thereof shall have been filed, if necessary) in 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199" w:lineRule="exact"/>
        <w:rPr>
          <w:sz w:val="20"/>
          <w:szCs w:val="20"/>
          <w:color w:val="auto"/>
        </w:rPr>
      </w:pPr>
    </w:p>
    <w:p>
      <w:pPr>
        <w:jc w:val="both"/>
        <w:ind w:left="100" w:right="99" w:firstLine="716"/>
        <w:spacing w:after="0" w:line="246" w:lineRule="auto"/>
        <w:rPr>
          <w:sz w:val="20"/>
          <w:szCs w:val="20"/>
          <w:color w:val="auto"/>
        </w:rPr>
      </w:pPr>
      <w:r>
        <w:rPr>
          <w:rFonts w:ascii="Arial" w:cs="Arial" w:eastAsia="Arial" w:hAnsi="Arial"/>
          <w:sz w:val="21"/>
          <w:szCs w:val="21"/>
          <w:i w:val="1"/>
          <w:iCs w:val="1"/>
          <w:color w:val="auto"/>
        </w:rPr>
        <w:t xml:space="preserve">Section 4.13. Regulatory Approvals. </w:t>
      </w:r>
      <w:r>
        <w:rPr>
          <w:rFonts w:ascii="Arial" w:cs="Arial" w:eastAsia="Arial" w:hAnsi="Arial"/>
          <w:sz w:val="21"/>
          <w:szCs w:val="21"/>
          <w:color w:val="auto"/>
        </w:rPr>
        <w:t>The issue and sale of the Bonds shall have been duly</w:t>
      </w:r>
      <w:r>
        <w:rPr>
          <w:rFonts w:ascii="Arial" w:cs="Arial" w:eastAsia="Arial" w:hAnsi="Arial"/>
          <w:sz w:val="21"/>
          <w:szCs w:val="21"/>
          <w:i w:val="1"/>
          <w:iCs w:val="1"/>
          <w:color w:val="auto"/>
        </w:rPr>
        <w:t xml:space="preserve"> </w:t>
      </w:r>
      <w:r>
        <w:rPr>
          <w:rFonts w:ascii="Arial" w:cs="Arial" w:eastAsia="Arial" w:hAnsi="Arial"/>
          <w:sz w:val="21"/>
          <w:szCs w:val="21"/>
          <w:color w:val="auto"/>
        </w:rPr>
        <w:t>authorized by an order of the Pennsylvania Public Utility Commission and such order shall be in full force and effect on the date of the Closing and all appeal periods, if any, applicable to such order shall have expired. The Company shall deliver satisfactory evidence that orders have been obtained approving the issuance of such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221" w:lineRule="exact"/>
        <w:rPr>
          <w:sz w:val="20"/>
          <w:szCs w:val="20"/>
          <w:color w:val="auto"/>
        </w:rPr>
      </w:pPr>
    </w:p>
    <w:p>
      <w:pPr>
        <w:ind w:left="100"/>
        <w:spacing w:after="0"/>
        <w:tabs>
          <w:tab w:leader="none" w:pos="196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REPRESENTATIONS AND WARRANTIES OF THE COMPANY.</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Company represents and warrants to each Purchaser at the Closing that:</w:t>
      </w:r>
    </w:p>
    <w:p>
      <w:pPr>
        <w:spacing w:after="0" w:line="247" w:lineRule="exact"/>
        <w:rPr>
          <w:sz w:val="20"/>
          <w:szCs w:val="20"/>
          <w:color w:val="auto"/>
        </w:rPr>
      </w:pPr>
    </w:p>
    <w:p>
      <w:pPr>
        <w:jc w:val="both"/>
        <w:ind w:left="100" w:right="99" w:firstLine="716"/>
        <w:spacing w:after="0" w:line="273" w:lineRule="auto"/>
        <w:rPr>
          <w:sz w:val="20"/>
          <w:szCs w:val="20"/>
          <w:color w:val="auto"/>
        </w:rPr>
      </w:pPr>
      <w:r>
        <w:rPr>
          <w:rFonts w:ascii="Arial" w:cs="Arial" w:eastAsia="Arial" w:hAnsi="Arial"/>
          <w:sz w:val="19"/>
          <w:szCs w:val="19"/>
          <w:i w:val="1"/>
          <w:iCs w:val="1"/>
          <w:color w:val="auto"/>
        </w:rPr>
        <w:t>Section 5.1. Organization; Power and Authority</w:t>
      </w:r>
      <w:r>
        <w:rPr>
          <w:rFonts w:ascii="Arial" w:cs="Arial" w:eastAsia="Arial" w:hAnsi="Arial"/>
          <w:sz w:val="19"/>
          <w:szCs w:val="19"/>
          <w:color w:val="auto"/>
        </w:rPr>
        <w:t>. The Company is a corporation duly</w:t>
      </w:r>
      <w:r>
        <w:rPr>
          <w:rFonts w:ascii="Arial" w:cs="Arial" w:eastAsia="Arial" w:hAnsi="Arial"/>
          <w:sz w:val="19"/>
          <w:szCs w:val="19"/>
          <w:i w:val="1"/>
          <w:iCs w:val="1"/>
          <w:color w:val="auto"/>
        </w:rPr>
        <w:t xml:space="preserve"> </w:t>
      </w:r>
      <w:r>
        <w:rPr>
          <w:rFonts w:ascii="Arial" w:cs="Arial" w:eastAsia="Arial" w:hAnsi="Arial"/>
          <w:sz w:val="19"/>
          <w:szCs w:val="19"/>
          <w:color w:val="auto"/>
        </w:rPr>
        <w:t>organized, validly existing and subsisting under the laws of the Commonwealth of Pennsylvania,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 (and had the corporate power and authority to execute and deliver the Indenture at the time of execution and delivery thereof) and to perform the provisions of the Financing Agreements.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33" w:name="page134"/>
    <w:bookmarkEnd w:id="133"/>
    <w:p>
      <w:pPr>
        <w:jc w:val="both"/>
        <w:ind w:left="100" w:right="99" w:firstLine="716"/>
        <w:spacing w:after="0" w:line="273" w:lineRule="auto"/>
        <w:rPr>
          <w:sz w:val="20"/>
          <w:szCs w:val="20"/>
          <w:color w:val="auto"/>
        </w:rPr>
      </w:pPr>
      <w:r>
        <w:rPr>
          <w:rFonts w:ascii="Arial" w:cs="Arial" w:eastAsia="Arial" w:hAnsi="Arial"/>
          <w:sz w:val="19"/>
          <w:szCs w:val="19"/>
          <w:i w:val="1"/>
          <w:iCs w:val="1"/>
          <w:color w:val="auto"/>
        </w:rPr>
        <w:t>Section 5.2. Authorization, Etc</w:t>
      </w:r>
      <w:r>
        <w:rPr>
          <w:rFonts w:ascii="Arial" w:cs="Arial" w:eastAsia="Arial" w:hAnsi="Arial"/>
          <w:sz w:val="19"/>
          <w:szCs w:val="19"/>
          <w:color w:val="auto"/>
        </w:rPr>
        <w:t>. At the Closing, each Financing Agreement has been duly</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authorized by all necessary corporate action on the part of the Company, and each Financing Agreement (other than the Supplement and the Bonds) constitutes, and when the Supplement is executed and delivered by the Company and the Trustee and when the Bonds are executed, issued and delivered by the Company, authenticated by the Trustee and paid for by the Purchasers, the Supplement and each Bond will constitute, a legal, valid and binding obligation of the Company enforceable against the Company in accordance with its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89" w:lineRule="exact"/>
        <w:rPr>
          <w:sz w:val="20"/>
          <w:szCs w:val="20"/>
          <w:color w:val="auto"/>
        </w:rPr>
      </w:pPr>
    </w:p>
    <w:p>
      <w:pPr>
        <w:jc w:val="both"/>
        <w:ind w:left="100" w:right="99" w:firstLine="716"/>
        <w:spacing w:after="0" w:line="271" w:lineRule="auto"/>
        <w:rPr>
          <w:sz w:val="20"/>
          <w:szCs w:val="20"/>
          <w:color w:val="auto"/>
        </w:rPr>
      </w:pPr>
      <w:r>
        <w:rPr>
          <w:rFonts w:ascii="Arial" w:cs="Arial" w:eastAsia="Arial" w:hAnsi="Arial"/>
          <w:sz w:val="19"/>
          <w:szCs w:val="19"/>
          <w:i w:val="1"/>
          <w:iCs w:val="1"/>
          <w:color w:val="auto"/>
        </w:rPr>
        <w:t>Section 5.3. Disclosure</w:t>
      </w:r>
      <w:r>
        <w:rPr>
          <w:rFonts w:ascii="Arial" w:cs="Arial" w:eastAsia="Arial" w:hAnsi="Arial"/>
          <w:sz w:val="19"/>
          <w:szCs w:val="19"/>
          <w:color w:val="auto"/>
        </w:rPr>
        <w:t>. This Agreement and the documents, certificates or other writings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delivered to the Purchasers by or on behalf of the Company in connection with the transactions contemplated hereby, including the Offering Memorandum (including the documents incorporated therein by reference) dated October 2018, and the financial statements listed in Schedule 5.5 (collectively, the </w:t>
      </w:r>
      <w:r>
        <w:rPr>
          <w:rFonts w:ascii="Arial" w:cs="Arial" w:eastAsia="Arial" w:hAnsi="Arial"/>
          <w:sz w:val="19"/>
          <w:szCs w:val="19"/>
          <w:i w:val="1"/>
          <w:iCs w:val="1"/>
          <w:color w:val="auto"/>
        </w:rPr>
        <w:t>“Disclosure Documents”</w:t>
      </w:r>
      <w:r>
        <w:rPr>
          <w:rFonts w:ascii="Arial" w:cs="Arial" w:eastAsia="Arial" w:hAnsi="Arial"/>
          <w:sz w:val="19"/>
          <w:szCs w:val="19"/>
          <w:color w:val="auto"/>
        </w:rPr>
        <w:t>), taken as a whole, do not contain any untrue statement of a material fact or omit to state any material fact necessary to make the statements therein not misleading in light of the circumstances under which they were made. Since December 31, 2017,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200" w:lineRule="exact"/>
        <w:rPr>
          <w:sz w:val="20"/>
          <w:szCs w:val="20"/>
          <w:color w:val="auto"/>
        </w:rPr>
      </w:pPr>
    </w:p>
    <w:p>
      <w:pPr>
        <w:spacing w:after="0" w:line="253" w:lineRule="exact"/>
        <w:rPr>
          <w:sz w:val="20"/>
          <w:szCs w:val="20"/>
          <w:color w:val="auto"/>
        </w:rPr>
      </w:pPr>
    </w:p>
    <w:p>
      <w:pPr>
        <w:jc w:val="both"/>
        <w:ind w:left="100" w:right="99" w:firstLine="716"/>
        <w:spacing w:after="0" w:line="236" w:lineRule="auto"/>
        <w:rPr>
          <w:sz w:val="20"/>
          <w:szCs w:val="20"/>
          <w:color w:val="auto"/>
        </w:rPr>
      </w:pPr>
      <w:r>
        <w:rPr>
          <w:rFonts w:ascii="Arial" w:cs="Arial" w:eastAsia="Arial" w:hAnsi="Arial"/>
          <w:sz w:val="22"/>
          <w:szCs w:val="22"/>
          <w:i w:val="1"/>
          <w:iCs w:val="1"/>
          <w:color w:val="auto"/>
        </w:rPr>
        <w:t>Section 5.4. Organization and Ownership of Shares of Subsidiaries</w:t>
      </w:r>
      <w:r>
        <w:rPr>
          <w:rFonts w:ascii="Arial" w:cs="Arial" w:eastAsia="Arial" w:hAnsi="Arial"/>
          <w:sz w:val="22"/>
          <w:szCs w:val="22"/>
          <w:color w:val="auto"/>
        </w:rPr>
        <w:t>. (a) Schedule 5.4</w:t>
      </w:r>
      <w:r>
        <w:rPr>
          <w:rFonts w:ascii="Arial" w:cs="Arial" w:eastAsia="Arial" w:hAnsi="Arial"/>
          <w:sz w:val="22"/>
          <w:szCs w:val="22"/>
          <w:i w:val="1"/>
          <w:iCs w:val="1"/>
          <w:color w:val="auto"/>
        </w:rPr>
        <w:t xml:space="preserve"> </w:t>
      </w:r>
      <w:r>
        <w:rPr>
          <w:rFonts w:ascii="Arial" w:cs="Arial" w:eastAsia="Arial" w:hAnsi="Arial"/>
          <w:sz w:val="22"/>
          <w:szCs w:val="22"/>
          <w:color w:val="auto"/>
        </w:rPr>
        <w:t>contains a complete and correct list of the Company’s Subsidiaries,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228" w:lineRule="exact"/>
        <w:rPr>
          <w:sz w:val="20"/>
          <w:szCs w:val="20"/>
          <w:color w:val="auto"/>
        </w:rPr>
      </w:pPr>
    </w:p>
    <w:p>
      <w:pPr>
        <w:jc w:val="both"/>
        <w:ind w:left="100" w:right="99" w:firstLine="608"/>
        <w:spacing w:after="0" w:line="238" w:lineRule="auto"/>
        <w:rPr>
          <w:sz w:val="20"/>
          <w:szCs w:val="20"/>
          <w:color w:val="auto"/>
        </w:rPr>
      </w:pPr>
      <w:r>
        <w:rPr>
          <w:rFonts w:ascii="Arial" w:cs="Arial" w:eastAsia="Arial" w:hAnsi="Arial"/>
          <w:sz w:val="22"/>
          <w:szCs w:val="22"/>
          <w:color w:val="auto"/>
        </w:rPr>
        <w:t>(b)All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w:t>
      </w:r>
    </w:p>
    <w:p>
      <w:pPr>
        <w:spacing w:after="0" w:line="212" w:lineRule="exact"/>
        <w:rPr>
          <w:sz w:val="20"/>
          <w:szCs w:val="20"/>
          <w:color w:val="auto"/>
        </w:rPr>
      </w:pPr>
    </w:p>
    <w:p>
      <w:pPr>
        <w:jc w:val="both"/>
        <w:ind w:left="100" w:right="99" w:firstLine="608"/>
        <w:spacing w:after="0" w:line="279" w:lineRule="auto"/>
        <w:rPr>
          <w:sz w:val="20"/>
          <w:szCs w:val="20"/>
          <w:color w:val="auto"/>
        </w:rPr>
      </w:pPr>
      <w:r>
        <w:rPr>
          <w:rFonts w:ascii="Arial" w:cs="Arial" w:eastAsia="Arial" w:hAnsi="Arial"/>
          <w:sz w:val="19"/>
          <w:szCs w:val="19"/>
          <w:color w:val="auto"/>
        </w:rPr>
        <w:t>(c)Each Subsidiary identified in Schedule 5.4 is duly incorporated and is validly subsisting as a corporation under the laws of the Commonwealth of Pennsylvania,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34" w:name="page135"/>
    <w:bookmarkEnd w:id="134"/>
    <w:p>
      <w:pPr>
        <w:jc w:val="both"/>
        <w:ind w:left="100" w:right="99"/>
        <w:spacing w:after="0" w:line="251" w:lineRule="auto"/>
        <w:rPr>
          <w:sz w:val="20"/>
          <w:szCs w:val="20"/>
          <w:color w:val="auto"/>
        </w:rPr>
      </w:pPr>
      <w:r>
        <w:rPr>
          <w:rFonts w:ascii="Arial" w:cs="Arial" w:eastAsia="Arial" w:hAnsi="Arial"/>
          <w:sz w:val="22"/>
          <w:szCs w:val="22"/>
          <w:color w:val="auto"/>
        </w:rPr>
        <w:t>and authority to own or hold under lease the properties it purports to own or hold under lease and to transact the business it transacts and proposes to transact.</w:t>
      </w:r>
    </w:p>
    <w:p>
      <w:pPr>
        <w:spacing w:after="0" w:line="200" w:lineRule="exact"/>
        <w:rPr>
          <w:sz w:val="20"/>
          <w:szCs w:val="20"/>
          <w:color w:val="auto"/>
        </w:rPr>
      </w:pPr>
    </w:p>
    <w:p>
      <w:pPr>
        <w:jc w:val="both"/>
        <w:ind w:left="100" w:right="99" w:firstLine="716"/>
        <w:spacing w:after="0" w:line="246" w:lineRule="exact"/>
        <w:rPr>
          <w:sz w:val="20"/>
          <w:szCs w:val="20"/>
          <w:color w:val="auto"/>
        </w:rPr>
      </w:pPr>
      <w:r>
        <w:rPr>
          <w:rFonts w:ascii="Arial" w:cs="Arial" w:eastAsia="Arial" w:hAnsi="Arial"/>
          <w:sz w:val="19"/>
          <w:szCs w:val="19"/>
          <w:i w:val="1"/>
          <w:iCs w:val="1"/>
          <w:color w:val="auto"/>
        </w:rPr>
        <w:t>Section 5.5. Financial Statements; Material Liabilities</w:t>
      </w:r>
      <w:r>
        <w:rPr>
          <w:rFonts w:ascii="Arial" w:cs="Arial" w:eastAsia="Arial" w:hAnsi="Arial"/>
          <w:sz w:val="19"/>
          <w:szCs w:val="19"/>
          <w:color w:val="auto"/>
        </w:rPr>
        <w:t>. The Company has delivered to each</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Purchaser copies of the financial statements of the Company and its Subsidiaries listed on Schedule 5.5. All of said financial statements (including in each case the related schedules and 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19"/>
          <w:szCs w:val="19"/>
          <w:color w:val="auto"/>
        </w:rPr>
        <w:t>‑</w:t>
      </w:r>
      <w:r>
        <w:rPr>
          <w:rFonts w:ascii="Arial" w:cs="Arial" w:eastAsia="Arial" w:hAnsi="Arial"/>
          <w:sz w:val="19"/>
          <w:szCs w:val="19"/>
          <w:color w:val="auto"/>
        </w:rPr>
        <w:t>end adjustments). The Company does not have any Material liabilities that are not disclosed on such financial statements or otherwise disclosed in the Disclosure Documents.</w:t>
      </w:r>
    </w:p>
    <w:p>
      <w:pPr>
        <w:spacing w:after="0" w:line="230" w:lineRule="exact"/>
        <w:rPr>
          <w:sz w:val="20"/>
          <w:szCs w:val="20"/>
          <w:color w:val="auto"/>
        </w:rPr>
      </w:pPr>
    </w:p>
    <w:p>
      <w:pPr>
        <w:jc w:val="both"/>
        <w:ind w:left="100" w:right="99" w:firstLine="716"/>
        <w:spacing w:after="0" w:line="269" w:lineRule="auto"/>
        <w:rPr>
          <w:sz w:val="20"/>
          <w:szCs w:val="20"/>
          <w:color w:val="auto"/>
        </w:rPr>
      </w:pPr>
      <w:r>
        <w:rPr>
          <w:rFonts w:ascii="Arial" w:cs="Arial" w:eastAsia="Arial" w:hAnsi="Arial"/>
          <w:sz w:val="19"/>
          <w:szCs w:val="19"/>
          <w:i w:val="1"/>
          <w:iCs w:val="1"/>
          <w:color w:val="auto"/>
        </w:rPr>
        <w:t>Section 5.6. Compliance with Laws, Other Instruments, Etc</w:t>
      </w:r>
      <w:r>
        <w:rPr>
          <w:rFonts w:ascii="Arial" w:cs="Arial" w:eastAsia="Arial" w:hAnsi="Arial"/>
          <w:sz w:val="19"/>
          <w:szCs w:val="19"/>
          <w:color w:val="auto"/>
        </w:rPr>
        <w:t>. The execution, delivery and</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by the Company of each Financing Agreement (including the prior execution and delivery of the Indenture), will not (a) contravene, result in any breach of, or constitute a default under, or result in the creation of any Lien, other than the Lien created under the Indenture, in respect of any property of the Company or any Subsidiary under, any indenture, mortgage, deed of trust, loan, purchase or credit agreement, lease, corporate charter, regulations or by-laws, or any other Material agreement or instrument to which the Company or any Subsidiary is bound or by which the Company or any Subsidiary or any of their respective properties may be bound or affected,</w:t>
      </w:r>
    </w:p>
    <w:p>
      <w:pPr>
        <w:spacing w:after="0" w:line="4" w:lineRule="exact"/>
        <w:rPr>
          <w:sz w:val="20"/>
          <w:szCs w:val="20"/>
          <w:color w:val="auto"/>
        </w:rPr>
      </w:pPr>
    </w:p>
    <w:p>
      <w:pPr>
        <w:jc w:val="both"/>
        <w:ind w:left="100" w:right="99" w:firstLine="5"/>
        <w:spacing w:after="0" w:line="232" w:lineRule="auto"/>
        <w:tabs>
          <w:tab w:leader="none" w:pos="439" w:val="left"/>
        </w:tabs>
        <w:numPr>
          <w:ilvl w:val="0"/>
          <w:numId w:val="67"/>
        </w:numPr>
        <w:rPr>
          <w:rFonts w:ascii="Arial" w:cs="Arial" w:eastAsia="Arial" w:hAnsi="Arial"/>
          <w:sz w:val="22"/>
          <w:szCs w:val="22"/>
          <w:color w:val="auto"/>
        </w:rPr>
      </w:pPr>
      <w:r>
        <w:rPr>
          <w:rFonts w:ascii="Arial" w:cs="Arial" w:eastAsia="Arial" w:hAnsi="Arial"/>
          <w:sz w:val="22"/>
          <w:szCs w:val="22"/>
          <w:color w:val="auto"/>
        </w:rPr>
        <w:t>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 default, breach, contravention or violation which would not reasonably be expected to have a Material Adverse Effect.</w:t>
      </w:r>
    </w:p>
    <w:p>
      <w:pPr>
        <w:spacing w:after="0" w:line="230" w:lineRule="exact"/>
        <w:rPr>
          <w:sz w:val="20"/>
          <w:szCs w:val="20"/>
          <w:color w:val="auto"/>
        </w:rPr>
      </w:pPr>
    </w:p>
    <w:p>
      <w:pPr>
        <w:jc w:val="both"/>
        <w:ind w:left="100" w:right="99" w:firstLine="716"/>
        <w:spacing w:after="0" w:line="282" w:lineRule="auto"/>
        <w:rPr>
          <w:sz w:val="20"/>
          <w:szCs w:val="20"/>
          <w:color w:val="auto"/>
        </w:rPr>
      </w:pPr>
      <w:r>
        <w:rPr>
          <w:rFonts w:ascii="Arial" w:cs="Arial" w:eastAsia="Arial" w:hAnsi="Arial"/>
          <w:sz w:val="19"/>
          <w:szCs w:val="19"/>
          <w:i w:val="1"/>
          <w:iCs w:val="1"/>
          <w:color w:val="auto"/>
        </w:rPr>
        <w:t>Section 5.7. Governmental Authorizations, Etc</w:t>
      </w:r>
      <w:r>
        <w:rPr>
          <w:rFonts w:ascii="Arial" w:cs="Arial" w:eastAsia="Arial" w:hAnsi="Arial"/>
          <w:sz w:val="19"/>
          <w:szCs w:val="19"/>
          <w:color w:val="auto"/>
        </w:rPr>
        <w:t>. No consent, approval or authorization of, or</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filing or declaration with, any Governmental Authority is required in connection with the execution, delivery or performance by the Company of this Agreement, the Bonds and the Supplement, other than approval of the Pennsylvania Public Utility Commission, which has been obtained and is in full force and effect and final and is non-appealable.</w:t>
      </w:r>
    </w:p>
    <w:p>
      <w:pPr>
        <w:spacing w:after="0" w:line="175" w:lineRule="exact"/>
        <w:rPr>
          <w:sz w:val="20"/>
          <w:szCs w:val="20"/>
          <w:color w:val="auto"/>
        </w:rPr>
      </w:pPr>
    </w:p>
    <w:p>
      <w:pPr>
        <w:jc w:val="both"/>
        <w:ind w:left="100" w:right="99" w:firstLine="716"/>
        <w:spacing w:after="0" w:line="282" w:lineRule="auto"/>
        <w:rPr>
          <w:sz w:val="20"/>
          <w:szCs w:val="20"/>
          <w:color w:val="auto"/>
        </w:rPr>
      </w:pPr>
      <w:r>
        <w:rPr>
          <w:rFonts w:ascii="Arial" w:cs="Arial" w:eastAsia="Arial" w:hAnsi="Arial"/>
          <w:sz w:val="19"/>
          <w:szCs w:val="19"/>
          <w:i w:val="1"/>
          <w:iCs w:val="1"/>
          <w:color w:val="auto"/>
        </w:rPr>
        <w:t xml:space="preserve">Section 5.8. Litigation; Observance of Statutes and Orders </w:t>
      </w:r>
      <w:r>
        <w:rPr>
          <w:rFonts w:ascii="Arial" w:cs="Arial" w:eastAsia="Arial" w:hAnsi="Arial"/>
          <w:sz w:val="19"/>
          <w:szCs w:val="19"/>
          <w:color w:val="auto"/>
        </w:rPr>
        <w:t>. (a) There are no actions, suits,</w:t>
      </w:r>
      <w:r>
        <w:rPr>
          <w:rFonts w:ascii="Arial" w:cs="Arial" w:eastAsia="Arial" w:hAnsi="Arial"/>
          <w:sz w:val="19"/>
          <w:szCs w:val="19"/>
          <w:i w:val="1"/>
          <w:iCs w:val="1"/>
          <w:color w:val="auto"/>
        </w:rPr>
        <w:t xml:space="preserve"> </w:t>
      </w:r>
      <w:r>
        <w:rPr>
          <w:rFonts w:ascii="Arial" w:cs="Arial" w:eastAsia="Arial" w:hAnsi="Arial"/>
          <w:sz w:val="19"/>
          <w:szCs w:val="19"/>
          <w:color w:val="auto"/>
        </w:rPr>
        <w:t>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35" w:name="page136"/>
    <w:bookmarkEnd w:id="135"/>
    <w:p>
      <w:pPr>
        <w:jc w:val="both"/>
        <w:ind w:left="100" w:right="99" w:firstLine="801"/>
        <w:spacing w:after="0" w:line="275" w:lineRule="auto"/>
        <w:tabs>
          <w:tab w:leader="none" w:pos="1378" w:val="left"/>
        </w:tabs>
        <w:numPr>
          <w:ilvl w:val="0"/>
          <w:numId w:val="68"/>
        </w:numPr>
        <w:rPr>
          <w:rFonts w:ascii="Arial" w:cs="Arial" w:eastAsia="Arial" w:hAnsi="Arial"/>
          <w:sz w:val="19"/>
          <w:szCs w:val="19"/>
          <w:color w:val="auto"/>
        </w:rPr>
      </w:pPr>
      <w:r>
        <w:rPr>
          <w:rFonts w:ascii="Arial" w:cs="Arial" w:eastAsia="Arial" w:hAnsi="Arial"/>
          <w:sz w:val="19"/>
          <w:szCs w:val="19"/>
          <w:color w:val="auto"/>
        </w:rPr>
        <w:t>Neither the Company nor any Subsidiary is (i) in default under any term of any agreement or instrument to which it is a party or by which it is bound, (ii) in violation of any order, judgment, decree or ruling of any court, any arbitrator of any kind or any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Section 5.16), which default or violation, individually or in the aggregate, could reasonably be expected to have a Material Adverse Effect.</w:t>
      </w:r>
    </w:p>
    <w:p>
      <w:pPr>
        <w:spacing w:after="0" w:line="185"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9"/>
          <w:szCs w:val="19"/>
          <w:i w:val="1"/>
          <w:iCs w:val="1"/>
          <w:color w:val="auto"/>
        </w:rPr>
        <w:t>Section 5.9. Taxes</w:t>
      </w:r>
      <w:r>
        <w:rPr>
          <w:rFonts w:ascii="Arial" w:cs="Arial" w:eastAsia="Arial" w:hAnsi="Arial"/>
          <w:sz w:val="19"/>
          <w:szCs w:val="19"/>
          <w:color w:val="auto"/>
        </w:rPr>
        <w:t>. The Company and its Subsidiaries have filed all income tax returns that</w:t>
      </w:r>
      <w:r>
        <w:rPr>
          <w:rFonts w:ascii="Arial" w:cs="Arial" w:eastAsia="Arial" w:hAnsi="Arial"/>
          <w:sz w:val="19"/>
          <w:szCs w:val="19"/>
          <w:i w:val="1"/>
          <w:iCs w:val="1"/>
          <w:color w:val="auto"/>
        </w:rPr>
        <w:t xml:space="preserve"> </w:t>
      </w:r>
      <w:r>
        <w:rPr>
          <w:rFonts w:ascii="Arial" w:cs="Arial" w:eastAsia="Arial" w:hAnsi="Arial"/>
          <w:sz w:val="19"/>
          <w:szCs w:val="19"/>
          <w:color w:val="auto"/>
        </w:rPr>
        <w:t>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w:t>
      </w:r>
    </w:p>
    <w:p>
      <w:pPr>
        <w:spacing w:after="0" w:line="4" w:lineRule="exact"/>
        <w:rPr>
          <w:sz w:val="20"/>
          <w:szCs w:val="20"/>
          <w:color w:val="auto"/>
        </w:rPr>
      </w:pPr>
    </w:p>
    <w:p>
      <w:pPr>
        <w:jc w:val="both"/>
        <w:ind w:left="100" w:right="99" w:firstLine="5"/>
        <w:spacing w:after="0" w:line="273" w:lineRule="auto"/>
        <w:tabs>
          <w:tab w:leader="none" w:pos="466"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federal, state or other taxes for all fiscal periods are adequate. The Federal income tax liabilities of the Company and its Subsidiaries have been finally determined (whether by reason of completed audits or the statute of limitations having run) for all fiscal years up to and including the fiscal year ended December 31, 2011 and all amounts owing in respect of such audit have been paid.</w:t>
      </w:r>
    </w:p>
    <w:p>
      <w:pPr>
        <w:spacing w:after="0" w:line="195" w:lineRule="exact"/>
        <w:rPr>
          <w:sz w:val="20"/>
          <w:szCs w:val="20"/>
          <w:color w:val="auto"/>
        </w:rPr>
      </w:pPr>
    </w:p>
    <w:p>
      <w:pPr>
        <w:jc w:val="both"/>
        <w:ind w:left="100" w:right="99" w:firstLine="716"/>
        <w:spacing w:after="0" w:line="246" w:lineRule="auto"/>
        <w:rPr>
          <w:sz w:val="20"/>
          <w:szCs w:val="20"/>
          <w:color w:val="auto"/>
        </w:rPr>
      </w:pPr>
      <w:r>
        <w:rPr>
          <w:rFonts w:ascii="Arial" w:cs="Arial" w:eastAsia="Arial" w:hAnsi="Arial"/>
          <w:sz w:val="21"/>
          <w:szCs w:val="21"/>
          <w:i w:val="1"/>
          <w:iCs w:val="1"/>
          <w:color w:val="auto"/>
        </w:rPr>
        <w:t>Section 5.10. Title to Property; Leases</w:t>
      </w:r>
      <w:r>
        <w:rPr>
          <w:rFonts w:ascii="Arial" w:cs="Arial" w:eastAsia="Arial" w:hAnsi="Arial"/>
          <w:sz w:val="21"/>
          <w:szCs w:val="21"/>
          <w:color w:val="auto"/>
        </w:rPr>
        <w:t>. The Company and its Subsidiaries have good and</w:t>
      </w:r>
      <w:r>
        <w:rPr>
          <w:rFonts w:ascii="Arial" w:cs="Arial" w:eastAsia="Arial" w:hAnsi="Arial"/>
          <w:sz w:val="21"/>
          <w:szCs w:val="21"/>
          <w:i w:val="1"/>
          <w:iCs w:val="1"/>
          <w:color w:val="auto"/>
        </w:rPr>
        <w:t xml:space="preserve"> </w:t>
      </w:r>
      <w:r>
        <w:rPr>
          <w:rFonts w:ascii="Arial" w:cs="Arial" w:eastAsia="Arial" w:hAnsi="Arial"/>
          <w:sz w:val="21"/>
          <w:szCs w:val="21"/>
          <w:color w:val="auto"/>
        </w:rPr>
        <w:t>sufficient title to their respective Material properties, including all such properties reflected in the most recent audited balance sheet referred to in Section 5.5 or purported to have been acquired by the Company or any Subsidiary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221" w:lineRule="exact"/>
        <w:rPr>
          <w:sz w:val="20"/>
          <w:szCs w:val="20"/>
          <w:color w:val="auto"/>
        </w:rPr>
      </w:pPr>
    </w:p>
    <w:p>
      <w:pPr>
        <w:jc w:val="both"/>
        <w:ind w:left="100" w:right="99" w:firstLine="716"/>
        <w:spacing w:after="0" w:line="282" w:lineRule="auto"/>
        <w:rPr>
          <w:sz w:val="20"/>
          <w:szCs w:val="20"/>
          <w:color w:val="auto"/>
        </w:rPr>
      </w:pPr>
      <w:r>
        <w:rPr>
          <w:rFonts w:ascii="Arial" w:cs="Arial" w:eastAsia="Arial" w:hAnsi="Arial"/>
          <w:sz w:val="19"/>
          <w:szCs w:val="19"/>
          <w:i w:val="1"/>
          <w:iCs w:val="1"/>
          <w:color w:val="auto"/>
        </w:rPr>
        <w:t>Section 5.11. Licenses, Permits, Etc</w:t>
      </w:r>
      <w:r>
        <w:rPr>
          <w:rFonts w:ascii="Arial" w:cs="Arial" w:eastAsia="Arial" w:hAnsi="Arial"/>
          <w:sz w:val="19"/>
          <w:szCs w:val="19"/>
          <w:color w:val="auto"/>
        </w:rPr>
        <w:t>. The Company and its Subsidiaries own or possess all</w:t>
      </w:r>
      <w:r>
        <w:rPr>
          <w:rFonts w:ascii="Arial" w:cs="Arial" w:eastAsia="Arial" w:hAnsi="Arial"/>
          <w:sz w:val="19"/>
          <w:szCs w:val="19"/>
          <w:i w:val="1"/>
          <w:iCs w:val="1"/>
          <w:color w:val="auto"/>
        </w:rPr>
        <w:t xml:space="preserve"> </w:t>
      </w:r>
      <w:r>
        <w:rPr>
          <w:rFonts w:ascii="Arial" w:cs="Arial" w:eastAsia="Arial" w:hAnsi="Arial"/>
          <w:sz w:val="19"/>
          <w:szCs w:val="19"/>
          <w:color w:val="auto"/>
        </w:rPr>
        <w:t>licenses, permits, franchises, 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175" w:lineRule="exact"/>
        <w:rPr>
          <w:sz w:val="20"/>
          <w:szCs w:val="20"/>
          <w:color w:val="auto"/>
        </w:rPr>
      </w:pPr>
    </w:p>
    <w:p>
      <w:pPr>
        <w:jc w:val="both"/>
        <w:ind w:left="100" w:right="99" w:firstLine="716"/>
        <w:spacing w:after="0" w:line="282" w:lineRule="auto"/>
        <w:rPr>
          <w:sz w:val="20"/>
          <w:szCs w:val="20"/>
          <w:color w:val="auto"/>
        </w:rPr>
      </w:pPr>
      <w:r>
        <w:rPr>
          <w:rFonts w:ascii="Arial" w:cs="Arial" w:eastAsia="Arial" w:hAnsi="Arial"/>
          <w:sz w:val="19"/>
          <w:szCs w:val="19"/>
          <w:i w:val="1"/>
          <w:iCs w:val="1"/>
          <w:color w:val="auto"/>
        </w:rPr>
        <w:t>Section 5.12. Compliance with Employee Benefit Plans</w:t>
      </w:r>
      <w:r>
        <w:rPr>
          <w:rFonts w:ascii="Arial" w:cs="Arial" w:eastAsia="Arial" w:hAnsi="Arial"/>
          <w:sz w:val="19"/>
          <w:szCs w:val="19"/>
          <w:color w:val="auto"/>
        </w:rPr>
        <w:t>. (a) The Company and each ERISA</w:t>
      </w:r>
      <w:r>
        <w:rPr>
          <w:rFonts w:ascii="Arial" w:cs="Arial" w:eastAsia="Arial" w:hAnsi="Arial"/>
          <w:sz w:val="19"/>
          <w:szCs w:val="19"/>
          <w:i w:val="1"/>
          <w:iCs w:val="1"/>
          <w:color w:val="auto"/>
        </w:rPr>
        <w:t xml:space="preserve"> </w:t>
      </w:r>
      <w:r>
        <w:rPr>
          <w:rFonts w:ascii="Arial" w:cs="Arial" w:eastAsia="Arial" w:hAnsi="Arial"/>
          <w:sz w:val="19"/>
          <w:szCs w:val="19"/>
          <w:color w:val="auto"/>
        </w:rPr>
        <w:t>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36" w:name="page137"/>
    <w:bookmarkEnd w:id="136"/>
    <w:p>
      <w:pPr>
        <w:jc w:val="both"/>
        <w:ind w:left="100" w:right="99"/>
        <w:spacing w:after="0" w:line="247" w:lineRule="auto"/>
        <w:rPr>
          <w:sz w:val="20"/>
          <w:szCs w:val="20"/>
          <w:color w:val="auto"/>
        </w:rPr>
      </w:pPr>
      <w:r>
        <w:rPr>
          <w:rFonts w:ascii="Arial" w:cs="Arial" w:eastAsia="Arial" w:hAnsi="Arial"/>
          <w:sz w:val="21"/>
          <w:szCs w:val="21"/>
          <w:color w:val="auto"/>
        </w:rPr>
        <w:t>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205" w:lineRule="exact"/>
        <w:rPr>
          <w:sz w:val="20"/>
          <w:szCs w:val="20"/>
          <w:color w:val="auto"/>
        </w:rPr>
      </w:pPr>
    </w:p>
    <w:p>
      <w:pPr>
        <w:jc w:val="both"/>
        <w:ind w:left="100" w:right="99" w:firstLine="608"/>
        <w:spacing w:after="0" w:line="275" w:lineRule="auto"/>
        <w:rPr>
          <w:sz w:val="20"/>
          <w:szCs w:val="20"/>
          <w:color w:val="auto"/>
        </w:rPr>
      </w:pPr>
      <w:r>
        <w:rPr>
          <w:rFonts w:ascii="Arial" w:cs="Arial" w:eastAsia="Arial" w:hAnsi="Arial"/>
          <w:sz w:val="19"/>
          <w:szCs w:val="19"/>
          <w:color w:val="auto"/>
        </w:rPr>
        <w:t>(b)The present value of the aggregate benefit liabilities under each of the Plans subject to section 412 of the Code (other than Multiemployer Plans), determined as of January 1, 2018 based on such Plan’s actuarial assumptions as of that date for funding purposes as documented in such Plan’s actuarial valuation reports dated September 2018 did not exceed the aggregate current value of the assets of such Plan allocable to such benefit liabilities by more than $5,000,000 in the case of any single Plan and by more than $5,000,000 in the aggregate for all Plans. The term “</w:t>
      </w:r>
      <w:r>
        <w:rPr>
          <w:rFonts w:ascii="Arial" w:cs="Arial" w:eastAsia="Arial" w:hAnsi="Arial"/>
          <w:sz w:val="19"/>
          <w:szCs w:val="19"/>
          <w:i w:val="1"/>
          <w:iCs w:val="1"/>
          <w:color w:val="auto"/>
        </w:rPr>
        <w:t>benefit liabilities</w:t>
      </w:r>
      <w:r>
        <w:rPr>
          <w:rFonts w:ascii="Arial" w:cs="Arial" w:eastAsia="Arial" w:hAnsi="Arial"/>
          <w:sz w:val="19"/>
          <w:szCs w:val="19"/>
          <w:color w:val="auto"/>
        </w:rPr>
        <w:t>” has the meaning specified in section 4001 of ERISA and the terms “</w:t>
      </w:r>
      <w:r>
        <w:rPr>
          <w:rFonts w:ascii="Arial" w:cs="Arial" w:eastAsia="Arial" w:hAnsi="Arial"/>
          <w:sz w:val="19"/>
          <w:szCs w:val="19"/>
          <w:i w:val="1"/>
          <w:iCs w:val="1"/>
          <w:color w:val="auto"/>
        </w:rPr>
        <w:t>current value</w:t>
      </w:r>
      <w:r>
        <w:rPr>
          <w:rFonts w:ascii="Arial" w:cs="Arial" w:eastAsia="Arial" w:hAnsi="Arial"/>
          <w:sz w:val="19"/>
          <w:szCs w:val="19"/>
          <w:color w:val="auto"/>
        </w:rPr>
        <w:t>” and “</w:t>
      </w:r>
      <w:r>
        <w:rPr>
          <w:rFonts w:ascii="Arial" w:cs="Arial" w:eastAsia="Arial" w:hAnsi="Arial"/>
          <w:sz w:val="19"/>
          <w:szCs w:val="19"/>
          <w:i w:val="1"/>
          <w:iCs w:val="1"/>
          <w:color w:val="auto"/>
        </w:rPr>
        <w:t>present</w:t>
      </w:r>
      <w:r>
        <w:rPr>
          <w:rFonts w:ascii="Arial" w:cs="Arial" w:eastAsia="Arial" w:hAnsi="Arial"/>
          <w:sz w:val="19"/>
          <w:szCs w:val="19"/>
          <w:color w:val="auto"/>
        </w:rPr>
        <w:t xml:space="preserve"> </w:t>
      </w:r>
      <w:r>
        <w:rPr>
          <w:rFonts w:ascii="Arial" w:cs="Arial" w:eastAsia="Arial" w:hAnsi="Arial"/>
          <w:sz w:val="19"/>
          <w:szCs w:val="19"/>
          <w:i w:val="1"/>
          <w:iCs w:val="1"/>
          <w:color w:val="auto"/>
        </w:rPr>
        <w:t>value</w:t>
      </w:r>
      <w:r>
        <w:rPr>
          <w:rFonts w:ascii="Arial" w:cs="Arial" w:eastAsia="Arial" w:hAnsi="Arial"/>
          <w:sz w:val="19"/>
          <w:szCs w:val="19"/>
          <w:color w:val="auto"/>
        </w:rPr>
        <w:t>” have the meaning specified in section 3 of ERISA.</w:t>
      </w:r>
    </w:p>
    <w:p>
      <w:pPr>
        <w:spacing w:after="0" w:line="199" w:lineRule="exact"/>
        <w:rPr>
          <w:sz w:val="20"/>
          <w:szCs w:val="20"/>
          <w:color w:val="auto"/>
        </w:rPr>
      </w:pPr>
    </w:p>
    <w:p>
      <w:pPr>
        <w:jc w:val="both"/>
        <w:ind w:left="100" w:right="99" w:firstLine="608"/>
        <w:spacing w:after="0"/>
        <w:rPr>
          <w:sz w:val="20"/>
          <w:szCs w:val="20"/>
          <w:color w:val="auto"/>
        </w:rPr>
      </w:pPr>
      <w:r>
        <w:rPr>
          <w:rFonts w:ascii="Arial" w:cs="Arial" w:eastAsia="Arial" w:hAnsi="Arial"/>
          <w:sz w:val="22"/>
          <w:szCs w:val="22"/>
          <w:color w:val="auto"/>
        </w:rPr>
        <w:t>(c)The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227" w:lineRule="exact"/>
        <w:rPr>
          <w:sz w:val="20"/>
          <w:szCs w:val="20"/>
          <w:color w:val="auto"/>
        </w:rPr>
      </w:pPr>
    </w:p>
    <w:p>
      <w:pPr>
        <w:jc w:val="both"/>
        <w:ind w:left="100" w:right="99" w:firstLine="608"/>
        <w:spacing w:after="0" w:line="249" w:lineRule="exact"/>
        <w:rPr>
          <w:sz w:val="20"/>
          <w:szCs w:val="20"/>
          <w:color w:val="auto"/>
        </w:rPr>
      </w:pPr>
      <w:r>
        <w:rPr>
          <w:rFonts w:ascii="Arial" w:cs="Arial" w:eastAsia="Arial" w:hAnsi="Arial"/>
          <w:sz w:val="22"/>
          <w:szCs w:val="22"/>
          <w:color w:val="auto"/>
        </w:rPr>
        <w:t>(d)The expected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22"/>
          <w:szCs w:val="22"/>
          <w:color w:val="auto"/>
        </w:rPr>
        <w:t>‑</w:t>
      </w:r>
      <w:r>
        <w:rPr>
          <w:rFonts w:ascii="Arial" w:cs="Arial" w:eastAsia="Arial" w:hAnsi="Arial"/>
          <w:sz w:val="22"/>
          <w:szCs w:val="22"/>
          <w:color w:val="auto"/>
        </w:rPr>
        <w:t>60, without regard to liabilities attributable to continuation coverage mandated by section 4980B of the Code) of the Company and its Subsidiaries is not Material.</w:t>
      </w:r>
    </w:p>
    <w:p>
      <w:pPr>
        <w:spacing w:after="0" w:line="215" w:lineRule="exact"/>
        <w:rPr>
          <w:sz w:val="20"/>
          <w:szCs w:val="20"/>
          <w:color w:val="auto"/>
        </w:rPr>
      </w:pPr>
    </w:p>
    <w:p>
      <w:pPr>
        <w:jc w:val="both"/>
        <w:ind w:left="100" w:right="99" w:firstLine="608"/>
        <w:spacing w:after="0" w:line="247" w:lineRule="exact"/>
        <w:rPr>
          <w:sz w:val="20"/>
          <w:szCs w:val="20"/>
          <w:color w:val="auto"/>
        </w:rPr>
      </w:pPr>
      <w:r>
        <w:rPr>
          <w:rFonts w:ascii="Arial" w:cs="Arial" w:eastAsia="Arial" w:hAnsi="Arial"/>
          <w:sz w:val="22"/>
          <w:szCs w:val="22"/>
          <w:color w:val="auto"/>
        </w:rPr>
        <w:t>(e)The execution and delivery of this Agreement and the issuance and sale of the Bonds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22"/>
          <w:szCs w:val="22"/>
          <w:color w:val="auto"/>
        </w:rPr>
        <w:t>‑</w:t>
      </w:r>
      <w:r>
        <w:rPr>
          <w:rFonts w:ascii="Arial" w:cs="Arial" w:eastAsia="Arial" w:hAnsi="Arial"/>
          <w:sz w:val="22"/>
          <w:szCs w:val="22"/>
          <w:color w:val="auto"/>
        </w:rPr>
        <w:t>(D) of the Code. The representation by the Company to each Purchaser in the first sentence of this Section 5.12(e) is made in reliance upon and subject to the accuracy of such Purchaser’s representation in Section 6.2 as to the sources of the funds used to pay the purchase price of the Bonds to be purchased by such Purchaser.</w:t>
      </w:r>
    </w:p>
    <w:p>
      <w:pPr>
        <w:spacing w:after="0" w:line="232" w:lineRule="exact"/>
        <w:rPr>
          <w:sz w:val="20"/>
          <w:szCs w:val="20"/>
          <w:color w:val="auto"/>
        </w:rPr>
      </w:pPr>
    </w:p>
    <w:p>
      <w:pPr>
        <w:ind w:left="740"/>
        <w:spacing w:after="0" w:line="253" w:lineRule="exact"/>
        <w:rPr>
          <w:sz w:val="20"/>
          <w:szCs w:val="20"/>
          <w:color w:val="auto"/>
        </w:rPr>
      </w:pPr>
      <w:r>
        <w:rPr>
          <w:rFonts w:ascii="Arial" w:cs="Arial" w:eastAsia="Arial" w:hAnsi="Arial"/>
          <w:sz w:val="22"/>
          <w:szCs w:val="22"/>
          <w:color w:val="auto"/>
        </w:rPr>
        <w:t>(f) The Company and its Subsidiaries do not have any Non</w:t>
      </w:r>
      <w:r>
        <w:rPr>
          <w:rFonts w:ascii="MS PGothic" w:cs="MS PGothic" w:eastAsia="MS PGothic" w:hAnsi="MS PGothic"/>
          <w:sz w:val="22"/>
          <w:szCs w:val="22"/>
          <w:color w:val="auto"/>
        </w:rPr>
        <w:t>‑</w:t>
      </w:r>
      <w:r>
        <w:rPr>
          <w:rFonts w:ascii="Arial" w:cs="Arial" w:eastAsia="Arial" w:hAnsi="Arial"/>
          <w:sz w:val="22"/>
          <w:szCs w:val="22"/>
          <w:color w:val="auto"/>
        </w:rPr>
        <w:t>U.S. Plans.</w:t>
      </w:r>
    </w:p>
    <w:p>
      <w:pPr>
        <w:spacing w:after="0" w:line="247" w:lineRule="exact"/>
        <w:rPr>
          <w:sz w:val="20"/>
          <w:szCs w:val="20"/>
          <w:color w:val="auto"/>
        </w:rPr>
      </w:pPr>
    </w:p>
    <w:p>
      <w:pPr>
        <w:jc w:val="both"/>
        <w:ind w:left="100" w:right="99" w:firstLine="716"/>
        <w:spacing w:after="0" w:line="277" w:lineRule="auto"/>
        <w:rPr>
          <w:sz w:val="20"/>
          <w:szCs w:val="20"/>
          <w:color w:val="auto"/>
        </w:rPr>
      </w:pPr>
      <w:r>
        <w:rPr>
          <w:rFonts w:ascii="Arial" w:cs="Arial" w:eastAsia="Arial" w:hAnsi="Arial"/>
          <w:sz w:val="19"/>
          <w:szCs w:val="19"/>
          <w:i w:val="1"/>
          <w:iCs w:val="1"/>
          <w:color w:val="auto"/>
        </w:rPr>
        <w:t xml:space="preserve">Section 5.13. Private Offering by the Company </w:t>
      </w:r>
      <w:r>
        <w:rPr>
          <w:rFonts w:ascii="Arial" w:cs="Arial" w:eastAsia="Arial" w:hAnsi="Arial"/>
          <w:sz w:val="19"/>
          <w:szCs w:val="19"/>
          <w:color w:val="auto"/>
        </w:rPr>
        <w:t>Neither the Company nor anyone acting on</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Company’s behalf has offered the Bonds or any similar securities for sale to, or solicited any offer to buy any of the same from, or otherwise approached or negotiated in respect thereof with, any Person other than the Purchasers and not more than twenty-one (21)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Section 5 of the Securities Act.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37" w:name="page138"/>
    <w:bookmarkEnd w:id="137"/>
    <w:p>
      <w:pPr>
        <w:jc w:val="both"/>
        <w:ind w:left="100" w:right="99" w:firstLine="716"/>
        <w:spacing w:after="0" w:line="272" w:lineRule="auto"/>
        <w:rPr>
          <w:sz w:val="20"/>
          <w:szCs w:val="20"/>
          <w:color w:val="auto"/>
        </w:rPr>
      </w:pPr>
      <w:r>
        <w:rPr>
          <w:rFonts w:ascii="Arial" w:cs="Arial" w:eastAsia="Arial" w:hAnsi="Arial"/>
          <w:sz w:val="19"/>
          <w:szCs w:val="19"/>
          <w:i w:val="1"/>
          <w:iCs w:val="1"/>
          <w:color w:val="auto"/>
        </w:rPr>
        <w:t>Section 5.14. Use of Proceeds; Margin Regulations</w:t>
      </w:r>
      <w:r>
        <w:rPr>
          <w:rFonts w:ascii="Arial" w:cs="Arial" w:eastAsia="Arial" w:hAnsi="Arial"/>
          <w:sz w:val="19"/>
          <w:szCs w:val="19"/>
          <w:color w:val="auto"/>
        </w:rPr>
        <w:t>. The Company will apply the proceeds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sale of the Bonds to repay existing indebtedness and for general corporate purposes and in compliance with all laws referenced in Section 5.16.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Section, the terms “</w:t>
      </w:r>
      <w:r>
        <w:rPr>
          <w:rFonts w:ascii="Arial" w:cs="Arial" w:eastAsia="Arial" w:hAnsi="Arial"/>
          <w:sz w:val="19"/>
          <w:szCs w:val="19"/>
          <w:i w:val="1"/>
          <w:iCs w:val="1"/>
          <w:color w:val="auto"/>
        </w:rPr>
        <w:t>margin stock</w:t>
      </w:r>
      <w:r>
        <w:rPr>
          <w:rFonts w:ascii="Arial" w:cs="Arial" w:eastAsia="Arial" w:hAnsi="Arial"/>
          <w:sz w:val="19"/>
          <w:szCs w:val="19"/>
          <w:color w:val="auto"/>
        </w:rPr>
        <w:t>” and “</w:t>
      </w:r>
      <w:r>
        <w:rPr>
          <w:rFonts w:ascii="Arial" w:cs="Arial" w:eastAsia="Arial" w:hAnsi="Arial"/>
          <w:sz w:val="19"/>
          <w:szCs w:val="19"/>
          <w:i w:val="1"/>
          <w:iCs w:val="1"/>
          <w:color w:val="auto"/>
        </w:rPr>
        <w:t>purpose of buying or carrying</w:t>
      </w:r>
      <w:r>
        <w:rPr>
          <w:rFonts w:ascii="Arial" w:cs="Arial" w:eastAsia="Arial" w:hAnsi="Arial"/>
          <w:sz w:val="19"/>
          <w:szCs w:val="19"/>
          <w:color w:val="auto"/>
        </w:rPr>
        <w:t>” shall have the meanings assigned to them in said Regulation U.</w:t>
      </w:r>
    </w:p>
    <w:p>
      <w:pPr>
        <w:spacing w:after="0" w:line="189" w:lineRule="exact"/>
        <w:rPr>
          <w:sz w:val="20"/>
          <w:szCs w:val="20"/>
          <w:color w:val="auto"/>
        </w:rPr>
      </w:pPr>
    </w:p>
    <w:p>
      <w:pPr>
        <w:jc w:val="both"/>
        <w:ind w:left="100" w:right="99" w:firstLine="716"/>
        <w:spacing w:after="0" w:line="244" w:lineRule="auto"/>
        <w:rPr>
          <w:sz w:val="20"/>
          <w:szCs w:val="20"/>
          <w:color w:val="auto"/>
        </w:rPr>
      </w:pPr>
      <w:r>
        <w:rPr>
          <w:rFonts w:ascii="Arial" w:cs="Arial" w:eastAsia="Arial" w:hAnsi="Arial"/>
          <w:sz w:val="21"/>
          <w:szCs w:val="21"/>
          <w:i w:val="1"/>
          <w:iCs w:val="1"/>
          <w:color w:val="auto"/>
        </w:rPr>
        <w:t>Section 5.15. Existing Debt</w:t>
      </w:r>
      <w:r>
        <w:rPr>
          <w:rFonts w:ascii="Arial" w:cs="Arial" w:eastAsia="Arial" w:hAnsi="Arial"/>
          <w:sz w:val="21"/>
          <w:szCs w:val="21"/>
          <w:color w:val="auto"/>
        </w:rPr>
        <w:t>. Except as described therein, Schedule 5.15(a) sets forth a</w:t>
      </w:r>
      <w:r>
        <w:rPr>
          <w:rFonts w:ascii="Arial" w:cs="Arial" w:eastAsia="Arial" w:hAnsi="Arial"/>
          <w:sz w:val="21"/>
          <w:szCs w:val="21"/>
          <w:i w:val="1"/>
          <w:iCs w:val="1"/>
          <w:color w:val="auto"/>
        </w:rPr>
        <w:t xml:space="preserve"> </w:t>
      </w:r>
      <w:r>
        <w:rPr>
          <w:rFonts w:ascii="Arial" w:cs="Arial" w:eastAsia="Arial" w:hAnsi="Arial"/>
          <w:sz w:val="21"/>
          <w:szCs w:val="21"/>
          <w:color w:val="auto"/>
        </w:rPr>
        <w:t>complete and correct list of all outstanding Debt of the Company and its Subsidiaries as of June 30, 2018, since which date except as described therein there has been no Material change in the 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 Company or any Subsidiary, the outstanding principal amount of which exceeds $5,000,000 that would permit (or that with notice or the lapse of time, or both, would permit) one or more Persons to cause such Debt to become due and payable before its stated maturity or before its regularly scheduled dates of payment.</w:t>
      </w:r>
    </w:p>
    <w:p>
      <w:pPr>
        <w:spacing w:after="0" w:line="230" w:lineRule="exact"/>
        <w:rPr>
          <w:sz w:val="20"/>
          <w:szCs w:val="20"/>
          <w:color w:val="auto"/>
        </w:rPr>
      </w:pPr>
    </w:p>
    <w:p>
      <w:pPr>
        <w:jc w:val="both"/>
        <w:ind w:left="100" w:right="99" w:firstLine="608"/>
        <w:spacing w:after="0" w:line="235" w:lineRule="auto"/>
        <w:rPr>
          <w:sz w:val="20"/>
          <w:szCs w:val="20"/>
          <w:color w:val="auto"/>
        </w:rPr>
      </w:pPr>
      <w:r>
        <w:rPr>
          <w:rFonts w:ascii="Arial" w:cs="Arial" w:eastAsia="Arial" w:hAnsi="Arial"/>
          <w:sz w:val="22"/>
          <w:szCs w:val="22"/>
          <w:color w:val="auto"/>
        </w:rPr>
        <w:t>(b)Without limiting the representation in Section 5.6, the Company is not a party to, or otherwise subject to any provision contained in, any instrument evidencing Debt of the Company or any Subsidiary, any agreement relating thereto or any other agreement (including, but not limited to, its charter or other organizational document) which limits the amount of, or otherwise imposes restrictions on the incurring of, Debt evidenced by the Bonds, except as specifically indicated in Schedule 5.15(b).</w:t>
      </w:r>
    </w:p>
    <w:p>
      <w:pPr>
        <w:spacing w:after="0" w:line="229" w:lineRule="exact"/>
        <w:rPr>
          <w:sz w:val="20"/>
          <w:szCs w:val="20"/>
          <w:color w:val="auto"/>
        </w:rPr>
      </w:pPr>
    </w:p>
    <w:p>
      <w:pPr>
        <w:jc w:val="both"/>
        <w:ind w:left="100" w:right="99" w:firstLine="716"/>
        <w:spacing w:after="0" w:line="238" w:lineRule="auto"/>
        <w:rPr>
          <w:sz w:val="20"/>
          <w:szCs w:val="20"/>
          <w:color w:val="auto"/>
        </w:rPr>
      </w:pPr>
      <w:r>
        <w:rPr>
          <w:rFonts w:ascii="Arial" w:cs="Arial" w:eastAsia="Arial" w:hAnsi="Arial"/>
          <w:sz w:val="22"/>
          <w:szCs w:val="22"/>
          <w:i w:val="1"/>
          <w:iCs w:val="1"/>
          <w:color w:val="auto"/>
        </w:rPr>
        <w:t>Section 5.16. Foreign Assets Control Regulations, Etc</w:t>
      </w:r>
      <w:r>
        <w:rPr>
          <w:rFonts w:ascii="Arial" w:cs="Arial" w:eastAsia="Arial" w:hAnsi="Arial"/>
          <w:sz w:val="22"/>
          <w:szCs w:val="22"/>
          <w:color w:val="auto"/>
        </w:rPr>
        <w:t>. (a) Neither the Company nor any</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Entity (i) is a Blocked Person, (ii) has been notified that its name appears or may in the future appear on a State Sanctions List or (iii) is a target of sanctions that have been imposed by the United Nations or the European Union.</w:t>
      </w:r>
    </w:p>
    <w:p>
      <w:pPr>
        <w:spacing w:after="0" w:line="212" w:lineRule="exact"/>
        <w:rPr>
          <w:sz w:val="20"/>
          <w:szCs w:val="20"/>
          <w:color w:val="auto"/>
        </w:rPr>
      </w:pPr>
    </w:p>
    <w:p>
      <w:pPr>
        <w:jc w:val="both"/>
        <w:ind w:left="100" w:right="99" w:firstLine="608"/>
        <w:spacing w:after="0" w:line="249" w:lineRule="exact"/>
        <w:rPr>
          <w:sz w:val="20"/>
          <w:szCs w:val="20"/>
          <w:color w:val="auto"/>
        </w:rPr>
      </w:pPr>
      <w:r>
        <w:rPr>
          <w:rFonts w:ascii="Arial" w:cs="Arial" w:eastAsia="Arial" w:hAnsi="Arial"/>
          <w:sz w:val="21"/>
          <w:szCs w:val="21"/>
          <w:color w:val="auto"/>
        </w:rPr>
        <w:t>(b)Neither the Company nor any Controlled Entity (i) has violated, been found in violation of, or been charged or convicted under, any applicable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or Anti</w:t>
      </w:r>
      <w:r>
        <w:rPr>
          <w:rFonts w:ascii="MS PGothic" w:cs="MS PGothic" w:eastAsia="MS PGothic" w:hAnsi="MS PGothic"/>
          <w:sz w:val="21"/>
          <w:szCs w:val="21"/>
          <w:color w:val="auto"/>
        </w:rPr>
        <w:t>‑</w:t>
      </w:r>
      <w:r>
        <w:rPr>
          <w:rFonts w:ascii="Arial" w:cs="Arial" w:eastAsia="Arial" w:hAnsi="Arial"/>
          <w:sz w:val="21"/>
          <w:szCs w:val="21"/>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or Anti</w:t>
      </w:r>
      <w:r>
        <w:rPr>
          <w:rFonts w:ascii="MS PGothic" w:cs="MS PGothic" w:eastAsia="MS PGothic" w:hAnsi="MS PGothic"/>
          <w:sz w:val="21"/>
          <w:szCs w:val="21"/>
          <w:color w:val="auto"/>
        </w:rPr>
        <w:t>‑</w:t>
      </w:r>
      <w:r>
        <w:rPr>
          <w:rFonts w:ascii="Arial" w:cs="Arial" w:eastAsia="Arial" w:hAnsi="Arial"/>
          <w:sz w:val="21"/>
          <w:szCs w:val="21"/>
          <w:color w:val="auto"/>
        </w:rPr>
        <w:t>Corruption Laws.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38" w:name="page139"/>
    <w:bookmarkEnd w:id="138"/>
    <w:p>
      <w:pPr>
        <w:ind w:left="720"/>
        <w:spacing w:after="0"/>
        <w:rPr>
          <w:sz w:val="20"/>
          <w:szCs w:val="20"/>
          <w:color w:val="auto"/>
        </w:rPr>
      </w:pPr>
      <w:r>
        <w:rPr>
          <w:rFonts w:ascii="Arial" w:cs="Arial" w:eastAsia="Arial" w:hAnsi="Arial"/>
          <w:sz w:val="22"/>
          <w:szCs w:val="22"/>
          <w:color w:val="auto"/>
        </w:rPr>
        <w:t>(c)No part of the proceeds from the sale of the Bonds hereunder:</w:t>
      </w:r>
    </w:p>
    <w:p>
      <w:pPr>
        <w:spacing w:after="0" w:line="233" w:lineRule="exact"/>
        <w:rPr>
          <w:sz w:val="20"/>
          <w:szCs w:val="20"/>
          <w:color w:val="auto"/>
        </w:rPr>
      </w:pPr>
    </w:p>
    <w:p>
      <w:pPr>
        <w:jc w:val="both"/>
        <w:ind w:left="760" w:right="99" w:firstLine="479"/>
        <w:spacing w:after="0" w:line="273" w:lineRule="auto"/>
        <w:tabs>
          <w:tab w:leader="none" w:pos="1518" w:val="left"/>
        </w:tabs>
        <w:numPr>
          <w:ilvl w:val="1"/>
          <w:numId w:val="70"/>
        </w:numPr>
        <w:rPr>
          <w:rFonts w:ascii="Arial" w:cs="Arial" w:eastAsia="Arial" w:hAnsi="Arial"/>
          <w:sz w:val="19"/>
          <w:szCs w:val="19"/>
          <w:color w:val="auto"/>
        </w:rPr>
      </w:pPr>
      <w:r>
        <w:rPr>
          <w:rFonts w:ascii="Arial" w:cs="Arial" w:eastAsia="Arial" w:hAnsi="Arial"/>
          <w:sz w:val="19"/>
          <w:szCs w:val="19"/>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w:t>
      </w:r>
    </w:p>
    <w:p>
      <w:pPr>
        <w:spacing w:after="0" w:line="1" w:lineRule="exact"/>
        <w:rPr>
          <w:rFonts w:ascii="Arial" w:cs="Arial" w:eastAsia="Arial" w:hAnsi="Arial"/>
          <w:sz w:val="19"/>
          <w:szCs w:val="19"/>
          <w:color w:val="auto"/>
        </w:rPr>
      </w:pPr>
    </w:p>
    <w:p>
      <w:pPr>
        <w:ind w:left="760" w:right="99" w:hanging="7"/>
        <w:spacing w:after="0" w:line="308" w:lineRule="auto"/>
        <w:tabs>
          <w:tab w:leader="none" w:pos="1114" w:val="left"/>
        </w:tabs>
        <w:numPr>
          <w:ilvl w:val="0"/>
          <w:numId w:val="71"/>
        </w:numPr>
        <w:rPr>
          <w:rFonts w:ascii="Arial" w:cs="Arial" w:eastAsia="Arial" w:hAnsi="Arial"/>
          <w:sz w:val="19"/>
          <w:szCs w:val="19"/>
          <w:color w:val="auto"/>
        </w:rPr>
      </w:pPr>
      <w:r>
        <w:rPr>
          <w:rFonts w:ascii="Arial" w:cs="Arial" w:eastAsia="Arial" w:hAnsi="Arial"/>
          <w:sz w:val="19"/>
          <w:szCs w:val="19"/>
          <w:color w:val="auto"/>
        </w:rPr>
        <w:t>for any purpose that would cause any Purchaser to be in violation of any U.S. Economic Sanctions Laws, or (C) otherwise in violation of any U.S. Economic Sanctions Laws;</w:t>
      </w:r>
    </w:p>
    <w:p>
      <w:pPr>
        <w:spacing w:after="0" w:line="164" w:lineRule="exact"/>
        <w:rPr>
          <w:rFonts w:ascii="Arial" w:cs="Arial" w:eastAsia="Arial" w:hAnsi="Arial"/>
          <w:sz w:val="19"/>
          <w:szCs w:val="19"/>
          <w:color w:val="auto"/>
        </w:rPr>
      </w:pPr>
    </w:p>
    <w:p>
      <w:pPr>
        <w:ind w:left="760" w:right="99" w:firstLine="479"/>
        <w:spacing w:after="0" w:line="259" w:lineRule="exact"/>
        <w:tabs>
          <w:tab w:leader="none" w:pos="1578" w:val="left"/>
        </w:tabs>
        <w:numPr>
          <w:ilvl w:val="1"/>
          <w:numId w:val="71"/>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w:t>
      </w:r>
    </w:p>
    <w:p>
      <w:pPr>
        <w:spacing w:after="0" w:line="226" w:lineRule="exact"/>
        <w:rPr>
          <w:rFonts w:ascii="Arial" w:cs="Arial" w:eastAsia="Arial" w:hAnsi="Arial"/>
          <w:sz w:val="22"/>
          <w:szCs w:val="22"/>
          <w:color w:val="auto"/>
        </w:rPr>
      </w:pPr>
    </w:p>
    <w:p>
      <w:pPr>
        <w:jc w:val="both"/>
        <w:ind w:left="760" w:right="99" w:firstLine="479"/>
        <w:spacing w:after="0" w:line="249" w:lineRule="exact"/>
        <w:tabs>
          <w:tab w:leader="none" w:pos="1638" w:val="left"/>
        </w:tabs>
        <w:numPr>
          <w:ilvl w:val="1"/>
          <w:numId w:val="71"/>
        </w:numPr>
        <w:rPr>
          <w:rFonts w:ascii="Arial" w:cs="Arial" w:eastAsia="Arial" w:hAnsi="Arial"/>
          <w:sz w:val="22"/>
          <w:szCs w:val="22"/>
          <w:color w:val="auto"/>
        </w:rPr>
      </w:pPr>
      <w:r>
        <w:rPr>
          <w:rFonts w:ascii="Arial" w:cs="Arial" w:eastAsia="Arial" w:hAnsi="Arial"/>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215" w:lineRule="exact"/>
        <w:rPr>
          <w:sz w:val="20"/>
          <w:szCs w:val="20"/>
          <w:color w:val="auto"/>
        </w:rPr>
      </w:pPr>
    </w:p>
    <w:p>
      <w:pPr>
        <w:jc w:val="both"/>
        <w:ind w:left="100" w:right="99" w:firstLine="608"/>
        <w:spacing w:after="0" w:line="251" w:lineRule="exact"/>
        <w:rPr>
          <w:sz w:val="20"/>
          <w:szCs w:val="20"/>
          <w:color w:val="auto"/>
        </w:rPr>
      </w:pPr>
      <w:r>
        <w:rPr>
          <w:rFonts w:ascii="Arial" w:cs="Arial" w:eastAsia="Arial" w:hAnsi="Arial"/>
          <w:sz w:val="21"/>
          <w:szCs w:val="21"/>
          <w:color w:val="auto"/>
        </w:rPr>
        <w:t>(d)The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and Anti</w:t>
      </w:r>
      <w:r>
        <w:rPr>
          <w:rFonts w:ascii="MS PGothic" w:cs="MS PGothic" w:eastAsia="MS PGothic" w:hAnsi="MS PGothic"/>
          <w:sz w:val="21"/>
          <w:szCs w:val="21"/>
          <w:color w:val="auto"/>
        </w:rPr>
        <w:t>‑</w:t>
      </w:r>
      <w:r>
        <w:rPr>
          <w:rFonts w:ascii="Arial" w:cs="Arial" w:eastAsia="Arial" w:hAnsi="Arial"/>
          <w:sz w:val="21"/>
          <w:szCs w:val="21"/>
          <w:color w:val="auto"/>
        </w:rPr>
        <w:t>Corruption Laws.</w:t>
      </w:r>
    </w:p>
    <w:p>
      <w:pPr>
        <w:spacing w:after="0" w:line="227" w:lineRule="exact"/>
        <w:rPr>
          <w:sz w:val="20"/>
          <w:szCs w:val="20"/>
          <w:color w:val="auto"/>
        </w:rPr>
      </w:pPr>
    </w:p>
    <w:p>
      <w:pPr>
        <w:jc w:val="both"/>
        <w:ind w:left="100" w:right="99" w:firstLine="716"/>
        <w:spacing w:after="0" w:line="252" w:lineRule="auto"/>
        <w:rPr>
          <w:sz w:val="20"/>
          <w:szCs w:val="20"/>
          <w:color w:val="auto"/>
        </w:rPr>
      </w:pPr>
      <w:r>
        <w:rPr>
          <w:rFonts w:ascii="Arial" w:cs="Arial" w:eastAsia="Arial" w:hAnsi="Arial"/>
          <w:sz w:val="21"/>
          <w:szCs w:val="21"/>
          <w:i w:val="1"/>
          <w:iCs w:val="1"/>
          <w:color w:val="auto"/>
        </w:rPr>
        <w:t>Section 5.17. Status under Certain Statutes</w:t>
      </w:r>
      <w:r>
        <w:rPr>
          <w:rFonts w:ascii="Arial" w:cs="Arial" w:eastAsia="Arial" w:hAnsi="Arial"/>
          <w:sz w:val="21"/>
          <w:szCs w:val="21"/>
          <w:color w:val="auto"/>
        </w:rPr>
        <w:t>. Neither the Company nor any Subsidiary is</w:t>
      </w:r>
      <w:r>
        <w:rPr>
          <w:rFonts w:ascii="Arial" w:cs="Arial" w:eastAsia="Arial" w:hAnsi="Arial"/>
          <w:sz w:val="21"/>
          <w:szCs w:val="21"/>
          <w:i w:val="1"/>
          <w:iCs w:val="1"/>
          <w:color w:val="auto"/>
        </w:rPr>
        <w:t xml:space="preserve"> </w:t>
      </w:r>
      <w:r>
        <w:rPr>
          <w:rFonts w:ascii="Arial" w:cs="Arial" w:eastAsia="Arial" w:hAnsi="Arial"/>
          <w:sz w:val="21"/>
          <w:szCs w:val="21"/>
          <w:color w:val="auto"/>
        </w:rPr>
        <w:t>subject to regulation under the Investment Company Act of 1940, as amended, the Public Utility Holding Company Act of 2005, as amended, the ICC Termination Act of 1995, as amended, or subject to rate regulation under the Federal Power Act, as amended.</w:t>
      </w:r>
    </w:p>
    <w:p>
      <w:pPr>
        <w:spacing w:after="0" w:line="215" w:lineRule="exact"/>
        <w:rPr>
          <w:sz w:val="20"/>
          <w:szCs w:val="20"/>
          <w:color w:val="auto"/>
        </w:rPr>
      </w:pPr>
    </w:p>
    <w:p>
      <w:pPr>
        <w:jc w:val="both"/>
        <w:ind w:left="100" w:right="99" w:firstLine="716"/>
        <w:spacing w:after="0" w:line="277" w:lineRule="auto"/>
        <w:rPr>
          <w:sz w:val="20"/>
          <w:szCs w:val="20"/>
          <w:color w:val="auto"/>
        </w:rPr>
      </w:pPr>
      <w:r>
        <w:rPr>
          <w:rFonts w:ascii="Arial" w:cs="Arial" w:eastAsia="Arial" w:hAnsi="Arial"/>
          <w:sz w:val="19"/>
          <w:szCs w:val="19"/>
          <w:i w:val="1"/>
          <w:iCs w:val="1"/>
          <w:color w:val="auto"/>
        </w:rPr>
        <w:t>Section 5.18. Environmental Matters</w:t>
      </w:r>
      <w:r>
        <w:rPr>
          <w:rFonts w:ascii="Arial" w:cs="Arial" w:eastAsia="Arial" w:hAnsi="Arial"/>
          <w:sz w:val="19"/>
          <w:szCs w:val="19"/>
          <w:color w:val="auto"/>
        </w:rPr>
        <w:t>. Neither the Company nor any Subsidiary has</w:t>
      </w:r>
      <w:r>
        <w:rPr>
          <w:rFonts w:ascii="Arial" w:cs="Arial" w:eastAsia="Arial" w:hAnsi="Arial"/>
          <w:sz w:val="19"/>
          <w:szCs w:val="19"/>
          <w:i w:val="1"/>
          <w:iCs w:val="1"/>
          <w:color w:val="auto"/>
        </w:rPr>
        <w:t xml:space="preserve"> </w:t>
      </w:r>
      <w:r>
        <w:rPr>
          <w:rFonts w:ascii="Arial" w:cs="Arial" w:eastAsia="Arial" w:hAnsi="Arial"/>
          <w:sz w:val="19"/>
          <w:szCs w:val="19"/>
          <w:color w:val="auto"/>
        </w:rPr>
        <w:t>knowledge of any claim or has received any notice of any claim, and no proceeding has been 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 Except as otherwise disclosed to the Purchasers in writing:</w:t>
      </w:r>
    </w:p>
    <w:p>
      <w:pPr>
        <w:spacing w:after="0" w:line="180" w:lineRule="exact"/>
        <w:rPr>
          <w:sz w:val="20"/>
          <w:szCs w:val="20"/>
          <w:color w:val="auto"/>
        </w:rPr>
      </w:pPr>
    </w:p>
    <w:p>
      <w:pPr>
        <w:jc w:val="both"/>
        <w:ind w:left="760" w:right="99" w:firstLine="722"/>
        <w:spacing w:after="0" w:line="282" w:lineRule="auto"/>
        <w:tabs>
          <w:tab w:leader="none" w:pos="1810" w:val="left"/>
        </w:tabs>
        <w:numPr>
          <w:ilvl w:val="0"/>
          <w:numId w:val="72"/>
        </w:numPr>
        <w:rPr>
          <w:rFonts w:ascii="Arial" w:cs="Arial" w:eastAsia="Arial" w:hAnsi="Arial"/>
          <w:sz w:val="19"/>
          <w:szCs w:val="19"/>
          <w:color w:val="auto"/>
        </w:rPr>
      </w:pPr>
      <w:r>
        <w:rPr>
          <w:rFonts w:ascii="Arial" w:cs="Arial" w:eastAsia="Arial" w:hAnsi="Arial"/>
          <w:sz w:val="19"/>
          <w:szCs w:val="19"/>
          <w:color w:val="auto"/>
        </w:rPr>
        <w:t>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reasonably be expected to result in a Material Adverse Effect;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39" w:name="page140"/>
    <w:bookmarkEnd w:id="139"/>
    <w:p>
      <w:pPr>
        <w:jc w:val="both"/>
        <w:ind w:left="760" w:right="99" w:firstLine="722"/>
        <w:spacing w:after="0" w:line="236" w:lineRule="auto"/>
        <w:tabs>
          <w:tab w:leader="none" w:pos="1822" w:val="left"/>
        </w:tabs>
        <w:numPr>
          <w:ilvl w:val="0"/>
          <w:numId w:val="73"/>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reasonably be expected to result in a Material Adverse Effect; and</w:t>
      </w:r>
    </w:p>
    <w:p>
      <w:pPr>
        <w:spacing w:after="0" w:line="214" w:lineRule="exact"/>
        <w:rPr>
          <w:rFonts w:ascii="Arial" w:cs="Arial" w:eastAsia="Arial" w:hAnsi="Arial"/>
          <w:sz w:val="22"/>
          <w:szCs w:val="22"/>
          <w:color w:val="auto"/>
        </w:rPr>
      </w:pPr>
    </w:p>
    <w:p>
      <w:pPr>
        <w:jc w:val="both"/>
        <w:ind w:left="760" w:right="99" w:firstLine="722"/>
        <w:spacing w:after="0" w:line="238" w:lineRule="auto"/>
        <w:tabs>
          <w:tab w:leader="none" w:pos="181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226" w:lineRule="exact"/>
        <w:rPr>
          <w:sz w:val="20"/>
          <w:szCs w:val="20"/>
          <w:color w:val="auto"/>
        </w:rPr>
      </w:pPr>
    </w:p>
    <w:p>
      <w:pPr>
        <w:jc w:val="both"/>
        <w:ind w:left="100" w:right="99" w:firstLine="716"/>
        <w:spacing w:after="0" w:line="271" w:lineRule="auto"/>
        <w:rPr>
          <w:sz w:val="20"/>
          <w:szCs w:val="20"/>
          <w:color w:val="auto"/>
        </w:rPr>
      </w:pPr>
      <w:r>
        <w:rPr>
          <w:rFonts w:ascii="Arial" w:cs="Arial" w:eastAsia="Arial" w:hAnsi="Arial"/>
          <w:sz w:val="19"/>
          <w:szCs w:val="19"/>
          <w:i w:val="1"/>
          <w:iCs w:val="1"/>
          <w:color w:val="auto"/>
        </w:rPr>
        <w:t>Section 5.19. Lien of Indenture</w:t>
      </w:r>
      <w:r>
        <w:rPr>
          <w:rFonts w:ascii="Arial" w:cs="Arial" w:eastAsia="Arial" w:hAnsi="Arial"/>
          <w:sz w:val="19"/>
          <w:szCs w:val="19"/>
          <w:color w:val="auto"/>
        </w:rPr>
        <w:t>. The Indenture (and for avoidance of doubt including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 constitutes a direct and valid Lien upon the Trust Estate, subject only to the exceptions referred to in the Indenture and Permitted Liens, and will create a similar Lien upon all properties and assets acquired by the Company after the date hereof which are required to be subjected to the Lien of the Indenture, when acquired by the Company, subject only to the exceptions referred to in the Indenture and Permitted Liens, and subject, further, as to real property interests, to the recordation of a supplement to the Indenture describing such after-acquired 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200" w:lineRule="exact"/>
        <w:rPr>
          <w:sz w:val="20"/>
          <w:szCs w:val="20"/>
          <w:color w:val="auto"/>
        </w:rPr>
      </w:pPr>
    </w:p>
    <w:p>
      <w:pPr>
        <w:spacing w:after="0" w:line="249" w:lineRule="exact"/>
        <w:rPr>
          <w:sz w:val="20"/>
          <w:szCs w:val="20"/>
          <w:color w:val="auto"/>
        </w:rPr>
      </w:pPr>
    </w:p>
    <w:p>
      <w:pPr>
        <w:jc w:val="both"/>
        <w:ind w:left="100" w:right="99" w:firstLine="716"/>
        <w:spacing w:after="0" w:line="275" w:lineRule="auto"/>
        <w:rPr>
          <w:sz w:val="20"/>
          <w:szCs w:val="20"/>
          <w:color w:val="auto"/>
        </w:rPr>
      </w:pPr>
      <w:r>
        <w:rPr>
          <w:rFonts w:ascii="Arial" w:cs="Arial" w:eastAsia="Arial" w:hAnsi="Arial"/>
          <w:sz w:val="19"/>
          <w:szCs w:val="19"/>
          <w:i w:val="1"/>
          <w:iCs w:val="1"/>
          <w:color w:val="auto"/>
        </w:rPr>
        <w:t>Section 5.20. Filings</w:t>
      </w:r>
      <w:r>
        <w:rPr>
          <w:rFonts w:ascii="Arial" w:cs="Arial" w:eastAsia="Arial" w:hAnsi="Arial"/>
          <w:sz w:val="19"/>
          <w:szCs w:val="19"/>
          <w:color w:val="auto"/>
        </w:rPr>
        <w:t>. No action, including any filings, registration or notice, is necessary or</w:t>
      </w:r>
      <w:r>
        <w:rPr>
          <w:rFonts w:ascii="Arial" w:cs="Arial" w:eastAsia="Arial" w:hAnsi="Arial"/>
          <w:sz w:val="19"/>
          <w:szCs w:val="19"/>
          <w:i w:val="1"/>
          <w:iCs w:val="1"/>
          <w:color w:val="auto"/>
        </w:rPr>
        <w:t xml:space="preserve"> </w:t>
      </w:r>
      <w:r>
        <w:rPr>
          <w:rFonts w:ascii="Arial" w:cs="Arial" w:eastAsia="Arial" w:hAnsi="Arial"/>
          <w:sz w:val="19"/>
          <w:szCs w:val="19"/>
          <w:color w:val="auto"/>
        </w:rPr>
        <w:t>advisable in Pennsylvania or any other jurisdictions to ensure the legality, validity and enforceability of the Financing Agreements, except such action as has been previously taken, which action remains in full force and effect. No action, including any filing, registration or notice, is necessary or advisable in Pennsylvania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185" w:lineRule="exact"/>
        <w:rPr>
          <w:sz w:val="20"/>
          <w:szCs w:val="20"/>
          <w:color w:val="auto"/>
        </w:rPr>
      </w:pPr>
    </w:p>
    <w:p>
      <w:pPr>
        <w:ind w:left="100"/>
        <w:spacing w:after="0"/>
        <w:tabs>
          <w:tab w:leader="none" w:pos="19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REPRESENTATIONS OF THE PURCHASERS.</w:t>
      </w:r>
    </w:p>
    <w:p>
      <w:pPr>
        <w:spacing w:after="0" w:line="247" w:lineRule="exact"/>
        <w:rPr>
          <w:sz w:val="20"/>
          <w:szCs w:val="20"/>
          <w:color w:val="auto"/>
        </w:rPr>
      </w:pPr>
    </w:p>
    <w:p>
      <w:pPr>
        <w:jc w:val="both"/>
        <w:ind w:left="100" w:right="99" w:firstLine="716"/>
        <w:spacing w:after="0" w:line="248" w:lineRule="auto"/>
        <w:rPr>
          <w:sz w:val="20"/>
          <w:szCs w:val="20"/>
          <w:color w:val="auto"/>
        </w:rPr>
      </w:pPr>
      <w:r>
        <w:rPr>
          <w:rFonts w:ascii="Arial" w:cs="Arial" w:eastAsia="Arial" w:hAnsi="Arial"/>
          <w:sz w:val="21"/>
          <w:szCs w:val="21"/>
          <w:i w:val="1"/>
          <w:iCs w:val="1"/>
          <w:color w:val="auto"/>
        </w:rPr>
        <w:t>Section 6.1. Purchase for Investment</w:t>
      </w:r>
      <w:r>
        <w:rPr>
          <w:rFonts w:ascii="Arial" w:cs="Arial" w:eastAsia="Arial" w:hAnsi="Arial"/>
          <w:sz w:val="21"/>
          <w:szCs w:val="21"/>
          <w:color w:val="auto"/>
        </w:rPr>
        <w:t>. Each Purchaser severally represents that it is</w:t>
      </w:r>
      <w:r>
        <w:rPr>
          <w:rFonts w:ascii="Arial" w:cs="Arial" w:eastAsia="Arial" w:hAnsi="Arial"/>
          <w:sz w:val="21"/>
          <w:szCs w:val="21"/>
          <w:i w:val="1"/>
          <w:iCs w:val="1"/>
          <w:color w:val="auto"/>
        </w:rPr>
        <w:t xml:space="preserve"> </w:t>
      </w:r>
      <w:r>
        <w:rPr>
          <w:rFonts w:ascii="Arial" w:cs="Arial" w:eastAsia="Arial" w:hAnsi="Arial"/>
          <w:sz w:val="21"/>
          <w:szCs w:val="21"/>
          <w:color w:val="auto"/>
        </w:rPr>
        <w:t>purchasing the Bonds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Bonds have not been registered under the Securities Act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40" w:name="page141"/>
    <w:bookmarkEnd w:id="140"/>
    <w:p>
      <w:pPr>
        <w:jc w:val="both"/>
        <w:ind w:left="100" w:right="99"/>
        <w:spacing w:after="0" w:line="297" w:lineRule="auto"/>
        <w:rPr>
          <w:sz w:val="20"/>
          <w:szCs w:val="20"/>
          <w:color w:val="auto"/>
        </w:rPr>
      </w:pPr>
      <w:r>
        <w:rPr>
          <w:rFonts w:ascii="Arial" w:cs="Arial" w:eastAsia="Arial" w:hAnsi="Arial"/>
          <w:sz w:val="19"/>
          <w:szCs w:val="19"/>
          <w:color w:val="auto"/>
        </w:rPr>
        <w:t>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161" w:lineRule="exact"/>
        <w:rPr>
          <w:sz w:val="20"/>
          <w:szCs w:val="20"/>
          <w:color w:val="auto"/>
        </w:rPr>
      </w:pPr>
    </w:p>
    <w:p>
      <w:pPr>
        <w:jc w:val="both"/>
        <w:ind w:left="100" w:right="99" w:firstLine="716"/>
        <w:spacing w:after="0" w:line="238" w:lineRule="auto"/>
        <w:rPr>
          <w:sz w:val="20"/>
          <w:szCs w:val="20"/>
          <w:color w:val="auto"/>
        </w:rPr>
      </w:pPr>
      <w:r>
        <w:rPr>
          <w:rFonts w:ascii="Arial" w:cs="Arial" w:eastAsia="Arial" w:hAnsi="Arial"/>
          <w:sz w:val="22"/>
          <w:szCs w:val="22"/>
          <w:i w:val="1"/>
          <w:iCs w:val="1"/>
          <w:color w:val="auto"/>
        </w:rPr>
        <w:t>Section 6.2. Source of Funds</w:t>
      </w:r>
      <w:r>
        <w:rPr>
          <w:rFonts w:ascii="Arial" w:cs="Arial" w:eastAsia="Arial" w:hAnsi="Arial"/>
          <w:sz w:val="22"/>
          <w:szCs w:val="22"/>
          <w:color w:val="auto"/>
        </w:rPr>
        <w:t>. Each Purchaser severally represents that at least one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following statements is an accurate representation as to each source of funds (a </w:t>
      </w:r>
      <w:r>
        <w:rPr>
          <w:rFonts w:ascii="Arial" w:cs="Arial" w:eastAsia="Arial" w:hAnsi="Arial"/>
          <w:sz w:val="22"/>
          <w:szCs w:val="22"/>
          <w:i w:val="1"/>
          <w:iCs w:val="1"/>
          <w:color w:val="auto"/>
        </w:rPr>
        <w:t>“Source”</w:t>
      </w:r>
      <w:r>
        <w:rPr>
          <w:rFonts w:ascii="Arial" w:cs="Arial" w:eastAsia="Arial" w:hAnsi="Arial"/>
          <w:sz w:val="22"/>
          <w:szCs w:val="22"/>
          <w:color w:val="auto"/>
        </w:rPr>
        <w:t>) to be used by such Purchaser to pay the purchase price of the Bonds to be purchased by such Purchaser hereunder:</w:t>
      </w:r>
    </w:p>
    <w:p>
      <w:pPr>
        <w:spacing w:after="0" w:line="226" w:lineRule="exact"/>
        <w:rPr>
          <w:sz w:val="20"/>
          <w:szCs w:val="20"/>
          <w:color w:val="auto"/>
        </w:rPr>
      </w:pPr>
    </w:p>
    <w:p>
      <w:pPr>
        <w:jc w:val="both"/>
        <w:ind w:left="760" w:right="99" w:firstLine="722"/>
        <w:spacing w:after="0" w:line="246" w:lineRule="exact"/>
        <w:tabs>
          <w:tab w:leader="none" w:pos="181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Source is an “insurance company general account” (as the term is defined in the United States Department of Labor’s Prohibited Transaction Exemption (</w:t>
      </w:r>
      <w:r>
        <w:rPr>
          <w:rFonts w:ascii="Arial" w:cs="Arial" w:eastAsia="Arial" w:hAnsi="Arial"/>
          <w:sz w:val="19"/>
          <w:szCs w:val="19"/>
          <w:i w:val="1"/>
          <w:iCs w:val="1"/>
          <w:color w:val="auto"/>
        </w:rPr>
        <w:t>“PTE”</w:t>
      </w:r>
      <w:r>
        <w:rPr>
          <w:rFonts w:ascii="Arial" w:cs="Arial" w:eastAsia="Arial" w:hAnsi="Arial"/>
          <w:sz w:val="19"/>
          <w:szCs w:val="19"/>
          <w:color w:val="auto"/>
        </w:rPr>
        <w:t>) 95</w:t>
      </w:r>
      <w:r>
        <w:rPr>
          <w:rFonts w:ascii="MS PGothic" w:cs="MS PGothic" w:eastAsia="MS PGothic" w:hAnsi="MS PGothic"/>
          <w:sz w:val="19"/>
          <w:szCs w:val="19"/>
          <w:color w:val="auto"/>
        </w:rPr>
        <w:t>‑</w:t>
      </w:r>
      <w:r>
        <w:rPr>
          <w:rFonts w:ascii="Arial" w:cs="Arial" w:eastAsia="Arial" w:hAnsi="Arial"/>
          <w:sz w:val="19"/>
          <w:szCs w:val="19"/>
          <w:color w:val="auto"/>
        </w:rPr>
        <w:t xml:space="preserve">60) in respect of which the reserves and liabilities (as defined by the annual statement for life insurance companies approved by the NAIC (the </w:t>
      </w:r>
      <w:r>
        <w:rPr>
          <w:rFonts w:ascii="Arial" w:cs="Arial" w:eastAsia="Arial" w:hAnsi="Arial"/>
          <w:sz w:val="19"/>
          <w:szCs w:val="19"/>
          <w:i w:val="1"/>
          <w:iCs w:val="1"/>
          <w:color w:val="auto"/>
        </w:rPr>
        <w:t>“NAIC Annual Statement”</w:t>
      </w:r>
      <w:r>
        <w:rPr>
          <w:rFonts w:ascii="Arial" w:cs="Arial" w:eastAsia="Arial" w:hAnsi="Arial"/>
          <w:sz w:val="19"/>
          <w:szCs w:val="19"/>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19"/>
          <w:szCs w:val="19"/>
          <w:color w:val="auto"/>
        </w:rPr>
        <w:t>‑</w:t>
      </w:r>
      <w:r>
        <w:rPr>
          <w:rFonts w:ascii="Arial" w:cs="Arial" w:eastAsia="Arial" w:hAnsi="Arial"/>
          <w:sz w:val="19"/>
          <w:szCs w:val="19"/>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26" w:lineRule="exact"/>
        <w:rPr>
          <w:rFonts w:ascii="Arial" w:cs="Arial" w:eastAsia="Arial" w:hAnsi="Arial"/>
          <w:sz w:val="19"/>
          <w:szCs w:val="19"/>
          <w:color w:val="auto"/>
        </w:rPr>
      </w:pPr>
    </w:p>
    <w:p>
      <w:pPr>
        <w:jc w:val="both"/>
        <w:ind w:left="760" w:right="99" w:firstLine="722"/>
        <w:spacing w:after="0" w:line="282" w:lineRule="auto"/>
        <w:tabs>
          <w:tab w:leader="none" w:pos="1822"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74" w:lineRule="exact"/>
        <w:rPr>
          <w:rFonts w:ascii="Arial" w:cs="Arial" w:eastAsia="Arial" w:hAnsi="Arial"/>
          <w:sz w:val="19"/>
          <w:szCs w:val="19"/>
          <w:color w:val="auto"/>
        </w:rPr>
      </w:pPr>
    </w:p>
    <w:p>
      <w:pPr>
        <w:jc w:val="both"/>
        <w:ind w:left="760" w:right="99" w:firstLine="722"/>
        <w:spacing w:after="0" w:line="248" w:lineRule="exact"/>
        <w:tabs>
          <w:tab w:leader="none" w:pos="181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Source is either (i) an insurance company pooled separate account, within the meaning of PTE 90</w:t>
      </w:r>
      <w:r>
        <w:rPr>
          <w:rFonts w:ascii="MS PGothic" w:cs="MS PGothic" w:eastAsia="MS PGothic" w:hAnsi="MS PGothic"/>
          <w:sz w:val="19"/>
          <w:szCs w:val="19"/>
          <w:color w:val="auto"/>
        </w:rPr>
        <w:t>‑</w:t>
      </w:r>
      <w:r>
        <w:rPr>
          <w:rFonts w:ascii="Arial" w:cs="Arial" w:eastAsia="Arial" w:hAnsi="Arial"/>
          <w:sz w:val="19"/>
          <w:szCs w:val="19"/>
          <w:color w:val="auto"/>
        </w:rPr>
        <w:t>1 or (ii) a bank collective investment fund, within the meaning of the PTE 91</w:t>
      </w:r>
      <w:r>
        <w:rPr>
          <w:rFonts w:ascii="MS PGothic" w:cs="MS PGothic" w:eastAsia="MS PGothic" w:hAnsi="MS PGothic"/>
          <w:sz w:val="19"/>
          <w:szCs w:val="19"/>
          <w:color w:val="auto"/>
        </w:rPr>
        <w:t>‑</w:t>
      </w:r>
      <w:r>
        <w:rPr>
          <w:rFonts w:ascii="Arial" w:cs="Arial" w:eastAsia="Arial" w:hAnsi="Arial"/>
          <w:sz w:val="19"/>
          <w:szCs w:val="19"/>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229" w:lineRule="exact"/>
        <w:rPr>
          <w:rFonts w:ascii="Arial" w:cs="Arial" w:eastAsia="Arial" w:hAnsi="Arial"/>
          <w:sz w:val="19"/>
          <w:szCs w:val="19"/>
          <w:color w:val="auto"/>
        </w:rPr>
      </w:pPr>
    </w:p>
    <w:p>
      <w:pPr>
        <w:jc w:val="both"/>
        <w:ind w:left="760" w:right="99" w:firstLine="722"/>
        <w:spacing w:after="0" w:line="246" w:lineRule="exact"/>
        <w:tabs>
          <w:tab w:leader="none" w:pos="1822"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Source constitutes assets of an “investment fund” (within the meaning of Part VI of PTE 84</w:t>
      </w:r>
      <w:r>
        <w:rPr>
          <w:rFonts w:ascii="MS PGothic" w:cs="MS PGothic" w:eastAsia="MS PGothic" w:hAnsi="MS PGothic"/>
          <w:sz w:val="21"/>
          <w:szCs w:val="21"/>
          <w:color w:val="auto"/>
        </w:rPr>
        <w:t>‑</w:t>
      </w:r>
      <w:r>
        <w:rPr>
          <w:rFonts w:ascii="Arial" w:cs="Arial" w:eastAsia="Arial" w:hAnsi="Arial"/>
          <w:sz w:val="21"/>
          <w:szCs w:val="21"/>
          <w:color w:val="auto"/>
        </w:rPr>
        <w:t xml:space="preserve">14 (the </w:t>
      </w:r>
      <w:r>
        <w:rPr>
          <w:rFonts w:ascii="Arial" w:cs="Arial" w:eastAsia="Arial" w:hAnsi="Arial"/>
          <w:sz w:val="21"/>
          <w:szCs w:val="21"/>
          <w:i w:val="1"/>
          <w:iCs w:val="1"/>
          <w:color w:val="auto"/>
        </w:rPr>
        <w:t>“QPAM Exemption”</w:t>
      </w:r>
      <w:r>
        <w:rPr>
          <w:rFonts w:ascii="Arial" w:cs="Arial" w:eastAsia="Arial" w:hAnsi="Arial"/>
          <w:sz w:val="21"/>
          <w:szCs w:val="21"/>
          <w:color w:val="auto"/>
        </w:rPr>
        <w:t>)) managed by a “</w:t>
      </w:r>
      <w:r>
        <w:rPr>
          <w:rFonts w:ascii="Arial" w:cs="Arial" w:eastAsia="Arial" w:hAnsi="Arial"/>
          <w:sz w:val="21"/>
          <w:szCs w:val="21"/>
          <w:i w:val="1"/>
          <w:iCs w:val="1"/>
          <w:color w:val="auto"/>
        </w:rPr>
        <w:t>qualified professional asset</w:t>
      </w:r>
      <w:r>
        <w:rPr>
          <w:rFonts w:ascii="Arial" w:cs="Arial" w:eastAsia="Arial" w:hAnsi="Arial"/>
          <w:sz w:val="21"/>
          <w:szCs w:val="21"/>
          <w:color w:val="auto"/>
        </w:rPr>
        <w:t xml:space="preserve"> </w:t>
      </w:r>
      <w:r>
        <w:rPr>
          <w:rFonts w:ascii="Arial" w:cs="Arial" w:eastAsia="Arial" w:hAnsi="Arial"/>
          <w:sz w:val="21"/>
          <w:szCs w:val="21"/>
          <w:i w:val="1"/>
          <w:iCs w:val="1"/>
          <w:color w:val="auto"/>
        </w:rPr>
        <w:t>manager</w:t>
      </w:r>
      <w:r>
        <w:rPr>
          <w:rFonts w:ascii="Arial" w:cs="Arial" w:eastAsia="Arial" w:hAnsi="Arial"/>
          <w:sz w:val="21"/>
          <w:szCs w:val="21"/>
          <w:color w:val="auto"/>
        </w:rPr>
        <w:t>” or “</w:t>
      </w:r>
      <w:r>
        <w:rPr>
          <w:rFonts w:ascii="Arial" w:cs="Arial" w:eastAsia="Arial" w:hAnsi="Arial"/>
          <w:sz w:val="21"/>
          <w:szCs w:val="21"/>
          <w:i w:val="1"/>
          <w:iCs w:val="1"/>
          <w:color w:val="auto"/>
        </w:rPr>
        <w:t>QPAM</w:t>
      </w:r>
      <w:r>
        <w:rPr>
          <w:rFonts w:ascii="Arial" w:cs="Arial" w:eastAsia="Arial" w:hAnsi="Arial"/>
          <w:sz w:val="21"/>
          <w:szCs w:val="21"/>
          <w:color w:val="auto"/>
        </w:rPr>
        <w:t>” (within the meaning of Part VI of the QPAM Exemption), no employee</w:t>
      </w:r>
      <w:r>
        <w:rPr>
          <w:rFonts w:ascii="Arial" w:cs="Arial" w:eastAsia="Arial" w:hAnsi="Arial"/>
          <w:sz w:val="21"/>
          <w:szCs w:val="21"/>
          <w:i w:val="1"/>
          <w:iCs w:val="1"/>
          <w:color w:val="auto"/>
        </w:rPr>
        <w:t xml:space="preserve"> </w:t>
      </w:r>
      <w:r>
        <w:rPr>
          <w:rFonts w:ascii="Arial" w:cs="Arial" w:eastAsia="Arial" w:hAnsi="Arial"/>
          <w:sz w:val="21"/>
          <w:szCs w:val="21"/>
          <w:color w:val="auto"/>
        </w:rPr>
        <w:t>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41" w:name="page142"/>
    <w:bookmarkEnd w:id="141"/>
    <w:p>
      <w:pPr>
        <w:jc w:val="both"/>
        <w:ind w:left="760" w:right="99"/>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related</w:t>
      </w:r>
      <w:r>
        <w:rPr>
          <w:rFonts w:ascii="Arial" w:cs="Arial" w:eastAsia="Arial" w:hAnsi="Arial"/>
          <w:sz w:val="21"/>
          <w:szCs w:val="21"/>
          <w:color w:val="auto"/>
        </w:rPr>
        <w:t>”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205" w:lineRule="exact"/>
        <w:rPr>
          <w:sz w:val="20"/>
          <w:szCs w:val="20"/>
          <w:color w:val="auto"/>
        </w:rPr>
      </w:pPr>
    </w:p>
    <w:p>
      <w:pPr>
        <w:jc w:val="both"/>
        <w:ind w:left="760" w:right="99" w:firstLine="722"/>
        <w:spacing w:after="0" w:line="247" w:lineRule="exact"/>
        <w:tabs>
          <w:tab w:leader="none" w:pos="181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Source constitutes assets of a “</w:t>
      </w:r>
      <w:r>
        <w:rPr>
          <w:rFonts w:ascii="Arial" w:cs="Arial" w:eastAsia="Arial" w:hAnsi="Arial"/>
          <w:sz w:val="19"/>
          <w:szCs w:val="19"/>
          <w:i w:val="1"/>
          <w:iCs w:val="1"/>
          <w:color w:val="auto"/>
        </w:rPr>
        <w:t>plan(s)</w:t>
      </w:r>
      <w:r>
        <w:rPr>
          <w:rFonts w:ascii="Arial" w:cs="Arial" w:eastAsia="Arial" w:hAnsi="Arial"/>
          <w:sz w:val="19"/>
          <w:szCs w:val="19"/>
          <w:color w:val="auto"/>
        </w:rPr>
        <w:t>” (within the meaning of Part IV(h) of PTE 96</w:t>
      </w:r>
      <w:r>
        <w:rPr>
          <w:rFonts w:ascii="MS PGothic" w:cs="MS PGothic" w:eastAsia="MS PGothic" w:hAnsi="MS PGothic"/>
          <w:sz w:val="19"/>
          <w:szCs w:val="19"/>
          <w:color w:val="auto"/>
        </w:rPr>
        <w:t>‑</w:t>
      </w:r>
      <w:r>
        <w:rPr>
          <w:rFonts w:ascii="Arial" w:cs="Arial" w:eastAsia="Arial" w:hAnsi="Arial"/>
          <w:sz w:val="19"/>
          <w:szCs w:val="19"/>
          <w:color w:val="auto"/>
        </w:rPr>
        <w:t xml:space="preserve">23 (the </w:t>
      </w:r>
      <w:r>
        <w:rPr>
          <w:rFonts w:ascii="Arial" w:cs="Arial" w:eastAsia="Arial" w:hAnsi="Arial"/>
          <w:sz w:val="19"/>
          <w:szCs w:val="19"/>
          <w:i w:val="1"/>
          <w:iCs w:val="1"/>
          <w:color w:val="auto"/>
        </w:rPr>
        <w:t>“INHAM Exemption”</w:t>
      </w:r>
      <w:r>
        <w:rPr>
          <w:rFonts w:ascii="Arial" w:cs="Arial" w:eastAsia="Arial" w:hAnsi="Arial"/>
          <w:sz w:val="19"/>
          <w:szCs w:val="19"/>
          <w:color w:val="auto"/>
        </w:rPr>
        <w:t>)) managed by an “in</w:t>
      </w:r>
      <w:r>
        <w:rPr>
          <w:rFonts w:ascii="MS PGothic" w:cs="MS PGothic" w:eastAsia="MS PGothic" w:hAnsi="MS PGothic"/>
          <w:sz w:val="19"/>
          <w:szCs w:val="19"/>
          <w:color w:val="auto"/>
        </w:rPr>
        <w:t>‑</w:t>
      </w:r>
      <w:r>
        <w:rPr>
          <w:rFonts w:ascii="Arial" w:cs="Arial" w:eastAsia="Arial" w:hAnsi="Arial"/>
          <w:sz w:val="19"/>
          <w:szCs w:val="19"/>
          <w:color w:val="auto"/>
        </w:rPr>
        <w:t>house asset manager” or “</w:t>
      </w:r>
      <w:r>
        <w:rPr>
          <w:rFonts w:ascii="Arial" w:cs="Arial" w:eastAsia="Arial" w:hAnsi="Arial"/>
          <w:sz w:val="19"/>
          <w:szCs w:val="19"/>
          <w:i w:val="1"/>
          <w:iCs w:val="1"/>
          <w:color w:val="auto"/>
        </w:rPr>
        <w:t>INHAM</w:t>
      </w:r>
      <w:r>
        <w:rPr>
          <w:rFonts w:ascii="Arial" w:cs="Arial" w:eastAsia="Arial" w:hAnsi="Arial"/>
          <w:sz w:val="19"/>
          <w:szCs w:val="19"/>
          <w:color w:val="auto"/>
        </w:rPr>
        <w:t>” (within the meaning of Part IV(a) of the INHAM Exemption), the conditions of Part I(a), (g) and (h) of the INHAM Exemption are satisfied, neither the INHAM nor a person controlling or controlled by the INHAM (applying the definition of “</w:t>
      </w:r>
      <w:r>
        <w:rPr>
          <w:rFonts w:ascii="Arial" w:cs="Arial" w:eastAsia="Arial" w:hAnsi="Arial"/>
          <w:sz w:val="19"/>
          <w:szCs w:val="19"/>
          <w:i w:val="1"/>
          <w:iCs w:val="1"/>
          <w:color w:val="auto"/>
        </w:rPr>
        <w:t>control</w:t>
      </w:r>
      <w:r>
        <w:rPr>
          <w:rFonts w:ascii="Arial" w:cs="Arial" w:eastAsia="Arial" w:hAnsi="Arial"/>
          <w:sz w:val="19"/>
          <w:szCs w:val="19"/>
          <w:color w:val="auto"/>
        </w:rPr>
        <w:t>”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227" w:lineRule="exact"/>
        <w:rPr>
          <w:rFonts w:ascii="Arial" w:cs="Arial" w:eastAsia="Arial" w:hAnsi="Arial"/>
          <w:sz w:val="19"/>
          <w:szCs w:val="19"/>
          <w:color w:val="auto"/>
        </w:rPr>
      </w:pPr>
    </w:p>
    <w:p>
      <w:pPr>
        <w:ind w:left="1860" w:hanging="337"/>
        <w:spacing w:after="0"/>
        <w:tabs>
          <w:tab w:leader="none" w:pos="1860"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46" w:lineRule="exact"/>
        <w:rPr>
          <w:rFonts w:ascii="Arial" w:cs="Arial" w:eastAsia="Arial" w:hAnsi="Arial"/>
          <w:sz w:val="22"/>
          <w:szCs w:val="22"/>
          <w:color w:val="auto"/>
        </w:rPr>
      </w:pPr>
    </w:p>
    <w:p>
      <w:pPr>
        <w:jc w:val="both"/>
        <w:ind w:left="760" w:right="99" w:firstLine="722"/>
        <w:spacing w:after="0"/>
        <w:tabs>
          <w:tab w:leader="none" w:pos="1822"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213" w:lineRule="exact"/>
        <w:rPr>
          <w:rFonts w:ascii="Arial" w:cs="Arial" w:eastAsia="Arial" w:hAnsi="Arial"/>
          <w:sz w:val="22"/>
          <w:szCs w:val="22"/>
          <w:color w:val="auto"/>
        </w:rPr>
      </w:pPr>
    </w:p>
    <w:p>
      <w:pPr>
        <w:ind w:left="760" w:right="99" w:firstLine="722"/>
        <w:spacing w:after="0" w:line="251" w:lineRule="auto"/>
        <w:tabs>
          <w:tab w:leader="none" w:pos="1822"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Source does not include assets of any employee benefit plan, other than a plan exempt from the coverage of ERISA.</w:t>
      </w:r>
    </w:p>
    <w:p>
      <w:pPr>
        <w:spacing w:after="0" w:line="214" w:lineRule="exact"/>
        <w:rPr>
          <w:sz w:val="20"/>
          <w:szCs w:val="20"/>
          <w:color w:val="auto"/>
        </w:rPr>
      </w:pPr>
    </w:p>
    <w:p>
      <w:pPr>
        <w:ind w:left="100" w:right="99"/>
        <w:spacing w:after="0" w:line="328" w:lineRule="auto"/>
        <w:rPr>
          <w:sz w:val="20"/>
          <w:szCs w:val="20"/>
          <w:color w:val="auto"/>
        </w:rPr>
      </w:pPr>
      <w:r>
        <w:rPr>
          <w:rFonts w:ascii="Arial" w:cs="Arial" w:eastAsia="Arial" w:hAnsi="Arial"/>
          <w:sz w:val="19"/>
          <w:szCs w:val="19"/>
          <w:color w:val="auto"/>
        </w:rPr>
        <w:t xml:space="preserve">As used in this Section 6.2, the terms </w:t>
      </w:r>
      <w:r>
        <w:rPr>
          <w:rFonts w:ascii="Arial" w:cs="Arial" w:eastAsia="Arial" w:hAnsi="Arial"/>
          <w:sz w:val="19"/>
          <w:szCs w:val="19"/>
          <w:i w:val="1"/>
          <w:iCs w:val="1"/>
          <w:color w:val="auto"/>
        </w:rPr>
        <w:t>“employee benefit plan,” “governmental plan,”</w:t>
      </w:r>
      <w:r>
        <w:rPr>
          <w:rFonts w:ascii="Arial" w:cs="Arial" w:eastAsia="Arial" w:hAnsi="Arial"/>
          <w:sz w:val="19"/>
          <w:szCs w:val="19"/>
          <w:color w:val="auto"/>
        </w:rPr>
        <w:t xml:space="preserve"> and </w:t>
      </w:r>
      <w:r>
        <w:rPr>
          <w:rFonts w:ascii="Arial" w:cs="Arial" w:eastAsia="Arial" w:hAnsi="Arial"/>
          <w:sz w:val="19"/>
          <w:szCs w:val="19"/>
          <w:i w:val="1"/>
          <w:iCs w:val="1"/>
          <w:color w:val="auto"/>
        </w:rPr>
        <w:t>“separate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account” </w:t>
      </w:r>
      <w:r>
        <w:rPr>
          <w:rFonts w:ascii="Arial" w:cs="Arial" w:eastAsia="Arial" w:hAnsi="Arial"/>
          <w:sz w:val="19"/>
          <w:szCs w:val="19"/>
          <w:color w:val="auto"/>
        </w:rPr>
        <w:t>shall have the respective meanings assigned to such terms in section 3 of ERISA.</w:t>
      </w:r>
    </w:p>
    <w:p>
      <w:pPr>
        <w:spacing w:after="0" w:line="146" w:lineRule="exact"/>
        <w:rPr>
          <w:sz w:val="20"/>
          <w:szCs w:val="20"/>
          <w:color w:val="auto"/>
        </w:rPr>
      </w:pPr>
    </w:p>
    <w:p>
      <w:pPr>
        <w:ind w:left="100"/>
        <w:spacing w:after="0"/>
        <w:tabs>
          <w:tab w:leader="none" w:pos="192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color w:val="auto"/>
        </w:rPr>
        <w:t>INFORMATION AS TO COMPANY.</w:t>
      </w:r>
    </w:p>
    <w:p>
      <w:pPr>
        <w:spacing w:after="0" w:line="233" w:lineRule="exact"/>
        <w:rPr>
          <w:sz w:val="20"/>
          <w:szCs w:val="20"/>
          <w:color w:val="auto"/>
        </w:rPr>
      </w:pPr>
    </w:p>
    <w:p>
      <w:pPr>
        <w:ind w:left="820"/>
        <w:spacing w:after="0"/>
        <w:tabs>
          <w:tab w:leader="none" w:pos="5540" w:val="left"/>
        </w:tabs>
        <w:rPr>
          <w:sz w:val="20"/>
          <w:szCs w:val="20"/>
          <w:color w:val="auto"/>
        </w:rPr>
      </w:pPr>
      <w:r>
        <w:rPr>
          <w:rFonts w:ascii="Arial" w:cs="Arial" w:eastAsia="Arial" w:hAnsi="Arial"/>
          <w:sz w:val="22"/>
          <w:szCs w:val="22"/>
          <w:i w:val="1"/>
          <w:iCs w:val="1"/>
          <w:color w:val="auto"/>
        </w:rPr>
        <w:t>Section 7.1. Financial and Business Information</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Company shall deliver to each</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Purchaser and each holder of Bonds that is an Institutional Investor:</w:t>
      </w:r>
    </w:p>
    <w:p>
      <w:pPr>
        <w:spacing w:after="0" w:line="229" w:lineRule="exact"/>
        <w:rPr>
          <w:sz w:val="20"/>
          <w:szCs w:val="20"/>
          <w:color w:val="auto"/>
        </w:rPr>
      </w:pPr>
    </w:p>
    <w:p>
      <w:pPr>
        <w:jc w:val="both"/>
        <w:ind w:left="760" w:right="99" w:firstLine="722"/>
        <w:spacing w:after="0"/>
        <w:tabs>
          <w:tab w:leader="none" w:pos="1810"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 xml:space="preserve">Quarterly Statements </w:t>
      </w:r>
      <w:r>
        <w:rPr>
          <w:rFonts w:ascii="Arial" w:cs="Arial" w:eastAsia="Arial" w:hAnsi="Arial"/>
          <w:sz w:val="22"/>
          <w:szCs w:val="22"/>
          <w:color w:val="auto"/>
        </w:rPr>
        <w:t>— within 60 days after the end of each quarterly fiscal</w:t>
      </w:r>
      <w:r>
        <w:rPr>
          <w:rFonts w:ascii="Arial" w:cs="Arial" w:eastAsia="Arial" w:hAnsi="Arial"/>
          <w:sz w:val="22"/>
          <w:szCs w:val="22"/>
          <w:i w:val="1"/>
          <w:iCs w:val="1"/>
          <w:color w:val="auto"/>
        </w:rPr>
        <w:t xml:space="preserve"> </w:t>
      </w:r>
      <w:r>
        <w:rPr>
          <w:rFonts w:ascii="Arial" w:cs="Arial" w:eastAsia="Arial" w:hAnsi="Arial"/>
          <w:sz w:val="22"/>
          <w:szCs w:val="22"/>
          <w:color w:val="auto"/>
        </w:rPr>
        <w:t>period in each fiscal year of the Company (other than the last quarterly fiscal period of each such fiscal year), duplicate copies of:</w:t>
      </w:r>
    </w:p>
    <w:p>
      <w:pPr>
        <w:spacing w:after="0" w:line="226" w:lineRule="exact"/>
        <w:rPr>
          <w:rFonts w:ascii="Arial" w:cs="Arial" w:eastAsia="Arial" w:hAnsi="Arial"/>
          <w:sz w:val="22"/>
          <w:szCs w:val="22"/>
          <w:color w:val="auto"/>
        </w:rPr>
      </w:pPr>
    </w:p>
    <w:p>
      <w:pPr>
        <w:ind w:left="1400" w:right="99" w:firstLine="784"/>
        <w:spacing w:after="0" w:line="251" w:lineRule="auto"/>
        <w:tabs>
          <w:tab w:leader="none" w:pos="2522"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as at the end of such quarter,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42" w:name="page143"/>
    <w:bookmarkEnd w:id="142"/>
    <w:p>
      <w:pPr>
        <w:jc w:val="both"/>
        <w:ind w:left="1400" w:right="99" w:firstLine="757"/>
        <w:spacing w:after="0" w:line="238" w:lineRule="auto"/>
        <w:tabs>
          <w:tab w:leader="none" w:pos="2528" w:val="left"/>
        </w:tabs>
        <w:numPr>
          <w:ilvl w:val="0"/>
          <w:numId w:val="77"/>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212" w:lineRule="exact"/>
        <w:rPr>
          <w:sz w:val="20"/>
          <w:szCs w:val="20"/>
          <w:color w:val="auto"/>
        </w:rPr>
      </w:pPr>
    </w:p>
    <w:p>
      <w:pPr>
        <w:jc w:val="both"/>
        <w:ind w:left="1400" w:right="99"/>
        <w:spacing w:after="0" w:line="246" w:lineRule="exact"/>
        <w:rPr>
          <w:sz w:val="20"/>
          <w:szCs w:val="20"/>
          <w:color w:val="auto"/>
        </w:rPr>
      </w:pPr>
      <w:r>
        <w:rPr>
          <w:rFonts w:ascii="Arial" w:cs="Arial" w:eastAsia="Arial" w:hAnsi="Arial"/>
          <w:sz w:val="19"/>
          <w:szCs w:val="19"/>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19"/>
          <w:szCs w:val="19"/>
          <w:color w:val="auto"/>
        </w:rPr>
        <w:t>‑</w:t>
      </w:r>
      <w:r>
        <w:rPr>
          <w:rFonts w:ascii="Arial" w:cs="Arial" w:eastAsia="Arial" w:hAnsi="Arial"/>
          <w:sz w:val="19"/>
          <w:szCs w:val="19"/>
          <w:color w:val="auto"/>
        </w:rPr>
        <w:t xml:space="preserve">end adjustments,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filed with the Municipal Securities Rulemaking Board on the Electronic Municipal Market Access (“</w:t>
      </w:r>
      <w:r>
        <w:rPr>
          <w:rFonts w:ascii="Arial" w:cs="Arial" w:eastAsia="Arial" w:hAnsi="Arial"/>
          <w:sz w:val="19"/>
          <w:szCs w:val="19"/>
          <w:i w:val="1"/>
          <w:iCs w:val="1"/>
          <w:color w:val="auto"/>
        </w:rPr>
        <w:t>EMMA</w:t>
      </w:r>
      <w:r>
        <w:rPr>
          <w:rFonts w:ascii="Arial" w:cs="Arial" w:eastAsia="Arial" w:hAnsi="Arial"/>
          <w:sz w:val="19"/>
          <w:szCs w:val="19"/>
          <w:color w:val="auto"/>
        </w:rPr>
        <w:t>”) database shall be deemed to satisfy the requirements of this Section 7.1(a);</w:t>
      </w:r>
    </w:p>
    <w:p>
      <w:pPr>
        <w:spacing w:after="0" w:line="230" w:lineRule="exact"/>
        <w:rPr>
          <w:sz w:val="20"/>
          <w:szCs w:val="20"/>
          <w:color w:val="auto"/>
        </w:rPr>
      </w:pPr>
    </w:p>
    <w:p>
      <w:pPr>
        <w:ind w:left="760" w:right="99" w:firstLine="925"/>
        <w:spacing w:after="0" w:line="251" w:lineRule="auto"/>
        <w:tabs>
          <w:tab w:leader="none" w:pos="2227"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 xml:space="preserve">Annual Statements </w:t>
      </w:r>
      <w:r>
        <w:rPr>
          <w:rFonts w:ascii="Arial" w:cs="Arial" w:eastAsia="Arial" w:hAnsi="Arial"/>
          <w:sz w:val="22"/>
          <w:szCs w:val="22"/>
          <w:color w:val="auto"/>
        </w:rPr>
        <w:t>— within 120 days after the end of each fiscal year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duplicate copies of:</w:t>
      </w:r>
    </w:p>
    <w:p>
      <w:pPr>
        <w:spacing w:after="0" w:line="213" w:lineRule="exact"/>
        <w:rPr>
          <w:rFonts w:ascii="Arial" w:cs="Arial" w:eastAsia="Arial" w:hAnsi="Arial"/>
          <w:sz w:val="22"/>
          <w:szCs w:val="22"/>
          <w:color w:val="auto"/>
        </w:rPr>
      </w:pPr>
    </w:p>
    <w:p>
      <w:pPr>
        <w:ind w:left="1400" w:right="99" w:firstLine="784"/>
        <w:spacing w:after="0" w:line="251" w:lineRule="auto"/>
        <w:tabs>
          <w:tab w:leader="none" w:pos="2522" w:val="left"/>
        </w:tabs>
        <w:numPr>
          <w:ilvl w:val="1"/>
          <w:numId w:val="78"/>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as at the end of such year, and</w:t>
      </w:r>
    </w:p>
    <w:p>
      <w:pPr>
        <w:spacing w:after="0" w:line="200" w:lineRule="exact"/>
        <w:rPr>
          <w:sz w:val="20"/>
          <w:szCs w:val="20"/>
          <w:color w:val="auto"/>
        </w:rPr>
      </w:pPr>
    </w:p>
    <w:p>
      <w:pPr>
        <w:ind w:left="1400" w:right="99" w:firstLine="757"/>
        <w:spacing w:after="0" w:line="251" w:lineRule="auto"/>
        <w:tabs>
          <w:tab w:leader="none" w:pos="2528" w:val="left"/>
        </w:tabs>
        <w:numPr>
          <w:ilvl w:val="0"/>
          <w:numId w:val="79"/>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year,</w:t>
      </w:r>
    </w:p>
    <w:p>
      <w:pPr>
        <w:spacing w:after="0" w:line="214" w:lineRule="exact"/>
        <w:rPr>
          <w:sz w:val="20"/>
          <w:szCs w:val="20"/>
          <w:color w:val="auto"/>
        </w:rPr>
      </w:pPr>
    </w:p>
    <w:p>
      <w:pPr>
        <w:jc w:val="both"/>
        <w:ind w:left="1400" w:right="99"/>
        <w:spacing w:after="0" w:line="271" w:lineRule="auto"/>
        <w:rPr>
          <w:sz w:val="20"/>
          <w:szCs w:val="20"/>
          <w:color w:val="auto"/>
        </w:rPr>
      </w:pPr>
      <w:r>
        <w:rPr>
          <w:rFonts w:ascii="Arial" w:cs="Arial" w:eastAsia="Arial" w:hAnsi="Arial"/>
          <w:sz w:val="19"/>
          <w:szCs w:val="19"/>
          <w:color w:val="auto"/>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containing the above-described audit opinion and filed with the Municipal Securities Rulemaking Board on the EMMA database shall be deemed to satisfy the requirements of this Section 7.1(b);</w:t>
      </w:r>
    </w:p>
    <w:p>
      <w:pPr>
        <w:spacing w:after="0" w:line="200" w:lineRule="exact"/>
        <w:rPr>
          <w:sz w:val="20"/>
          <w:szCs w:val="20"/>
          <w:color w:val="auto"/>
        </w:rPr>
      </w:pPr>
    </w:p>
    <w:p>
      <w:pPr>
        <w:spacing w:after="0" w:line="245" w:lineRule="exact"/>
        <w:rPr>
          <w:sz w:val="20"/>
          <w:szCs w:val="20"/>
          <w:color w:val="auto"/>
        </w:rPr>
      </w:pPr>
    </w:p>
    <w:p>
      <w:pPr>
        <w:ind w:left="1800" w:hanging="318"/>
        <w:spacing w:after="0"/>
        <w:tabs>
          <w:tab w:leader="none" w:pos="1800" w:val="left"/>
        </w:tabs>
        <w:numPr>
          <w:ilvl w:val="1"/>
          <w:numId w:val="80"/>
        </w:numPr>
        <w:rPr>
          <w:rFonts w:ascii="Arial" w:cs="Arial" w:eastAsia="Arial" w:hAnsi="Arial"/>
          <w:sz w:val="19"/>
          <w:szCs w:val="19"/>
          <w:color w:val="auto"/>
        </w:rPr>
      </w:pPr>
      <w:r>
        <w:rPr>
          <w:rFonts w:ascii="Arial" w:cs="Arial" w:eastAsia="Arial" w:hAnsi="Arial"/>
          <w:sz w:val="19"/>
          <w:szCs w:val="19"/>
          <w:i w:val="1"/>
          <w:iCs w:val="1"/>
          <w:color w:val="auto"/>
        </w:rPr>
        <w:t xml:space="preserve">SEC and Other Reports </w:t>
      </w:r>
      <w:r>
        <w:rPr>
          <w:rFonts w:ascii="Arial" w:cs="Arial" w:eastAsia="Arial" w:hAnsi="Arial"/>
          <w:sz w:val="19"/>
          <w:szCs w:val="19"/>
          <w:color w:val="auto"/>
        </w:rPr>
        <w:t>— promptly upon their becoming available, one copy of</w:t>
      </w:r>
    </w:p>
    <w:p>
      <w:pPr>
        <w:spacing w:after="0" w:line="42" w:lineRule="exact"/>
        <w:rPr>
          <w:rFonts w:ascii="Arial" w:cs="Arial" w:eastAsia="Arial" w:hAnsi="Arial"/>
          <w:sz w:val="19"/>
          <w:szCs w:val="19"/>
          <w:color w:val="auto"/>
        </w:rPr>
      </w:pPr>
    </w:p>
    <w:p>
      <w:pPr>
        <w:ind w:left="760" w:right="99" w:hanging="7"/>
        <w:spacing w:after="0" w:line="256" w:lineRule="auto"/>
        <w:tabs>
          <w:tab w:leader="none" w:pos="1042" w:val="left"/>
        </w:tabs>
        <w:numPr>
          <w:ilvl w:val="0"/>
          <w:numId w:val="81"/>
        </w:numPr>
        <w:rPr>
          <w:rFonts w:ascii="Arial" w:cs="Arial" w:eastAsia="Arial" w:hAnsi="Arial"/>
          <w:sz w:val="21"/>
          <w:szCs w:val="21"/>
          <w:color w:val="auto"/>
        </w:rPr>
      </w:pPr>
      <w:r>
        <w:rPr>
          <w:rFonts w:ascii="Arial" w:cs="Arial" w:eastAsia="Arial" w:hAnsi="Arial"/>
          <w:sz w:val="21"/>
          <w:szCs w:val="21"/>
          <w:color w:val="auto"/>
        </w:rPr>
        <w:t>each financial statement, report, notice, or proxy statement sent by the Company or any Subsidiary to its public securities holders generally, and (ii) each regular or periodic</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43" w:name="page144"/>
    <w:bookmarkEnd w:id="143"/>
    <w:p>
      <w:pPr>
        <w:jc w:val="both"/>
        <w:ind w:left="760" w:right="99"/>
        <w:spacing w:after="0" w:line="234" w:lineRule="auto"/>
        <w:rPr>
          <w:sz w:val="20"/>
          <w:szCs w:val="20"/>
          <w:color w:val="auto"/>
        </w:rPr>
      </w:pPr>
      <w:r>
        <w:rPr>
          <w:rFonts w:ascii="Arial" w:cs="Arial" w:eastAsia="Arial" w:hAnsi="Arial"/>
          <w:sz w:val="22"/>
          <w:szCs w:val="22"/>
          <w:color w:val="auto"/>
        </w:rPr>
        <w:t xml:space="preserve">report, each registration statement that shall have become effective (without exhibits except as expressly requested by such holder), and each final prospectus and all amendments thereto filed by the Company or any Subsidiary with the SEC,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 Section 7.1(c);</w:t>
      </w:r>
    </w:p>
    <w:p>
      <w:pPr>
        <w:spacing w:after="0" w:line="218" w:lineRule="exact"/>
        <w:rPr>
          <w:sz w:val="20"/>
          <w:szCs w:val="20"/>
          <w:color w:val="auto"/>
        </w:rPr>
      </w:pPr>
    </w:p>
    <w:p>
      <w:pPr>
        <w:jc w:val="both"/>
        <w:ind w:left="760" w:right="99" w:firstLine="722"/>
        <w:spacing w:after="0" w:line="252" w:lineRule="auto"/>
        <w:tabs>
          <w:tab w:leader="none" w:pos="1822" w:val="left"/>
        </w:tabs>
        <w:numPr>
          <w:ilvl w:val="0"/>
          <w:numId w:val="82"/>
        </w:numPr>
        <w:rPr>
          <w:rFonts w:ascii="Arial" w:cs="Arial" w:eastAsia="Arial" w:hAnsi="Arial"/>
          <w:sz w:val="21"/>
          <w:szCs w:val="21"/>
          <w:color w:val="auto"/>
        </w:rPr>
      </w:pPr>
      <w:r>
        <w:rPr>
          <w:rFonts w:ascii="Arial" w:cs="Arial" w:eastAsia="Arial" w:hAnsi="Arial"/>
          <w:sz w:val="21"/>
          <w:szCs w:val="21"/>
          <w:i w:val="1"/>
          <w:iCs w:val="1"/>
          <w:color w:val="auto"/>
        </w:rPr>
        <w:t xml:space="preserve">Notice of Default or Event of Default </w:t>
      </w:r>
      <w:r>
        <w:rPr>
          <w:rFonts w:ascii="Arial" w:cs="Arial" w:eastAsia="Arial" w:hAnsi="Arial"/>
          <w:sz w:val="21"/>
          <w:szCs w:val="21"/>
          <w:color w:val="auto"/>
        </w:rPr>
        <w:t>— promptly, and in any event within five</w:t>
      </w:r>
      <w:r>
        <w:rPr>
          <w:rFonts w:ascii="Arial" w:cs="Arial" w:eastAsia="Arial" w:hAnsi="Arial"/>
          <w:sz w:val="21"/>
          <w:szCs w:val="21"/>
          <w:i w:val="1"/>
          <w:iCs w:val="1"/>
          <w:color w:val="auto"/>
        </w:rPr>
        <w:t xml:space="preserve"> </w:t>
      </w:r>
      <w:r>
        <w:rPr>
          <w:rFonts w:ascii="Arial" w:cs="Arial" w:eastAsia="Arial" w:hAnsi="Arial"/>
          <w:sz w:val="21"/>
          <w:szCs w:val="21"/>
          <w:color w:val="auto"/>
        </w:rPr>
        <w:t>days after a Responsible Officer becomes aware of the existence of any Default or Event of Default, a written notice specifying the nature and period of existence thereof and what action the Company is taking or proposes to take with respect thereto;</w:t>
      </w:r>
    </w:p>
    <w:p>
      <w:pPr>
        <w:spacing w:after="0" w:line="214" w:lineRule="exact"/>
        <w:rPr>
          <w:rFonts w:ascii="Arial" w:cs="Arial" w:eastAsia="Arial" w:hAnsi="Arial"/>
          <w:sz w:val="21"/>
          <w:szCs w:val="21"/>
          <w:color w:val="auto"/>
        </w:rPr>
      </w:pPr>
    </w:p>
    <w:p>
      <w:pPr>
        <w:jc w:val="both"/>
        <w:ind w:left="760" w:right="99" w:firstLine="722"/>
        <w:spacing w:after="0" w:line="238" w:lineRule="auto"/>
        <w:tabs>
          <w:tab w:leader="none" w:pos="1810" w:val="left"/>
        </w:tabs>
        <w:numPr>
          <w:ilvl w:val="0"/>
          <w:numId w:val="82"/>
        </w:numPr>
        <w:rPr>
          <w:rFonts w:ascii="Arial" w:cs="Arial" w:eastAsia="Arial" w:hAnsi="Arial"/>
          <w:sz w:val="22"/>
          <w:szCs w:val="22"/>
          <w:color w:val="auto"/>
        </w:rPr>
      </w:pPr>
      <w:r>
        <w:rPr>
          <w:rFonts w:ascii="Arial" w:cs="Arial" w:eastAsia="Arial" w:hAnsi="Arial"/>
          <w:sz w:val="22"/>
          <w:szCs w:val="22"/>
          <w:i w:val="1"/>
          <w:iCs w:val="1"/>
          <w:color w:val="auto"/>
        </w:rPr>
        <w:t xml:space="preserve">Employee Benefits Matters </w:t>
      </w:r>
      <w:r>
        <w:rPr>
          <w:rFonts w:ascii="Arial" w:cs="Arial" w:eastAsia="Arial" w:hAnsi="Arial"/>
          <w:sz w:val="22"/>
          <w:szCs w:val="22"/>
          <w:color w:val="auto"/>
        </w:rPr>
        <w:t>— promptly, and in any event within five days after a</w:t>
      </w:r>
      <w:r>
        <w:rPr>
          <w:rFonts w:ascii="Arial" w:cs="Arial" w:eastAsia="Arial" w:hAnsi="Arial"/>
          <w:sz w:val="22"/>
          <w:szCs w:val="22"/>
          <w:i w:val="1"/>
          <w:iCs w:val="1"/>
          <w:color w:val="auto"/>
        </w:rPr>
        <w:t xml:space="preserve"> </w:t>
      </w:r>
      <w:r>
        <w:rPr>
          <w:rFonts w:ascii="Arial" w:cs="Arial" w:eastAsia="Arial" w:hAnsi="Arial"/>
          <w:sz w:val="22"/>
          <w:szCs w:val="22"/>
          <w:color w:val="auto"/>
        </w:rPr>
        <w:t>Responsible Officer becomes aware of any of the following, a written notice setting forth the nature thereof and the action, if any, that the Company or an ERISA Affiliate proposes to take with respect thereto:</w:t>
      </w:r>
    </w:p>
    <w:p>
      <w:pPr>
        <w:spacing w:after="0" w:line="225" w:lineRule="exact"/>
        <w:rPr>
          <w:rFonts w:ascii="Arial" w:cs="Arial" w:eastAsia="Arial" w:hAnsi="Arial"/>
          <w:sz w:val="22"/>
          <w:szCs w:val="22"/>
          <w:color w:val="auto"/>
        </w:rPr>
      </w:pPr>
    </w:p>
    <w:p>
      <w:pPr>
        <w:jc w:val="both"/>
        <w:ind w:left="1400" w:right="99" w:firstLine="784"/>
        <w:spacing w:after="0" w:line="252" w:lineRule="auto"/>
        <w:tabs>
          <w:tab w:leader="none" w:pos="2522" w:val="left"/>
        </w:tabs>
        <w:numPr>
          <w:ilvl w:val="1"/>
          <w:numId w:val="82"/>
        </w:numPr>
        <w:rPr>
          <w:rFonts w:ascii="Arial" w:cs="Arial" w:eastAsia="Arial" w:hAnsi="Arial"/>
          <w:sz w:val="21"/>
          <w:szCs w:val="21"/>
          <w:color w:val="auto"/>
        </w:rPr>
      </w:pPr>
      <w:r>
        <w:rPr>
          <w:rFonts w:ascii="Arial" w:cs="Arial" w:eastAsia="Arial" w:hAnsi="Arial"/>
          <w:sz w:val="21"/>
          <w:szCs w:val="21"/>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or</w:t>
      </w:r>
    </w:p>
    <w:p>
      <w:pPr>
        <w:spacing w:after="0" w:line="201" w:lineRule="exact"/>
        <w:rPr>
          <w:sz w:val="20"/>
          <w:szCs w:val="20"/>
          <w:color w:val="auto"/>
        </w:rPr>
      </w:pPr>
    </w:p>
    <w:p>
      <w:pPr>
        <w:jc w:val="both"/>
        <w:ind w:left="1400" w:right="99" w:firstLine="757"/>
        <w:spacing w:after="0" w:line="235" w:lineRule="auto"/>
        <w:tabs>
          <w:tab w:leader="none" w:pos="25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229" w:lineRule="exact"/>
        <w:rPr>
          <w:sz w:val="20"/>
          <w:szCs w:val="20"/>
          <w:color w:val="auto"/>
        </w:rPr>
      </w:pPr>
    </w:p>
    <w:p>
      <w:pPr>
        <w:jc w:val="both"/>
        <w:ind w:left="1400" w:right="99" w:firstLine="717"/>
        <w:spacing w:after="0" w:line="246" w:lineRule="auto"/>
        <w:tabs>
          <w:tab w:leader="none" w:pos="2507" w:val="left"/>
        </w:tabs>
        <w:numPr>
          <w:ilvl w:val="1"/>
          <w:numId w:val="84"/>
        </w:numPr>
        <w:rPr>
          <w:rFonts w:ascii="Arial" w:cs="Arial" w:eastAsia="Arial" w:hAnsi="Arial"/>
          <w:sz w:val="21"/>
          <w:szCs w:val="21"/>
          <w:color w:val="auto"/>
        </w:rPr>
      </w:pPr>
      <w:r>
        <w:rPr>
          <w:rFonts w:ascii="Arial" w:cs="Arial" w:eastAsia="Arial" w:hAnsi="Arial"/>
          <w:sz w:val="21"/>
          <w:szCs w:val="21"/>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221" w:lineRule="exact"/>
        <w:rPr>
          <w:rFonts w:ascii="Arial" w:cs="Arial" w:eastAsia="Arial" w:hAnsi="Arial"/>
          <w:sz w:val="21"/>
          <w:szCs w:val="21"/>
          <w:color w:val="auto"/>
        </w:rPr>
      </w:pPr>
    </w:p>
    <w:p>
      <w:pPr>
        <w:jc w:val="both"/>
        <w:ind w:left="760" w:right="99" w:firstLine="763"/>
        <w:spacing w:after="0" w:line="252" w:lineRule="auto"/>
        <w:tabs>
          <w:tab w:leader="none" w:pos="1867" w:val="left"/>
        </w:tabs>
        <w:numPr>
          <w:ilvl w:val="0"/>
          <w:numId w:val="85"/>
        </w:numPr>
        <w:rPr>
          <w:rFonts w:ascii="Arial" w:cs="Arial" w:eastAsia="Arial" w:hAnsi="Arial"/>
          <w:sz w:val="21"/>
          <w:szCs w:val="21"/>
          <w:color w:val="auto"/>
        </w:rPr>
      </w:pPr>
      <w:r>
        <w:rPr>
          <w:rFonts w:ascii="Arial" w:cs="Arial" w:eastAsia="Arial" w:hAnsi="Arial"/>
          <w:sz w:val="21"/>
          <w:szCs w:val="21"/>
          <w:i w:val="1"/>
          <w:iCs w:val="1"/>
          <w:color w:val="auto"/>
        </w:rPr>
        <w:t xml:space="preserve">Notices from Governmental Authority </w:t>
      </w:r>
      <w:r>
        <w:rPr>
          <w:rFonts w:ascii="Arial" w:cs="Arial" w:eastAsia="Arial" w:hAnsi="Arial"/>
          <w:sz w:val="21"/>
          <w:szCs w:val="21"/>
          <w:color w:val="auto"/>
        </w:rPr>
        <w:t>— promptly, and in any event within 30</w:t>
      </w:r>
      <w:r>
        <w:rPr>
          <w:rFonts w:ascii="Arial" w:cs="Arial" w:eastAsia="Arial" w:hAnsi="Arial"/>
          <w:sz w:val="21"/>
          <w:szCs w:val="21"/>
          <w:i w:val="1"/>
          <w:iCs w:val="1"/>
          <w:color w:val="auto"/>
        </w:rPr>
        <w:t xml:space="preserve"> </w:t>
      </w:r>
      <w:r>
        <w:rPr>
          <w:rFonts w:ascii="Arial" w:cs="Arial" w:eastAsia="Arial" w:hAnsi="Arial"/>
          <w:sz w:val="21"/>
          <w:szCs w:val="21"/>
          <w:color w:val="auto"/>
        </w:rPr>
        <w:t>days of receipt 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201" w:lineRule="exact"/>
        <w:rPr>
          <w:rFonts w:ascii="Arial" w:cs="Arial" w:eastAsia="Arial" w:hAnsi="Arial"/>
          <w:sz w:val="21"/>
          <w:szCs w:val="21"/>
          <w:color w:val="auto"/>
        </w:rPr>
      </w:pPr>
    </w:p>
    <w:p>
      <w:pPr>
        <w:ind w:left="760" w:right="99" w:firstLine="722"/>
        <w:spacing w:after="0" w:line="274" w:lineRule="auto"/>
        <w:tabs>
          <w:tab w:leader="none" w:pos="1822" w:val="left"/>
        </w:tabs>
        <w:numPr>
          <w:ilvl w:val="0"/>
          <w:numId w:val="85"/>
        </w:numPr>
        <w:rPr>
          <w:rFonts w:ascii="Arial" w:cs="Arial" w:eastAsia="Arial" w:hAnsi="Arial"/>
          <w:sz w:val="21"/>
          <w:szCs w:val="21"/>
          <w:color w:val="auto"/>
        </w:rPr>
      </w:pPr>
      <w:r>
        <w:rPr>
          <w:rFonts w:ascii="Arial" w:cs="Arial" w:eastAsia="Arial" w:hAnsi="Arial"/>
          <w:sz w:val="21"/>
          <w:szCs w:val="21"/>
          <w:i w:val="1"/>
          <w:iCs w:val="1"/>
          <w:color w:val="auto"/>
        </w:rPr>
        <w:t xml:space="preserve">Requested Information </w:t>
      </w:r>
      <w:r>
        <w:rPr>
          <w:rFonts w:ascii="Arial" w:cs="Arial" w:eastAsia="Arial" w:hAnsi="Arial"/>
          <w:sz w:val="21"/>
          <w:szCs w:val="21"/>
          <w:color w:val="auto"/>
        </w:rPr>
        <w:t>— with reasonable promptness, following the receipt by</w:t>
      </w:r>
      <w:r>
        <w:rPr>
          <w:rFonts w:ascii="Arial" w:cs="Arial" w:eastAsia="Arial" w:hAnsi="Arial"/>
          <w:sz w:val="21"/>
          <w:szCs w:val="21"/>
          <w:i w:val="1"/>
          <w:iCs w:val="1"/>
          <w:color w:val="auto"/>
        </w:rPr>
        <w:t xml:space="preserve"> </w:t>
      </w:r>
      <w:r>
        <w:rPr>
          <w:rFonts w:ascii="Arial" w:cs="Arial" w:eastAsia="Arial" w:hAnsi="Arial"/>
          <w:sz w:val="21"/>
          <w:szCs w:val="21"/>
          <w:color w:val="auto"/>
        </w:rPr>
        <w:t>the Company of a written request by such holder of Bonds, the names and contact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44" w:name="page145"/>
    <w:bookmarkEnd w:id="144"/>
    <w:p>
      <w:pPr>
        <w:jc w:val="both"/>
        <w:ind w:left="760" w:right="99"/>
        <w:spacing w:after="0" w:line="245" w:lineRule="auto"/>
        <w:rPr>
          <w:sz w:val="20"/>
          <w:szCs w:val="20"/>
          <w:color w:val="auto"/>
        </w:rPr>
      </w:pPr>
      <w:r>
        <w:rPr>
          <w:rFonts w:ascii="Arial" w:cs="Arial" w:eastAsia="Arial" w:hAnsi="Arial"/>
          <w:sz w:val="21"/>
          <w:szCs w:val="21"/>
          <w:color w:val="auto"/>
        </w:rPr>
        <w:t>information of holders of the outstanding bonds issued under the Indenture (i.e.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any such holder of Bonds; and</w:t>
      </w:r>
    </w:p>
    <w:p>
      <w:pPr>
        <w:spacing w:after="0" w:line="212" w:lineRule="exact"/>
        <w:rPr>
          <w:sz w:val="20"/>
          <w:szCs w:val="20"/>
          <w:color w:val="auto"/>
        </w:rPr>
      </w:pPr>
    </w:p>
    <w:p>
      <w:pPr>
        <w:jc w:val="both"/>
        <w:ind w:left="760" w:right="99" w:firstLine="722"/>
        <w:spacing w:after="0" w:line="238" w:lineRule="auto"/>
        <w:tabs>
          <w:tab w:leader="none" w:pos="1822"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 xml:space="preserve">Deliveries to Trustee </w:t>
      </w:r>
      <w:r>
        <w:rPr>
          <w:rFonts w:ascii="Arial" w:cs="Arial" w:eastAsia="Arial" w:hAnsi="Arial"/>
          <w:sz w:val="22"/>
          <w:szCs w:val="22"/>
          <w:color w:val="auto"/>
        </w:rPr>
        <w:t>— promptly, and in any event within five days after delivery</w:t>
      </w:r>
      <w:r>
        <w:rPr>
          <w:rFonts w:ascii="Arial" w:cs="Arial" w:eastAsia="Arial" w:hAnsi="Arial"/>
          <w:sz w:val="22"/>
          <w:szCs w:val="22"/>
          <w:i w:val="1"/>
          <w:iCs w:val="1"/>
          <w:color w:val="auto"/>
        </w:rPr>
        <w:t xml:space="preserve"> </w:t>
      </w:r>
      <w:r>
        <w:rPr>
          <w:rFonts w:ascii="Arial" w:cs="Arial" w:eastAsia="Arial" w:hAnsi="Arial"/>
          <w:sz w:val="22"/>
          <w:szCs w:val="22"/>
          <w:color w:val="auto"/>
        </w:rPr>
        <w:t>to the Trustee, a copy of any deliveries made by the Company to the Trustee, including without limitation the annual report delivered to the Trustee pursuant to Article VIII, Section 12 of the Indenture.</w:t>
      </w:r>
    </w:p>
    <w:p>
      <w:pPr>
        <w:spacing w:after="0" w:line="226" w:lineRule="exact"/>
        <w:rPr>
          <w:sz w:val="20"/>
          <w:szCs w:val="20"/>
          <w:color w:val="auto"/>
        </w:rPr>
      </w:pPr>
    </w:p>
    <w:p>
      <w:pPr>
        <w:jc w:val="both"/>
        <w:ind w:left="100" w:right="99" w:firstLine="716"/>
        <w:spacing w:after="0" w:line="271" w:lineRule="auto"/>
        <w:rPr>
          <w:sz w:val="20"/>
          <w:szCs w:val="20"/>
          <w:color w:val="auto"/>
        </w:rPr>
      </w:pPr>
      <w:r>
        <w:rPr>
          <w:rFonts w:ascii="Arial" w:cs="Arial" w:eastAsia="Arial" w:hAnsi="Arial"/>
          <w:sz w:val="19"/>
          <w:szCs w:val="19"/>
          <w:i w:val="1"/>
          <w:iCs w:val="1"/>
          <w:color w:val="auto"/>
        </w:rPr>
        <w:t>Section 7.2 Officer’s Certificate</w:t>
      </w:r>
      <w:r>
        <w:rPr>
          <w:rFonts w:ascii="Arial" w:cs="Arial" w:eastAsia="Arial" w:hAnsi="Arial"/>
          <w:sz w:val="19"/>
          <w:szCs w:val="19"/>
          <w:color w:val="auto"/>
        </w:rPr>
        <w:t>. Each set of financial statements delivered to a holder of</w:t>
      </w:r>
      <w:r>
        <w:rPr>
          <w:rFonts w:ascii="Arial" w:cs="Arial" w:eastAsia="Arial" w:hAnsi="Arial"/>
          <w:sz w:val="19"/>
          <w:szCs w:val="19"/>
          <w:i w:val="1"/>
          <w:iCs w:val="1"/>
          <w:color w:val="auto"/>
        </w:rPr>
        <w:t xml:space="preserve"> </w:t>
      </w:r>
      <w:r>
        <w:rPr>
          <w:rFonts w:ascii="Arial" w:cs="Arial" w:eastAsia="Arial" w:hAnsi="Arial"/>
          <w:sz w:val="19"/>
          <w:szCs w:val="19"/>
          <w:color w:val="auto"/>
        </w:rPr>
        <w:t>Bonds pursuant to Section 7.1(a) or Section 7.1(b) shall be accompanied by a certificate of a Senior Financial Officer (which, in the case of financial statements filed with the Municipal Securities Rulemaking Board on the EMMA database, shall be by separate concurrent delivery of such certificate to each holder of Bonds)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200" w:lineRule="exact"/>
        <w:rPr>
          <w:sz w:val="20"/>
          <w:szCs w:val="20"/>
          <w:color w:val="auto"/>
        </w:rPr>
      </w:pPr>
    </w:p>
    <w:p>
      <w:pPr>
        <w:spacing w:after="0" w:line="253" w:lineRule="exact"/>
        <w:rPr>
          <w:sz w:val="20"/>
          <w:szCs w:val="20"/>
          <w:color w:val="auto"/>
        </w:rPr>
      </w:pPr>
    </w:p>
    <w:p>
      <w:pPr>
        <w:jc w:val="both"/>
        <w:ind w:left="100" w:right="99" w:firstLine="716"/>
        <w:spacing w:after="0" w:line="251" w:lineRule="auto"/>
        <w:rPr>
          <w:sz w:val="20"/>
          <w:szCs w:val="20"/>
          <w:color w:val="auto"/>
        </w:rPr>
      </w:pPr>
      <w:r>
        <w:rPr>
          <w:rFonts w:ascii="Arial" w:cs="Arial" w:eastAsia="Arial" w:hAnsi="Arial"/>
          <w:sz w:val="22"/>
          <w:szCs w:val="22"/>
          <w:i w:val="1"/>
          <w:iCs w:val="1"/>
          <w:color w:val="auto"/>
        </w:rPr>
        <w:t>Section 7.3. Visitation</w:t>
      </w:r>
      <w:r>
        <w:rPr>
          <w:rFonts w:ascii="Arial" w:cs="Arial" w:eastAsia="Arial" w:hAnsi="Arial"/>
          <w:sz w:val="22"/>
          <w:szCs w:val="22"/>
          <w:color w:val="auto"/>
        </w:rPr>
        <w:t>. The Company shall permit the representatives of each Purchaser and</w:t>
      </w:r>
      <w:r>
        <w:rPr>
          <w:rFonts w:ascii="Arial" w:cs="Arial" w:eastAsia="Arial" w:hAnsi="Arial"/>
          <w:sz w:val="22"/>
          <w:szCs w:val="22"/>
          <w:i w:val="1"/>
          <w:iCs w:val="1"/>
          <w:color w:val="auto"/>
        </w:rPr>
        <w:t xml:space="preserve"> </w:t>
      </w:r>
      <w:r>
        <w:rPr>
          <w:rFonts w:ascii="Arial" w:cs="Arial" w:eastAsia="Arial" w:hAnsi="Arial"/>
          <w:sz w:val="22"/>
          <w:szCs w:val="22"/>
          <w:color w:val="auto"/>
        </w:rPr>
        <w:t>each holder of Bonds that is an Institutional Investor:</w:t>
      </w:r>
    </w:p>
    <w:p>
      <w:pPr>
        <w:spacing w:after="0" w:line="200" w:lineRule="exact"/>
        <w:rPr>
          <w:sz w:val="20"/>
          <w:szCs w:val="20"/>
          <w:color w:val="auto"/>
        </w:rPr>
      </w:pPr>
    </w:p>
    <w:p>
      <w:pPr>
        <w:jc w:val="both"/>
        <w:ind w:left="760" w:right="99" w:firstLine="722"/>
        <w:spacing w:after="0" w:line="277" w:lineRule="auto"/>
        <w:tabs>
          <w:tab w:leader="none" w:pos="1810" w:val="left"/>
        </w:tabs>
        <w:numPr>
          <w:ilvl w:val="0"/>
          <w:numId w:val="87"/>
        </w:numPr>
        <w:rPr>
          <w:rFonts w:ascii="Arial" w:cs="Arial" w:eastAsia="Arial" w:hAnsi="Arial"/>
          <w:sz w:val="19"/>
          <w:szCs w:val="19"/>
          <w:color w:val="auto"/>
        </w:rPr>
      </w:pPr>
      <w:r>
        <w:rPr>
          <w:rFonts w:ascii="Arial" w:cs="Arial" w:eastAsia="Arial" w:hAnsi="Arial"/>
          <w:sz w:val="19"/>
          <w:szCs w:val="19"/>
          <w:i w:val="1"/>
          <w:iCs w:val="1"/>
          <w:color w:val="auto"/>
        </w:rPr>
        <w:t xml:space="preserve">No Default </w:t>
      </w:r>
      <w:r>
        <w:rPr>
          <w:rFonts w:ascii="Arial" w:cs="Arial" w:eastAsia="Arial" w:hAnsi="Arial"/>
          <w:sz w:val="19"/>
          <w:szCs w:val="19"/>
          <w:color w:val="auto"/>
        </w:rPr>
        <w:t>— if no Default or Event of Default then exists, at the expense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193" w:lineRule="exact"/>
        <w:rPr>
          <w:rFonts w:ascii="Arial" w:cs="Arial" w:eastAsia="Arial" w:hAnsi="Arial"/>
          <w:sz w:val="19"/>
          <w:szCs w:val="19"/>
          <w:color w:val="auto"/>
        </w:rPr>
      </w:pPr>
    </w:p>
    <w:p>
      <w:pPr>
        <w:jc w:val="both"/>
        <w:ind w:left="760" w:right="99" w:firstLine="722"/>
        <w:spacing w:after="0" w:line="258" w:lineRule="auto"/>
        <w:tabs>
          <w:tab w:leader="none" w:pos="1822" w:val="left"/>
        </w:tabs>
        <w:numPr>
          <w:ilvl w:val="0"/>
          <w:numId w:val="87"/>
        </w:numPr>
        <w:rPr>
          <w:rFonts w:ascii="Arial" w:cs="Arial" w:eastAsia="Arial" w:hAnsi="Arial"/>
          <w:sz w:val="21"/>
          <w:szCs w:val="21"/>
          <w:color w:val="auto"/>
        </w:rPr>
      </w:pPr>
      <w:r>
        <w:rPr>
          <w:rFonts w:ascii="Arial" w:cs="Arial" w:eastAsia="Arial" w:hAnsi="Arial"/>
          <w:sz w:val="21"/>
          <w:szCs w:val="21"/>
          <w:i w:val="1"/>
          <w:iCs w:val="1"/>
          <w:color w:val="auto"/>
        </w:rPr>
        <w:t xml:space="preserve">Default </w:t>
      </w:r>
      <w:r>
        <w:rPr>
          <w:rFonts w:ascii="Arial" w:cs="Arial" w:eastAsia="Arial" w:hAnsi="Arial"/>
          <w:sz w:val="21"/>
          <w:szCs w:val="21"/>
          <w:color w:val="auto"/>
        </w:rPr>
        <w:t>— if a Default or Event of Default then exists, at the expense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to visit and inspect any of the offices or properties of the Company or any Subsidiary, to examine all their respective books of account, records, reports and other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45" w:name="page146"/>
    <w:bookmarkEnd w:id="145"/>
    <w:p>
      <w:pPr>
        <w:jc w:val="both"/>
        <w:ind w:left="760" w:right="99"/>
        <w:spacing w:after="0" w:line="236" w:lineRule="auto"/>
        <w:rPr>
          <w:sz w:val="20"/>
          <w:szCs w:val="20"/>
          <w:color w:val="auto"/>
        </w:rPr>
      </w:pPr>
      <w:r>
        <w:rPr>
          <w:rFonts w:ascii="Arial" w:cs="Arial" w:eastAsia="Arial" w:hAnsi="Arial"/>
          <w:sz w:val="22"/>
          <w:szCs w:val="22"/>
          <w:color w:val="auto"/>
        </w:rPr>
        <w:t>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15" w:lineRule="exact"/>
        <w:rPr>
          <w:sz w:val="20"/>
          <w:szCs w:val="20"/>
          <w:color w:val="auto"/>
        </w:rPr>
      </w:pPr>
    </w:p>
    <w:p>
      <w:pPr>
        <w:ind w:left="100"/>
        <w:spacing w:after="0"/>
        <w:tabs>
          <w:tab w:leader="none" w:pos="18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PURCHASE OF BONDS</w:t>
      </w:r>
    </w:p>
    <w:p>
      <w:pPr>
        <w:spacing w:after="0" w:line="247"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 Bonds or</w:t>
      </w:r>
    </w:p>
    <w:p>
      <w:pPr>
        <w:spacing w:after="0" w:line="2" w:lineRule="exact"/>
        <w:rPr>
          <w:sz w:val="20"/>
          <w:szCs w:val="20"/>
          <w:color w:val="auto"/>
        </w:rPr>
      </w:pPr>
    </w:p>
    <w:p>
      <w:pPr>
        <w:jc w:val="both"/>
        <w:ind w:left="100" w:right="99" w:firstLine="5"/>
        <w:spacing w:after="0" w:line="271" w:lineRule="auto"/>
        <w:tabs>
          <w:tab w:leader="none" w:pos="446" w:val="left"/>
        </w:tabs>
        <w:numPr>
          <w:ilvl w:val="0"/>
          <w:numId w:val="88"/>
        </w:numPr>
        <w:rPr>
          <w:rFonts w:ascii="Arial" w:cs="Arial" w:eastAsia="Arial" w:hAnsi="Arial"/>
          <w:sz w:val="19"/>
          <w:szCs w:val="19"/>
          <w:color w:val="auto"/>
        </w:rPr>
      </w:pPr>
      <w:r>
        <w:rPr>
          <w:rFonts w:ascii="Arial" w:cs="Arial" w:eastAsia="Arial" w:hAnsi="Arial"/>
          <w:sz w:val="19"/>
          <w:szCs w:val="19"/>
          <w:color w:val="auto"/>
        </w:rPr>
        <w:t>pursuant to a written offer to purchase any outstanding Bonds made by the Company or an Affiliate pro rata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199" w:lineRule="exact"/>
        <w:rPr>
          <w:sz w:val="20"/>
          <w:szCs w:val="20"/>
          <w:color w:val="auto"/>
        </w:rPr>
      </w:pPr>
    </w:p>
    <w:p>
      <w:pPr>
        <w:ind w:left="100"/>
        <w:spacing w:after="0"/>
        <w:tabs>
          <w:tab w:leader="none" w:pos="186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1"/>
          <w:szCs w:val="21"/>
          <w:color w:val="auto"/>
        </w:rPr>
        <w:t>AFFIRMATIVE COVENANTS.</w:t>
      </w:r>
    </w:p>
    <w:p>
      <w:pPr>
        <w:spacing w:after="0" w:line="233"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The Company covenants that from the date of this Agreement and thereafter, so long as any of the Bonds are outstanding:</w:t>
      </w:r>
    </w:p>
    <w:p>
      <w:pPr>
        <w:spacing w:after="0" w:line="214" w:lineRule="exact"/>
        <w:rPr>
          <w:sz w:val="20"/>
          <w:szCs w:val="20"/>
          <w:color w:val="auto"/>
        </w:rPr>
      </w:pPr>
    </w:p>
    <w:p>
      <w:pPr>
        <w:jc w:val="both"/>
        <w:ind w:left="100" w:right="99" w:firstLine="716"/>
        <w:spacing w:after="0" w:line="246" w:lineRule="exact"/>
        <w:rPr>
          <w:sz w:val="20"/>
          <w:szCs w:val="20"/>
          <w:color w:val="auto"/>
        </w:rPr>
      </w:pPr>
      <w:r>
        <w:rPr>
          <w:rFonts w:ascii="Arial" w:cs="Arial" w:eastAsia="Arial" w:hAnsi="Arial"/>
          <w:sz w:val="19"/>
          <w:szCs w:val="19"/>
          <w:i w:val="1"/>
          <w:iCs w:val="1"/>
          <w:color w:val="auto"/>
        </w:rPr>
        <w:t>Section 9.1. Compliance with Law</w:t>
      </w:r>
      <w:r>
        <w:rPr>
          <w:rFonts w:ascii="Arial" w:cs="Arial" w:eastAsia="Arial" w:hAnsi="Arial"/>
          <w:sz w:val="19"/>
          <w:szCs w:val="19"/>
          <w:color w:val="auto"/>
        </w:rPr>
        <w:t>. Without limiting Section 10.4, the Company will, and</w:t>
      </w:r>
      <w:r>
        <w:rPr>
          <w:rFonts w:ascii="Arial" w:cs="Arial" w:eastAsia="Arial" w:hAnsi="Arial"/>
          <w:sz w:val="19"/>
          <w:szCs w:val="19"/>
          <w:i w:val="1"/>
          <w:iCs w:val="1"/>
          <w:color w:val="auto"/>
        </w:rPr>
        <w:t xml:space="preserve"> </w:t>
      </w:r>
      <w:r>
        <w:rPr>
          <w:rFonts w:ascii="Arial" w:cs="Arial" w:eastAsia="Arial" w:hAnsi="Arial"/>
          <w:sz w:val="19"/>
          <w:szCs w:val="19"/>
          <w:color w:val="auto"/>
        </w:rPr>
        <w:t>will cause each of its Subsidiaries to, comply with all laws, ordinances or governmental rules or regulations to which each of them is subject, including, without limitation,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19"/>
          <w:szCs w:val="19"/>
          <w:color w:val="auto"/>
        </w:rPr>
        <w:t>‑</w:t>
      </w:r>
      <w:r>
        <w:rPr>
          <w:rFonts w:ascii="Arial" w:cs="Arial" w:eastAsia="Arial" w:hAnsi="Arial"/>
          <w:sz w:val="19"/>
          <w:szCs w:val="19"/>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30" w:lineRule="exact"/>
        <w:rPr>
          <w:sz w:val="20"/>
          <w:szCs w:val="20"/>
          <w:color w:val="auto"/>
        </w:rPr>
      </w:pPr>
    </w:p>
    <w:p>
      <w:pPr>
        <w:jc w:val="both"/>
        <w:ind w:left="100" w:right="99" w:firstLine="716"/>
        <w:spacing w:after="0" w:line="238" w:lineRule="auto"/>
        <w:rPr>
          <w:sz w:val="20"/>
          <w:szCs w:val="20"/>
          <w:color w:val="auto"/>
        </w:rPr>
      </w:pPr>
      <w:r>
        <w:rPr>
          <w:rFonts w:ascii="Arial" w:cs="Arial" w:eastAsia="Arial" w:hAnsi="Arial"/>
          <w:sz w:val="22"/>
          <w:szCs w:val="22"/>
          <w:i w:val="1"/>
          <w:iCs w:val="1"/>
          <w:color w:val="auto"/>
        </w:rPr>
        <w:t>Section 9.2. Insurance</w:t>
      </w:r>
      <w:r>
        <w:rPr>
          <w:rFonts w:ascii="Arial" w:cs="Arial" w:eastAsia="Arial" w:hAnsi="Arial"/>
          <w:sz w:val="22"/>
          <w:szCs w:val="22"/>
          <w:color w:val="auto"/>
        </w:rPr>
        <w:t>. The Company will cause each of its Subsidiaries to maintain, with</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financially sound and reputable insurers, insurance with respect to their respective properties and businesses against such casualties and contingencies, of such types, on such terms and in such amounts (including deductibles, co-insurance and self-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46" w:name="page147"/>
    <w:bookmarkEnd w:id="146"/>
    <w:p>
      <w:pPr>
        <w:jc w:val="both"/>
        <w:ind w:left="100" w:right="99"/>
        <w:spacing w:after="0" w:line="328" w:lineRule="auto"/>
        <w:rPr>
          <w:sz w:val="20"/>
          <w:szCs w:val="20"/>
          <w:color w:val="auto"/>
        </w:rPr>
      </w:pPr>
      <w:r>
        <w:rPr>
          <w:rFonts w:ascii="Arial" w:cs="Arial" w:eastAsia="Arial" w:hAnsi="Arial"/>
          <w:sz w:val="19"/>
          <w:szCs w:val="19"/>
          <w:color w:val="auto"/>
        </w:rPr>
        <w:t>insurance, if adequate reserves are maintained with respect thereto) as is customary in the case of entities of established reputations engaged in the same or a similar business and similarly situated.</w:t>
      </w:r>
    </w:p>
    <w:p>
      <w:pPr>
        <w:spacing w:after="0" w:line="132" w:lineRule="exact"/>
        <w:rPr>
          <w:sz w:val="20"/>
          <w:szCs w:val="20"/>
          <w:color w:val="auto"/>
        </w:rPr>
      </w:pPr>
    </w:p>
    <w:p>
      <w:pPr>
        <w:jc w:val="both"/>
        <w:ind w:left="100" w:right="99" w:firstLine="716"/>
        <w:spacing w:after="0" w:line="275" w:lineRule="auto"/>
        <w:rPr>
          <w:sz w:val="20"/>
          <w:szCs w:val="20"/>
          <w:color w:val="auto"/>
        </w:rPr>
      </w:pPr>
      <w:r>
        <w:rPr>
          <w:rFonts w:ascii="Arial" w:cs="Arial" w:eastAsia="Arial" w:hAnsi="Arial"/>
          <w:sz w:val="19"/>
          <w:szCs w:val="19"/>
          <w:i w:val="1"/>
          <w:iCs w:val="1"/>
          <w:color w:val="auto"/>
        </w:rPr>
        <w:t>Section 9.3. Maintenance of Properties</w:t>
      </w:r>
      <w:r>
        <w:rPr>
          <w:rFonts w:ascii="Arial" w:cs="Arial" w:eastAsia="Arial" w:hAnsi="Arial"/>
          <w:sz w:val="19"/>
          <w:szCs w:val="19"/>
          <w:color w:val="auto"/>
        </w:rPr>
        <w:t>. The Company will cause each of its Subsidiaries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Section 9.3 shall not prevent any Subsidiary from discontinuing the operation and the maintenance 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199" w:lineRule="exact"/>
        <w:rPr>
          <w:sz w:val="20"/>
          <w:szCs w:val="20"/>
          <w:color w:val="auto"/>
        </w:rPr>
      </w:pPr>
    </w:p>
    <w:p>
      <w:pPr>
        <w:jc w:val="both"/>
        <w:ind w:left="100" w:right="99" w:firstLine="716"/>
        <w:spacing w:after="0" w:line="273" w:lineRule="auto"/>
        <w:rPr>
          <w:sz w:val="20"/>
          <w:szCs w:val="20"/>
          <w:color w:val="auto"/>
        </w:rPr>
      </w:pPr>
      <w:r>
        <w:rPr>
          <w:rFonts w:ascii="Arial" w:cs="Arial" w:eastAsia="Arial" w:hAnsi="Arial"/>
          <w:sz w:val="19"/>
          <w:szCs w:val="19"/>
          <w:i w:val="1"/>
          <w:iCs w:val="1"/>
          <w:color w:val="auto"/>
        </w:rPr>
        <w:t>Section 9.4. Payment of Taxes</w:t>
      </w:r>
      <w:r>
        <w:rPr>
          <w:rFonts w:ascii="Arial" w:cs="Arial" w:eastAsia="Arial" w:hAnsi="Arial"/>
          <w:sz w:val="19"/>
          <w:szCs w:val="19"/>
          <w:color w:val="auto"/>
        </w:rPr>
        <w:t>. The Company will cause each of its Subsidiaries to file all</w:t>
      </w:r>
      <w:r>
        <w:rPr>
          <w:rFonts w:ascii="Arial" w:cs="Arial" w:eastAsia="Arial" w:hAnsi="Arial"/>
          <w:sz w:val="19"/>
          <w:szCs w:val="19"/>
          <w:i w:val="1"/>
          <w:iCs w:val="1"/>
          <w:color w:val="auto"/>
        </w:rPr>
        <w:t xml:space="preserve"> </w:t>
      </w:r>
      <w:r>
        <w:rPr>
          <w:rFonts w:ascii="Arial" w:cs="Arial" w:eastAsia="Arial" w:hAnsi="Arial"/>
          <w:sz w:val="19"/>
          <w:szCs w:val="19"/>
          <w:color w:val="auto"/>
        </w:rPr>
        <w:t>income tax or 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 GAAP on the books of such Subsidiary or (b) the nonpayment of all such taxes, assessments, charges and levies in the aggregate would not reasonably be expected to have a Material Adverse Effect.</w:t>
      </w:r>
    </w:p>
    <w:p>
      <w:pPr>
        <w:spacing w:after="0" w:line="202" w:lineRule="exact"/>
        <w:rPr>
          <w:sz w:val="20"/>
          <w:szCs w:val="20"/>
          <w:color w:val="auto"/>
        </w:rPr>
      </w:pPr>
    </w:p>
    <w:p>
      <w:pPr>
        <w:jc w:val="both"/>
        <w:ind w:left="100" w:right="99" w:firstLine="716"/>
        <w:spacing w:after="0" w:line="248" w:lineRule="exact"/>
        <w:rPr>
          <w:sz w:val="20"/>
          <w:szCs w:val="20"/>
          <w:color w:val="auto"/>
        </w:rPr>
      </w:pPr>
      <w:r>
        <w:rPr>
          <w:rFonts w:ascii="Arial" w:cs="Arial" w:eastAsia="Arial" w:hAnsi="Arial"/>
          <w:sz w:val="21"/>
          <w:szCs w:val="21"/>
          <w:i w:val="1"/>
          <w:iCs w:val="1"/>
          <w:color w:val="auto"/>
        </w:rPr>
        <w:t>Section 9.5. Corporate Existence, Etc</w:t>
      </w:r>
      <w:r>
        <w:rPr>
          <w:rFonts w:ascii="Arial" w:cs="Arial" w:eastAsia="Arial" w:hAnsi="Arial"/>
          <w:sz w:val="21"/>
          <w:szCs w:val="21"/>
          <w:color w:val="auto"/>
        </w:rPr>
        <w:t>. The Company will at all times preserve and keep in</w:t>
      </w:r>
      <w:r>
        <w:rPr>
          <w:rFonts w:ascii="Arial" w:cs="Arial" w:eastAsia="Arial" w:hAnsi="Arial"/>
          <w:sz w:val="21"/>
          <w:szCs w:val="21"/>
          <w:i w:val="1"/>
          <w:iCs w:val="1"/>
          <w:color w:val="auto"/>
        </w:rPr>
        <w:t xml:space="preserve"> </w:t>
      </w:r>
      <w:r>
        <w:rPr>
          <w:rFonts w:ascii="Arial" w:cs="Arial" w:eastAsia="Arial" w:hAnsi="Arial"/>
          <w:sz w:val="21"/>
          <w:szCs w:val="21"/>
          <w:color w:val="auto"/>
        </w:rPr>
        <w:t>full force and effect the corporate existence of each of its Subsidiaries (unless merged into the Company or a wholly</w:t>
      </w:r>
      <w:r>
        <w:rPr>
          <w:rFonts w:ascii="MS PGothic" w:cs="MS PGothic" w:eastAsia="MS PGothic" w:hAnsi="MS PGothic"/>
          <w:sz w:val="21"/>
          <w:szCs w:val="21"/>
          <w:color w:val="auto"/>
        </w:rPr>
        <w:t>‑</w:t>
      </w:r>
      <w:r>
        <w:rPr>
          <w:rFonts w:ascii="Arial" w:cs="Arial" w:eastAsia="Arial" w:hAnsi="Arial"/>
          <w:sz w:val="21"/>
          <w:szCs w:val="21"/>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217" w:lineRule="exact"/>
        <w:rPr>
          <w:sz w:val="20"/>
          <w:szCs w:val="20"/>
          <w:color w:val="auto"/>
        </w:rPr>
      </w:pPr>
    </w:p>
    <w:p>
      <w:pPr>
        <w:jc w:val="both"/>
        <w:ind w:left="100" w:right="99" w:firstLine="716"/>
        <w:spacing w:after="0" w:line="238" w:lineRule="auto"/>
        <w:rPr>
          <w:sz w:val="20"/>
          <w:szCs w:val="20"/>
          <w:color w:val="auto"/>
        </w:rPr>
      </w:pPr>
      <w:r>
        <w:rPr>
          <w:rFonts w:ascii="Arial" w:cs="Arial" w:eastAsia="Arial" w:hAnsi="Arial"/>
          <w:sz w:val="22"/>
          <w:szCs w:val="22"/>
          <w:i w:val="1"/>
          <w:iCs w:val="1"/>
          <w:color w:val="auto"/>
        </w:rPr>
        <w:t>Section 9.6. Books and Records</w:t>
      </w:r>
      <w:r>
        <w:rPr>
          <w:rFonts w:ascii="Arial" w:cs="Arial" w:eastAsia="Arial" w:hAnsi="Arial"/>
          <w:sz w:val="22"/>
          <w:szCs w:val="22"/>
          <w:color w:val="auto"/>
        </w:rPr>
        <w:t>. The Company will, and will cause each of its Subsidiaries</w:t>
      </w:r>
      <w:r>
        <w:rPr>
          <w:rFonts w:ascii="Arial" w:cs="Arial" w:eastAsia="Arial" w:hAnsi="Arial"/>
          <w:sz w:val="22"/>
          <w:szCs w:val="22"/>
          <w:i w:val="1"/>
          <w:iCs w:val="1"/>
          <w:color w:val="auto"/>
        </w:rPr>
        <w:t xml:space="preserve"> </w:t>
      </w:r>
      <w:r>
        <w:rPr>
          <w:rFonts w:ascii="Arial" w:cs="Arial" w:eastAsia="Arial" w:hAnsi="Arial"/>
          <w:sz w:val="22"/>
          <w:szCs w:val="22"/>
          <w:color w:val="auto"/>
        </w:rPr>
        <w:t>to, maintain proper books of record and account in conformity with GAAP and all applicable requirements of any Governmental Authority having legal or regulatory jurisdiction over the Company or such Subsidiary.</w:t>
      </w:r>
    </w:p>
    <w:p>
      <w:pPr>
        <w:spacing w:after="0" w:line="226" w:lineRule="exact"/>
        <w:rPr>
          <w:sz w:val="20"/>
          <w:szCs w:val="20"/>
          <w:color w:val="auto"/>
        </w:rPr>
      </w:pPr>
    </w:p>
    <w:p>
      <w:pPr>
        <w:ind w:left="100"/>
        <w:spacing w:after="0"/>
        <w:tabs>
          <w:tab w:leader="none" w:pos="20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NEGATIVE COVENANTS.</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The Company covenants that from the date of this Agreement and thereafter, so long as any of the Bonds are outstanding:</w:t>
      </w:r>
    </w:p>
    <w:p>
      <w:pPr>
        <w:spacing w:after="0" w:line="200" w:lineRule="exact"/>
        <w:rPr>
          <w:sz w:val="20"/>
          <w:szCs w:val="20"/>
          <w:color w:val="auto"/>
        </w:rPr>
      </w:pPr>
    </w:p>
    <w:p>
      <w:pPr>
        <w:jc w:val="both"/>
        <w:ind w:left="100" w:right="99" w:firstLine="716"/>
        <w:spacing w:after="0" w:line="251" w:lineRule="auto"/>
        <w:rPr>
          <w:sz w:val="20"/>
          <w:szCs w:val="20"/>
          <w:color w:val="auto"/>
        </w:rPr>
      </w:pPr>
      <w:r>
        <w:rPr>
          <w:rFonts w:ascii="Arial" w:cs="Arial" w:eastAsia="Arial" w:hAnsi="Arial"/>
          <w:sz w:val="22"/>
          <w:szCs w:val="22"/>
          <w:i w:val="1"/>
          <w:iCs w:val="1"/>
          <w:color w:val="auto"/>
        </w:rPr>
        <w:t>Section 10.1. Transactions with Affiliates</w:t>
      </w:r>
      <w:r>
        <w:rPr>
          <w:rFonts w:ascii="Arial" w:cs="Arial" w:eastAsia="Arial" w:hAnsi="Arial"/>
          <w:sz w:val="22"/>
          <w:szCs w:val="22"/>
          <w:color w:val="auto"/>
        </w:rPr>
        <w:t>. The Company will not and will not permit any</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 to enter into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47" w:name="page148"/>
    <w:bookmarkEnd w:id="147"/>
    <w:p>
      <w:pPr>
        <w:jc w:val="both"/>
        <w:ind w:left="100" w:right="99"/>
        <w:spacing w:after="0" w:line="287" w:lineRule="auto"/>
        <w:rPr>
          <w:sz w:val="20"/>
          <w:szCs w:val="20"/>
          <w:color w:val="auto"/>
        </w:rPr>
      </w:pPr>
      <w:r>
        <w:rPr>
          <w:rFonts w:ascii="Arial" w:cs="Arial" w:eastAsia="Arial" w:hAnsi="Arial"/>
          <w:sz w:val="19"/>
          <w:szCs w:val="19"/>
          <w:color w:val="auto"/>
        </w:rPr>
        <w:t>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170" w:lineRule="exact"/>
        <w:rPr>
          <w:sz w:val="20"/>
          <w:szCs w:val="20"/>
          <w:color w:val="auto"/>
        </w:rPr>
      </w:pPr>
    </w:p>
    <w:p>
      <w:pPr>
        <w:jc w:val="both"/>
        <w:ind w:left="100" w:right="99" w:firstLine="716"/>
        <w:spacing w:after="0"/>
        <w:rPr>
          <w:sz w:val="20"/>
          <w:szCs w:val="20"/>
          <w:color w:val="auto"/>
        </w:rPr>
      </w:pPr>
      <w:r>
        <w:rPr>
          <w:rFonts w:ascii="Arial" w:cs="Arial" w:eastAsia="Arial" w:hAnsi="Arial"/>
          <w:sz w:val="22"/>
          <w:szCs w:val="22"/>
          <w:i w:val="1"/>
          <w:iCs w:val="1"/>
          <w:color w:val="auto"/>
        </w:rPr>
        <w:t>Section 10.2. Merger, Consolidation, Etc</w:t>
      </w:r>
      <w:r>
        <w:rPr>
          <w:rFonts w:ascii="Arial" w:cs="Arial" w:eastAsia="Arial" w:hAnsi="Arial"/>
          <w:sz w:val="22"/>
          <w:szCs w:val="22"/>
          <w:color w:val="auto"/>
        </w:rPr>
        <w:t>. The Company will not consolidate with or merge</w:t>
      </w:r>
      <w:r>
        <w:rPr>
          <w:rFonts w:ascii="Arial" w:cs="Arial" w:eastAsia="Arial" w:hAnsi="Arial"/>
          <w:sz w:val="22"/>
          <w:szCs w:val="22"/>
          <w:i w:val="1"/>
          <w:iCs w:val="1"/>
          <w:color w:val="auto"/>
        </w:rPr>
        <w:t xml:space="preserve"> </w:t>
      </w:r>
      <w:r>
        <w:rPr>
          <w:rFonts w:ascii="Arial" w:cs="Arial" w:eastAsia="Arial" w:hAnsi="Arial"/>
          <w:sz w:val="22"/>
          <w:szCs w:val="22"/>
          <w:color w:val="auto"/>
        </w:rPr>
        <w:t>with any other Person or convey, transfer or lease all or substantially all of its assets in a single transaction or series of transactions to any Person unless:</w:t>
      </w:r>
    </w:p>
    <w:p>
      <w:pPr>
        <w:spacing w:after="0" w:line="227" w:lineRule="exact"/>
        <w:rPr>
          <w:sz w:val="20"/>
          <w:szCs w:val="20"/>
          <w:color w:val="auto"/>
        </w:rPr>
      </w:pPr>
    </w:p>
    <w:p>
      <w:pPr>
        <w:jc w:val="both"/>
        <w:ind w:left="760" w:right="99" w:firstLine="722"/>
        <w:spacing w:after="0" w:line="272" w:lineRule="auto"/>
        <w:tabs>
          <w:tab w:leader="none" w:pos="181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200" w:lineRule="exact"/>
        <w:rPr>
          <w:rFonts w:ascii="Arial" w:cs="Arial" w:eastAsia="Arial" w:hAnsi="Arial"/>
          <w:sz w:val="19"/>
          <w:szCs w:val="19"/>
          <w:color w:val="auto"/>
        </w:rPr>
      </w:pPr>
    </w:p>
    <w:p>
      <w:pPr>
        <w:spacing w:after="0" w:line="245" w:lineRule="exact"/>
        <w:rPr>
          <w:rFonts w:ascii="Arial" w:cs="Arial" w:eastAsia="Arial" w:hAnsi="Arial"/>
          <w:sz w:val="19"/>
          <w:szCs w:val="19"/>
          <w:color w:val="auto"/>
        </w:rPr>
      </w:pPr>
    </w:p>
    <w:p>
      <w:pPr>
        <w:ind w:left="760" w:right="99" w:firstLine="722"/>
        <w:spacing w:after="0" w:line="251" w:lineRule="auto"/>
        <w:tabs>
          <w:tab w:leader="none" w:pos="1822" w:val="left"/>
        </w:tabs>
        <w:numPr>
          <w:ilvl w:val="0"/>
          <w:numId w:val="89"/>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such transaction, no Default or Event of Default shall have occurred and be continuing.</w:t>
      </w:r>
    </w:p>
    <w:p>
      <w:pPr>
        <w:spacing w:after="0" w:line="200"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22"/>
          <w:szCs w:val="22"/>
          <w:color w:val="auto"/>
        </w:rPr>
        <w:t>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liability under the Financing Agreements.</w:t>
      </w:r>
    </w:p>
    <w:p>
      <w:pPr>
        <w:spacing w:after="0" w:line="226" w:lineRule="exact"/>
        <w:rPr>
          <w:sz w:val="20"/>
          <w:szCs w:val="20"/>
          <w:color w:val="auto"/>
        </w:rPr>
      </w:pPr>
    </w:p>
    <w:p>
      <w:pPr>
        <w:jc w:val="both"/>
        <w:ind w:left="100" w:right="99" w:firstLine="716"/>
        <w:spacing w:after="0" w:line="287" w:lineRule="auto"/>
        <w:rPr>
          <w:sz w:val="20"/>
          <w:szCs w:val="20"/>
          <w:color w:val="auto"/>
        </w:rPr>
      </w:pPr>
      <w:r>
        <w:rPr>
          <w:rFonts w:ascii="Arial" w:cs="Arial" w:eastAsia="Arial" w:hAnsi="Arial"/>
          <w:sz w:val="19"/>
          <w:szCs w:val="19"/>
          <w:i w:val="1"/>
          <w:iCs w:val="1"/>
          <w:color w:val="auto"/>
        </w:rPr>
        <w:t>Section 10.3. Line of Business</w:t>
      </w:r>
      <w:r>
        <w:rPr>
          <w:rFonts w:ascii="Arial" w:cs="Arial" w:eastAsia="Arial" w:hAnsi="Arial"/>
          <w:sz w:val="19"/>
          <w:szCs w:val="19"/>
          <w:color w:val="auto"/>
        </w:rPr>
        <w:t>. The Company will not engage in any business if, as a result,</w:t>
      </w:r>
      <w:r>
        <w:rPr>
          <w:rFonts w:ascii="Arial" w:cs="Arial" w:eastAsia="Arial" w:hAnsi="Arial"/>
          <w:sz w:val="19"/>
          <w:szCs w:val="19"/>
          <w:i w:val="1"/>
          <w:iCs w:val="1"/>
          <w:color w:val="auto"/>
        </w:rPr>
        <w:t xml:space="preserve"> </w:t>
      </w:r>
      <w:r>
        <w:rPr>
          <w:rFonts w:ascii="Arial" w:cs="Arial" w:eastAsia="Arial" w:hAnsi="Arial"/>
          <w:sz w:val="19"/>
          <w:szCs w:val="19"/>
          <w:color w:val="auto"/>
        </w:rPr>
        <w:t>the general nature of the business in which the Company and its Subsidiaries, taken as a whole, would then be engaged would be substantially changed from the general nature of the business in which the Company and its Subsidiaries, taken as whole, is engaged on the date of this Agreement.</w:t>
      </w:r>
    </w:p>
    <w:p>
      <w:pPr>
        <w:spacing w:after="0" w:line="184" w:lineRule="exact"/>
        <w:rPr>
          <w:sz w:val="20"/>
          <w:szCs w:val="20"/>
          <w:color w:val="auto"/>
        </w:rPr>
      </w:pPr>
    </w:p>
    <w:p>
      <w:pPr>
        <w:jc w:val="both"/>
        <w:ind w:left="100" w:right="99" w:firstLine="716"/>
        <w:spacing w:after="0" w:line="234" w:lineRule="auto"/>
        <w:rPr>
          <w:sz w:val="20"/>
          <w:szCs w:val="20"/>
          <w:color w:val="auto"/>
        </w:rPr>
      </w:pPr>
      <w:r>
        <w:rPr>
          <w:rFonts w:ascii="Arial" w:cs="Arial" w:eastAsia="Arial" w:hAnsi="Arial"/>
          <w:sz w:val="22"/>
          <w:szCs w:val="22"/>
          <w:i w:val="1"/>
          <w:iCs w:val="1"/>
          <w:color w:val="auto"/>
        </w:rPr>
        <w:t xml:space="preserve">Section 10.4. Economic Sanctions, Etc. </w:t>
      </w:r>
      <w:r>
        <w:rPr>
          <w:rFonts w:ascii="Arial" w:cs="Arial" w:eastAsia="Arial" w:hAnsi="Arial"/>
          <w:sz w:val="22"/>
          <w:szCs w:val="22"/>
          <w:color w:val="auto"/>
        </w:rPr>
        <w:t>The Company will not, and will not permit any</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48" w:name="page149"/>
    <w:bookmarkEnd w:id="148"/>
    <w:p>
      <w:pPr>
        <w:ind w:left="100"/>
        <w:spacing w:after="0"/>
        <w:tabs>
          <w:tab w:leader="none" w:pos="19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PAYMENTS ON BONDS.</w:t>
      </w:r>
    </w:p>
    <w:p>
      <w:pPr>
        <w:spacing w:after="0" w:line="233" w:lineRule="exact"/>
        <w:rPr>
          <w:sz w:val="20"/>
          <w:szCs w:val="20"/>
          <w:color w:val="auto"/>
        </w:rPr>
      </w:pPr>
    </w:p>
    <w:p>
      <w:pPr>
        <w:jc w:val="both"/>
        <w:ind w:left="100" w:right="99" w:firstLine="716"/>
        <w:spacing w:after="0" w:line="246" w:lineRule="exact"/>
        <w:rPr>
          <w:sz w:val="20"/>
          <w:szCs w:val="20"/>
          <w:color w:val="auto"/>
        </w:rPr>
      </w:pPr>
      <w:r>
        <w:rPr>
          <w:rFonts w:ascii="Arial" w:cs="Arial" w:eastAsia="Arial" w:hAnsi="Arial"/>
          <w:sz w:val="19"/>
          <w:szCs w:val="19"/>
          <w:i w:val="1"/>
          <w:iCs w:val="1"/>
          <w:color w:val="auto"/>
        </w:rPr>
        <w:t>Section 11.1. Payment by Wire Transfer</w:t>
      </w:r>
      <w:r>
        <w:rPr>
          <w:rFonts w:ascii="Arial" w:cs="Arial" w:eastAsia="Arial" w:hAnsi="Arial"/>
          <w:sz w:val="19"/>
          <w:szCs w:val="19"/>
          <w:color w:val="auto"/>
        </w:rPr>
        <w:t>. So long as any Purchaser or its nominee shall be the</w:t>
      </w:r>
      <w:r>
        <w:rPr>
          <w:rFonts w:ascii="Arial" w:cs="Arial" w:eastAsia="Arial" w:hAnsi="Arial"/>
          <w:sz w:val="19"/>
          <w:szCs w:val="19"/>
          <w:i w:val="1"/>
          <w:iCs w:val="1"/>
          <w:color w:val="auto"/>
        </w:rPr>
        <w:t xml:space="preserve"> </w:t>
      </w:r>
      <w:r>
        <w:rPr>
          <w:rFonts w:ascii="Arial" w:cs="Arial" w:eastAsia="Arial" w:hAnsi="Arial"/>
          <w:sz w:val="19"/>
          <w:szCs w:val="19"/>
          <w:color w:val="auto"/>
        </w:rPr>
        <w:t>holder of any 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19"/>
          <w:szCs w:val="19"/>
          <w:color w:val="auto"/>
        </w:rPr>
        <w:t>‑</w:t>
      </w:r>
      <w:r>
        <w:rPr>
          <w:rFonts w:ascii="Arial" w:cs="Arial" w:eastAsia="Arial" w:hAnsi="Arial"/>
          <w:sz w:val="19"/>
          <w:szCs w:val="19"/>
          <w:color w:val="auto"/>
        </w:rPr>
        <w:t>Whole Amount or premium, if any, and interest by the method and at the address specified for such purpose below such Purchaser’s name in Schedule A, or by such other method or at such other address as such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such Purchaser shall surrender such Bond for cancellation, reasonably promptly after any such request, to the Company at its principal executive office or at the place of payment most recently designated by the Company pursuant to Article II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Section 11.1 to any Institutional Investor that is the direct or indirect transferee of any Bond purchased by a Purchaser under this Agreement and that has made the same agreement relating to such Bond as the Purchasers have made in this Section 11.1.</w:t>
      </w:r>
    </w:p>
    <w:p>
      <w:pPr>
        <w:spacing w:after="0" w:line="200" w:lineRule="exact"/>
        <w:rPr>
          <w:sz w:val="20"/>
          <w:szCs w:val="20"/>
          <w:color w:val="auto"/>
        </w:rPr>
      </w:pPr>
    </w:p>
    <w:p>
      <w:pPr>
        <w:spacing w:after="0" w:line="251" w:lineRule="exact"/>
        <w:rPr>
          <w:sz w:val="20"/>
          <w:szCs w:val="20"/>
          <w:color w:val="auto"/>
        </w:rPr>
      </w:pPr>
    </w:p>
    <w:p>
      <w:pPr>
        <w:ind w:left="100"/>
        <w:spacing w:after="0"/>
        <w:tabs>
          <w:tab w:leader="none" w:pos="20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color w:val="auto"/>
        </w:rPr>
        <w:t>REGISTRATION; EXCHANGE; EXPENSES, ETC.</w:t>
      </w:r>
    </w:p>
    <w:p>
      <w:pPr>
        <w:spacing w:after="0" w:line="247" w:lineRule="exact"/>
        <w:rPr>
          <w:sz w:val="20"/>
          <w:szCs w:val="20"/>
          <w:color w:val="auto"/>
        </w:rPr>
      </w:pPr>
    </w:p>
    <w:p>
      <w:pPr>
        <w:jc w:val="both"/>
        <w:ind w:left="100" w:right="99" w:firstLine="716"/>
        <w:spacing w:after="0"/>
        <w:rPr>
          <w:sz w:val="20"/>
          <w:szCs w:val="20"/>
          <w:color w:val="auto"/>
        </w:rPr>
      </w:pPr>
      <w:r>
        <w:rPr>
          <w:rFonts w:ascii="Arial" w:cs="Arial" w:eastAsia="Arial" w:hAnsi="Arial"/>
          <w:sz w:val="22"/>
          <w:szCs w:val="22"/>
          <w:i w:val="1"/>
          <w:iCs w:val="1"/>
          <w:color w:val="auto"/>
        </w:rPr>
        <w:t>Section 12.1. Registration of Bonds</w:t>
      </w:r>
      <w:r>
        <w:rPr>
          <w:rFonts w:ascii="Arial" w:cs="Arial" w:eastAsia="Arial" w:hAnsi="Arial"/>
          <w:sz w:val="22"/>
          <w:szCs w:val="22"/>
          <w:color w:val="auto"/>
        </w:rPr>
        <w:t>. The Company shall cause the Trustee to keep a register</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registration and registration of transfers of Bonds in accordance with Article XIII, Section 9 of the Indenture.</w:t>
      </w:r>
    </w:p>
    <w:p>
      <w:pPr>
        <w:spacing w:after="0" w:line="213" w:lineRule="exact"/>
        <w:rPr>
          <w:sz w:val="20"/>
          <w:szCs w:val="20"/>
          <w:color w:val="auto"/>
        </w:rPr>
      </w:pPr>
    </w:p>
    <w:p>
      <w:pPr>
        <w:jc w:val="both"/>
        <w:ind w:left="100" w:right="99" w:firstLine="716"/>
        <w:spacing w:after="0" w:line="269" w:lineRule="auto"/>
        <w:rPr>
          <w:sz w:val="20"/>
          <w:szCs w:val="20"/>
          <w:color w:val="auto"/>
        </w:rPr>
      </w:pPr>
      <w:r>
        <w:rPr>
          <w:rFonts w:ascii="Arial" w:cs="Arial" w:eastAsia="Arial" w:hAnsi="Arial"/>
          <w:sz w:val="19"/>
          <w:szCs w:val="19"/>
          <w:i w:val="1"/>
          <w:iCs w:val="1"/>
          <w:color w:val="auto"/>
        </w:rPr>
        <w:t>Section 12.2. Transaction Expenses</w:t>
      </w:r>
      <w:r>
        <w:rPr>
          <w:rFonts w:ascii="Arial" w:cs="Arial" w:eastAsia="Arial" w:hAnsi="Arial"/>
          <w:sz w:val="19"/>
          <w:szCs w:val="19"/>
          <w:color w:val="auto"/>
        </w:rPr>
        <w:t>. Whether or not the transactions contemplated hereby</w:t>
      </w:r>
      <w:r>
        <w:rPr>
          <w:rFonts w:ascii="Arial" w:cs="Arial" w:eastAsia="Arial" w:hAnsi="Arial"/>
          <w:sz w:val="19"/>
          <w:szCs w:val="19"/>
          <w:i w:val="1"/>
          <w:iCs w:val="1"/>
          <w:color w:val="auto"/>
        </w:rPr>
        <w:t xml:space="preserve"> </w:t>
      </w:r>
      <w:r>
        <w:rPr>
          <w:rFonts w:ascii="Arial" w:cs="Arial" w:eastAsia="Arial" w:hAnsi="Arial"/>
          <w:sz w:val="19"/>
          <w:szCs w:val="19"/>
          <w:color w:val="auto"/>
        </w:rPr>
        <w:t>are consummated, the Company will pay all reasonable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 in responding to any subpoena or other legal process or informal investigative demand issued in connection with any Financing Agreement, or by reason of being a Purchaser or holder of any Bond,</w:t>
      </w:r>
    </w:p>
    <w:p>
      <w:pPr>
        <w:jc w:val="both"/>
        <w:ind w:left="100" w:right="99" w:firstLine="5"/>
        <w:spacing w:after="0" w:line="245" w:lineRule="exact"/>
        <w:tabs>
          <w:tab w:leader="none" w:pos="465"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costs and expenses, including financial advisors’ fees, incurred in connection with the insolvency or bankruptcy of the Company or any Subsidiary or in connection with any work</w:t>
      </w:r>
      <w:r>
        <w:rPr>
          <w:rFonts w:ascii="MS PGothic" w:cs="MS PGothic" w:eastAsia="MS PGothic" w:hAnsi="MS PGothic"/>
          <w:sz w:val="19"/>
          <w:szCs w:val="19"/>
          <w:color w:val="auto"/>
        </w:rPr>
        <w:t>‑</w:t>
      </w:r>
      <w:r>
        <w:rPr>
          <w:rFonts w:ascii="Arial" w:cs="Arial" w:eastAsia="Arial" w:hAnsi="Arial"/>
          <w:sz w:val="19"/>
          <w:szCs w:val="19"/>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49" w:name="page150"/>
    <w:bookmarkEnd w:id="149"/>
    <w:p>
      <w:pPr>
        <w:jc w:val="both"/>
        <w:ind w:left="100" w:right="99"/>
        <w:spacing w:after="0" w:line="238" w:lineRule="auto"/>
        <w:rPr>
          <w:sz w:val="20"/>
          <w:szCs w:val="20"/>
          <w:color w:val="auto"/>
        </w:rPr>
      </w:pPr>
      <w:r>
        <w:rPr>
          <w:rFonts w:ascii="Arial" w:cs="Arial" w:eastAsia="Arial" w:hAnsi="Arial"/>
          <w:sz w:val="22"/>
          <w:szCs w:val="22"/>
          <w:color w:val="auto"/>
        </w:rPr>
        <w:t>clause (c) shall not exceed $6,000 for the Bonds. The Company will pay, and will save each Purchaser and each other holder of a Bond harmless from, all claims in respect of any fees, costs or expenses if any, of brokers and finders (other than those, if any, retained by a Purchaser or other holder in connection with its purchase of the Bonds).</w:t>
      </w:r>
    </w:p>
    <w:p>
      <w:pPr>
        <w:spacing w:after="0" w:line="212" w:lineRule="exact"/>
        <w:rPr>
          <w:sz w:val="20"/>
          <w:szCs w:val="20"/>
          <w:color w:val="auto"/>
        </w:rPr>
      </w:pPr>
    </w:p>
    <w:p>
      <w:pPr>
        <w:jc w:val="both"/>
        <w:ind w:left="100" w:right="99" w:firstLine="716"/>
        <w:spacing w:after="0" w:line="258" w:lineRule="auto"/>
        <w:rPr>
          <w:sz w:val="20"/>
          <w:szCs w:val="20"/>
          <w:color w:val="auto"/>
        </w:rPr>
      </w:pPr>
      <w:r>
        <w:rPr>
          <w:rFonts w:ascii="Arial" w:cs="Arial" w:eastAsia="Arial" w:hAnsi="Arial"/>
          <w:sz w:val="21"/>
          <w:szCs w:val="21"/>
          <w:i w:val="1"/>
          <w:iCs w:val="1"/>
          <w:color w:val="auto"/>
        </w:rPr>
        <w:t>Section 12.3. Survival</w:t>
      </w:r>
      <w:r>
        <w:rPr>
          <w:rFonts w:ascii="Arial" w:cs="Arial" w:eastAsia="Arial" w:hAnsi="Arial"/>
          <w:sz w:val="21"/>
          <w:szCs w:val="21"/>
          <w:color w:val="auto"/>
        </w:rPr>
        <w:t>. The obligations of the Company under this Section 12 will survive</w:t>
      </w:r>
      <w:r>
        <w:rPr>
          <w:rFonts w:ascii="Arial" w:cs="Arial" w:eastAsia="Arial" w:hAnsi="Arial"/>
          <w:sz w:val="21"/>
          <w:szCs w:val="21"/>
          <w:i w:val="1"/>
          <w:iCs w:val="1"/>
          <w:color w:val="auto"/>
        </w:rPr>
        <w:t xml:space="preserve"> </w:t>
      </w:r>
      <w:r>
        <w:rPr>
          <w:rFonts w:ascii="Arial" w:cs="Arial" w:eastAsia="Arial" w:hAnsi="Arial"/>
          <w:sz w:val="21"/>
          <w:szCs w:val="21"/>
          <w:color w:val="auto"/>
        </w:rPr>
        <w:t>the payment or transfer of any Bond, the enforcement, amendment or waiver of any provision of any Financing Agreement, and the termination of any Financing Agreement.</w:t>
      </w:r>
    </w:p>
    <w:p>
      <w:pPr>
        <w:spacing w:after="0" w:line="207" w:lineRule="exact"/>
        <w:rPr>
          <w:sz w:val="20"/>
          <w:szCs w:val="20"/>
          <w:color w:val="auto"/>
        </w:rPr>
      </w:pPr>
    </w:p>
    <w:p>
      <w:pPr>
        <w:jc w:val="both"/>
        <w:ind w:left="100" w:right="99" w:firstLine="716"/>
        <w:spacing w:after="0" w:line="275" w:lineRule="auto"/>
        <w:rPr>
          <w:sz w:val="20"/>
          <w:szCs w:val="20"/>
          <w:color w:val="auto"/>
        </w:rPr>
      </w:pPr>
      <w:r>
        <w:rPr>
          <w:rFonts w:ascii="Arial" w:cs="Arial" w:eastAsia="Arial" w:hAnsi="Arial"/>
          <w:sz w:val="19"/>
          <w:szCs w:val="19"/>
          <w:i w:val="1"/>
          <w:iCs w:val="1"/>
          <w:color w:val="auto"/>
        </w:rPr>
        <w:t>Section 12.4. Tax Withholding</w:t>
      </w:r>
      <w:r>
        <w:rPr>
          <w:rFonts w:ascii="Arial" w:cs="Arial" w:eastAsia="Arial" w:hAnsi="Arial"/>
          <w:sz w:val="19"/>
          <w:szCs w:val="19"/>
          <w:color w:val="auto"/>
        </w:rPr>
        <w:t>. Except as otherwise required by applicable law,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agrees that it will not withhold 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w:t>
      </w:r>
      <w:r>
        <w:rPr>
          <w:rFonts w:ascii="Arial" w:cs="Arial" w:eastAsia="Arial" w:hAnsi="Arial"/>
          <w:sz w:val="19"/>
          <w:szCs w:val="19"/>
          <w:i w:val="1"/>
          <w:iCs w:val="1"/>
          <w:color w:val="auto"/>
        </w:rPr>
        <w:t>U.S. Tax Compliance Certificate</w:t>
      </w:r>
      <w:r>
        <w:rPr>
          <w:rFonts w:ascii="Arial" w:cs="Arial" w:eastAsia="Arial" w:hAnsi="Arial"/>
          <w:sz w:val="19"/>
          <w:szCs w:val="19"/>
          <w:color w:val="auto"/>
        </w:rPr>
        <w:t>” substantially in the form attached as Exhibit 12.4, in both cases correctly completed and executed.</w:t>
      </w:r>
    </w:p>
    <w:p>
      <w:pPr>
        <w:spacing w:after="0" w:line="199" w:lineRule="exact"/>
        <w:rPr>
          <w:sz w:val="20"/>
          <w:szCs w:val="20"/>
          <w:color w:val="auto"/>
        </w:rPr>
      </w:pPr>
    </w:p>
    <w:p>
      <w:pPr>
        <w:ind w:left="100" w:right="779"/>
        <w:spacing w:after="0" w:line="251" w:lineRule="auto"/>
        <w:rPr>
          <w:sz w:val="20"/>
          <w:szCs w:val="20"/>
          <w:color w:val="auto"/>
        </w:rPr>
      </w:pPr>
      <w:r>
        <w:rPr>
          <w:rFonts w:ascii="Arial" w:cs="Arial" w:eastAsia="Arial" w:hAnsi="Arial"/>
          <w:sz w:val="22"/>
          <w:szCs w:val="22"/>
          <w:color w:val="auto"/>
        </w:rPr>
        <w:t>SECTION 13. SURVIVAL OF REPRESENTATIONS AND WARRANTIES; ENTIRE AGREEMENT.</w:t>
      </w:r>
    </w:p>
    <w:p>
      <w:pPr>
        <w:spacing w:after="0" w:line="200"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19"/>
          <w:szCs w:val="19"/>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 Purchaser and the Company and supersede all prior agreements and understandings relating to the subject matter hereof.</w:t>
      </w:r>
    </w:p>
    <w:p>
      <w:pPr>
        <w:spacing w:after="0" w:line="199" w:lineRule="exact"/>
        <w:rPr>
          <w:sz w:val="20"/>
          <w:szCs w:val="20"/>
          <w:color w:val="auto"/>
        </w:rPr>
      </w:pPr>
    </w:p>
    <w:p>
      <w:pPr>
        <w:ind w:left="100"/>
        <w:spacing w:after="0"/>
        <w:tabs>
          <w:tab w:leader="none" w:pos="196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21"/>
          <w:szCs w:val="21"/>
          <w:color w:val="auto"/>
        </w:rPr>
        <w:t>AMENDMENT AND WAIVER.</w:t>
      </w:r>
    </w:p>
    <w:p>
      <w:pPr>
        <w:spacing w:after="0" w:line="247" w:lineRule="exact"/>
        <w:rPr>
          <w:sz w:val="20"/>
          <w:szCs w:val="20"/>
          <w:color w:val="auto"/>
        </w:rPr>
      </w:pPr>
    </w:p>
    <w:p>
      <w:pPr>
        <w:jc w:val="both"/>
        <w:ind w:left="100" w:right="99" w:firstLine="716"/>
        <w:spacing w:after="0" w:line="246" w:lineRule="auto"/>
        <w:rPr>
          <w:sz w:val="20"/>
          <w:szCs w:val="20"/>
          <w:color w:val="auto"/>
        </w:rPr>
      </w:pPr>
      <w:r>
        <w:rPr>
          <w:rFonts w:ascii="Arial" w:cs="Arial" w:eastAsia="Arial" w:hAnsi="Arial"/>
          <w:sz w:val="21"/>
          <w:szCs w:val="21"/>
          <w:i w:val="1"/>
          <w:iCs w:val="1"/>
          <w:color w:val="auto"/>
        </w:rPr>
        <w:t>Section 14.1. Requirements</w:t>
      </w:r>
      <w:r>
        <w:rPr>
          <w:rFonts w:ascii="Arial" w:cs="Arial" w:eastAsia="Arial" w:hAnsi="Arial"/>
          <w:sz w:val="21"/>
          <w:szCs w:val="21"/>
          <w:color w:val="auto"/>
        </w:rPr>
        <w:t>. This Agreement and the Bonds may be amended,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observance of any term hereof or of the Bonds may be waived (either retroactively or prospectively), with (and only with) the written consent of the Company and the Required Holders, except that (i) no amendment or waiver of any of the provisions of Section 1, 2, 3, 4, 5, 6, or 19 hereof, or any defined term, will be effective as to any holder of Bonds unless consented to by such holder of Bonds in writing, and (ii) no such amendment or waiver may, without the written consent of all of the holders of Bonds at the time outstanding affected thereby, (A) subject to the provisions of the Indenture relating to acceleration,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50" w:name="page151"/>
    <w:bookmarkEnd w:id="150"/>
    <w:p>
      <w:pPr>
        <w:jc w:val="both"/>
        <w:ind w:left="100" w:right="99"/>
        <w:spacing w:after="0" w:line="249" w:lineRule="auto"/>
        <w:rPr>
          <w:sz w:val="20"/>
          <w:szCs w:val="20"/>
          <w:color w:val="auto"/>
        </w:rPr>
      </w:pPr>
      <w:r>
        <w:rPr>
          <w:rFonts w:ascii="Arial" w:cs="Arial" w:eastAsia="Arial" w:hAnsi="Arial"/>
          <w:sz w:val="21"/>
          <w:szCs w:val="21"/>
          <w:color w:val="auto"/>
        </w:rPr>
        <w:t>change the amount or time of any prepayment or payment of principal of, or reduce the rate or change the time of payment or method of computation of interest (if such change results in a decrease in the interest rate) or of the Make-Whole Amount on, the Bonds, (B) change the percentage of the principal amount of the Bonds the holders of which are required to consent to any such amendment or waiver, or (C) amend any of Sections 8, 14, or 18.</w:t>
      </w:r>
    </w:p>
    <w:p>
      <w:pPr>
        <w:spacing w:after="0" w:line="206" w:lineRule="exact"/>
        <w:rPr>
          <w:sz w:val="20"/>
          <w:szCs w:val="20"/>
          <w:color w:val="auto"/>
        </w:rPr>
      </w:pPr>
    </w:p>
    <w:p>
      <w:pPr>
        <w:ind w:left="600"/>
        <w:spacing w:after="0"/>
        <w:tabs>
          <w:tab w:leader="none" w:pos="2420" w:val="left"/>
        </w:tabs>
        <w:rPr>
          <w:sz w:val="20"/>
          <w:szCs w:val="20"/>
          <w:color w:val="auto"/>
        </w:rPr>
      </w:pPr>
      <w:r>
        <w:rPr>
          <w:rFonts w:ascii="Arial" w:cs="Arial" w:eastAsia="Arial" w:hAnsi="Arial"/>
          <w:sz w:val="22"/>
          <w:szCs w:val="22"/>
          <w:i w:val="1"/>
          <w:iCs w:val="1"/>
          <w:color w:val="auto"/>
        </w:rPr>
        <w:t>Section 14.2.</w:t>
      </w:r>
      <w:r>
        <w:rPr>
          <w:sz w:val="20"/>
          <w:szCs w:val="20"/>
          <w:color w:val="auto"/>
        </w:rPr>
        <w:tab/>
      </w:r>
      <w:r>
        <w:rPr>
          <w:rFonts w:ascii="Arial" w:cs="Arial" w:eastAsia="Arial" w:hAnsi="Arial"/>
          <w:sz w:val="19"/>
          <w:szCs w:val="19"/>
          <w:i w:val="1"/>
          <w:iCs w:val="1"/>
          <w:color w:val="auto"/>
        </w:rPr>
        <w:t>Solicitation of Holders of Bonds</w:t>
      </w:r>
      <w:r>
        <w:rPr>
          <w:rFonts w:ascii="Arial" w:cs="Arial" w:eastAsia="Arial" w:hAnsi="Arial"/>
          <w:sz w:val="19"/>
          <w:szCs w:val="19"/>
          <w:color w:val="auto"/>
        </w:rPr>
        <w:t>.</w:t>
      </w:r>
    </w:p>
    <w:p>
      <w:pPr>
        <w:spacing w:after="0" w:line="247" w:lineRule="exact"/>
        <w:rPr>
          <w:sz w:val="20"/>
          <w:szCs w:val="20"/>
          <w:color w:val="auto"/>
        </w:rPr>
      </w:pPr>
    </w:p>
    <w:p>
      <w:pPr>
        <w:jc w:val="both"/>
        <w:ind w:left="100" w:right="99" w:firstLine="1288"/>
        <w:spacing w:after="0" w:line="275" w:lineRule="auto"/>
        <w:tabs>
          <w:tab w:leader="none" w:pos="1663"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 xml:space="preserve">Solicitation. </w:t>
      </w:r>
      <w:r>
        <w:rPr>
          <w:rFonts w:ascii="Arial" w:cs="Arial" w:eastAsia="Arial" w:hAnsi="Arial"/>
          <w:sz w:val="19"/>
          <w:szCs w:val="19"/>
          <w:color w:val="auto"/>
        </w:rPr>
        <w:t>The Company will provide each holder of Bonds (irrespective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amount of Bonds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Bonds. The Company will deliver executed or true and correct copies of each amendment, waiver or consent effected pursuant to the provisions of this Section 14 to each Purchaser and each holder of outstanding Bonds promptly following the date on which it is executed and delivered by, or receives the consent or approval of, the requisite holders of Bonds.</w:t>
      </w:r>
    </w:p>
    <w:p>
      <w:pPr>
        <w:spacing w:after="0" w:line="198" w:lineRule="exact"/>
        <w:rPr>
          <w:rFonts w:ascii="Arial" w:cs="Arial" w:eastAsia="Arial" w:hAnsi="Arial"/>
          <w:sz w:val="19"/>
          <w:szCs w:val="19"/>
          <w:color w:val="auto"/>
        </w:rPr>
      </w:pPr>
    </w:p>
    <w:p>
      <w:pPr>
        <w:jc w:val="both"/>
        <w:ind w:left="100" w:right="99" w:firstLine="1288"/>
        <w:spacing w:after="0" w:line="275" w:lineRule="auto"/>
        <w:tabs>
          <w:tab w:leader="none" w:pos="1675"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 xml:space="preserve">Payment. </w:t>
      </w:r>
      <w:r>
        <w:rPr>
          <w:rFonts w:ascii="Arial" w:cs="Arial" w:eastAsia="Arial" w:hAnsi="Arial"/>
          <w:sz w:val="19"/>
          <w:szCs w:val="19"/>
          <w:color w:val="auto"/>
        </w:rPr>
        <w:t>The Company will not directly or indirectly pay or cause to be paid any</w:t>
      </w:r>
      <w:r>
        <w:rPr>
          <w:rFonts w:ascii="Arial" w:cs="Arial" w:eastAsia="Arial" w:hAnsi="Arial"/>
          <w:sz w:val="19"/>
          <w:szCs w:val="19"/>
          <w:i w:val="1"/>
          <w:iCs w:val="1"/>
          <w:color w:val="auto"/>
        </w:rPr>
        <w:t xml:space="preserve"> </w:t>
      </w:r>
      <w:r>
        <w:rPr>
          <w:rFonts w:ascii="Arial" w:cs="Arial" w:eastAsia="Arial" w:hAnsi="Arial"/>
          <w:sz w:val="19"/>
          <w:szCs w:val="19"/>
          <w:color w:val="auto"/>
        </w:rPr>
        <w:t>remuneration, whether by way of supplemental or additional interest, fee or otherwise (other than legal fees or other related expenses), or grant any security or provide other credit support, to any holder of Bonds as consideration for or as an inducement to the entering into by any holder of Bonds of any waiver or amendment of any of the terms and provisions hereof or of the Bonds unless such remuneration is concurrently paid, or security is concurrently granted or other credit support concurrently provided, on the same terms, ratably to each holder of Bonds then outstanding even if such holder did not consent to such waiver or amendment.</w:t>
      </w:r>
    </w:p>
    <w:p>
      <w:pPr>
        <w:spacing w:after="0" w:line="185" w:lineRule="exact"/>
        <w:rPr>
          <w:rFonts w:ascii="Arial" w:cs="Arial" w:eastAsia="Arial" w:hAnsi="Arial"/>
          <w:sz w:val="19"/>
          <w:szCs w:val="19"/>
          <w:color w:val="auto"/>
        </w:rPr>
      </w:pPr>
    </w:p>
    <w:p>
      <w:pPr>
        <w:jc w:val="both"/>
        <w:ind w:left="100" w:right="99" w:firstLine="1288"/>
        <w:spacing w:after="0" w:line="245" w:lineRule="auto"/>
        <w:tabs>
          <w:tab w:leader="none" w:pos="1663" w:val="left"/>
        </w:tabs>
        <w:numPr>
          <w:ilvl w:val="0"/>
          <w:numId w:val="91"/>
        </w:numPr>
        <w:rPr>
          <w:rFonts w:ascii="Arial" w:cs="Arial" w:eastAsia="Arial" w:hAnsi="Arial"/>
          <w:sz w:val="21"/>
          <w:szCs w:val="21"/>
          <w:color w:val="auto"/>
        </w:rPr>
      </w:pPr>
      <w:r>
        <w:rPr>
          <w:rFonts w:ascii="Arial" w:cs="Arial" w:eastAsia="Arial" w:hAnsi="Arial"/>
          <w:sz w:val="21"/>
          <w:szCs w:val="21"/>
          <w:i w:val="1"/>
          <w:iCs w:val="1"/>
          <w:color w:val="auto"/>
        </w:rPr>
        <w:t>Consent in Contemplation of Transfer</w:t>
      </w:r>
      <w:r>
        <w:rPr>
          <w:rFonts w:ascii="Arial" w:cs="Arial" w:eastAsia="Arial" w:hAnsi="Arial"/>
          <w:sz w:val="21"/>
          <w:szCs w:val="21"/>
          <w:color w:val="auto"/>
        </w:rPr>
        <w:t>. Any consent made pursuant to this</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14 by a holder of Bonds that has transferred or has agreed to transfer its Bonds to (i) the Company, (ii) any Subsidiary or any other Affiliate, or (iii) any other Person in connection with, or in 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222" w:lineRule="exact"/>
        <w:rPr>
          <w:sz w:val="20"/>
          <w:szCs w:val="20"/>
          <w:color w:val="auto"/>
        </w:rPr>
      </w:pPr>
    </w:p>
    <w:p>
      <w:pPr>
        <w:jc w:val="both"/>
        <w:ind w:left="100" w:right="99" w:firstLine="716"/>
        <w:spacing w:after="0" w:line="247" w:lineRule="auto"/>
        <w:rPr>
          <w:sz w:val="20"/>
          <w:szCs w:val="20"/>
          <w:color w:val="auto"/>
        </w:rPr>
      </w:pPr>
      <w:r>
        <w:rPr>
          <w:rFonts w:ascii="Arial" w:cs="Arial" w:eastAsia="Arial" w:hAnsi="Arial"/>
          <w:sz w:val="21"/>
          <w:szCs w:val="21"/>
          <w:i w:val="1"/>
          <w:iCs w:val="1"/>
          <w:color w:val="auto"/>
        </w:rPr>
        <w:t>Section 14.3. Binding Effect, Etc</w:t>
      </w:r>
      <w:r>
        <w:rPr>
          <w:rFonts w:ascii="Arial" w:cs="Arial" w:eastAsia="Arial" w:hAnsi="Arial"/>
          <w:sz w:val="21"/>
          <w:szCs w:val="21"/>
          <w:color w:val="auto"/>
        </w:rPr>
        <w:t>. Any amendment or waiver consented to as provided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14 applies equally to all holders of Bonds and is binding upon them and upon each future 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any Bond nor any delay in exercising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51" w:name="page152"/>
    <w:bookmarkEnd w:id="151"/>
    <w:p>
      <w:pPr>
        <w:jc w:val="both"/>
        <w:ind w:left="100" w:right="99"/>
        <w:spacing w:after="0" w:line="251" w:lineRule="auto"/>
        <w:rPr>
          <w:sz w:val="20"/>
          <w:szCs w:val="20"/>
          <w:color w:val="auto"/>
        </w:rPr>
      </w:pPr>
      <w:r>
        <w:rPr>
          <w:rFonts w:ascii="Arial" w:cs="Arial" w:eastAsia="Arial" w:hAnsi="Arial"/>
          <w:sz w:val="22"/>
          <w:szCs w:val="22"/>
          <w:color w:val="auto"/>
        </w:rPr>
        <w:t>any rights hereunder or under any Bond shall operate as a waiver of any rights of any holder of such Bond.</w:t>
      </w:r>
    </w:p>
    <w:p>
      <w:pPr>
        <w:spacing w:after="0" w:line="200" w:lineRule="exact"/>
        <w:rPr>
          <w:sz w:val="20"/>
          <w:szCs w:val="20"/>
          <w:color w:val="auto"/>
        </w:rPr>
      </w:pPr>
    </w:p>
    <w:p>
      <w:pPr>
        <w:jc w:val="both"/>
        <w:ind w:left="100" w:right="99" w:firstLine="716"/>
        <w:spacing w:after="0" w:line="247" w:lineRule="auto"/>
        <w:rPr>
          <w:sz w:val="20"/>
          <w:szCs w:val="20"/>
          <w:color w:val="auto"/>
        </w:rPr>
      </w:pPr>
      <w:r>
        <w:rPr>
          <w:rFonts w:ascii="Arial" w:cs="Arial" w:eastAsia="Arial" w:hAnsi="Arial"/>
          <w:sz w:val="21"/>
          <w:szCs w:val="21"/>
          <w:i w:val="1"/>
          <w:iCs w:val="1"/>
          <w:color w:val="auto"/>
        </w:rPr>
        <w:t>Section 14.4. Bonds Held by Company, Etc</w:t>
      </w:r>
      <w:r>
        <w:rPr>
          <w:rFonts w:ascii="Arial" w:cs="Arial" w:eastAsia="Arial" w:hAnsi="Arial"/>
          <w:sz w:val="21"/>
          <w:szCs w:val="21"/>
          <w:color w:val="auto"/>
        </w:rPr>
        <w:t>. Solely for the purpose of determining whether</w:t>
      </w:r>
      <w:r>
        <w:rPr>
          <w:rFonts w:ascii="Arial" w:cs="Arial" w:eastAsia="Arial" w:hAnsi="Arial"/>
          <w:sz w:val="21"/>
          <w:szCs w:val="21"/>
          <w:i w:val="1"/>
          <w:iCs w:val="1"/>
          <w:color w:val="auto"/>
        </w:rPr>
        <w:t xml:space="preserve"> </w:t>
      </w:r>
      <w:r>
        <w:rPr>
          <w:rFonts w:ascii="Arial" w:cs="Arial" w:eastAsia="Arial" w:hAnsi="Arial"/>
          <w:sz w:val="21"/>
          <w:szCs w:val="21"/>
          <w:color w:val="auto"/>
        </w:rPr>
        <w:t>the holders of 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219" w:lineRule="exact"/>
        <w:rPr>
          <w:sz w:val="20"/>
          <w:szCs w:val="20"/>
          <w:color w:val="auto"/>
        </w:rPr>
      </w:pPr>
    </w:p>
    <w:p>
      <w:pPr>
        <w:ind w:left="100"/>
        <w:spacing w:after="0"/>
        <w:tabs>
          <w:tab w:leader="none" w:pos="196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color w:val="auto"/>
        </w:rPr>
        <w:t>NOTICES.</w:t>
      </w:r>
    </w:p>
    <w:p>
      <w:pPr>
        <w:spacing w:after="0" w:line="247"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215" w:lineRule="exact"/>
        <w:rPr>
          <w:sz w:val="20"/>
          <w:szCs w:val="20"/>
          <w:color w:val="auto"/>
        </w:rPr>
      </w:pPr>
    </w:p>
    <w:p>
      <w:pPr>
        <w:jc w:val="both"/>
        <w:ind w:left="760" w:right="99" w:firstLine="776"/>
        <w:spacing w:after="0"/>
        <w:tabs>
          <w:tab w:leader="none" w:pos="1882" w:val="left"/>
        </w:tabs>
        <w:numPr>
          <w:ilvl w:val="0"/>
          <w:numId w:val="92"/>
        </w:numPr>
        <w:rPr>
          <w:rFonts w:ascii="Arial" w:cs="Arial" w:eastAsia="Arial" w:hAnsi="Arial"/>
          <w:sz w:val="22"/>
          <w:szCs w:val="22"/>
          <w:color w:val="auto"/>
        </w:rPr>
      </w:pPr>
      <w:r>
        <w:rPr>
          <w:rFonts w:ascii="Arial" w:cs="Arial" w:eastAsia="Arial" w:hAnsi="Arial"/>
          <w:sz w:val="22"/>
          <w:szCs w:val="22"/>
          <w:color w:val="auto"/>
        </w:rPr>
        <w:t>if to any Purchaser or its nominee, to such Purchaser or nominee at the address specified for such communications in Schedule A, or at such other address as such Purchaser or nominee shall have specified to the Company in writing,</w:t>
      </w:r>
    </w:p>
    <w:p>
      <w:pPr>
        <w:spacing w:after="0" w:line="227" w:lineRule="exact"/>
        <w:rPr>
          <w:sz w:val="20"/>
          <w:szCs w:val="20"/>
          <w:color w:val="auto"/>
        </w:rPr>
      </w:pPr>
    </w:p>
    <w:p>
      <w:pPr>
        <w:ind w:left="760" w:right="99" w:firstLine="749"/>
        <w:spacing w:after="0" w:line="251" w:lineRule="auto"/>
        <w:tabs>
          <w:tab w:leader="none" w:pos="1888"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to any other holder of any Bond, to such holder at such address as such other holder shall have specified to the Company in writing, or</w:t>
      </w:r>
    </w:p>
    <w:p>
      <w:pPr>
        <w:spacing w:after="0" w:line="214" w:lineRule="exact"/>
        <w:rPr>
          <w:sz w:val="20"/>
          <w:szCs w:val="20"/>
          <w:color w:val="auto"/>
        </w:rPr>
      </w:pPr>
    </w:p>
    <w:p>
      <w:pPr>
        <w:jc w:val="both"/>
        <w:ind w:left="760" w:right="99" w:firstLine="709"/>
        <w:spacing w:after="0" w:line="238" w:lineRule="auto"/>
        <w:tabs>
          <w:tab w:leader="none" w:pos="1867" w:val="left"/>
        </w:tabs>
        <w:numPr>
          <w:ilvl w:val="0"/>
          <w:numId w:val="94"/>
        </w:numPr>
        <w:rPr>
          <w:rFonts w:ascii="Arial" w:cs="Arial" w:eastAsia="Arial" w:hAnsi="Arial"/>
          <w:sz w:val="22"/>
          <w:szCs w:val="22"/>
          <w:color w:val="auto"/>
        </w:rPr>
      </w:pPr>
      <w:r>
        <w:rPr>
          <w:rFonts w:ascii="Arial" w:cs="Arial" w:eastAsia="Arial" w:hAnsi="Arial"/>
          <w:sz w:val="22"/>
          <w:szCs w:val="22"/>
          <w:color w:val="auto"/>
        </w:rPr>
        <w:t>if to the Company, to the Company at its address set forth at the beginning hereof to the attention of 762 West Lancaster Avenue, Bryn Mawr, Pennsylvania 19010-3489, or at such other address as the Company shall have specified to the holder of each Bond in writing.</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Notices under this Section 15 will be deemed given only when actually received.</w:t>
      </w:r>
    </w:p>
    <w:p>
      <w:pPr>
        <w:spacing w:after="0" w:line="247" w:lineRule="exact"/>
        <w:rPr>
          <w:sz w:val="20"/>
          <w:szCs w:val="20"/>
          <w:color w:val="auto"/>
        </w:rPr>
      </w:pPr>
    </w:p>
    <w:p>
      <w:pPr>
        <w:ind w:left="100"/>
        <w:spacing w:after="0"/>
        <w:tabs>
          <w:tab w:leader="none" w:pos="196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21"/>
          <w:szCs w:val="21"/>
          <w:color w:val="auto"/>
        </w:rPr>
        <w:t>INDEMNIFICATION.</w:t>
      </w:r>
    </w:p>
    <w:p>
      <w:pPr>
        <w:spacing w:after="0" w:line="247" w:lineRule="exact"/>
        <w:rPr>
          <w:sz w:val="20"/>
          <w:szCs w:val="20"/>
          <w:color w:val="auto"/>
        </w:rPr>
      </w:pPr>
    </w:p>
    <w:p>
      <w:pPr>
        <w:jc w:val="both"/>
        <w:ind w:left="100" w:right="99" w:firstLine="648"/>
        <w:spacing w:after="0" w:line="248" w:lineRule="auto"/>
        <w:rPr>
          <w:sz w:val="20"/>
          <w:szCs w:val="20"/>
          <w:color w:val="auto"/>
        </w:rPr>
      </w:pPr>
      <w:r>
        <w:rPr>
          <w:rFonts w:ascii="Arial" w:cs="Arial" w:eastAsia="Arial" w:hAnsi="Arial"/>
          <w:sz w:val="21"/>
          <w:szCs w:val="21"/>
          <w:color w:val="auto"/>
        </w:rPr>
        <w:t>The Company hereby agrees to indemnify and hold the Purchasers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Section 16 shall survive the execution and delivery of this Agreement, the delivery of the Bonds to the Purchasers and the consummation of the transactions contemplated 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52" w:name="page153"/>
    <w:bookmarkEnd w:id="152"/>
    <w:p>
      <w:pPr>
        <w:ind w:left="100"/>
        <w:spacing w:after="0"/>
        <w:tabs>
          <w:tab w:leader="none" w:pos="196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color w:val="auto"/>
        </w:rPr>
        <w:t>REPRODUCTION OF DOCUMENTS.</w:t>
      </w:r>
    </w:p>
    <w:p>
      <w:pPr>
        <w:spacing w:after="0" w:line="233" w:lineRule="exact"/>
        <w:rPr>
          <w:sz w:val="20"/>
          <w:szCs w:val="20"/>
          <w:color w:val="auto"/>
        </w:rPr>
      </w:pPr>
    </w:p>
    <w:p>
      <w:pPr>
        <w:ind w:left="760"/>
        <w:spacing w:after="0"/>
        <w:tabs>
          <w:tab w:leader="none" w:pos="1300" w:val="left"/>
          <w:tab w:leader="none" w:pos="2440" w:val="left"/>
          <w:tab w:leader="none" w:pos="2920" w:val="left"/>
          <w:tab w:leader="none" w:pos="3320" w:val="left"/>
          <w:tab w:leader="none" w:pos="4440" w:val="left"/>
          <w:tab w:leader="none" w:pos="5280" w:val="left"/>
          <w:tab w:leader="none" w:pos="6120" w:val="left"/>
          <w:tab w:leader="none" w:pos="7160" w:val="left"/>
          <w:tab w:leader="none" w:pos="8000" w:val="left"/>
        </w:tabs>
        <w:rPr>
          <w:sz w:val="20"/>
          <w:szCs w:val="20"/>
          <w:color w:val="auto"/>
        </w:rPr>
      </w:pPr>
      <w:r>
        <w:rPr>
          <w:rFonts w:ascii="Arial" w:cs="Arial" w:eastAsia="Arial" w:hAnsi="Arial"/>
          <w:sz w:val="22"/>
          <w:szCs w:val="22"/>
          <w:color w:val="auto"/>
        </w:rPr>
        <w:t>This</w:t>
        <w:tab/>
        <w:t>Agreement</w:t>
        <w:tab/>
        <w:t>and</w:t>
        <w:tab/>
        <w:t>all</w:t>
        <w:tab/>
        <w:t>documents</w:t>
        <w:tab/>
        <w:t>relating</w:t>
        <w:tab/>
        <w:t>thereto,</w:t>
        <w:tab/>
        <w:t>including,</w:t>
        <w:tab/>
        <w:t>without</w:t>
      </w:r>
      <w:r>
        <w:rPr>
          <w:sz w:val="20"/>
          <w:szCs w:val="20"/>
          <w:color w:val="auto"/>
        </w:rPr>
        <w:tab/>
      </w:r>
      <w:r>
        <w:rPr>
          <w:rFonts w:ascii="Arial" w:cs="Arial" w:eastAsia="Arial" w:hAnsi="Arial"/>
          <w:sz w:val="21"/>
          <w:szCs w:val="21"/>
          <w:color w:val="auto"/>
        </w:rPr>
        <w:t>limitation,</w:t>
      </w:r>
    </w:p>
    <w:p>
      <w:pPr>
        <w:spacing w:after="0" w:line="8" w:lineRule="exact"/>
        <w:rPr>
          <w:sz w:val="20"/>
          <w:szCs w:val="20"/>
          <w:color w:val="auto"/>
        </w:rPr>
      </w:pPr>
    </w:p>
    <w:p>
      <w:pPr>
        <w:jc w:val="both"/>
        <w:ind w:left="100" w:right="99" w:firstLine="5"/>
        <w:spacing w:after="0" w:line="270" w:lineRule="auto"/>
        <w:tabs>
          <w:tab w:leader="none" w:pos="415" w:val="left"/>
        </w:tabs>
        <w:numPr>
          <w:ilvl w:val="0"/>
          <w:numId w:val="95"/>
        </w:numPr>
        <w:rPr>
          <w:rFonts w:ascii="Arial" w:cs="Arial" w:eastAsia="Arial" w:hAnsi="Arial"/>
          <w:sz w:val="19"/>
          <w:szCs w:val="19"/>
          <w:color w:val="auto"/>
        </w:rPr>
      </w:pPr>
      <w:r>
        <w:rPr>
          <w:rFonts w:ascii="Arial" w:cs="Arial" w:eastAsia="Arial" w:hAnsi="Arial"/>
          <w:sz w:val="19"/>
          <w:szCs w:val="19"/>
          <w:color w:val="auto"/>
        </w:rPr>
        <w:t>consents, waivers and modifications that may hereafter be executed, (b) documents received by any Purchaser at the Closing (except the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17 shall not prohibit the Company or any other holder of Bonds from contesting any such reproduction to the same extent that it could contest the original, or from introducing evidence to demonstrate the inaccuracy of any such reproduction.</w:t>
      </w:r>
    </w:p>
    <w:p>
      <w:pPr>
        <w:spacing w:after="0" w:line="206" w:lineRule="exact"/>
        <w:rPr>
          <w:sz w:val="20"/>
          <w:szCs w:val="20"/>
          <w:color w:val="auto"/>
        </w:rPr>
      </w:pPr>
    </w:p>
    <w:p>
      <w:pPr>
        <w:ind w:left="100"/>
        <w:spacing w:after="0"/>
        <w:tabs>
          <w:tab w:leader="none" w:pos="196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21"/>
          <w:szCs w:val="21"/>
          <w:color w:val="auto"/>
        </w:rPr>
        <w:t>CONFIDENTIAL INFORMATION.</w:t>
      </w:r>
    </w:p>
    <w:p>
      <w:pPr>
        <w:spacing w:after="0" w:line="247"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9"/>
          <w:szCs w:val="19"/>
          <w:color w:val="auto"/>
        </w:rPr>
        <w:t xml:space="preserve">For the purposes of this Section 18,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w:t>
      </w:r>
    </w:p>
    <w:p>
      <w:pPr>
        <w:spacing w:after="0" w:line="2" w:lineRule="exact"/>
        <w:rPr>
          <w:sz w:val="20"/>
          <w:szCs w:val="20"/>
          <w:color w:val="auto"/>
        </w:rPr>
      </w:pPr>
    </w:p>
    <w:p>
      <w:pPr>
        <w:jc w:val="both"/>
        <w:ind w:left="100" w:right="99" w:firstLine="5"/>
        <w:spacing w:after="0" w:line="269" w:lineRule="auto"/>
        <w:tabs>
          <w:tab w:leader="none" w:pos="4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constitutes financial statements delivered to such Purchaser under Section 7.1 of this Agreement or under the Indenture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Section 18,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Section 18), (v) any Person from which it offers to purchase any security of the Company (if such Person has agreed in writing prior to its receipt of such Confidential Information to be bound by the provisions of this Section 18), (vi) any federal or state or provincial regulatory authority having jurisdiction over such Purchaser, (vii) the NAIC or the SVO or, in each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53" w:name="page154"/>
    <w:bookmarkEnd w:id="153"/>
    <w:p>
      <w:pPr>
        <w:jc w:val="both"/>
        <w:ind w:left="100" w:right="99"/>
        <w:spacing w:after="0" w:line="271" w:lineRule="auto"/>
        <w:rPr>
          <w:sz w:val="20"/>
          <w:szCs w:val="20"/>
          <w:color w:val="auto"/>
        </w:rPr>
      </w:pPr>
      <w:r>
        <w:rPr>
          <w:rFonts w:ascii="Arial" w:cs="Arial" w:eastAsia="Arial" w:hAnsi="Arial"/>
          <w:sz w:val="19"/>
          <w:szCs w:val="19"/>
          <w:color w:val="auto"/>
        </w:rPr>
        <w:t>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 benefits of this Section 18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Section 18.</w:t>
      </w:r>
    </w:p>
    <w:p>
      <w:pPr>
        <w:spacing w:after="0" w:line="200" w:lineRule="exact"/>
        <w:rPr>
          <w:sz w:val="20"/>
          <w:szCs w:val="20"/>
          <w:color w:val="auto"/>
        </w:rPr>
      </w:pPr>
    </w:p>
    <w:p>
      <w:pPr>
        <w:spacing w:after="0" w:line="239" w:lineRule="exact"/>
        <w:rPr>
          <w:sz w:val="20"/>
          <w:szCs w:val="20"/>
          <w:color w:val="auto"/>
        </w:rPr>
      </w:pPr>
    </w:p>
    <w:p>
      <w:pPr>
        <w:jc w:val="both"/>
        <w:ind w:left="100" w:right="99" w:firstLine="648"/>
        <w:spacing w:after="0" w:line="234" w:lineRule="auto"/>
        <w:rPr>
          <w:sz w:val="20"/>
          <w:szCs w:val="20"/>
          <w:color w:val="auto"/>
        </w:rPr>
      </w:pPr>
      <w:r>
        <w:rPr>
          <w:rFonts w:ascii="Arial" w:cs="Arial" w:eastAsia="Arial" w:hAnsi="Arial"/>
          <w:sz w:val="22"/>
          <w:szCs w:val="22"/>
          <w:color w:val="auto"/>
        </w:rPr>
        <w:t>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Section 18, this Section 18 shall not be amended thereby and, as between such Purchaser or such holder and the Company, this Section 18 shall supersede any such other confidentiality undertaking.</w:t>
      </w:r>
    </w:p>
    <w:p>
      <w:pPr>
        <w:spacing w:after="0" w:line="232" w:lineRule="exact"/>
        <w:rPr>
          <w:sz w:val="20"/>
          <w:szCs w:val="20"/>
          <w:color w:val="auto"/>
        </w:rPr>
      </w:pPr>
    </w:p>
    <w:p>
      <w:pPr>
        <w:ind w:left="100"/>
        <w:spacing w:after="0"/>
        <w:tabs>
          <w:tab w:leader="none" w:pos="208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21"/>
          <w:szCs w:val="21"/>
          <w:color w:val="auto"/>
        </w:rPr>
        <w:t>MISCELLANEOUS.</w:t>
      </w:r>
    </w:p>
    <w:p>
      <w:pPr>
        <w:spacing w:after="0" w:line="247" w:lineRule="exact"/>
        <w:rPr>
          <w:sz w:val="20"/>
          <w:szCs w:val="20"/>
          <w:color w:val="auto"/>
        </w:rPr>
      </w:pPr>
    </w:p>
    <w:p>
      <w:pPr>
        <w:jc w:val="both"/>
        <w:ind w:left="100" w:right="99" w:firstLine="716"/>
        <w:spacing w:after="0" w:line="275" w:lineRule="auto"/>
        <w:rPr>
          <w:sz w:val="20"/>
          <w:szCs w:val="20"/>
          <w:color w:val="auto"/>
        </w:rPr>
      </w:pPr>
      <w:r>
        <w:rPr>
          <w:rFonts w:ascii="Arial" w:cs="Arial" w:eastAsia="Arial" w:hAnsi="Arial"/>
          <w:sz w:val="19"/>
          <w:szCs w:val="19"/>
          <w:i w:val="1"/>
          <w:iCs w:val="1"/>
          <w:color w:val="auto"/>
        </w:rPr>
        <w:t>Section 19.1. Successors and Assigns</w:t>
      </w:r>
      <w:r>
        <w:rPr>
          <w:rFonts w:ascii="Arial" w:cs="Arial" w:eastAsia="Arial" w:hAnsi="Arial"/>
          <w:sz w:val="19"/>
          <w:szCs w:val="19"/>
          <w:color w:val="auto"/>
        </w:rPr>
        <w:t>. All covenants and other agreements contained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by or on behalf of any of the parties hereto bind and inure to the benefit of their respective successors and assigns (including, without limitation, any subsequent holder of a Bond) whether so expressed or not, except that, subject to Section 10.2,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185" w:lineRule="exact"/>
        <w:rPr>
          <w:sz w:val="20"/>
          <w:szCs w:val="20"/>
          <w:color w:val="auto"/>
        </w:rPr>
      </w:pPr>
    </w:p>
    <w:p>
      <w:pPr>
        <w:jc w:val="both"/>
        <w:ind w:left="100" w:right="99" w:firstLine="716"/>
        <w:spacing w:after="0" w:line="246" w:lineRule="exact"/>
        <w:rPr>
          <w:sz w:val="20"/>
          <w:szCs w:val="20"/>
          <w:color w:val="auto"/>
        </w:rPr>
      </w:pPr>
      <w:r>
        <w:rPr>
          <w:rFonts w:ascii="Arial" w:cs="Arial" w:eastAsia="Arial" w:hAnsi="Arial"/>
          <w:sz w:val="21"/>
          <w:szCs w:val="21"/>
          <w:i w:val="1"/>
          <w:iCs w:val="1"/>
          <w:color w:val="auto"/>
        </w:rPr>
        <w:t>Section 19.2. Accounting Terms</w:t>
      </w:r>
      <w:r>
        <w:rPr>
          <w:rFonts w:ascii="Arial" w:cs="Arial" w:eastAsia="Arial" w:hAnsi="Arial"/>
          <w:sz w:val="21"/>
          <w:szCs w:val="21"/>
          <w:color w:val="auto"/>
        </w:rPr>
        <w:t>. All accounting terms used herein which are not expressly</w:t>
      </w:r>
      <w:r>
        <w:rPr>
          <w:rFonts w:ascii="Arial" w:cs="Arial" w:eastAsia="Arial" w:hAnsi="Arial"/>
          <w:sz w:val="21"/>
          <w:szCs w:val="21"/>
          <w:i w:val="1"/>
          <w:iCs w:val="1"/>
          <w:color w:val="auto"/>
        </w:rPr>
        <w:t xml:space="preserve"> </w:t>
      </w:r>
      <w:r>
        <w:rPr>
          <w:rFonts w:ascii="Arial" w:cs="Arial" w:eastAsia="Arial" w:hAnsi="Arial"/>
          <w:sz w:val="21"/>
          <w:szCs w:val="21"/>
          <w:color w:val="auto"/>
        </w:rPr>
        <w:t>defined in this 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21"/>
          <w:szCs w:val="21"/>
          <w:color w:val="auto"/>
        </w:rPr>
        <w:t>‑</w:t>
      </w:r>
      <w:r>
        <w:rPr>
          <w:rFonts w:ascii="Arial" w:cs="Arial" w:eastAsia="Arial" w:hAnsi="Arial"/>
          <w:sz w:val="21"/>
          <w:szCs w:val="21"/>
          <w:color w:val="auto"/>
        </w:rPr>
        <w:t>10</w:t>
      </w:r>
      <w:r>
        <w:rPr>
          <w:rFonts w:ascii="MS PGothic" w:cs="MS PGothic" w:eastAsia="MS PGothic" w:hAnsi="MS PGothic"/>
          <w:sz w:val="21"/>
          <w:szCs w:val="21"/>
          <w:color w:val="auto"/>
        </w:rPr>
        <w:t>‑</w:t>
      </w:r>
      <w:r>
        <w:rPr>
          <w:rFonts w:ascii="Arial" w:cs="Arial" w:eastAsia="Arial" w:hAnsi="Arial"/>
          <w:sz w:val="21"/>
          <w:szCs w:val="21"/>
          <w:color w:val="auto"/>
        </w:rPr>
        <w:t xml:space="preserve">25 – </w:t>
      </w:r>
      <w:r>
        <w:rPr>
          <w:rFonts w:ascii="Arial" w:cs="Arial" w:eastAsia="Arial" w:hAnsi="Arial"/>
          <w:sz w:val="21"/>
          <w:szCs w:val="21"/>
          <w:i w:val="1"/>
          <w:iCs w:val="1"/>
          <w:color w:val="auto"/>
        </w:rPr>
        <w:t>Fair Value Option,</w:t>
      </w:r>
      <w:r>
        <w:rPr>
          <w:rFonts w:ascii="Arial" w:cs="Arial" w:eastAsia="Arial" w:hAnsi="Arial"/>
          <w:sz w:val="21"/>
          <w:szCs w:val="21"/>
          <w:color w:val="auto"/>
        </w:rPr>
        <w:t xml:space="preserve"> International Accounting Standard 39 – </w:t>
      </w:r>
      <w:r>
        <w:rPr>
          <w:rFonts w:ascii="Arial" w:cs="Arial" w:eastAsia="Arial" w:hAnsi="Arial"/>
          <w:sz w:val="21"/>
          <w:szCs w:val="21"/>
          <w:i w:val="1"/>
          <w:iCs w:val="1"/>
          <w:color w:val="auto"/>
        </w:rPr>
        <w:t>Financial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Instruments: Recognition and Measurement </w:t>
      </w:r>
      <w:r>
        <w:rPr>
          <w:rFonts w:ascii="Arial" w:cs="Arial" w:eastAsia="Arial" w:hAnsi="Arial"/>
          <w:sz w:val="21"/>
          <w:szCs w:val="21"/>
          <w:color w:val="auto"/>
        </w:rPr>
        <w:t>or any similar accounting standard) shall be disregarded</w:t>
      </w:r>
      <w:r>
        <w:rPr>
          <w:rFonts w:ascii="Arial" w:cs="Arial" w:eastAsia="Arial" w:hAnsi="Arial"/>
          <w:sz w:val="21"/>
          <w:szCs w:val="21"/>
          <w:i w:val="1"/>
          <w:iCs w:val="1"/>
          <w:color w:val="auto"/>
        </w:rPr>
        <w:t xml:space="preserve"> </w:t>
      </w:r>
      <w:r>
        <w:rPr>
          <w:rFonts w:ascii="Arial" w:cs="Arial" w:eastAsia="Arial" w:hAnsi="Arial"/>
          <w:sz w:val="21"/>
          <w:szCs w:val="21"/>
          <w:color w:val="auto"/>
        </w:rPr>
        <w:t>and such determination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54" w:name="page155"/>
    <w:bookmarkEnd w:id="154"/>
    <w:p>
      <w:pPr>
        <w:jc w:val="both"/>
        <w:ind w:left="100" w:right="99"/>
        <w:spacing w:after="0" w:line="251" w:lineRule="auto"/>
        <w:rPr>
          <w:sz w:val="20"/>
          <w:szCs w:val="20"/>
          <w:color w:val="auto"/>
        </w:rPr>
      </w:pPr>
      <w:r>
        <w:rPr>
          <w:rFonts w:ascii="Arial" w:cs="Arial" w:eastAsia="Arial" w:hAnsi="Arial"/>
          <w:sz w:val="22"/>
          <w:szCs w:val="22"/>
          <w:color w:val="auto"/>
        </w:rPr>
        <w:t>shall be made as if such election had not been made and such Debt shall be valued at not less than 100% of the principal amount thereof.</w:t>
      </w:r>
    </w:p>
    <w:p>
      <w:pPr>
        <w:spacing w:after="0" w:line="200" w:lineRule="exact"/>
        <w:rPr>
          <w:sz w:val="20"/>
          <w:szCs w:val="20"/>
          <w:color w:val="auto"/>
        </w:rPr>
      </w:pPr>
    </w:p>
    <w:p>
      <w:pPr>
        <w:jc w:val="both"/>
        <w:ind w:left="100" w:right="99" w:firstLine="716"/>
        <w:spacing w:after="0" w:line="249" w:lineRule="auto"/>
        <w:rPr>
          <w:sz w:val="20"/>
          <w:szCs w:val="20"/>
          <w:color w:val="auto"/>
        </w:rPr>
      </w:pPr>
      <w:r>
        <w:rPr>
          <w:rFonts w:ascii="Arial" w:cs="Arial" w:eastAsia="Arial" w:hAnsi="Arial"/>
          <w:sz w:val="21"/>
          <w:szCs w:val="21"/>
          <w:i w:val="1"/>
          <w:iCs w:val="1"/>
          <w:color w:val="auto"/>
        </w:rPr>
        <w:t>Section 19.3. Severability</w:t>
      </w:r>
      <w:r>
        <w:rPr>
          <w:rFonts w:ascii="Arial" w:cs="Arial" w:eastAsia="Arial" w:hAnsi="Arial"/>
          <w:sz w:val="21"/>
          <w:szCs w:val="21"/>
          <w:color w:val="auto"/>
        </w:rPr>
        <w:t>. Any provision of this Agreement that is prohibited or</w:t>
      </w:r>
      <w:r>
        <w:rPr>
          <w:rFonts w:ascii="Arial" w:cs="Arial" w:eastAsia="Arial" w:hAnsi="Arial"/>
          <w:sz w:val="21"/>
          <w:szCs w:val="21"/>
          <w:i w:val="1"/>
          <w:iCs w:val="1"/>
          <w:color w:val="auto"/>
        </w:rPr>
        <w:t xml:space="preserve"> </w:t>
      </w:r>
      <w:r>
        <w:rPr>
          <w:rFonts w:ascii="Arial" w:cs="Arial" w:eastAsia="Arial" w:hAnsi="Arial"/>
          <w:sz w:val="21"/>
          <w:szCs w:val="21"/>
          <w:color w:val="auto"/>
        </w:rPr>
        <w:t>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19" w:lineRule="exact"/>
        <w:rPr>
          <w:sz w:val="20"/>
          <w:szCs w:val="20"/>
          <w:color w:val="auto"/>
        </w:rPr>
      </w:pPr>
    </w:p>
    <w:p>
      <w:pPr>
        <w:jc w:val="both"/>
        <w:ind w:left="100" w:right="99" w:firstLine="716"/>
        <w:spacing w:after="0" w:line="279" w:lineRule="auto"/>
        <w:rPr>
          <w:sz w:val="20"/>
          <w:szCs w:val="20"/>
          <w:color w:val="auto"/>
        </w:rPr>
      </w:pPr>
      <w:r>
        <w:rPr>
          <w:rFonts w:ascii="Arial" w:cs="Arial" w:eastAsia="Arial" w:hAnsi="Arial"/>
          <w:sz w:val="19"/>
          <w:szCs w:val="19"/>
          <w:i w:val="1"/>
          <w:iCs w:val="1"/>
          <w:color w:val="auto"/>
        </w:rPr>
        <w:t>Section 19.4. Construction, Etc</w:t>
      </w:r>
      <w:r>
        <w:rPr>
          <w:rFonts w:ascii="Arial" w:cs="Arial" w:eastAsia="Arial" w:hAnsi="Arial"/>
          <w:sz w:val="19"/>
          <w:szCs w:val="19"/>
          <w:color w:val="auto"/>
        </w:rPr>
        <w:t>. Each covenant contained herein shall be construed (absent</w:t>
      </w:r>
      <w:r>
        <w:rPr>
          <w:rFonts w:ascii="Arial" w:cs="Arial" w:eastAsia="Arial" w:hAnsi="Arial"/>
          <w:sz w:val="19"/>
          <w:szCs w:val="19"/>
          <w:i w:val="1"/>
          <w:iCs w:val="1"/>
          <w:color w:val="auto"/>
        </w:rPr>
        <w:t xml:space="preserve"> </w:t>
      </w:r>
      <w:r>
        <w:rPr>
          <w:rFonts w:ascii="Arial" w:cs="Arial" w:eastAsia="Arial" w:hAnsi="Arial"/>
          <w:sz w:val="19"/>
          <w:szCs w:val="19"/>
          <w:color w:val="auto"/>
        </w:rPr>
        <w:t>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91"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For the avoidance of doubt, all Schedules and Exhibits attached to this Agreement shall be deemed to be a part hereof.</w:t>
      </w:r>
    </w:p>
    <w:p>
      <w:pPr>
        <w:spacing w:after="0" w:line="200" w:lineRule="exact"/>
        <w:rPr>
          <w:sz w:val="20"/>
          <w:szCs w:val="20"/>
          <w:color w:val="auto"/>
        </w:rPr>
      </w:pPr>
    </w:p>
    <w:p>
      <w:pPr>
        <w:jc w:val="both"/>
        <w:ind w:left="100" w:right="99" w:firstLine="716"/>
        <w:spacing w:after="0" w:line="238" w:lineRule="auto"/>
        <w:rPr>
          <w:sz w:val="20"/>
          <w:szCs w:val="20"/>
          <w:color w:val="auto"/>
        </w:rPr>
      </w:pPr>
      <w:r>
        <w:rPr>
          <w:rFonts w:ascii="Arial" w:cs="Arial" w:eastAsia="Arial" w:hAnsi="Arial"/>
          <w:sz w:val="22"/>
          <w:szCs w:val="22"/>
          <w:i w:val="1"/>
          <w:iCs w:val="1"/>
          <w:color w:val="auto"/>
        </w:rPr>
        <w:t>Section 19.5. Counterparts</w:t>
      </w:r>
      <w:r>
        <w:rPr>
          <w:rFonts w:ascii="Arial" w:cs="Arial" w:eastAsia="Arial" w:hAnsi="Arial"/>
          <w:sz w:val="22"/>
          <w:szCs w:val="22"/>
          <w:color w:val="auto"/>
        </w:rPr>
        <w:t>. This Agreement may be executed in any number of</w:t>
      </w:r>
      <w:r>
        <w:rPr>
          <w:rFonts w:ascii="Arial" w:cs="Arial" w:eastAsia="Arial" w:hAnsi="Arial"/>
          <w:sz w:val="22"/>
          <w:szCs w:val="22"/>
          <w:i w:val="1"/>
          <w:iCs w:val="1"/>
          <w:color w:val="auto"/>
        </w:rPr>
        <w:t xml:space="preserve"> </w:t>
      </w:r>
      <w:r>
        <w:rPr>
          <w:rFonts w:ascii="Arial" w:cs="Arial" w:eastAsia="Arial" w:hAnsi="Arial"/>
          <w:sz w:val="22"/>
          <w:szCs w:val="22"/>
          <w:color w:val="auto"/>
        </w:rPr>
        <w:t>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226" w:lineRule="exact"/>
        <w:rPr>
          <w:sz w:val="20"/>
          <w:szCs w:val="20"/>
          <w:color w:val="auto"/>
        </w:rPr>
      </w:pPr>
    </w:p>
    <w:p>
      <w:pPr>
        <w:jc w:val="both"/>
        <w:ind w:left="100" w:right="99" w:firstLine="716"/>
        <w:spacing w:after="0" w:line="251" w:lineRule="exact"/>
        <w:rPr>
          <w:sz w:val="20"/>
          <w:szCs w:val="20"/>
          <w:color w:val="auto"/>
        </w:rPr>
      </w:pPr>
      <w:r>
        <w:rPr>
          <w:rFonts w:ascii="Arial" w:cs="Arial" w:eastAsia="Arial" w:hAnsi="Arial"/>
          <w:sz w:val="22"/>
          <w:szCs w:val="22"/>
          <w:i w:val="1"/>
          <w:iCs w:val="1"/>
          <w:color w:val="auto"/>
        </w:rPr>
        <w:t>Section 19.6. Governing Law</w:t>
      </w:r>
      <w:r>
        <w:rPr>
          <w:rFonts w:ascii="Arial" w:cs="Arial" w:eastAsia="Arial" w:hAnsi="Arial"/>
          <w:sz w:val="22"/>
          <w:szCs w:val="22"/>
          <w:color w:val="auto"/>
        </w:rPr>
        <w:t>. This Agreement shall be construed and enforced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and the rights of the parties shall be governed by, the law of the Commonwealth of Pennsylvania excluding choice</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law principles of the law of such State that would permit the application of the laws of a jurisdiction other than such State.</w:t>
      </w:r>
    </w:p>
    <w:p>
      <w:pPr>
        <w:spacing w:after="0" w:line="226" w:lineRule="exact"/>
        <w:rPr>
          <w:sz w:val="20"/>
          <w:szCs w:val="20"/>
          <w:color w:val="auto"/>
        </w:rPr>
      </w:pPr>
    </w:p>
    <w:p>
      <w:pPr>
        <w:jc w:val="both"/>
        <w:ind w:left="100" w:right="99" w:firstLine="716"/>
        <w:spacing w:after="0" w:line="233" w:lineRule="auto"/>
        <w:rPr>
          <w:sz w:val="20"/>
          <w:szCs w:val="20"/>
          <w:color w:val="auto"/>
        </w:rPr>
      </w:pPr>
      <w:r>
        <w:rPr>
          <w:rFonts w:ascii="Arial" w:cs="Arial" w:eastAsia="Arial" w:hAnsi="Arial"/>
          <w:sz w:val="22"/>
          <w:szCs w:val="22"/>
          <w:i w:val="1"/>
          <w:iCs w:val="1"/>
          <w:color w:val="auto"/>
        </w:rPr>
        <w:t>Section 19.7. Jurisdiction and Process; Waiver of Jury Trial</w:t>
      </w:r>
      <w:r>
        <w:rPr>
          <w:rFonts w:ascii="Arial" w:cs="Arial" w:eastAsia="Arial" w:hAnsi="Arial"/>
          <w:sz w:val="22"/>
          <w:szCs w:val="22"/>
          <w:color w:val="auto"/>
        </w:rPr>
        <w:t>. (a) The Company irrevocably</w:t>
      </w:r>
      <w:r>
        <w:rPr>
          <w:rFonts w:ascii="Arial" w:cs="Arial" w:eastAsia="Arial" w:hAnsi="Arial"/>
          <w:sz w:val="22"/>
          <w:szCs w:val="22"/>
          <w:i w:val="1"/>
          <w:iCs w:val="1"/>
          <w:color w:val="auto"/>
        </w:rPr>
        <w:t xml:space="preserve"> </w:t>
      </w:r>
      <w:r>
        <w:rPr>
          <w:rFonts w:ascii="Arial" w:cs="Arial" w:eastAsia="Arial" w:hAnsi="Arial"/>
          <w:sz w:val="22"/>
          <w:szCs w:val="22"/>
          <w:color w:val="auto"/>
        </w:rPr>
        <w:t>submits to the non-exclusive jurisdiction of any Pennsylvania State or federal court sitting in Philadelphia, Pennsylvania,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21" w:lineRule="exact"/>
        <w:rPr>
          <w:sz w:val="20"/>
          <w:szCs w:val="20"/>
          <w:color w:val="auto"/>
        </w:rPr>
      </w:pPr>
    </w:p>
    <w:p>
      <w:pPr>
        <w:jc w:val="both"/>
        <w:ind w:left="100" w:right="99" w:firstLine="608"/>
        <w:spacing w:after="0" w:line="258" w:lineRule="auto"/>
        <w:rPr>
          <w:sz w:val="20"/>
          <w:szCs w:val="20"/>
          <w:color w:val="auto"/>
        </w:rPr>
      </w:pPr>
      <w:r>
        <w:rPr>
          <w:rFonts w:ascii="Arial" w:cs="Arial" w:eastAsia="Arial" w:hAnsi="Arial"/>
          <w:sz w:val="21"/>
          <w:szCs w:val="21"/>
          <w:color w:val="auto"/>
        </w:rPr>
        <w:t>(b)The Company consents to process being served by or on behalf of any holder of Bonds in any suit, action or proceeding of the nature referred to in Section 19.7(a) by mailing a copy thereof by registered or certified mail (or any substantially similar form of mail), postage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55" w:name="page156"/>
    <w:bookmarkEnd w:id="155"/>
    <w:p>
      <w:pPr>
        <w:jc w:val="both"/>
        <w:ind w:left="100" w:right="99"/>
        <w:spacing w:after="0" w:line="277" w:lineRule="auto"/>
        <w:rPr>
          <w:sz w:val="20"/>
          <w:szCs w:val="20"/>
          <w:color w:val="auto"/>
        </w:rPr>
      </w:pPr>
      <w:r>
        <w:rPr>
          <w:rFonts w:ascii="Arial" w:cs="Arial" w:eastAsia="Arial" w:hAnsi="Arial"/>
          <w:sz w:val="19"/>
          <w:szCs w:val="19"/>
          <w:color w:val="auto"/>
        </w:rPr>
        <w:t>prepaid, return receipt requested, to it at its address specified in Section 15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80" w:lineRule="exact"/>
        <w:rPr>
          <w:sz w:val="20"/>
          <w:szCs w:val="20"/>
          <w:color w:val="auto"/>
        </w:rPr>
      </w:pPr>
    </w:p>
    <w:p>
      <w:pPr>
        <w:jc w:val="both"/>
        <w:ind w:left="100" w:right="99" w:firstLine="608"/>
        <w:spacing w:after="0" w:line="287" w:lineRule="auto"/>
        <w:rPr>
          <w:sz w:val="20"/>
          <w:szCs w:val="20"/>
          <w:color w:val="auto"/>
        </w:rPr>
      </w:pPr>
      <w:r>
        <w:rPr>
          <w:rFonts w:ascii="Arial" w:cs="Arial" w:eastAsia="Arial" w:hAnsi="Arial"/>
          <w:sz w:val="19"/>
          <w:szCs w:val="19"/>
          <w:color w:val="auto"/>
        </w:rPr>
        <w:t>(c)Nothing in this Section 19.7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184" w:lineRule="exact"/>
        <w:rPr>
          <w:sz w:val="20"/>
          <w:szCs w:val="20"/>
          <w:color w:val="auto"/>
        </w:rPr>
      </w:pPr>
    </w:p>
    <w:p>
      <w:pPr>
        <w:jc w:val="both"/>
        <w:ind w:left="100" w:right="99" w:firstLine="608"/>
        <w:spacing w:after="0" w:line="328" w:lineRule="auto"/>
        <w:rPr>
          <w:sz w:val="20"/>
          <w:szCs w:val="20"/>
          <w:color w:val="auto"/>
        </w:rPr>
      </w:pPr>
      <w:r>
        <w:rPr>
          <w:rFonts w:ascii="Arial" w:cs="Arial" w:eastAsia="Arial" w:hAnsi="Arial"/>
          <w:sz w:val="19"/>
          <w:szCs w:val="19"/>
          <w:color w:val="auto"/>
        </w:rPr>
        <w:t>(d)The parties hereto hereby waive trial by jury in any action brought on or with respect to this Agreement, the Bonds or any other document executed in connection herewith or therewith.</w:t>
      </w:r>
    </w:p>
    <w:p>
      <w:pPr>
        <w:spacing w:after="0" w:line="146" w:lineRule="exact"/>
        <w:rPr>
          <w:sz w:val="20"/>
          <w:szCs w:val="20"/>
          <w:color w:val="auto"/>
        </w:rPr>
      </w:pPr>
    </w:p>
    <w:p>
      <w:pPr>
        <w:jc w:val="both"/>
        <w:ind w:left="100" w:right="99" w:firstLine="716"/>
        <w:spacing w:after="0" w:line="275" w:lineRule="auto"/>
        <w:rPr>
          <w:sz w:val="20"/>
          <w:szCs w:val="20"/>
          <w:color w:val="auto"/>
        </w:rPr>
      </w:pPr>
      <w:r>
        <w:rPr>
          <w:rFonts w:ascii="Arial" w:cs="Arial" w:eastAsia="Arial" w:hAnsi="Arial"/>
          <w:sz w:val="19"/>
          <w:szCs w:val="19"/>
          <w:i w:val="1"/>
          <w:iCs w:val="1"/>
          <w:color w:val="auto"/>
        </w:rPr>
        <w:t>Section 19.8. Payments Due on Non-Business Days</w:t>
      </w:r>
      <w:r>
        <w:rPr>
          <w:rFonts w:ascii="Arial" w:cs="Arial" w:eastAsia="Arial" w:hAnsi="Arial"/>
          <w:sz w:val="19"/>
          <w:szCs w:val="19"/>
          <w:color w:val="auto"/>
        </w:rPr>
        <w:t>. Anything in this Agreement or the</w:t>
      </w:r>
      <w:r>
        <w:rPr>
          <w:rFonts w:ascii="Arial" w:cs="Arial" w:eastAsia="Arial" w:hAnsi="Arial"/>
          <w:sz w:val="19"/>
          <w:szCs w:val="19"/>
          <w:i w:val="1"/>
          <w:iCs w:val="1"/>
          <w:color w:val="auto"/>
        </w:rPr>
        <w:t xml:space="preserve"> </w:t>
      </w:r>
      <w:r>
        <w:rPr>
          <w:rFonts w:ascii="Arial" w:cs="Arial" w:eastAsia="Arial" w:hAnsi="Arial"/>
          <w:sz w:val="19"/>
          <w:szCs w:val="19"/>
          <w:color w:val="auto"/>
        </w:rPr>
        <w:t>Bonds to the contrary notwithstanding, any payment of principal of or Make-Whole Amount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56" w:name="page157"/>
    <w:bookmarkEnd w:id="156"/>
    <w:p>
      <w:pPr>
        <w:jc w:val="both"/>
        <w:ind w:left="100" w:right="99" w:firstLine="648"/>
        <w:spacing w:after="0"/>
        <w:rPr>
          <w:sz w:val="20"/>
          <w:szCs w:val="20"/>
          <w:color w:val="auto"/>
        </w:rPr>
      </w:pPr>
      <w:r>
        <w:rPr>
          <w:rFonts w:ascii="Arial" w:cs="Arial" w:eastAsia="Arial" w:hAnsi="Arial"/>
          <w:sz w:val="22"/>
          <w:szCs w:val="22"/>
          <w:color w:val="auto"/>
        </w:rPr>
        <w:t>If you are in agreement with the foregoing, please sign the form of agreement on a counterpart of this Bond Purchase Agreement and return it to the Company, whereupon this Agreement shall become a binding agreement between you and the Company.</w:t>
      </w:r>
    </w:p>
    <w:p>
      <w:pPr>
        <w:spacing w:after="0" w:line="22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AQUA PENNSYLVANIA, INC.</w:t>
      </w:r>
    </w:p>
    <w:p>
      <w:pPr>
        <w:spacing w:after="0" w:line="200" w:lineRule="exact"/>
        <w:rPr>
          <w:sz w:val="20"/>
          <w:szCs w:val="20"/>
          <w:color w:val="auto"/>
        </w:rPr>
      </w:pPr>
    </w:p>
    <w:p>
      <w:pPr>
        <w:spacing w:after="0" w:line="276" w:lineRule="exact"/>
        <w:rPr>
          <w:sz w:val="20"/>
          <w:szCs w:val="20"/>
          <w:color w:val="auto"/>
        </w:rPr>
      </w:pPr>
    </w:p>
    <w:p>
      <w:pPr>
        <w:ind w:left="3500"/>
        <w:spacing w:after="0"/>
        <w:tabs>
          <w:tab w:leader="none" w:pos="4060" w:val="left"/>
        </w:tabs>
        <w:rPr>
          <w:sz w:val="20"/>
          <w:szCs w:val="20"/>
          <w:color w:val="auto"/>
        </w:rPr>
      </w:pPr>
      <w:r>
        <w:rPr>
          <w:rFonts w:ascii="Arial" w:cs="Arial" w:eastAsia="Arial" w:hAnsi="Arial"/>
          <w:sz w:val="22"/>
          <w:szCs w:val="22"/>
          <w:color w:val="auto"/>
        </w:rPr>
        <w:t>By:</w:t>
        <w:tab/>
        <w:t>/s/ Daniel J. Schuller</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-158115</wp:posOffset>
            </wp:positionV>
            <wp:extent cx="30784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3500"/>
        <w:spacing w:after="0"/>
        <w:tabs>
          <w:tab w:leader="none" w:pos="4060" w:val="left"/>
        </w:tabs>
        <w:rPr>
          <w:sz w:val="20"/>
          <w:szCs w:val="20"/>
          <w:color w:val="auto"/>
        </w:rPr>
      </w:pPr>
      <w:r>
        <w:rPr>
          <w:rFonts w:ascii="Arial" w:cs="Arial" w:eastAsia="Arial" w:hAnsi="Arial"/>
          <w:sz w:val="22"/>
          <w:szCs w:val="22"/>
          <w:color w:val="auto"/>
        </w:rPr>
        <w:t>Its:</w:t>
        <w:tab/>
        <w:t>Chief Financial Officer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57" w:name="page158"/>
    <w:bookmarkEnd w:id="157"/>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47" w:lineRule="exact"/>
        <w:rPr>
          <w:sz w:val="20"/>
          <w:szCs w:val="20"/>
          <w:color w:val="auto"/>
        </w:rPr>
      </w:pPr>
    </w:p>
    <w:p>
      <w:pPr>
        <w:jc w:val="center"/>
        <w:ind w:left="3980"/>
        <w:spacing w:after="0"/>
        <w:rPr>
          <w:sz w:val="20"/>
          <w:szCs w:val="20"/>
          <w:color w:val="auto"/>
        </w:rPr>
      </w:pPr>
      <w:r>
        <w:rPr>
          <w:rFonts w:ascii="Arial" w:cs="Arial" w:eastAsia="Arial" w:hAnsi="Arial"/>
          <w:sz w:val="22"/>
          <w:szCs w:val="22"/>
          <w:color w:val="auto"/>
        </w:rPr>
        <w:t>TEACHERS INSURANCE AND ANNUITY</w:t>
      </w:r>
    </w:p>
    <w:p>
      <w:pPr>
        <w:ind w:left="5080"/>
        <w:spacing w:after="0" w:line="238" w:lineRule="auto"/>
        <w:rPr>
          <w:sz w:val="20"/>
          <w:szCs w:val="20"/>
          <w:color w:val="auto"/>
        </w:rPr>
      </w:pPr>
      <w:r>
        <w:rPr>
          <w:rFonts w:ascii="Arial" w:cs="Arial" w:eastAsia="Arial" w:hAnsi="Arial"/>
          <w:sz w:val="22"/>
          <w:szCs w:val="22"/>
          <w:color w:val="auto"/>
        </w:rPr>
        <w:t>ASSOCIATION OF AMERICA,</w:t>
      </w:r>
    </w:p>
    <w:p>
      <w:pPr>
        <w:ind w:left="4080"/>
        <w:spacing w:after="0"/>
        <w:rPr>
          <w:sz w:val="20"/>
          <w:szCs w:val="20"/>
          <w:color w:val="auto"/>
        </w:rPr>
      </w:pPr>
      <w:r>
        <w:rPr>
          <w:rFonts w:ascii="Arial" w:cs="Arial" w:eastAsia="Arial" w:hAnsi="Arial"/>
          <w:sz w:val="22"/>
          <w:szCs w:val="22"/>
          <w:color w:val="auto"/>
        </w:rPr>
        <w:t>a New York domiciled life insurance company</w:t>
      </w:r>
    </w:p>
    <w:p>
      <w:pPr>
        <w:spacing w:after="0" w:line="215" w:lineRule="exact"/>
        <w:rPr>
          <w:sz w:val="20"/>
          <w:szCs w:val="20"/>
          <w:color w:val="auto"/>
        </w:rPr>
      </w:pPr>
    </w:p>
    <w:p>
      <w:pPr>
        <w:ind w:left="3500"/>
        <w:spacing w:after="0"/>
        <w:tabs>
          <w:tab w:leader="none" w:pos="4060" w:val="left"/>
        </w:tabs>
        <w:rPr>
          <w:sz w:val="20"/>
          <w:szCs w:val="20"/>
          <w:color w:val="auto"/>
        </w:rPr>
      </w:pPr>
      <w:r>
        <w:rPr>
          <w:rFonts w:ascii="Arial" w:cs="Arial" w:eastAsia="Arial" w:hAnsi="Arial"/>
          <w:sz w:val="22"/>
          <w:szCs w:val="22"/>
          <w:color w:val="auto"/>
        </w:rPr>
        <w:t>By:</w:t>
        <w:tab/>
        <w:t>Nuveen Alternatives Advisors LLC,</w:t>
      </w:r>
    </w:p>
    <w:p>
      <w:pPr>
        <w:spacing w:after="0" w:line="8" w:lineRule="exact"/>
        <w:rPr>
          <w:sz w:val="20"/>
          <w:szCs w:val="20"/>
          <w:color w:val="auto"/>
        </w:rPr>
      </w:pPr>
    </w:p>
    <w:p>
      <w:pPr>
        <w:ind w:left="4080" w:right="419"/>
        <w:spacing w:after="0" w:line="237" w:lineRule="auto"/>
        <w:rPr>
          <w:sz w:val="20"/>
          <w:szCs w:val="20"/>
          <w:color w:val="auto"/>
        </w:rPr>
      </w:pPr>
      <w:r>
        <w:rPr>
          <w:rFonts w:ascii="Arial" w:cs="Arial" w:eastAsia="Arial" w:hAnsi="Arial"/>
          <w:sz w:val="22"/>
          <w:szCs w:val="22"/>
          <w:color w:val="auto"/>
        </w:rPr>
        <w:t>a Delaware limited liability company, its investment manager</w:t>
      </w:r>
    </w:p>
    <w:p>
      <w:pPr>
        <w:spacing w:after="0" w:line="200" w:lineRule="exact"/>
        <w:rPr>
          <w:sz w:val="20"/>
          <w:szCs w:val="20"/>
          <w:color w:val="auto"/>
        </w:rPr>
      </w:pPr>
    </w:p>
    <w:p>
      <w:pPr>
        <w:spacing w:after="0" w:line="255" w:lineRule="exact"/>
        <w:rPr>
          <w:sz w:val="20"/>
          <w:szCs w:val="20"/>
          <w:color w:val="auto"/>
        </w:rPr>
      </w:pPr>
    </w:p>
    <w:p>
      <w:pPr>
        <w:ind w:left="3500"/>
        <w:spacing w:after="0"/>
        <w:tabs>
          <w:tab w:leader="none" w:pos="4060" w:val="left"/>
        </w:tabs>
        <w:rPr>
          <w:sz w:val="20"/>
          <w:szCs w:val="20"/>
          <w:color w:val="auto"/>
        </w:rPr>
      </w:pPr>
      <w:r>
        <w:rPr>
          <w:rFonts w:ascii="Arial" w:cs="Arial" w:eastAsia="Arial" w:hAnsi="Arial"/>
          <w:sz w:val="22"/>
          <w:szCs w:val="22"/>
          <w:color w:val="auto"/>
        </w:rPr>
        <w:t>By:</w:t>
        <w:tab/>
        <w:t>/s/ Laura M Parrott</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Name:Laura M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-158115</wp:posOffset>
            </wp:positionV>
            <wp:extent cx="30784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3080"/>
        <w:spacing w:after="0"/>
        <w:tabs>
          <w:tab w:leader="none" w:pos="280" w:val="left"/>
        </w:tabs>
        <w:rPr>
          <w:sz w:val="20"/>
          <w:szCs w:val="20"/>
          <w:color w:val="auto"/>
        </w:rPr>
      </w:pPr>
      <w:r>
        <w:rPr>
          <w:rFonts w:ascii="Arial" w:cs="Arial" w:eastAsia="Arial" w:hAnsi="Arial"/>
          <w:sz w:val="22"/>
          <w:szCs w:val="22"/>
          <w:color w:val="auto"/>
        </w:rPr>
        <w:t>Its:</w:t>
        <w:tab/>
        <w:t>Managing Director</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58" w:name="page159"/>
    <w:bookmarkEnd w:id="158"/>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90" w:lineRule="exact"/>
        <w:rPr>
          <w:sz w:val="20"/>
          <w:szCs w:val="20"/>
          <w:color w:val="auto"/>
        </w:rPr>
      </w:pPr>
    </w:p>
    <w:p>
      <w:pPr>
        <w:jc w:val="right"/>
        <w:ind w:right="599"/>
        <w:spacing w:after="0"/>
        <w:rPr>
          <w:sz w:val="20"/>
          <w:szCs w:val="20"/>
          <w:color w:val="auto"/>
        </w:rPr>
      </w:pPr>
      <w:r>
        <w:rPr>
          <w:rFonts w:ascii="Arial" w:cs="Arial" w:eastAsia="Arial" w:hAnsi="Arial"/>
          <w:sz w:val="22"/>
          <w:szCs w:val="22"/>
          <w:color w:val="auto"/>
        </w:rPr>
        <w:t>AMERICAN UNITED LIFE INSURANCE COMPANY</w:t>
      </w:r>
    </w:p>
    <w:p>
      <w:pPr>
        <w:spacing w:after="0" w:line="200" w:lineRule="exact"/>
        <w:rPr>
          <w:sz w:val="20"/>
          <w:szCs w:val="20"/>
          <w:color w:val="auto"/>
        </w:rPr>
      </w:pPr>
    </w:p>
    <w:p>
      <w:pPr>
        <w:spacing w:after="0" w:line="266" w:lineRule="exact"/>
        <w:rPr>
          <w:sz w:val="20"/>
          <w:szCs w:val="20"/>
          <w:color w:val="auto"/>
        </w:rPr>
      </w:pPr>
    </w:p>
    <w:tbl>
      <w:tblPr>
        <w:tblLayout w:type="fixed"/>
        <w:tblInd w:w="350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John C. Mason</w:t>
            </w:r>
          </w:p>
        </w:tc>
        <w:tc>
          <w:tcPr>
            <w:tcW w:w="0" w:type="dxa"/>
            <w:vAlign w:val="bottom"/>
          </w:tcPr>
          <w:p>
            <w:pPr>
              <w:spacing w:after="0"/>
              <w:rPr>
                <w:sz w:val="1"/>
                <w:szCs w:val="1"/>
                <w:color w:val="auto"/>
              </w:rPr>
            </w:pPr>
          </w:p>
        </w:tc>
      </w:tr>
      <w:tr>
        <w:trPr>
          <w:trHeight w:val="21"/>
        </w:trPr>
        <w:tc>
          <w:tcPr>
            <w:tcW w:w="640" w:type="dxa"/>
            <w:vAlign w:val="bottom"/>
            <w:vMerge w:val="restart"/>
          </w:tcPr>
          <w:p>
            <w:pPr>
              <w:spacing w:after="0"/>
              <w:rPr>
                <w:sz w:val="20"/>
                <w:szCs w:val="20"/>
                <w:color w:val="auto"/>
              </w:rPr>
            </w:pPr>
            <w:r>
              <w:rPr>
                <w:rFonts w:ascii="Arial" w:cs="Arial" w:eastAsia="Arial" w:hAnsi="Arial"/>
                <w:sz w:val="22"/>
                <w:szCs w:val="22"/>
                <w:color w:val="auto"/>
                <w:w w:val="95"/>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4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John C. Mason</w:t>
            </w:r>
          </w:p>
        </w:tc>
        <w:tc>
          <w:tcPr>
            <w:tcW w:w="0" w:type="dxa"/>
            <w:vAlign w:val="bottom"/>
          </w:tcPr>
          <w:p>
            <w:pPr>
              <w:spacing w:after="0"/>
              <w:rPr>
                <w:sz w:val="1"/>
                <w:szCs w:val="1"/>
                <w:color w:val="auto"/>
              </w:rPr>
            </w:pPr>
          </w:p>
        </w:tc>
      </w:tr>
      <w:tr>
        <w:trPr>
          <w:trHeight w:val="275"/>
        </w:trPr>
        <w:tc>
          <w:tcPr>
            <w:tcW w:w="640" w:type="dxa"/>
            <w:vAlign w:val="bottom"/>
          </w:tcPr>
          <w:p>
            <w:pPr>
              <w:spacing w:after="0"/>
              <w:rPr>
                <w:sz w:val="20"/>
                <w:szCs w:val="20"/>
                <w:color w:val="auto"/>
              </w:rPr>
            </w:pPr>
            <w:r>
              <w:rPr>
                <w:rFonts w:ascii="Arial" w:cs="Arial" w:eastAsia="Arial" w:hAnsi="Arial"/>
                <w:sz w:val="22"/>
                <w:szCs w:val="22"/>
                <w:color w:val="auto"/>
              </w:rPr>
              <w:t>Its:</w:t>
            </w:r>
          </w:p>
        </w:tc>
        <w:tc>
          <w:tcPr>
            <w:tcW w:w="4780" w:type="dxa"/>
            <w:vAlign w:val="bottom"/>
          </w:tcPr>
          <w:p>
            <w:pPr>
              <w:spacing w:after="0"/>
              <w:rPr>
                <w:sz w:val="20"/>
                <w:szCs w:val="20"/>
                <w:color w:val="auto"/>
              </w:rPr>
            </w:pPr>
            <w:r>
              <w:rPr>
                <w:rFonts w:ascii="Arial" w:cs="Arial" w:eastAsia="Arial" w:hAnsi="Arial"/>
                <w:sz w:val="22"/>
                <w:szCs w:val="22"/>
                <w:color w:val="auto"/>
              </w:rPr>
              <w:t>Senior Vice President &amp; Chief Investment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PIONEER MUTUAL LIFE INSURANCE COMPANY</w:t>
      </w:r>
    </w:p>
    <w:p>
      <w:pPr>
        <w:spacing w:after="0" w:line="200" w:lineRule="exact"/>
        <w:rPr>
          <w:sz w:val="20"/>
          <w:szCs w:val="20"/>
          <w:color w:val="auto"/>
        </w:rPr>
      </w:pPr>
    </w:p>
    <w:p>
      <w:pPr>
        <w:spacing w:after="0" w:line="266" w:lineRule="exact"/>
        <w:rPr>
          <w:sz w:val="20"/>
          <w:szCs w:val="20"/>
          <w:color w:val="auto"/>
        </w:rPr>
      </w:pPr>
    </w:p>
    <w:tbl>
      <w:tblPr>
        <w:tblLayout w:type="fixed"/>
        <w:tblInd w:w="350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John C. Mason</w:t>
            </w:r>
          </w:p>
        </w:tc>
        <w:tc>
          <w:tcPr>
            <w:tcW w:w="0" w:type="dxa"/>
            <w:vAlign w:val="bottom"/>
          </w:tcPr>
          <w:p>
            <w:pPr>
              <w:spacing w:after="0"/>
              <w:rPr>
                <w:sz w:val="1"/>
                <w:szCs w:val="1"/>
                <w:color w:val="auto"/>
              </w:rPr>
            </w:pPr>
          </w:p>
        </w:tc>
      </w:tr>
      <w:tr>
        <w:trPr>
          <w:trHeight w:val="21"/>
        </w:trPr>
        <w:tc>
          <w:tcPr>
            <w:tcW w:w="640" w:type="dxa"/>
            <w:vAlign w:val="bottom"/>
            <w:vMerge w:val="restart"/>
          </w:tcPr>
          <w:p>
            <w:pPr>
              <w:spacing w:after="0"/>
              <w:rPr>
                <w:sz w:val="20"/>
                <w:szCs w:val="20"/>
                <w:color w:val="auto"/>
              </w:rPr>
            </w:pPr>
            <w:r>
              <w:rPr>
                <w:rFonts w:ascii="Arial" w:cs="Arial" w:eastAsia="Arial" w:hAnsi="Arial"/>
                <w:sz w:val="22"/>
                <w:szCs w:val="22"/>
                <w:color w:val="auto"/>
                <w:w w:val="95"/>
              </w:rPr>
              <w:t>Name:</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4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John C. Mason</w:t>
            </w:r>
          </w:p>
        </w:tc>
        <w:tc>
          <w:tcPr>
            <w:tcW w:w="0" w:type="dxa"/>
            <w:vAlign w:val="bottom"/>
          </w:tcPr>
          <w:p>
            <w:pPr>
              <w:spacing w:after="0"/>
              <w:rPr>
                <w:sz w:val="1"/>
                <w:szCs w:val="1"/>
                <w:color w:val="auto"/>
              </w:rPr>
            </w:pPr>
          </w:p>
        </w:tc>
      </w:tr>
      <w:tr>
        <w:trPr>
          <w:trHeight w:val="275"/>
        </w:trPr>
        <w:tc>
          <w:tcPr>
            <w:tcW w:w="640" w:type="dxa"/>
            <w:vAlign w:val="bottom"/>
          </w:tcPr>
          <w:p>
            <w:pPr>
              <w:spacing w:after="0"/>
              <w:rPr>
                <w:sz w:val="20"/>
                <w:szCs w:val="20"/>
                <w:color w:val="auto"/>
              </w:rPr>
            </w:pPr>
            <w:r>
              <w:rPr>
                <w:rFonts w:ascii="Arial" w:cs="Arial" w:eastAsia="Arial" w:hAnsi="Arial"/>
                <w:sz w:val="22"/>
                <w:szCs w:val="22"/>
                <w:color w:val="auto"/>
              </w:rPr>
              <w:t>Its:</w:t>
            </w:r>
          </w:p>
        </w:tc>
        <w:tc>
          <w:tcPr>
            <w:tcW w:w="4780" w:type="dxa"/>
            <w:vAlign w:val="bottom"/>
          </w:tcPr>
          <w:p>
            <w:pPr>
              <w:spacing w:after="0"/>
              <w:rPr>
                <w:sz w:val="20"/>
                <w:szCs w:val="20"/>
                <w:color w:val="auto"/>
              </w:rPr>
            </w:pPr>
            <w:r>
              <w:rPr>
                <w:rFonts w:ascii="Arial" w:cs="Arial" w:eastAsia="Arial" w:hAnsi="Arial"/>
                <w:sz w:val="22"/>
                <w:szCs w:val="22"/>
                <w:color w:val="auto"/>
              </w:rPr>
              <w:t>Senior Vice President &amp; Chief Investment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THE STATE LIFE INSURANCE COMPANY</w:t>
      </w:r>
    </w:p>
    <w:p>
      <w:pPr>
        <w:spacing w:after="0" w:line="200" w:lineRule="exact"/>
        <w:rPr>
          <w:sz w:val="20"/>
          <w:szCs w:val="20"/>
          <w:color w:val="auto"/>
        </w:rPr>
      </w:pPr>
    </w:p>
    <w:p>
      <w:pPr>
        <w:spacing w:after="0" w:line="276" w:lineRule="exact"/>
        <w:rPr>
          <w:sz w:val="20"/>
          <w:szCs w:val="20"/>
          <w:color w:val="auto"/>
        </w:rPr>
      </w:pPr>
    </w:p>
    <w:p>
      <w:pPr>
        <w:ind w:left="3500"/>
        <w:spacing w:after="0"/>
        <w:tabs>
          <w:tab w:leader="none" w:pos="4060" w:val="left"/>
        </w:tabs>
        <w:rPr>
          <w:sz w:val="20"/>
          <w:szCs w:val="20"/>
          <w:color w:val="auto"/>
        </w:rPr>
      </w:pPr>
      <w:r>
        <w:rPr>
          <w:rFonts w:ascii="Arial" w:cs="Arial" w:eastAsia="Arial" w:hAnsi="Arial"/>
          <w:sz w:val="22"/>
          <w:szCs w:val="22"/>
          <w:color w:val="auto"/>
        </w:rPr>
        <w:t>By:</w:t>
        <w:tab/>
        <w:t>/s/ John C. Mason</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Name:John C.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-158115</wp:posOffset>
            </wp:positionV>
            <wp:extent cx="30784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3500"/>
        <w:spacing w:after="0"/>
        <w:tabs>
          <w:tab w:leader="none" w:pos="4060" w:val="left"/>
        </w:tabs>
        <w:rPr>
          <w:sz w:val="20"/>
          <w:szCs w:val="20"/>
          <w:color w:val="auto"/>
        </w:rPr>
      </w:pPr>
      <w:r>
        <w:rPr>
          <w:rFonts w:ascii="Arial" w:cs="Arial" w:eastAsia="Arial" w:hAnsi="Arial"/>
          <w:sz w:val="22"/>
          <w:szCs w:val="22"/>
          <w:color w:val="auto"/>
        </w:rPr>
        <w:t>Its:</w:t>
        <w:tab/>
        <w:t>Senior Vice President &amp; Chief Investment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59" w:name="page160"/>
    <w:bookmarkEnd w:id="159"/>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9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THE LINCOLN NATIONAL LIFE INSURANCE</w:t>
      </w:r>
    </w:p>
    <w:p>
      <w:pPr>
        <w:ind w:left="3500"/>
        <w:spacing w:after="0" w:line="238" w:lineRule="auto"/>
        <w:rPr>
          <w:sz w:val="20"/>
          <w:szCs w:val="20"/>
          <w:color w:val="auto"/>
        </w:rPr>
      </w:pPr>
      <w:r>
        <w:rPr>
          <w:rFonts w:ascii="Arial" w:cs="Arial" w:eastAsia="Arial" w:hAnsi="Arial"/>
          <w:sz w:val="22"/>
          <w:szCs w:val="22"/>
          <w:color w:val="auto"/>
        </w:rPr>
        <w:t>COMPANY</w:t>
      </w:r>
    </w:p>
    <w:p>
      <w:pPr>
        <w:jc w:val="both"/>
        <w:ind w:left="4080" w:right="219" w:hanging="579"/>
        <w:spacing w:after="0" w:line="234" w:lineRule="auto"/>
        <w:tabs>
          <w:tab w:leader="none" w:pos="4060" w:val="left"/>
        </w:tabs>
        <w:rPr>
          <w:sz w:val="20"/>
          <w:szCs w:val="20"/>
          <w:color w:val="auto"/>
        </w:rPr>
      </w:pPr>
      <w:r>
        <w:rPr>
          <w:rFonts w:ascii="Arial" w:cs="Arial" w:eastAsia="Arial" w:hAnsi="Arial"/>
          <w:sz w:val="22"/>
          <w:szCs w:val="22"/>
          <w:color w:val="auto"/>
        </w:rPr>
        <w:t>By:</w:t>
        <w:tab/>
        <w:t>Macquarie Investment Management Advisers, a series of Macquarie Investment Management Business Trust, Attorney-in-Fact</w:t>
      </w:r>
    </w:p>
    <w:p>
      <w:pPr>
        <w:spacing w:after="0" w:line="200" w:lineRule="exact"/>
        <w:rPr>
          <w:sz w:val="20"/>
          <w:szCs w:val="20"/>
          <w:color w:val="auto"/>
        </w:rPr>
      </w:pPr>
    </w:p>
    <w:p>
      <w:pPr>
        <w:spacing w:after="0" w:line="258" w:lineRule="exact"/>
        <w:rPr>
          <w:sz w:val="20"/>
          <w:szCs w:val="20"/>
          <w:color w:val="auto"/>
        </w:rPr>
      </w:pPr>
    </w:p>
    <w:p>
      <w:pPr>
        <w:ind w:left="3500"/>
        <w:spacing w:after="0"/>
        <w:tabs>
          <w:tab w:leader="none" w:pos="4060" w:val="left"/>
        </w:tabs>
        <w:rPr>
          <w:sz w:val="20"/>
          <w:szCs w:val="20"/>
          <w:color w:val="auto"/>
        </w:rPr>
      </w:pPr>
      <w:r>
        <w:rPr>
          <w:rFonts w:ascii="Arial" w:cs="Arial" w:eastAsia="Arial" w:hAnsi="Arial"/>
          <w:sz w:val="22"/>
          <w:szCs w:val="22"/>
          <w:color w:val="auto"/>
        </w:rPr>
        <w:t>By:</w:t>
        <w:tab/>
        <w:t>/s/ Karl Spaeth</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Name:Karl Spaeth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-158115</wp:posOffset>
            </wp:positionV>
            <wp:extent cx="30784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3200"/>
        <w:spacing w:after="0"/>
        <w:tabs>
          <w:tab w:leader="none" w:pos="280" w:val="left"/>
        </w:tabs>
        <w:rPr>
          <w:sz w:val="20"/>
          <w:szCs w:val="20"/>
          <w:color w:val="auto"/>
        </w:rPr>
      </w:pPr>
      <w:r>
        <w:rPr>
          <w:rFonts w:ascii="Arial" w:cs="Arial" w:eastAsia="Arial" w:hAnsi="Arial"/>
          <w:sz w:val="22"/>
          <w:szCs w:val="22"/>
          <w:color w:val="auto"/>
        </w:rPr>
        <w:t>Its:</w:t>
        <w:tab/>
        <w:t>Vice President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left="3500" w:right="139"/>
        <w:spacing w:after="0" w:line="273" w:lineRule="auto"/>
        <w:rPr>
          <w:sz w:val="20"/>
          <w:szCs w:val="20"/>
          <w:color w:val="auto"/>
        </w:rPr>
      </w:pPr>
      <w:r>
        <w:rPr>
          <w:rFonts w:ascii="Arial" w:cs="Arial" w:eastAsia="Arial" w:hAnsi="Arial"/>
          <w:sz w:val="19"/>
          <w:szCs w:val="19"/>
          <w:color w:val="auto"/>
        </w:rPr>
        <w:t>LINCOLN LIFE &amp; ANNUITY COMPANY OF NEW YORK By:   Macquarie Investment Management Advisers, a series of Macquarie Investment Management Business Trust,</w:t>
      </w:r>
    </w:p>
    <w:p>
      <w:pPr>
        <w:spacing w:after="0" w:line="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Attorney-in-Fact</w:t>
      </w:r>
    </w:p>
    <w:p>
      <w:pPr>
        <w:spacing w:after="0" w:line="200" w:lineRule="exact"/>
        <w:rPr>
          <w:sz w:val="20"/>
          <w:szCs w:val="20"/>
          <w:color w:val="auto"/>
        </w:rPr>
      </w:pPr>
    </w:p>
    <w:p>
      <w:pPr>
        <w:spacing w:after="0" w:line="258" w:lineRule="exact"/>
        <w:rPr>
          <w:sz w:val="20"/>
          <w:szCs w:val="20"/>
          <w:color w:val="auto"/>
        </w:rPr>
      </w:pPr>
    </w:p>
    <w:p>
      <w:pPr>
        <w:ind w:left="3500"/>
        <w:spacing w:after="0"/>
        <w:tabs>
          <w:tab w:leader="none" w:pos="4060" w:val="left"/>
        </w:tabs>
        <w:rPr>
          <w:sz w:val="20"/>
          <w:szCs w:val="20"/>
          <w:color w:val="auto"/>
        </w:rPr>
      </w:pPr>
      <w:r>
        <w:rPr>
          <w:rFonts w:ascii="Arial" w:cs="Arial" w:eastAsia="Arial" w:hAnsi="Arial"/>
          <w:sz w:val="22"/>
          <w:szCs w:val="22"/>
          <w:color w:val="auto"/>
        </w:rPr>
        <w:t>By:</w:t>
        <w:tab/>
        <w:t>/s/ Karl Spaeth</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Name:Karl Spaeth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-158115</wp:posOffset>
            </wp:positionV>
            <wp:extent cx="30784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3200"/>
        <w:spacing w:after="0"/>
        <w:tabs>
          <w:tab w:leader="none" w:pos="280" w:val="left"/>
        </w:tabs>
        <w:rPr>
          <w:sz w:val="20"/>
          <w:szCs w:val="20"/>
          <w:color w:val="auto"/>
        </w:rPr>
      </w:pPr>
      <w:r>
        <w:rPr>
          <w:rFonts w:ascii="Arial" w:cs="Arial" w:eastAsia="Arial" w:hAnsi="Arial"/>
          <w:sz w:val="22"/>
          <w:szCs w:val="22"/>
          <w:color w:val="auto"/>
        </w:rPr>
        <w:t>Its:</w:t>
        <w:tab/>
        <w:t>Vice President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60" w:name="page161"/>
    <w:bookmarkEnd w:id="160"/>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47" w:lineRule="exact"/>
        <w:rPr>
          <w:sz w:val="20"/>
          <w:szCs w:val="20"/>
          <w:color w:val="auto"/>
        </w:rPr>
      </w:pPr>
    </w:p>
    <w:p>
      <w:pPr>
        <w:jc w:val="right"/>
        <w:ind w:right="599"/>
        <w:spacing w:after="0"/>
        <w:rPr>
          <w:sz w:val="20"/>
          <w:szCs w:val="20"/>
          <w:color w:val="auto"/>
        </w:rPr>
      </w:pPr>
      <w:r>
        <w:rPr>
          <w:rFonts w:ascii="Arial" w:cs="Arial" w:eastAsia="Arial" w:hAnsi="Arial"/>
          <w:sz w:val="22"/>
          <w:szCs w:val="22"/>
          <w:color w:val="auto"/>
        </w:rPr>
        <w:t>UNITED OF OMAHA LIFE INSURANCE COMPANY</w:t>
      </w:r>
    </w:p>
    <w:p>
      <w:pPr>
        <w:spacing w:after="0" w:line="200" w:lineRule="exact"/>
        <w:rPr>
          <w:sz w:val="20"/>
          <w:szCs w:val="20"/>
          <w:color w:val="auto"/>
        </w:rPr>
      </w:pPr>
    </w:p>
    <w:p>
      <w:pPr>
        <w:spacing w:after="0" w:line="276" w:lineRule="exact"/>
        <w:rPr>
          <w:sz w:val="20"/>
          <w:szCs w:val="20"/>
          <w:color w:val="auto"/>
        </w:rPr>
      </w:pPr>
    </w:p>
    <w:p>
      <w:pPr>
        <w:ind w:left="3500"/>
        <w:spacing w:after="0"/>
        <w:tabs>
          <w:tab w:leader="none" w:pos="4060" w:val="left"/>
        </w:tabs>
        <w:rPr>
          <w:sz w:val="20"/>
          <w:szCs w:val="20"/>
          <w:color w:val="auto"/>
        </w:rPr>
      </w:pPr>
      <w:r>
        <w:rPr>
          <w:rFonts w:ascii="Arial" w:cs="Arial" w:eastAsia="Arial" w:hAnsi="Arial"/>
          <w:sz w:val="22"/>
          <w:szCs w:val="22"/>
          <w:color w:val="auto"/>
        </w:rPr>
        <w:t>By:</w:t>
        <w:tab/>
        <w:t>/s/ Lee Martin</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Name:Lee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-158115</wp:posOffset>
            </wp:positionV>
            <wp:extent cx="30784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2900"/>
        <w:spacing w:after="0"/>
        <w:tabs>
          <w:tab w:leader="none" w:pos="280" w:val="left"/>
        </w:tabs>
        <w:rPr>
          <w:sz w:val="20"/>
          <w:szCs w:val="20"/>
          <w:color w:val="auto"/>
        </w:rPr>
      </w:pPr>
      <w:r>
        <w:rPr>
          <w:rFonts w:ascii="Arial" w:cs="Arial" w:eastAsia="Arial" w:hAnsi="Arial"/>
          <w:sz w:val="22"/>
          <w:szCs w:val="22"/>
          <w:color w:val="auto"/>
        </w:rPr>
        <w:t>Its:</w:t>
        <w:tab/>
        <w:t>Vice President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DEFINED TERMS</w:t>
      </w:r>
    </w:p>
    <w:p>
      <w:pPr>
        <w:spacing w:after="0" w:line="253"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As used herein, the following terms have the respective meanings set forth below or set forth in the Section hereof following such term:</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“4.44% Series due 2047 Bonds” </w:t>
      </w:r>
      <w:r>
        <w:rPr>
          <w:rFonts w:ascii="Arial" w:cs="Arial" w:eastAsia="Arial" w:hAnsi="Arial"/>
          <w:sz w:val="22"/>
          <w:szCs w:val="22"/>
          <w:color w:val="auto"/>
        </w:rPr>
        <w:t>is defined in Section 1.</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“4.49% Series due 2052 Bonds” </w:t>
      </w:r>
      <w:r>
        <w:rPr>
          <w:rFonts w:ascii="Arial" w:cs="Arial" w:eastAsia="Arial" w:hAnsi="Arial"/>
          <w:sz w:val="22"/>
          <w:szCs w:val="22"/>
          <w:color w:val="auto"/>
        </w:rPr>
        <w:t>is defined in Section 1.</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“4.51% Series due 2053 Bonds” </w:t>
      </w:r>
      <w:r>
        <w:rPr>
          <w:rFonts w:ascii="Arial" w:cs="Arial" w:eastAsia="Arial" w:hAnsi="Arial"/>
          <w:sz w:val="22"/>
          <w:szCs w:val="22"/>
          <w:color w:val="auto"/>
        </w:rPr>
        <w:t>is defined in Section 1.</w:t>
      </w:r>
    </w:p>
    <w:p>
      <w:pPr>
        <w:spacing w:after="0" w:line="233" w:lineRule="exact"/>
        <w:rPr>
          <w:sz w:val="20"/>
          <w:szCs w:val="20"/>
          <w:color w:val="auto"/>
        </w:rPr>
      </w:pPr>
    </w:p>
    <w:p>
      <w:pPr>
        <w:jc w:val="both"/>
        <w:ind w:left="100" w:right="99" w:firstLine="648"/>
        <w:spacing w:after="0" w:line="247" w:lineRule="auto"/>
        <w:rPr>
          <w:sz w:val="20"/>
          <w:szCs w:val="20"/>
          <w:color w:val="auto"/>
        </w:rPr>
      </w:pPr>
      <w:r>
        <w:rPr>
          <w:rFonts w:ascii="Arial" w:cs="Arial" w:eastAsia="Arial" w:hAnsi="Arial"/>
          <w:sz w:val="21"/>
          <w:szCs w:val="21"/>
          <w:i w:val="1"/>
          <w:iCs w:val="1"/>
          <w:color w:val="auto"/>
        </w:rPr>
        <w:t xml:space="preserve">“Affiliate” </w:t>
      </w:r>
      <w:r>
        <w:rPr>
          <w:rFonts w:ascii="Arial" w:cs="Arial" w:eastAsia="Arial" w:hAnsi="Arial"/>
          <w:sz w:val="21"/>
          <w:szCs w:val="21"/>
          <w:color w:val="auto"/>
        </w:rPr>
        <w:t>means, at any time, and with respect to any Person, any other Person that at such</w:t>
      </w:r>
      <w:r>
        <w:rPr>
          <w:rFonts w:ascii="Arial" w:cs="Arial" w:eastAsia="Arial" w:hAnsi="Arial"/>
          <w:sz w:val="21"/>
          <w:szCs w:val="21"/>
          <w:i w:val="1"/>
          <w:iCs w:val="1"/>
          <w:color w:val="auto"/>
        </w:rPr>
        <w:t xml:space="preserve"> </w:t>
      </w:r>
      <w:r>
        <w:rPr>
          <w:rFonts w:ascii="Arial" w:cs="Arial" w:eastAsia="Arial" w:hAnsi="Arial"/>
          <w:sz w:val="21"/>
          <w:szCs w:val="21"/>
          <w:color w:val="auto"/>
        </w:rPr>
        <w:t>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Arial" w:cs="Arial" w:eastAsia="Arial" w:hAnsi="Arial"/>
          <w:sz w:val="21"/>
          <w:szCs w:val="21"/>
          <w:i w:val="1"/>
          <w:iCs w:val="1"/>
          <w:color w:val="auto"/>
        </w:rPr>
        <w:t>Affiliate</w:t>
      </w:r>
      <w:r>
        <w:rPr>
          <w:rFonts w:ascii="Arial" w:cs="Arial" w:eastAsia="Arial" w:hAnsi="Arial"/>
          <w:sz w:val="21"/>
          <w:szCs w:val="21"/>
          <w:color w:val="auto"/>
        </w:rPr>
        <w:t>” is a reference to an Affiliate of the Company.</w:t>
      </w:r>
    </w:p>
    <w:p>
      <w:pPr>
        <w:spacing w:after="0" w:line="219"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Bond Purchase Agreement, including all Schedules and Exhibits</w:t>
      </w:r>
      <w:r>
        <w:rPr>
          <w:rFonts w:ascii="Arial" w:cs="Arial" w:eastAsia="Arial" w:hAnsi="Arial"/>
          <w:sz w:val="22"/>
          <w:szCs w:val="22"/>
          <w:i w:val="1"/>
          <w:iCs w:val="1"/>
          <w:color w:val="auto"/>
        </w:rPr>
        <w:t xml:space="preserve"> </w:t>
      </w:r>
      <w:r>
        <w:rPr>
          <w:rFonts w:ascii="Arial" w:cs="Arial" w:eastAsia="Arial" w:hAnsi="Arial"/>
          <w:sz w:val="22"/>
          <w:szCs w:val="22"/>
          <w:color w:val="auto"/>
        </w:rPr>
        <w:t>attached to this Agreement.</w:t>
      </w:r>
    </w:p>
    <w:p>
      <w:pPr>
        <w:spacing w:after="0" w:line="214" w:lineRule="exact"/>
        <w:rPr>
          <w:sz w:val="20"/>
          <w:szCs w:val="20"/>
          <w:color w:val="auto"/>
        </w:rPr>
      </w:pPr>
    </w:p>
    <w:p>
      <w:pPr>
        <w:jc w:val="both"/>
        <w:ind w:left="100" w:right="99" w:firstLine="648"/>
        <w:spacing w:after="0" w:line="253" w:lineRule="exact"/>
        <w:rPr>
          <w:sz w:val="20"/>
          <w:szCs w:val="20"/>
          <w:color w:val="auto"/>
        </w:rPr>
      </w:pP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Corruption Laws” </w:t>
      </w:r>
      <w:r>
        <w:rPr>
          <w:rFonts w:ascii="Arial" w:cs="Arial" w:eastAsia="Arial" w:hAnsi="Arial"/>
          <w:sz w:val="22"/>
          <w:szCs w:val="22"/>
          <w:color w:val="auto"/>
        </w:rPr>
        <w:t>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w:t>
      </w:r>
      <w:r>
        <w:rPr>
          <w:rFonts w:ascii="Arial" w:cs="Arial" w:eastAsia="Arial" w:hAnsi="Arial"/>
          <w:sz w:val="22"/>
          <w:szCs w:val="22"/>
          <w:i w:val="1"/>
          <w:iCs w:val="1"/>
          <w:color w:val="auto"/>
        </w:rPr>
        <w:t xml:space="preserve"> </w:t>
      </w:r>
      <w:r>
        <w:rPr>
          <w:rFonts w:ascii="Arial" w:cs="Arial" w:eastAsia="Arial" w:hAnsi="Arial"/>
          <w:sz w:val="22"/>
          <w:szCs w:val="22"/>
          <w:color w:val="auto"/>
        </w:rPr>
        <w:t>regarding bribery or any other corrupt activity, including the U.S. Foreign Corrupt Practices Act and the U.K. Bribery Act 2010.</w:t>
      </w:r>
    </w:p>
    <w:p>
      <w:pPr>
        <w:spacing w:after="0" w:line="213"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1"/>
          <w:szCs w:val="21"/>
          <w:i w:val="1"/>
          <w:iCs w:val="1"/>
          <w:color w:val="auto"/>
        </w:rPr>
        <w:t>“Anti</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 xml:space="preserve">Money Laundering Laws” </w:t>
      </w:r>
      <w:r>
        <w:rPr>
          <w:rFonts w:ascii="Arial" w:cs="Arial" w:eastAsia="Arial" w:hAnsi="Arial"/>
          <w:sz w:val="21"/>
          <w:szCs w:val="21"/>
          <w:color w:val="auto"/>
        </w:rPr>
        <w:t>means any law or regulation in a U.S. or any non</w:t>
      </w:r>
      <w:r>
        <w:rPr>
          <w:rFonts w:ascii="MS PGothic" w:cs="MS PGothic" w:eastAsia="MS PGothic" w:hAnsi="MS PGothic"/>
          <w:sz w:val="21"/>
          <w:szCs w:val="21"/>
          <w:color w:val="auto"/>
        </w:rPr>
        <w:t>‑</w:t>
      </w:r>
      <w:r>
        <w:rPr>
          <w:rFonts w:ascii="Arial" w:cs="Arial" w:eastAsia="Arial" w:hAnsi="Arial"/>
          <w:sz w:val="21"/>
          <w:szCs w:val="21"/>
          <w:color w:val="auto"/>
        </w:rPr>
        <w:t>U.S.</w:t>
      </w:r>
      <w:r>
        <w:rPr>
          <w:rFonts w:ascii="Arial" w:cs="Arial" w:eastAsia="Arial" w:hAnsi="Arial"/>
          <w:sz w:val="21"/>
          <w:szCs w:val="21"/>
          <w:i w:val="1"/>
          <w:iCs w:val="1"/>
          <w:color w:val="auto"/>
        </w:rPr>
        <w:t xml:space="preserve"> </w:t>
      </w:r>
      <w:r>
        <w:rPr>
          <w:rFonts w:ascii="Arial" w:cs="Arial" w:eastAsia="Arial" w:hAnsi="Arial"/>
          <w:sz w:val="21"/>
          <w:szCs w:val="21"/>
          <w:color w:val="auto"/>
        </w:rPr>
        <w:t>jurisdiction regarding money laundering, drug trafficking, terrorist</w:t>
      </w:r>
      <w:r>
        <w:rPr>
          <w:rFonts w:ascii="MS PGothic" w:cs="MS PGothic" w:eastAsia="MS PGothic" w:hAnsi="MS PGothic"/>
          <w:sz w:val="21"/>
          <w:szCs w:val="21"/>
          <w:color w:val="auto"/>
        </w:rPr>
        <w:t>‑</w:t>
      </w:r>
      <w:r>
        <w:rPr>
          <w:rFonts w:ascii="Arial" w:cs="Arial" w:eastAsia="Arial" w:hAnsi="Arial"/>
          <w:sz w:val="21"/>
          <w:szCs w:val="21"/>
          <w:color w:val="auto"/>
        </w:rPr>
        <w:t>related activities or other money laundering predicate crimes, including the Currency and Foreign Transactions Reporting Act of 1970 (otherwise known as the Bank Secrecy Act) and the USA Patriot Act.</w:t>
      </w:r>
    </w:p>
    <w:p>
      <w:pPr>
        <w:spacing w:after="0" w:line="227"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9"/>
          <w:szCs w:val="19"/>
          <w:i w:val="1"/>
          <w:iCs w:val="1"/>
          <w:color w:val="auto"/>
        </w:rPr>
        <w:t xml:space="preserve">“Blocked Person” </w:t>
      </w:r>
      <w:r>
        <w:rPr>
          <w:rFonts w:ascii="Arial" w:cs="Arial" w:eastAsia="Arial" w:hAnsi="Arial"/>
          <w:sz w:val="19"/>
          <w:szCs w:val="19"/>
          <w:color w:val="auto"/>
        </w:rPr>
        <w:t>means (a) a Person whose name appears on the list of Specially Designated</w:t>
      </w:r>
      <w:r>
        <w:rPr>
          <w:rFonts w:ascii="Arial" w:cs="Arial" w:eastAsia="Arial" w:hAnsi="Arial"/>
          <w:sz w:val="19"/>
          <w:szCs w:val="19"/>
          <w:i w:val="1"/>
          <w:iCs w:val="1"/>
          <w:color w:val="auto"/>
        </w:rPr>
        <w:t xml:space="preserve"> </w:t>
      </w:r>
      <w:r>
        <w:rPr>
          <w:rFonts w:ascii="Arial" w:cs="Arial" w:eastAsia="Arial" w:hAnsi="Arial"/>
          <w:sz w:val="19"/>
          <w:szCs w:val="19"/>
          <w:color w:val="auto"/>
        </w:rPr>
        <w:t>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“Bonds” </w:t>
      </w:r>
      <w:r>
        <w:rPr>
          <w:rFonts w:ascii="Arial" w:cs="Arial" w:eastAsia="Arial" w:hAnsi="Arial"/>
          <w:sz w:val="22"/>
          <w:szCs w:val="22"/>
          <w:color w:val="auto"/>
        </w:rPr>
        <w:t>is defined in Section 1.</w:t>
      </w:r>
    </w:p>
    <w:p>
      <w:pPr>
        <w:spacing w:after="0" w:line="233"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 xml:space="preserve">“Business Day” </w:t>
      </w:r>
      <w:r>
        <w:rPr>
          <w:rFonts w:ascii="Arial" w:cs="Arial" w:eastAsia="Arial" w:hAnsi="Arial"/>
          <w:sz w:val="22"/>
          <w:szCs w:val="22"/>
          <w:color w:val="auto"/>
        </w:rPr>
        <w:t>means for the purposes of any provision of this Agreement, any day other</w:t>
      </w:r>
      <w:r>
        <w:rPr>
          <w:rFonts w:ascii="Arial" w:cs="Arial" w:eastAsia="Arial" w:hAnsi="Arial"/>
          <w:sz w:val="22"/>
          <w:szCs w:val="22"/>
          <w:i w:val="1"/>
          <w:iCs w:val="1"/>
          <w:color w:val="auto"/>
        </w:rPr>
        <w:t xml:space="preserve"> </w:t>
      </w:r>
      <w:r>
        <w:rPr>
          <w:rFonts w:ascii="Arial" w:cs="Arial" w:eastAsia="Arial" w:hAnsi="Arial"/>
          <w:sz w:val="22"/>
          <w:szCs w:val="22"/>
          <w:color w:val="auto"/>
        </w:rPr>
        <w:t>than a Saturday, a Sunday or a day on which commercial banks in New York, New York or Philadelphia, Pennsylvania are required or authorized to be closed.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62" w:name="page163"/>
    <w:bookmarkEnd w:id="162"/>
    <w:p>
      <w:pPr>
        <w:jc w:val="both"/>
        <w:ind w:left="100" w:right="99" w:firstLine="648"/>
        <w:spacing w:after="0"/>
        <w:rPr>
          <w:sz w:val="20"/>
          <w:szCs w:val="20"/>
          <w:color w:val="auto"/>
        </w:rPr>
      </w:pPr>
      <w:r>
        <w:rPr>
          <w:rFonts w:ascii="Arial" w:cs="Arial" w:eastAsia="Arial" w:hAnsi="Arial"/>
          <w:sz w:val="22"/>
          <w:szCs w:val="22"/>
          <w:i w:val="1"/>
          <w:iCs w:val="1"/>
          <w:color w:val="auto"/>
        </w:rPr>
        <w:t xml:space="preserve">“Capital Lease” </w:t>
      </w:r>
      <w:r>
        <w:rPr>
          <w:rFonts w:ascii="Arial" w:cs="Arial" w:eastAsia="Arial" w:hAnsi="Arial"/>
          <w:sz w:val="22"/>
          <w:szCs w:val="22"/>
          <w:color w:val="auto"/>
        </w:rPr>
        <w:t>means, at any time, a lease with respect to which the lessee is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concurrently to recognize the acquisition of an asset and the incurrence of a liability in accordance with GAAP.</w:t>
      </w:r>
    </w:p>
    <w:p>
      <w:pPr>
        <w:spacing w:after="0" w:line="213"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 xml:space="preserve">“Capital Lease Obligation” </w:t>
      </w:r>
      <w:r>
        <w:rPr>
          <w:rFonts w:ascii="Arial" w:cs="Arial" w:eastAsia="Arial" w:hAnsi="Arial"/>
          <w:sz w:val="22"/>
          <w:szCs w:val="22"/>
          <w:color w:val="auto"/>
        </w:rPr>
        <w:t>means, with respect to any Person and a Capital Lease, the</w:t>
      </w:r>
      <w:r>
        <w:rPr>
          <w:rFonts w:ascii="Arial" w:cs="Arial" w:eastAsia="Arial" w:hAnsi="Arial"/>
          <w:sz w:val="22"/>
          <w:szCs w:val="22"/>
          <w:i w:val="1"/>
          <w:iCs w:val="1"/>
          <w:color w:val="auto"/>
        </w:rPr>
        <w:t xml:space="preserve"> </w:t>
      </w:r>
      <w:r>
        <w:rPr>
          <w:rFonts w:ascii="Arial" w:cs="Arial" w:eastAsia="Arial" w:hAnsi="Arial"/>
          <w:sz w:val="22"/>
          <w:szCs w:val="22"/>
          <w:color w:val="auto"/>
        </w:rPr>
        <w:t>amount of the obligation of such Person as the lessee under such Capital Lease which would, in accordance with GAAP, appear as a liability on a balance sheet of such Person.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“Closing” </w:t>
      </w:r>
      <w:r>
        <w:rPr>
          <w:rFonts w:ascii="Arial" w:cs="Arial" w:eastAsia="Arial" w:hAnsi="Arial"/>
          <w:sz w:val="22"/>
          <w:szCs w:val="22"/>
          <w:color w:val="auto"/>
        </w:rPr>
        <w:t>is defined in Section 3.</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w:t>
      </w:r>
    </w:p>
    <w:p>
      <w:pPr>
        <w:spacing w:after="0" w:line="200"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means Aqua Pennsylvania, Inc., a corporation existing under the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Commonwealth of Pennsylvania.</w:t>
      </w:r>
    </w:p>
    <w:p>
      <w:pPr>
        <w:spacing w:after="0" w:line="214"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Controlled Entity</w:t>
      </w:r>
      <w:r>
        <w:rPr>
          <w:rFonts w:ascii="Arial" w:cs="Arial" w:eastAsia="Arial" w:hAnsi="Arial"/>
          <w:sz w:val="19"/>
          <w:szCs w:val="19"/>
          <w:color w:val="auto"/>
        </w:rPr>
        <w:t>” means any of the Subsidiaries of the Company and any of their or the Company’s respective Controlled Affiliates. As used in this definition, “</w:t>
      </w:r>
      <w:r>
        <w:rPr>
          <w:rFonts w:ascii="Arial" w:cs="Arial" w:eastAsia="Arial" w:hAnsi="Arial"/>
          <w:sz w:val="19"/>
          <w:szCs w:val="19"/>
          <w:i w:val="1"/>
          <w:iCs w:val="1"/>
          <w:color w:val="auto"/>
        </w:rPr>
        <w:t>Control</w:t>
      </w:r>
      <w:r>
        <w:rPr>
          <w:rFonts w:ascii="Arial" w:cs="Arial" w:eastAsia="Arial" w:hAnsi="Arial"/>
          <w:sz w:val="19"/>
          <w:szCs w:val="19"/>
          <w:color w:val="auto"/>
        </w:rPr>
        <w:t>” means the possession, directly or indirectly, of the power to direct or cause the direction of the management and policies of a Person, whether through the ownership of voting securities, by contract or otherwise.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“Debt” </w:t>
      </w:r>
      <w:r>
        <w:rPr>
          <w:rFonts w:ascii="Arial" w:cs="Arial" w:eastAsia="Arial" w:hAnsi="Arial"/>
          <w:sz w:val="22"/>
          <w:szCs w:val="22"/>
          <w:color w:val="auto"/>
        </w:rPr>
        <w:t>means, with respect to any Person, without duplication,</w:t>
      </w:r>
    </w:p>
    <w:p>
      <w:pPr>
        <w:spacing w:after="0" w:line="233" w:lineRule="exact"/>
        <w:rPr>
          <w:sz w:val="20"/>
          <w:szCs w:val="20"/>
          <w:color w:val="auto"/>
        </w:rPr>
      </w:pPr>
    </w:p>
    <w:p>
      <w:pPr>
        <w:ind w:left="1800" w:hanging="318"/>
        <w:spacing w:after="0"/>
        <w:tabs>
          <w:tab w:leader="none" w:pos="18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its liabilities for borrowed money;</w:t>
      </w:r>
    </w:p>
    <w:p>
      <w:pPr>
        <w:spacing w:after="0" w:line="246" w:lineRule="exact"/>
        <w:rPr>
          <w:rFonts w:ascii="Arial" w:cs="Arial" w:eastAsia="Arial" w:hAnsi="Arial"/>
          <w:sz w:val="22"/>
          <w:szCs w:val="22"/>
          <w:color w:val="auto"/>
        </w:rPr>
      </w:pPr>
    </w:p>
    <w:p>
      <w:pPr>
        <w:jc w:val="both"/>
        <w:ind w:left="760" w:right="99" w:firstLine="722"/>
        <w:spacing w:after="0" w:line="287" w:lineRule="auto"/>
        <w:tabs>
          <w:tab w:leader="none" w:pos="1822" w:val="left"/>
        </w:tabs>
        <w:numPr>
          <w:ilvl w:val="0"/>
          <w:numId w:val="97"/>
        </w:numPr>
        <w:rPr>
          <w:rFonts w:ascii="Arial" w:cs="Arial" w:eastAsia="Arial" w:hAnsi="Arial"/>
          <w:sz w:val="19"/>
          <w:szCs w:val="19"/>
          <w:color w:val="auto"/>
        </w:rPr>
      </w:pPr>
      <w:r>
        <w:rPr>
          <w:rFonts w:ascii="Arial" w:cs="Arial" w:eastAsia="Arial" w:hAnsi="Arial"/>
          <w:sz w:val="19"/>
          <w:szCs w:val="19"/>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183" w:lineRule="exact"/>
        <w:rPr>
          <w:rFonts w:ascii="Arial" w:cs="Arial" w:eastAsia="Arial" w:hAnsi="Arial"/>
          <w:sz w:val="19"/>
          <w:szCs w:val="19"/>
          <w:color w:val="auto"/>
        </w:rPr>
      </w:pPr>
    </w:p>
    <w:p>
      <w:pPr>
        <w:ind w:left="1800" w:hanging="318"/>
        <w:spacing w:after="0"/>
        <w:tabs>
          <w:tab w:leader="none" w:pos="18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its Capital Lease Obligations;</w:t>
      </w:r>
    </w:p>
    <w:p>
      <w:pPr>
        <w:spacing w:after="0" w:line="233" w:lineRule="exact"/>
        <w:rPr>
          <w:rFonts w:ascii="Arial" w:cs="Arial" w:eastAsia="Arial" w:hAnsi="Arial"/>
          <w:sz w:val="22"/>
          <w:szCs w:val="22"/>
          <w:color w:val="auto"/>
        </w:rPr>
      </w:pPr>
    </w:p>
    <w:p>
      <w:pPr>
        <w:jc w:val="both"/>
        <w:ind w:left="760" w:right="99" w:firstLine="722"/>
        <w:spacing w:after="0"/>
        <w:tabs>
          <w:tab w:leader="none" w:pos="1822" w:val="left"/>
        </w:tabs>
        <w:numPr>
          <w:ilvl w:val="0"/>
          <w:numId w:val="97"/>
        </w:numPr>
        <w:rPr>
          <w:rFonts w:ascii="Arial" w:cs="Arial" w:eastAsia="Arial" w:hAnsi="Arial"/>
          <w:sz w:val="22"/>
          <w:szCs w:val="22"/>
          <w:color w:val="auto"/>
        </w:rPr>
      </w:pPr>
      <w:r>
        <w:rPr>
          <w:rFonts w:ascii="Arial" w:cs="Arial" w:eastAsia="Arial" w:hAnsi="Arial"/>
          <w:sz w:val="22"/>
          <w:szCs w:val="22"/>
          <w:color w:val="auto"/>
        </w:rPr>
        <w:t>all liabilities for borrowed money secured by any Lien with respect to any property owned by such Person (whether or not it has assumed or otherwise become liable for such liabilities);</w:t>
      </w:r>
    </w:p>
    <w:p>
      <w:pPr>
        <w:spacing w:after="0" w:line="226" w:lineRule="exact"/>
        <w:rPr>
          <w:rFonts w:ascii="Arial" w:cs="Arial" w:eastAsia="Arial" w:hAnsi="Arial"/>
          <w:sz w:val="22"/>
          <w:szCs w:val="22"/>
          <w:color w:val="auto"/>
        </w:rPr>
      </w:pPr>
    </w:p>
    <w:p>
      <w:pPr>
        <w:jc w:val="both"/>
        <w:ind w:left="760" w:right="99" w:firstLine="722"/>
        <w:spacing w:after="0"/>
        <w:tabs>
          <w:tab w:leader="none" w:pos="181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227"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(f) Swaps of such Person; 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63" w:name="page164"/>
    <w:bookmarkEnd w:id="163"/>
    <w:p>
      <w:pPr>
        <w:ind w:left="760" w:right="99" w:firstLine="722"/>
        <w:spacing w:after="0" w:line="251" w:lineRule="auto"/>
        <w:tabs>
          <w:tab w:leader="none" w:pos="1822" w:val="left"/>
        </w:tabs>
        <w:numPr>
          <w:ilvl w:val="0"/>
          <w:numId w:val="98"/>
        </w:numPr>
        <w:rPr>
          <w:rFonts w:ascii="Arial" w:cs="Arial" w:eastAsia="Arial" w:hAnsi="Arial"/>
          <w:sz w:val="22"/>
          <w:szCs w:val="22"/>
          <w:color w:val="auto"/>
        </w:rPr>
      </w:pPr>
      <w:r>
        <w:rPr>
          <w:rFonts w:ascii="Arial" w:cs="Arial" w:eastAsia="Arial" w:hAnsi="Arial"/>
          <w:sz w:val="22"/>
          <w:szCs w:val="22"/>
          <w:color w:val="auto"/>
        </w:rPr>
        <w:t>Guaranties of such Person with respect to liabilities of a type described in any of clauses (a) through (f) hereof.</w:t>
      </w:r>
    </w:p>
    <w:p>
      <w:pPr>
        <w:spacing w:after="0" w:line="200" w:lineRule="exact"/>
        <w:rPr>
          <w:sz w:val="20"/>
          <w:szCs w:val="20"/>
          <w:color w:val="auto"/>
        </w:rPr>
      </w:pPr>
    </w:p>
    <w:p>
      <w:pPr>
        <w:jc w:val="both"/>
        <w:ind w:left="100" w:right="99"/>
        <w:spacing w:after="0" w:line="258" w:lineRule="auto"/>
        <w:rPr>
          <w:sz w:val="20"/>
          <w:szCs w:val="20"/>
          <w:color w:val="auto"/>
        </w:rPr>
      </w:pPr>
      <w:r>
        <w:rPr>
          <w:rFonts w:ascii="Arial" w:cs="Arial" w:eastAsia="Arial" w:hAnsi="Arial"/>
          <w:sz w:val="21"/>
          <w:szCs w:val="21"/>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20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means an event or condition the occurrence or existence of which would,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lapse of time or the giving of notice or both, become an Event of Default.</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“Disclosure Documents” </w:t>
      </w:r>
      <w:r>
        <w:rPr>
          <w:rFonts w:ascii="Arial" w:cs="Arial" w:eastAsia="Arial" w:hAnsi="Arial"/>
          <w:sz w:val="22"/>
          <w:szCs w:val="22"/>
          <w:color w:val="auto"/>
        </w:rPr>
        <w:t>is defined in Section 5.3.</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“EMMA” </w:t>
      </w:r>
      <w:r>
        <w:rPr>
          <w:rFonts w:ascii="Arial" w:cs="Arial" w:eastAsia="Arial" w:hAnsi="Arial"/>
          <w:sz w:val="22"/>
          <w:szCs w:val="22"/>
          <w:color w:val="auto"/>
        </w:rPr>
        <w:t>is defined in Section 7.1(a).</w:t>
      </w:r>
    </w:p>
    <w:p>
      <w:pPr>
        <w:spacing w:after="0" w:line="247"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 xml:space="preserve">“Environmental Laws” </w:t>
      </w:r>
      <w:r>
        <w:rPr>
          <w:rFonts w:ascii="Arial" w:cs="Arial" w:eastAsia="Arial" w:hAnsi="Arial"/>
          <w:sz w:val="22"/>
          <w:szCs w:val="22"/>
          <w:color w:val="auto"/>
        </w:rPr>
        <w:t>means any and all Federal, state, local, and foreign statutes, laws,</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228" w:lineRule="exact"/>
        <w:rPr>
          <w:sz w:val="20"/>
          <w:szCs w:val="20"/>
          <w:color w:val="auto"/>
        </w:rPr>
      </w:pPr>
    </w:p>
    <w:p>
      <w:pPr>
        <w:jc w:val="both"/>
        <w:ind w:left="100" w:right="99" w:firstLine="648"/>
        <w:spacing w:after="0" w:line="328" w:lineRule="auto"/>
        <w:rPr>
          <w:sz w:val="20"/>
          <w:szCs w:val="20"/>
          <w:color w:val="auto"/>
        </w:rPr>
      </w:pPr>
      <w:r>
        <w:rPr>
          <w:rFonts w:ascii="Arial" w:cs="Arial" w:eastAsia="Arial" w:hAnsi="Arial"/>
          <w:sz w:val="19"/>
          <w:szCs w:val="19"/>
          <w:i w:val="1"/>
          <w:iCs w:val="1"/>
          <w:color w:val="auto"/>
        </w:rPr>
        <w:t xml:space="preserve">“ERISA” </w:t>
      </w:r>
      <w:r>
        <w:rPr>
          <w:rFonts w:ascii="Arial" w:cs="Arial" w:eastAsia="Arial" w:hAnsi="Arial"/>
          <w:sz w:val="19"/>
          <w:szCs w:val="19"/>
          <w:color w:val="auto"/>
        </w:rPr>
        <w:t>means the Employee Retirement Income Security Act of 1974, as amended from</w:t>
      </w:r>
      <w:r>
        <w:rPr>
          <w:rFonts w:ascii="Arial" w:cs="Arial" w:eastAsia="Arial" w:hAnsi="Arial"/>
          <w:sz w:val="19"/>
          <w:szCs w:val="19"/>
          <w:i w:val="1"/>
          <w:iCs w:val="1"/>
          <w:color w:val="auto"/>
        </w:rPr>
        <w:t xml:space="preserve"> </w:t>
      </w:r>
      <w:r>
        <w:rPr>
          <w:rFonts w:ascii="Arial" w:cs="Arial" w:eastAsia="Arial" w:hAnsi="Arial"/>
          <w:sz w:val="19"/>
          <w:szCs w:val="19"/>
          <w:color w:val="auto"/>
        </w:rPr>
        <w:t>time to time, and the rules and regulations promulgated thereunder from time to time in effect.</w:t>
      </w:r>
    </w:p>
    <w:p>
      <w:pPr>
        <w:spacing w:after="0" w:line="132"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“ERISA Affiliate” </w:t>
      </w:r>
      <w:r>
        <w:rPr>
          <w:rFonts w:ascii="Arial" w:cs="Arial" w:eastAsia="Arial" w:hAnsi="Arial"/>
          <w:sz w:val="22"/>
          <w:szCs w:val="22"/>
          <w:color w:val="auto"/>
        </w:rPr>
        <w:t>means any trade or business (whether or not incorporated) that is treated as</w:t>
      </w:r>
      <w:r>
        <w:rPr>
          <w:rFonts w:ascii="Arial" w:cs="Arial" w:eastAsia="Arial" w:hAnsi="Arial"/>
          <w:sz w:val="22"/>
          <w:szCs w:val="22"/>
          <w:i w:val="1"/>
          <w:iCs w:val="1"/>
          <w:color w:val="auto"/>
        </w:rPr>
        <w:t xml:space="preserve"> </w:t>
      </w:r>
      <w:r>
        <w:rPr>
          <w:rFonts w:ascii="Arial" w:cs="Arial" w:eastAsia="Arial" w:hAnsi="Arial"/>
          <w:sz w:val="22"/>
          <w:szCs w:val="22"/>
          <w:color w:val="auto"/>
        </w:rPr>
        <w:t>a single employer together with the Company under section 414 of the Code.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“Event of Default” </w:t>
      </w:r>
      <w:r>
        <w:rPr>
          <w:rFonts w:ascii="Arial" w:cs="Arial" w:eastAsia="Arial" w:hAnsi="Arial"/>
          <w:sz w:val="22"/>
          <w:szCs w:val="22"/>
          <w:color w:val="auto"/>
        </w:rPr>
        <w:t>is an “event of default” as defined in the Indenture.</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“Financing Agreements” </w:t>
      </w:r>
      <w:r>
        <w:rPr>
          <w:rFonts w:ascii="Arial" w:cs="Arial" w:eastAsia="Arial" w:hAnsi="Arial"/>
          <w:sz w:val="22"/>
          <w:szCs w:val="22"/>
          <w:color w:val="auto"/>
        </w:rPr>
        <w:t>means this Agreement, the Indenture (including without limitation</w:t>
      </w:r>
      <w:r>
        <w:rPr>
          <w:rFonts w:ascii="Arial" w:cs="Arial" w:eastAsia="Arial" w:hAnsi="Arial"/>
          <w:sz w:val="22"/>
          <w:szCs w:val="22"/>
          <w:i w:val="1"/>
          <w:iCs w:val="1"/>
          <w:color w:val="auto"/>
        </w:rPr>
        <w:t xml:space="preserve"> </w:t>
      </w:r>
      <w:r>
        <w:rPr>
          <w:rFonts w:ascii="Arial" w:cs="Arial" w:eastAsia="Arial" w:hAnsi="Arial"/>
          <w:sz w:val="22"/>
          <w:szCs w:val="22"/>
          <w:color w:val="auto"/>
        </w:rPr>
        <w:t>the Supplement), and the Bonds.</w:t>
      </w:r>
    </w:p>
    <w:p>
      <w:pPr>
        <w:spacing w:after="0" w:line="200"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GAAP</w:t>
      </w:r>
      <w:r>
        <w:rPr>
          <w:rFonts w:ascii="Arial" w:cs="Arial" w:eastAsia="Arial" w:hAnsi="Arial"/>
          <w:sz w:val="22"/>
          <w:szCs w:val="22"/>
          <w:color w:val="auto"/>
        </w:rPr>
        <w:t>” means generally accepted accounting principles as in effect from time to time in the United States of America.</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“Governmental Authority” </w:t>
      </w:r>
      <w:r>
        <w:rPr>
          <w:rFonts w:ascii="Arial" w:cs="Arial" w:eastAsia="Arial" w:hAnsi="Arial"/>
          <w:sz w:val="22"/>
          <w:szCs w:val="22"/>
          <w:color w:val="auto"/>
        </w:rPr>
        <w:t>means:</w:t>
      </w:r>
    </w:p>
    <w:p>
      <w:pPr>
        <w:spacing w:after="0" w:line="247" w:lineRule="exact"/>
        <w:rPr>
          <w:sz w:val="20"/>
          <w:szCs w:val="20"/>
          <w:color w:val="auto"/>
        </w:rPr>
      </w:pPr>
    </w:p>
    <w:p>
      <w:pPr>
        <w:ind w:left="1800" w:hanging="318"/>
        <w:spacing w:after="0"/>
        <w:tabs>
          <w:tab w:leader="none" w:pos="18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33" w:lineRule="exact"/>
        <w:rPr>
          <w:rFonts w:ascii="Arial" w:cs="Arial" w:eastAsia="Arial" w:hAnsi="Arial"/>
          <w:sz w:val="22"/>
          <w:szCs w:val="22"/>
          <w:color w:val="auto"/>
        </w:rPr>
      </w:pPr>
    </w:p>
    <w:p>
      <w:pPr>
        <w:ind w:left="2520" w:hanging="336"/>
        <w:spacing w:after="0"/>
        <w:tabs>
          <w:tab w:leader="none" w:pos="2520"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United States of America or any State or other political subdivision</w:t>
      </w:r>
    </w:p>
    <w:p>
      <w:pPr>
        <w:spacing w:after="0" w:line="42" w:lineRule="exact"/>
        <w:rPr>
          <w:rFonts w:ascii="Arial" w:cs="Arial" w:eastAsia="Arial" w:hAnsi="Arial"/>
          <w:sz w:val="19"/>
          <w:szCs w:val="19"/>
          <w:color w:val="auto"/>
        </w:rPr>
      </w:pPr>
    </w:p>
    <w:p>
      <w:pPr>
        <w:ind w:left="1400"/>
        <w:spacing w:after="0"/>
        <w:rPr>
          <w:rFonts w:ascii="Arial" w:cs="Arial" w:eastAsia="Arial" w:hAnsi="Arial"/>
          <w:sz w:val="19"/>
          <w:szCs w:val="19"/>
          <w:color w:val="auto"/>
        </w:rPr>
      </w:pPr>
      <w:r>
        <w:rPr>
          <w:rFonts w:ascii="Arial" w:cs="Arial" w:eastAsia="Arial" w:hAnsi="Arial"/>
          <w:sz w:val="22"/>
          <w:szCs w:val="22"/>
          <w:color w:val="auto"/>
        </w:rPr>
        <w:t>thereof, or</w:t>
      </w:r>
    </w:p>
    <w:p>
      <w:pPr>
        <w:spacing w:after="0" w:line="229" w:lineRule="exact"/>
        <w:rPr>
          <w:sz w:val="20"/>
          <w:szCs w:val="20"/>
          <w:color w:val="auto"/>
        </w:rPr>
      </w:pPr>
    </w:p>
    <w:p>
      <w:pPr>
        <w:jc w:val="both"/>
        <w:ind w:left="1400" w:right="99" w:firstLine="757"/>
        <w:spacing w:after="0"/>
        <w:tabs>
          <w:tab w:leader="none" w:pos="252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any other jurisdiction in which the Company or any Subsidiary conducts all or any part of its business, or which asserts jurisdiction over any properties of the Company or any Subsidiary, or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64" w:name="page165"/>
    <w:bookmarkEnd w:id="164"/>
    <w:p>
      <w:pPr>
        <w:ind w:left="760" w:right="99" w:firstLine="722"/>
        <w:spacing w:after="0" w:line="251" w:lineRule="auto"/>
        <w:tabs>
          <w:tab w:leader="none" w:pos="182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200"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2"/>
          <w:szCs w:val="22"/>
          <w:i w:val="1"/>
          <w:iCs w:val="1"/>
          <w:color w:val="auto"/>
        </w:rPr>
        <w:t xml:space="preserve">“Governmental Official” </w:t>
      </w:r>
      <w:r>
        <w:rPr>
          <w:rFonts w:ascii="Arial" w:cs="Arial" w:eastAsia="Arial" w:hAnsi="Arial"/>
          <w:sz w:val="22"/>
          <w:szCs w:val="22"/>
          <w:color w:val="auto"/>
        </w:rPr>
        <w:t>means any governmental official or employee, employee of any</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w:t>
      </w:r>
      <w:r>
        <w:rPr>
          <w:rFonts w:ascii="MS PGothic" w:cs="MS PGothic" w:eastAsia="MS PGothic" w:hAnsi="MS PGothic"/>
          <w:sz w:val="22"/>
          <w:szCs w:val="22"/>
          <w:color w:val="auto"/>
        </w:rPr>
        <w:t>‑</w:t>
      </w:r>
      <w:r>
        <w:rPr>
          <w:rFonts w:ascii="Arial" w:cs="Arial" w:eastAsia="Arial" w:hAnsi="Arial"/>
          <w:sz w:val="22"/>
          <w:szCs w:val="22"/>
          <w:color w:val="auto"/>
        </w:rPr>
        <w:t>owned or government</w:t>
      </w:r>
      <w:r>
        <w:rPr>
          <w:rFonts w:ascii="MS PGothic" w:cs="MS PGothic" w:eastAsia="MS PGothic" w:hAnsi="MS PGothic"/>
          <w:sz w:val="22"/>
          <w:szCs w:val="22"/>
          <w:color w:val="auto"/>
        </w:rPr>
        <w:t>‑</w:t>
      </w:r>
      <w:r>
        <w:rPr>
          <w:rFonts w:ascii="Arial" w:cs="Arial" w:eastAsia="Arial" w:hAnsi="Arial"/>
          <w:sz w:val="22"/>
          <w:szCs w:val="22"/>
          <w:color w:val="auto"/>
        </w:rPr>
        <w:t>controlled entity, political party, any official of a political party, candidate for political office, official of any public international organization or anyone else acting in an official capacity.</w:t>
      </w:r>
    </w:p>
    <w:p>
      <w:pPr>
        <w:spacing w:after="0" w:line="226" w:lineRule="exact"/>
        <w:rPr>
          <w:sz w:val="20"/>
          <w:szCs w:val="20"/>
          <w:color w:val="auto"/>
        </w:rPr>
      </w:pPr>
    </w:p>
    <w:p>
      <w:pPr>
        <w:jc w:val="both"/>
        <w:ind w:left="100" w:right="99" w:firstLine="648"/>
        <w:spacing w:after="0" w:line="249" w:lineRule="auto"/>
        <w:rPr>
          <w:sz w:val="20"/>
          <w:szCs w:val="20"/>
          <w:color w:val="auto"/>
        </w:rPr>
      </w:pPr>
      <w:r>
        <w:rPr>
          <w:rFonts w:ascii="Arial" w:cs="Arial" w:eastAsia="Arial" w:hAnsi="Arial"/>
          <w:sz w:val="21"/>
          <w:szCs w:val="21"/>
          <w:i w:val="1"/>
          <w:iCs w:val="1"/>
          <w:color w:val="auto"/>
        </w:rPr>
        <w:t xml:space="preserve">“Guaranty” </w:t>
      </w:r>
      <w:r>
        <w:rPr>
          <w:rFonts w:ascii="Arial" w:cs="Arial" w:eastAsia="Arial" w:hAnsi="Arial"/>
          <w:sz w:val="21"/>
          <w:szCs w:val="21"/>
          <w:color w:val="auto"/>
        </w:rPr>
        <w:t>means, with respect to any Person, any obligation (except the endorsement in the</w:t>
      </w:r>
      <w:r>
        <w:rPr>
          <w:rFonts w:ascii="Arial" w:cs="Arial" w:eastAsia="Arial" w:hAnsi="Arial"/>
          <w:sz w:val="21"/>
          <w:szCs w:val="21"/>
          <w:i w:val="1"/>
          <w:iCs w:val="1"/>
          <w:color w:val="auto"/>
        </w:rPr>
        <w:t xml:space="preserve"> </w:t>
      </w:r>
      <w:r>
        <w:rPr>
          <w:rFonts w:ascii="Arial" w:cs="Arial" w:eastAsia="Arial" w:hAnsi="Arial"/>
          <w:sz w:val="21"/>
          <w:szCs w:val="21"/>
          <w:color w:val="auto"/>
        </w:rPr>
        <w:t>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219" w:lineRule="exact"/>
        <w:rPr>
          <w:sz w:val="20"/>
          <w:szCs w:val="20"/>
          <w:color w:val="auto"/>
        </w:rPr>
      </w:pPr>
    </w:p>
    <w:p>
      <w:pPr>
        <w:jc w:val="both"/>
        <w:ind w:left="760" w:right="99" w:firstLine="722"/>
        <w:spacing w:after="0"/>
        <w:tabs>
          <w:tab w:leader="none" w:pos="181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213" w:lineRule="exact"/>
        <w:rPr>
          <w:rFonts w:ascii="Arial" w:cs="Arial" w:eastAsia="Arial" w:hAnsi="Arial"/>
          <w:sz w:val="22"/>
          <w:szCs w:val="22"/>
          <w:color w:val="auto"/>
        </w:rPr>
      </w:pPr>
    </w:p>
    <w:p>
      <w:pPr>
        <w:jc w:val="both"/>
        <w:ind w:left="760" w:right="99" w:firstLine="722"/>
        <w:spacing w:after="0" w:line="238" w:lineRule="auto"/>
        <w:tabs>
          <w:tab w:leader="none" w:pos="182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225" w:lineRule="exact"/>
        <w:rPr>
          <w:rFonts w:ascii="Arial" w:cs="Arial" w:eastAsia="Arial" w:hAnsi="Arial"/>
          <w:sz w:val="22"/>
          <w:szCs w:val="22"/>
          <w:color w:val="auto"/>
        </w:rPr>
      </w:pPr>
    </w:p>
    <w:p>
      <w:pPr>
        <w:jc w:val="both"/>
        <w:ind w:left="760" w:right="99" w:firstLine="722"/>
        <w:spacing w:after="0"/>
        <w:tabs>
          <w:tab w:leader="none" w:pos="181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lease properties or to purchase properties or services primarily for the purpose of assuring the owner of such Debt or obligation of the ability of any other Person to make payment of the Debt or obligation; or</w:t>
      </w:r>
    </w:p>
    <w:p>
      <w:pPr>
        <w:spacing w:after="0" w:line="226" w:lineRule="exact"/>
        <w:rPr>
          <w:rFonts w:ascii="Arial" w:cs="Arial" w:eastAsia="Arial" w:hAnsi="Arial"/>
          <w:sz w:val="22"/>
          <w:szCs w:val="22"/>
          <w:color w:val="auto"/>
        </w:rPr>
      </w:pPr>
    </w:p>
    <w:p>
      <w:pPr>
        <w:ind w:left="1820" w:hanging="338"/>
        <w:spacing w:after="0"/>
        <w:tabs>
          <w:tab w:leader="none" w:pos="18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otherwise to assure the owner of such Debt or obligation against loss in respect</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15" w:lineRule="exact"/>
        <w:rPr>
          <w:sz w:val="20"/>
          <w:szCs w:val="20"/>
          <w:color w:val="auto"/>
        </w:rPr>
      </w:pPr>
    </w:p>
    <w:p>
      <w:pPr>
        <w:jc w:val="both"/>
        <w:ind w:left="100" w:right="99"/>
        <w:spacing w:after="0" w:line="287" w:lineRule="auto"/>
        <w:rPr>
          <w:sz w:val="20"/>
          <w:szCs w:val="20"/>
          <w:color w:val="auto"/>
        </w:rPr>
      </w:pPr>
      <w:r>
        <w:rPr>
          <w:rFonts w:ascii="Arial" w:cs="Arial" w:eastAsia="Arial" w:hAnsi="Arial"/>
          <w:sz w:val="19"/>
          <w:szCs w:val="19"/>
          <w:color w:val="auto"/>
        </w:rPr>
        <w:t xml:space="preserve">In any computation of the Debt or other liabilities of the obligor under any Guaranty, the Debt or other obligations that are the subject of such Guaranty shall be assumed to be direct obligations of such obligor,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such Debt outstanding for purposes of this Agreement shall not exceed the maximum amount of Debt that is the subject of such Guaranty.</w:t>
      </w:r>
    </w:p>
    <w:p>
      <w:pPr>
        <w:spacing w:after="0" w:line="184"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i w:val="1"/>
          <w:iCs w:val="1"/>
          <w:color w:val="auto"/>
        </w:rPr>
        <w:t xml:space="preserve">“Hazardous Material” </w:t>
      </w:r>
      <w:r>
        <w:rPr>
          <w:rFonts w:ascii="Arial" w:cs="Arial" w:eastAsia="Arial" w:hAnsi="Arial"/>
          <w:sz w:val="19"/>
          <w:szCs w:val="19"/>
          <w:color w:val="auto"/>
        </w:rPr>
        <w:t>means any and all pollutants, toxic or hazardous wastes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“holder” </w:t>
      </w:r>
      <w:r>
        <w:rPr>
          <w:rFonts w:ascii="Arial" w:cs="Arial" w:eastAsia="Arial" w:hAnsi="Arial"/>
          <w:sz w:val="22"/>
          <w:szCs w:val="22"/>
          <w:color w:val="auto"/>
        </w:rPr>
        <w:t>is defined in the Indenture.</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“Indenture” </w:t>
      </w:r>
      <w:r>
        <w:rPr>
          <w:rFonts w:ascii="Arial" w:cs="Arial" w:eastAsia="Arial" w:hAnsi="Arial"/>
          <w:sz w:val="22"/>
          <w:szCs w:val="22"/>
          <w:color w:val="auto"/>
        </w:rPr>
        <w:t>is defined in Section 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65" w:name="page166"/>
    <w:bookmarkEnd w:id="165"/>
    <w:p>
      <w:pPr>
        <w:jc w:val="both"/>
        <w:ind w:left="100" w:right="99" w:firstLine="648"/>
        <w:spacing w:after="0" w:line="235" w:lineRule="auto"/>
        <w:rPr>
          <w:sz w:val="20"/>
          <w:szCs w:val="20"/>
          <w:color w:val="auto"/>
        </w:rPr>
      </w:pPr>
      <w:r>
        <w:rPr>
          <w:rFonts w:ascii="Arial" w:cs="Arial" w:eastAsia="Arial" w:hAnsi="Arial"/>
          <w:sz w:val="22"/>
          <w:szCs w:val="22"/>
          <w:i w:val="1"/>
          <w:iCs w:val="1"/>
          <w:color w:val="auto"/>
        </w:rPr>
        <w:t xml:space="preserve">“Institutional Investor” </w:t>
      </w:r>
      <w:r>
        <w:rPr>
          <w:rFonts w:ascii="Arial" w:cs="Arial" w:eastAsia="Arial" w:hAnsi="Arial"/>
          <w:sz w:val="22"/>
          <w:szCs w:val="22"/>
          <w:color w:val="auto"/>
        </w:rPr>
        <w:t>means (a) any Purchaser of a Bond, (b) any holder of a Bond holding</w:t>
      </w:r>
      <w:r>
        <w:rPr>
          <w:rFonts w:ascii="Arial" w:cs="Arial" w:eastAsia="Arial" w:hAnsi="Arial"/>
          <w:sz w:val="22"/>
          <w:szCs w:val="22"/>
          <w:i w:val="1"/>
          <w:iCs w:val="1"/>
          <w:color w:val="auto"/>
        </w:rPr>
        <w:t xml:space="preserve"> </w:t>
      </w:r>
      <w:r>
        <w:rPr>
          <w:rFonts w:ascii="Arial" w:cs="Arial" w:eastAsia="Arial" w:hAnsi="Arial"/>
          <w:sz w:val="22"/>
          <w:szCs w:val="22"/>
          <w:color w:val="auto"/>
        </w:rPr>
        <w:t>(together with one or more of its affiliates) more than 5% of the aggregate principal amount of the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Bond.</w:t>
      </w:r>
    </w:p>
    <w:p>
      <w:pPr>
        <w:spacing w:after="0" w:line="215" w:lineRule="exact"/>
        <w:rPr>
          <w:sz w:val="20"/>
          <w:szCs w:val="20"/>
          <w:color w:val="auto"/>
        </w:rPr>
      </w:pPr>
    </w:p>
    <w:p>
      <w:pPr>
        <w:jc w:val="both"/>
        <w:ind w:left="100" w:right="99" w:firstLine="648"/>
        <w:spacing w:after="0" w:line="249" w:lineRule="auto"/>
        <w:rPr>
          <w:sz w:val="20"/>
          <w:szCs w:val="20"/>
          <w:color w:val="auto"/>
        </w:rPr>
      </w:pPr>
      <w:r>
        <w:rPr>
          <w:rFonts w:ascii="Arial" w:cs="Arial" w:eastAsia="Arial" w:hAnsi="Arial"/>
          <w:sz w:val="21"/>
          <w:szCs w:val="21"/>
          <w:i w:val="1"/>
          <w:iCs w:val="1"/>
          <w:color w:val="auto"/>
        </w:rPr>
        <w:t xml:space="preserve">“Lien” </w:t>
      </w:r>
      <w:r>
        <w:rPr>
          <w:rFonts w:ascii="Arial" w:cs="Arial" w:eastAsia="Arial" w:hAnsi="Arial"/>
          <w:sz w:val="21"/>
          <w:szCs w:val="21"/>
          <w:color w:val="auto"/>
        </w:rPr>
        <w:t>means, with respect to any Person, any mortgage, lien, pledge, charge, security</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“Make-Whole Amount” </w:t>
      </w:r>
      <w:r>
        <w:rPr>
          <w:rFonts w:ascii="Arial" w:cs="Arial" w:eastAsia="Arial" w:hAnsi="Arial"/>
          <w:sz w:val="22"/>
          <w:szCs w:val="22"/>
          <w:color w:val="auto"/>
        </w:rPr>
        <w:t>is defined in the Supplement.</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“Material” </w:t>
      </w:r>
      <w:r>
        <w:rPr>
          <w:rFonts w:ascii="Arial" w:cs="Arial" w:eastAsia="Arial" w:hAnsi="Arial"/>
          <w:sz w:val="22"/>
          <w:szCs w:val="22"/>
          <w:color w:val="auto"/>
        </w:rPr>
        <w:t>means material in relation to the business, operations, affairs, financial condition,</w:t>
      </w:r>
      <w:r>
        <w:rPr>
          <w:rFonts w:ascii="Arial" w:cs="Arial" w:eastAsia="Arial" w:hAnsi="Arial"/>
          <w:sz w:val="22"/>
          <w:szCs w:val="22"/>
          <w:i w:val="1"/>
          <w:iCs w:val="1"/>
          <w:color w:val="auto"/>
        </w:rPr>
        <w:t xml:space="preserve"> </w:t>
      </w:r>
      <w:r>
        <w:rPr>
          <w:rFonts w:ascii="Arial" w:cs="Arial" w:eastAsia="Arial" w:hAnsi="Arial"/>
          <w:sz w:val="22"/>
          <w:szCs w:val="22"/>
          <w:color w:val="auto"/>
        </w:rPr>
        <w:t>assets or properties of the Company and its Subsidiaries taken as a whole.</w:t>
      </w:r>
    </w:p>
    <w:p>
      <w:pPr>
        <w:spacing w:after="0" w:line="200"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9"/>
          <w:szCs w:val="19"/>
          <w:i w:val="1"/>
          <w:iCs w:val="1"/>
          <w:color w:val="auto"/>
        </w:rPr>
        <w:t xml:space="preserve">“Material Adverse Effect” </w:t>
      </w:r>
      <w:r>
        <w:rPr>
          <w:rFonts w:ascii="Arial" w:cs="Arial" w:eastAsia="Arial" w:hAnsi="Arial"/>
          <w:sz w:val="19"/>
          <w:szCs w:val="19"/>
          <w:color w:val="auto"/>
        </w:rPr>
        <w:t>means a material adverse effect on (a) the business, operations,</w:t>
      </w:r>
      <w:r>
        <w:rPr>
          <w:rFonts w:ascii="Arial" w:cs="Arial" w:eastAsia="Arial" w:hAnsi="Arial"/>
          <w:sz w:val="19"/>
          <w:szCs w:val="19"/>
          <w:i w:val="1"/>
          <w:iCs w:val="1"/>
          <w:color w:val="auto"/>
        </w:rPr>
        <w:t xml:space="preserve"> </w:t>
      </w:r>
      <w:r>
        <w:rPr>
          <w:rFonts w:ascii="Arial" w:cs="Arial" w:eastAsia="Arial" w:hAnsi="Arial"/>
          <w:sz w:val="19"/>
          <w:szCs w:val="19"/>
          <w:color w:val="auto"/>
        </w:rPr>
        <w:t>affairs, financial condition, assets or properties of the Company and its Subsidiaries taken as a whole,</w:t>
      </w:r>
    </w:p>
    <w:p>
      <w:pPr>
        <w:spacing w:after="0" w:line="2" w:lineRule="exact"/>
        <w:rPr>
          <w:sz w:val="20"/>
          <w:szCs w:val="20"/>
          <w:color w:val="auto"/>
        </w:rPr>
      </w:pPr>
    </w:p>
    <w:p>
      <w:pPr>
        <w:ind w:left="100" w:right="99" w:firstLine="5"/>
        <w:spacing w:after="0" w:line="237" w:lineRule="auto"/>
        <w:tabs>
          <w:tab w:leader="none" w:pos="43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ability of the Company to perform its obligations under this Agreement, the Bonds or the Indenture, or (c) the validity or enforceability of any Financing Agreement.</w:t>
      </w:r>
    </w:p>
    <w:p>
      <w:pPr>
        <w:spacing w:after="0" w:line="225"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“Multiemployer Plan” </w:t>
      </w:r>
      <w:r>
        <w:rPr>
          <w:rFonts w:ascii="Arial" w:cs="Arial" w:eastAsia="Arial" w:hAnsi="Arial"/>
          <w:sz w:val="22"/>
          <w:szCs w:val="22"/>
          <w:color w:val="auto"/>
        </w:rPr>
        <w:t>means any Plan that is a “</w:t>
      </w:r>
      <w:r>
        <w:rPr>
          <w:rFonts w:ascii="Arial" w:cs="Arial" w:eastAsia="Arial" w:hAnsi="Arial"/>
          <w:sz w:val="22"/>
          <w:szCs w:val="22"/>
          <w:i w:val="1"/>
          <w:iCs w:val="1"/>
          <w:color w:val="auto"/>
        </w:rPr>
        <w:t>multiemployer plan</w:t>
      </w:r>
      <w:r>
        <w:rPr>
          <w:rFonts w:ascii="Arial" w:cs="Arial" w:eastAsia="Arial" w:hAnsi="Arial"/>
          <w:sz w:val="22"/>
          <w:szCs w:val="22"/>
          <w:color w:val="auto"/>
        </w:rPr>
        <w:t>” (as such term is defined</w:t>
      </w:r>
      <w:r>
        <w:rPr>
          <w:rFonts w:ascii="Arial" w:cs="Arial" w:eastAsia="Arial" w:hAnsi="Arial"/>
          <w:sz w:val="22"/>
          <w:szCs w:val="22"/>
          <w:i w:val="1"/>
          <w:iCs w:val="1"/>
          <w:color w:val="auto"/>
        </w:rPr>
        <w:t xml:space="preserve"> </w:t>
      </w:r>
      <w:r>
        <w:rPr>
          <w:rFonts w:ascii="Arial" w:cs="Arial" w:eastAsia="Arial" w:hAnsi="Arial"/>
          <w:sz w:val="22"/>
          <w:szCs w:val="22"/>
          <w:color w:val="auto"/>
        </w:rPr>
        <w:t>in section 4001(a)(3) of ERISA).</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“NAIC” </w:t>
      </w:r>
      <w:r>
        <w:rPr>
          <w:rFonts w:ascii="Arial" w:cs="Arial" w:eastAsia="Arial" w:hAnsi="Arial"/>
          <w:sz w:val="22"/>
          <w:szCs w:val="22"/>
          <w:color w:val="auto"/>
        </w:rPr>
        <w:t>means the National Association of Insurance Commissioners or any successor</w:t>
      </w:r>
      <w:r>
        <w:rPr>
          <w:rFonts w:ascii="Arial" w:cs="Arial" w:eastAsia="Arial" w:hAnsi="Arial"/>
          <w:sz w:val="22"/>
          <w:szCs w:val="22"/>
          <w:i w:val="1"/>
          <w:iCs w:val="1"/>
          <w:color w:val="auto"/>
        </w:rPr>
        <w:t xml:space="preserve"> </w:t>
      </w:r>
      <w:r>
        <w:rPr>
          <w:rFonts w:ascii="Arial" w:cs="Arial" w:eastAsia="Arial" w:hAnsi="Arial"/>
          <w:sz w:val="22"/>
          <w:szCs w:val="22"/>
          <w:color w:val="auto"/>
        </w:rPr>
        <w:t>thereto.</w:t>
      </w:r>
    </w:p>
    <w:p>
      <w:pPr>
        <w:spacing w:after="0" w:line="200" w:lineRule="exact"/>
        <w:rPr>
          <w:sz w:val="20"/>
          <w:szCs w:val="20"/>
          <w:color w:val="auto"/>
        </w:rPr>
      </w:pPr>
    </w:p>
    <w:p>
      <w:pPr>
        <w:jc w:val="both"/>
        <w:ind w:left="100" w:right="99" w:firstLine="648"/>
        <w:spacing w:after="0" w:line="248" w:lineRule="exact"/>
        <w:rPr>
          <w:sz w:val="20"/>
          <w:szCs w:val="20"/>
          <w:color w:val="auto"/>
        </w:rPr>
      </w:pPr>
      <w:r>
        <w:rPr>
          <w:rFonts w:ascii="Arial" w:cs="Arial" w:eastAsia="Arial" w:hAnsi="Arial"/>
          <w:sz w:val="21"/>
          <w:szCs w:val="21"/>
          <w:i w:val="1"/>
          <w:iCs w:val="1"/>
          <w:color w:val="auto"/>
        </w:rPr>
        <w:t>“Non</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 xml:space="preserve">U.S. Plan” </w:t>
      </w:r>
      <w:r>
        <w:rPr>
          <w:rFonts w:ascii="Arial" w:cs="Arial" w:eastAsia="Arial" w:hAnsi="Arial"/>
          <w:sz w:val="21"/>
          <w:szCs w:val="21"/>
          <w:color w:val="auto"/>
        </w:rPr>
        <w:t>means any plan, fund or other similar program that (a) is established or</w:t>
      </w:r>
      <w:r>
        <w:rPr>
          <w:rFonts w:ascii="Arial" w:cs="Arial" w:eastAsia="Arial" w:hAnsi="Arial"/>
          <w:sz w:val="21"/>
          <w:szCs w:val="21"/>
          <w:i w:val="1"/>
          <w:iCs w:val="1"/>
          <w:color w:val="auto"/>
        </w:rPr>
        <w:t xml:space="preserve"> </w:t>
      </w:r>
      <w:r>
        <w:rPr>
          <w:rFonts w:ascii="Arial" w:cs="Arial" w:eastAsia="Arial" w:hAnsi="Arial"/>
          <w:sz w:val="21"/>
          <w:szCs w:val="21"/>
          <w:color w:val="auto"/>
        </w:rPr>
        <w:t>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30"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“OFAC” </w:t>
      </w:r>
      <w:r>
        <w:rPr>
          <w:rFonts w:ascii="Arial" w:cs="Arial" w:eastAsia="Arial" w:hAnsi="Arial"/>
          <w:sz w:val="22"/>
          <w:szCs w:val="22"/>
          <w:color w:val="auto"/>
        </w:rPr>
        <w:t>means the Office of Foreign Assets Control of the United States Department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Treasury.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66" w:name="page167"/>
    <w:bookmarkEnd w:id="166"/>
    <w:p>
      <w:pPr>
        <w:jc w:val="both"/>
        <w:ind w:left="100" w:right="99"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OFAC Sanctions Program</w:t>
      </w:r>
      <w:r>
        <w:rPr>
          <w:rFonts w:ascii="Arial" w:cs="Arial" w:eastAsia="Arial" w:hAnsi="Arial"/>
          <w:sz w:val="21"/>
          <w:szCs w:val="21"/>
          <w:color w:val="auto"/>
        </w:rPr>
        <w:t>” means any economic or trade sanction that OFAC is responsible for administering and enforcing. A list of OFAC Sanctions Programs may be found at http://www.treasury.gov/resource-center/sanctions/Programs/Pages/Programs.aspx.</w:t>
      </w:r>
    </w:p>
    <w:p>
      <w:pPr>
        <w:spacing w:after="0" w:line="194"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 xml:space="preserve">“Officer’s Certificate” </w:t>
      </w:r>
      <w:r>
        <w:rPr>
          <w:rFonts w:ascii="Arial" w:cs="Arial" w:eastAsia="Arial" w:hAnsi="Arial"/>
          <w:sz w:val="21"/>
          <w:szCs w:val="21"/>
          <w:color w:val="auto"/>
        </w:rPr>
        <w:t>means a certificate of a Senior Financial Officer or of any other officer</w:t>
      </w:r>
      <w:r>
        <w:rPr>
          <w:rFonts w:ascii="Arial" w:cs="Arial" w:eastAsia="Arial" w:hAnsi="Arial"/>
          <w:sz w:val="21"/>
          <w:szCs w:val="21"/>
          <w:i w:val="1"/>
          <w:iCs w:val="1"/>
          <w:color w:val="auto"/>
        </w:rPr>
        <w:t xml:space="preserve"> </w:t>
      </w:r>
      <w:r>
        <w:rPr>
          <w:rFonts w:ascii="Arial" w:cs="Arial" w:eastAsia="Arial" w:hAnsi="Arial"/>
          <w:sz w:val="21"/>
          <w:szCs w:val="21"/>
          <w:color w:val="auto"/>
        </w:rPr>
        <w:t>of the Company whose responsibilities extend to the subject matter of such certificate.</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“Original Indenture” </w:t>
      </w:r>
      <w:r>
        <w:rPr>
          <w:rFonts w:ascii="Arial" w:cs="Arial" w:eastAsia="Arial" w:hAnsi="Arial"/>
          <w:sz w:val="22"/>
          <w:szCs w:val="22"/>
          <w:color w:val="auto"/>
        </w:rPr>
        <w:t>is defined in Section 1.</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“PBGC” </w:t>
      </w:r>
      <w:r>
        <w:rPr>
          <w:rFonts w:ascii="Arial" w:cs="Arial" w:eastAsia="Arial" w:hAnsi="Arial"/>
          <w:sz w:val="22"/>
          <w:szCs w:val="22"/>
          <w:color w:val="auto"/>
        </w:rPr>
        <w:t>means the Pension Benefit Guaranty Corporation referred to and defined in ERISA</w:t>
      </w:r>
      <w:r>
        <w:rPr>
          <w:rFonts w:ascii="Arial" w:cs="Arial" w:eastAsia="Arial" w:hAnsi="Arial"/>
          <w:sz w:val="22"/>
          <w:szCs w:val="22"/>
          <w:i w:val="1"/>
          <w:iCs w:val="1"/>
          <w:color w:val="auto"/>
        </w:rPr>
        <w:t xml:space="preserve"> </w:t>
      </w:r>
      <w:r>
        <w:rPr>
          <w:rFonts w:ascii="Arial" w:cs="Arial" w:eastAsia="Arial" w:hAnsi="Arial"/>
          <w:sz w:val="22"/>
          <w:szCs w:val="22"/>
          <w:color w:val="auto"/>
        </w:rPr>
        <w:t>or any successor thereto.</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“Permitted Liens” </w:t>
      </w:r>
      <w:r>
        <w:rPr>
          <w:rFonts w:ascii="Arial" w:cs="Arial" w:eastAsia="Arial" w:hAnsi="Arial"/>
          <w:sz w:val="22"/>
          <w:szCs w:val="22"/>
          <w:color w:val="auto"/>
        </w:rPr>
        <w:t>shall have the meaning assigned to such term in the Indenture.</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 individual, partnership, corporation, limited liability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association, trust, unincorporated organization, business entity or Governmental Authority.</w:t>
      </w:r>
    </w:p>
    <w:p>
      <w:pPr>
        <w:spacing w:after="0" w:line="214"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an “</w:t>
      </w:r>
      <w:r>
        <w:rPr>
          <w:rFonts w:ascii="Arial" w:cs="Arial" w:eastAsia="Arial" w:hAnsi="Arial"/>
          <w:sz w:val="22"/>
          <w:szCs w:val="22"/>
          <w:i w:val="1"/>
          <w:iCs w:val="1"/>
          <w:color w:val="auto"/>
        </w:rPr>
        <w:t>employee benefit plan</w:t>
      </w:r>
      <w:r>
        <w:rPr>
          <w:rFonts w:ascii="Arial" w:cs="Arial" w:eastAsia="Arial" w:hAnsi="Arial"/>
          <w:sz w:val="22"/>
          <w:szCs w:val="22"/>
          <w:color w:val="auto"/>
        </w:rPr>
        <w:t>” (as defined in section 3(2) of ERISA)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215"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“property” </w:t>
      </w:r>
      <w:r>
        <w:rPr>
          <w:rFonts w:ascii="Arial" w:cs="Arial" w:eastAsia="Arial" w:hAnsi="Arial"/>
          <w:sz w:val="22"/>
          <w:szCs w:val="22"/>
          <w:color w:val="auto"/>
        </w:rPr>
        <w:t>or</w:t>
      </w:r>
      <w:r>
        <w:rPr>
          <w:rFonts w:ascii="Arial" w:cs="Arial" w:eastAsia="Arial" w:hAnsi="Arial"/>
          <w:sz w:val="22"/>
          <w:szCs w:val="22"/>
          <w:i w:val="1"/>
          <w:iCs w:val="1"/>
          <w:color w:val="auto"/>
        </w:rPr>
        <w:t xml:space="preserve"> “properties” </w:t>
      </w:r>
      <w:r>
        <w:rPr>
          <w:rFonts w:ascii="Arial" w:cs="Arial" w:eastAsia="Arial" w:hAnsi="Arial"/>
          <w:sz w:val="22"/>
          <w:szCs w:val="22"/>
          <w:color w:val="auto"/>
        </w:rPr>
        <w:t>means, unless otherwise specifically limited, real or personal</w:t>
      </w:r>
      <w:r>
        <w:rPr>
          <w:rFonts w:ascii="Arial" w:cs="Arial" w:eastAsia="Arial" w:hAnsi="Arial"/>
          <w:sz w:val="22"/>
          <w:szCs w:val="22"/>
          <w:i w:val="1"/>
          <w:iCs w:val="1"/>
          <w:color w:val="auto"/>
        </w:rPr>
        <w:t xml:space="preserve"> </w:t>
      </w:r>
      <w:r>
        <w:rPr>
          <w:rFonts w:ascii="Arial" w:cs="Arial" w:eastAsia="Arial" w:hAnsi="Arial"/>
          <w:sz w:val="22"/>
          <w:szCs w:val="22"/>
          <w:color w:val="auto"/>
        </w:rPr>
        <w:t>property of any kind, tangible or intangible, choate or inchoate.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“PTE” </w:t>
      </w:r>
      <w:r>
        <w:rPr>
          <w:rFonts w:ascii="Arial" w:cs="Arial" w:eastAsia="Arial" w:hAnsi="Arial"/>
          <w:sz w:val="22"/>
          <w:szCs w:val="22"/>
          <w:color w:val="auto"/>
        </w:rPr>
        <w:t>is defined in Section 6.2(a).</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“Purchaser” </w:t>
      </w:r>
      <w:r>
        <w:rPr>
          <w:rFonts w:ascii="Arial" w:cs="Arial" w:eastAsia="Arial" w:hAnsi="Arial"/>
          <w:sz w:val="22"/>
          <w:szCs w:val="22"/>
          <w:color w:val="auto"/>
        </w:rPr>
        <w:t>is defined in the first paragraph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1"/>
          <w:szCs w:val="21"/>
          <w:i w:val="1"/>
          <w:iCs w:val="1"/>
          <w:color w:val="auto"/>
        </w:rPr>
        <w:t xml:space="preserve">“Related Fund” </w:t>
      </w:r>
      <w:r>
        <w:rPr>
          <w:rFonts w:ascii="Arial" w:cs="Arial" w:eastAsia="Arial" w:hAnsi="Arial"/>
          <w:sz w:val="21"/>
          <w:szCs w:val="21"/>
          <w:color w:val="auto"/>
        </w:rPr>
        <w:t>means, with respect to any holder of any Bond, any fund or entity that</w:t>
      </w:r>
    </w:p>
    <w:p>
      <w:pPr>
        <w:spacing w:after="0" w:line="20" w:lineRule="exact"/>
        <w:rPr>
          <w:sz w:val="20"/>
          <w:szCs w:val="20"/>
          <w:color w:val="auto"/>
        </w:rPr>
      </w:pPr>
    </w:p>
    <w:p>
      <w:pPr>
        <w:ind w:left="100" w:right="99" w:firstLine="5"/>
        <w:spacing w:after="0" w:line="256" w:lineRule="auto"/>
        <w:tabs>
          <w:tab w:leader="none" w:pos="399"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invests in Securities or bank loans, and (ii) is advised or managed by such holder, the same investment advisor as such holder or by an affiliate of such holder or such investment advisor.</w:t>
      </w:r>
    </w:p>
    <w:p>
      <w:pPr>
        <w:spacing w:after="0" w:line="210" w:lineRule="exact"/>
        <w:rPr>
          <w:sz w:val="20"/>
          <w:szCs w:val="20"/>
          <w:color w:val="auto"/>
        </w:rPr>
      </w:pPr>
    </w:p>
    <w:p>
      <w:pPr>
        <w:ind w:left="100" w:right="99" w:firstLine="648"/>
        <w:spacing w:after="0" w:line="328" w:lineRule="auto"/>
        <w:rPr>
          <w:sz w:val="20"/>
          <w:szCs w:val="20"/>
          <w:color w:val="auto"/>
        </w:rPr>
      </w:pPr>
      <w:r>
        <w:rPr>
          <w:rFonts w:ascii="Arial" w:cs="Arial" w:eastAsia="Arial" w:hAnsi="Arial"/>
          <w:sz w:val="19"/>
          <w:szCs w:val="19"/>
          <w:i w:val="1"/>
          <w:iCs w:val="1"/>
          <w:color w:val="auto"/>
        </w:rPr>
        <w:t xml:space="preserve">“Required Holders” </w:t>
      </w:r>
      <w:r>
        <w:rPr>
          <w:rFonts w:ascii="Arial" w:cs="Arial" w:eastAsia="Arial" w:hAnsi="Arial"/>
          <w:sz w:val="19"/>
          <w:szCs w:val="19"/>
          <w:color w:val="auto"/>
        </w:rPr>
        <w:t>means the holders of at least 51% in principal amount of the Bonds at the</w:t>
      </w:r>
      <w:r>
        <w:rPr>
          <w:rFonts w:ascii="Arial" w:cs="Arial" w:eastAsia="Arial" w:hAnsi="Arial"/>
          <w:sz w:val="19"/>
          <w:szCs w:val="19"/>
          <w:i w:val="1"/>
          <w:iCs w:val="1"/>
          <w:color w:val="auto"/>
        </w:rPr>
        <w:t xml:space="preserve"> </w:t>
      </w:r>
      <w:r>
        <w:rPr>
          <w:rFonts w:ascii="Arial" w:cs="Arial" w:eastAsia="Arial" w:hAnsi="Arial"/>
          <w:sz w:val="19"/>
          <w:szCs w:val="19"/>
          <w:color w:val="auto"/>
        </w:rPr>
        <w:t>time outstanding (exclusive of Bonds then owned by the Company or any of its Affiliates).</w:t>
      </w:r>
    </w:p>
    <w:p>
      <w:pPr>
        <w:spacing w:after="0" w:line="146" w:lineRule="exact"/>
        <w:rPr>
          <w:sz w:val="20"/>
          <w:szCs w:val="20"/>
          <w:color w:val="auto"/>
        </w:rPr>
      </w:pPr>
    </w:p>
    <w:p>
      <w:pPr>
        <w:ind w:left="100" w:right="99" w:firstLine="648"/>
        <w:spacing w:after="0" w:line="274" w:lineRule="auto"/>
        <w:rPr>
          <w:sz w:val="20"/>
          <w:szCs w:val="20"/>
          <w:color w:val="auto"/>
        </w:rPr>
      </w:pPr>
      <w:r>
        <w:rPr>
          <w:rFonts w:ascii="Arial" w:cs="Arial" w:eastAsia="Arial" w:hAnsi="Arial"/>
          <w:sz w:val="21"/>
          <w:szCs w:val="21"/>
          <w:i w:val="1"/>
          <w:iCs w:val="1"/>
          <w:color w:val="auto"/>
        </w:rPr>
        <w:t xml:space="preserve">“Responsible Officer” </w:t>
      </w:r>
      <w:r>
        <w:rPr>
          <w:rFonts w:ascii="Arial" w:cs="Arial" w:eastAsia="Arial" w:hAnsi="Arial"/>
          <w:sz w:val="21"/>
          <w:szCs w:val="21"/>
          <w:color w:val="auto"/>
        </w:rPr>
        <w:t>means any Senior Financial Officer and any other officer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with responsibility for the administration of the relevant portion of this Agreement.</w:t>
      </w:r>
    </w:p>
    <w:p>
      <w:pPr>
        <w:spacing w:after="0" w:line="178" w:lineRule="exact"/>
        <w:rPr>
          <w:sz w:val="20"/>
          <w:szCs w:val="20"/>
          <w:color w:val="auto"/>
        </w:rPr>
      </w:pPr>
    </w:p>
    <w:p>
      <w:pPr>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 </w:t>
      </w:r>
      <w:r>
        <w:rPr>
          <w:rFonts w:ascii="Arial" w:cs="Arial" w:eastAsia="Arial" w:hAnsi="Arial"/>
          <w:sz w:val="22"/>
          <w:szCs w:val="22"/>
          <w:color w:val="auto"/>
        </w:rPr>
        <w:t>means the Securities and Exchange Commission of the United States,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 thereto.</w:t>
      </w:r>
    </w:p>
    <w:p>
      <w:pPr>
        <w:spacing w:after="0" w:line="214" w:lineRule="exact"/>
        <w:rPr>
          <w:sz w:val="20"/>
          <w:szCs w:val="20"/>
          <w:color w:val="auto"/>
        </w:rPr>
      </w:pPr>
    </w:p>
    <w:p>
      <w:pPr>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“Securities” </w:t>
      </w:r>
      <w:r>
        <w:rPr>
          <w:rFonts w:ascii="Arial" w:cs="Arial" w:eastAsia="Arial" w:hAnsi="Arial"/>
          <w:sz w:val="22"/>
          <w:szCs w:val="22"/>
          <w:color w:val="auto"/>
        </w:rPr>
        <w:t>or</w:t>
      </w:r>
      <w:r>
        <w:rPr>
          <w:rFonts w:ascii="Arial" w:cs="Arial" w:eastAsia="Arial" w:hAnsi="Arial"/>
          <w:sz w:val="22"/>
          <w:szCs w:val="22"/>
          <w:i w:val="1"/>
          <w:iCs w:val="1"/>
          <w:color w:val="auto"/>
        </w:rPr>
        <w:t xml:space="preserve"> “Security” </w:t>
      </w:r>
      <w:r>
        <w:rPr>
          <w:rFonts w:ascii="Arial" w:cs="Arial" w:eastAsia="Arial" w:hAnsi="Arial"/>
          <w:sz w:val="22"/>
          <w:szCs w:val="22"/>
          <w:color w:val="auto"/>
        </w:rPr>
        <w:t>shall have the meaning specified in Section 2(a)(1)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67" w:name="page168"/>
    <w:bookmarkEnd w:id="167"/>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“Securities Act” </w:t>
      </w:r>
      <w:r>
        <w:rPr>
          <w:rFonts w:ascii="Arial" w:cs="Arial" w:eastAsia="Arial" w:hAnsi="Arial"/>
          <w:sz w:val="22"/>
          <w:szCs w:val="22"/>
          <w:color w:val="auto"/>
        </w:rPr>
        <w:t>means the Securities Act of 1933,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 in effect.</w:t>
      </w:r>
    </w:p>
    <w:p>
      <w:pPr>
        <w:spacing w:after="0" w:line="200"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“Senior Financial Officer” </w:t>
      </w:r>
      <w:r>
        <w:rPr>
          <w:rFonts w:ascii="Arial" w:cs="Arial" w:eastAsia="Arial" w:hAnsi="Arial"/>
          <w:sz w:val="22"/>
          <w:szCs w:val="22"/>
          <w:color w:val="auto"/>
        </w:rPr>
        <w:t>means the chief financial officer, principal accounting officer,</w:t>
      </w:r>
      <w:r>
        <w:rPr>
          <w:rFonts w:ascii="Arial" w:cs="Arial" w:eastAsia="Arial" w:hAnsi="Arial"/>
          <w:sz w:val="22"/>
          <w:szCs w:val="22"/>
          <w:i w:val="1"/>
          <w:iCs w:val="1"/>
          <w:color w:val="auto"/>
        </w:rPr>
        <w:t xml:space="preserve"> </w:t>
      </w:r>
      <w:r>
        <w:rPr>
          <w:rFonts w:ascii="Arial" w:cs="Arial" w:eastAsia="Arial" w:hAnsi="Arial"/>
          <w:sz w:val="22"/>
          <w:szCs w:val="22"/>
          <w:color w:val="auto"/>
        </w:rPr>
        <w:t>treasurer or comptroller of the Company.</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“Source” </w:t>
      </w:r>
      <w:r>
        <w:rPr>
          <w:rFonts w:ascii="Arial" w:cs="Arial" w:eastAsia="Arial" w:hAnsi="Arial"/>
          <w:sz w:val="22"/>
          <w:szCs w:val="22"/>
          <w:color w:val="auto"/>
        </w:rPr>
        <w:t>is defined in Section 6.2.</w:t>
      </w:r>
    </w:p>
    <w:p>
      <w:pPr>
        <w:spacing w:after="0" w:line="247"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 xml:space="preserve">“State Sanctions List” </w:t>
      </w:r>
      <w:r>
        <w:rPr>
          <w:rFonts w:ascii="Arial" w:cs="Arial" w:eastAsia="Arial" w:hAnsi="Arial"/>
          <w:sz w:val="22"/>
          <w:szCs w:val="22"/>
          <w:color w:val="auto"/>
        </w:rPr>
        <w:t>means a list that is adopted by any state Governmental Authority</w:t>
      </w:r>
      <w:r>
        <w:rPr>
          <w:rFonts w:ascii="Arial" w:cs="Arial" w:eastAsia="Arial" w:hAnsi="Arial"/>
          <w:sz w:val="22"/>
          <w:szCs w:val="22"/>
          <w:i w:val="1"/>
          <w:iCs w:val="1"/>
          <w:color w:val="auto"/>
        </w:rPr>
        <w:t xml:space="preserve"> </w:t>
      </w:r>
      <w:r>
        <w:rPr>
          <w:rFonts w:ascii="Arial" w:cs="Arial" w:eastAsia="Arial" w:hAnsi="Arial"/>
          <w:sz w:val="22"/>
          <w:szCs w:val="22"/>
          <w:color w:val="auto"/>
        </w:rPr>
        <w:t>within the United States of America pertaining to Persons that engage in investment or other commercial activities in Iran or any other country that is a target of economic sanctions imposed under U.S. Economic Sanctions Laws.</w:t>
      </w:r>
    </w:p>
    <w:p>
      <w:pPr>
        <w:spacing w:after="0" w:line="212" w:lineRule="exact"/>
        <w:rPr>
          <w:sz w:val="20"/>
          <w:szCs w:val="20"/>
          <w:color w:val="auto"/>
        </w:rPr>
      </w:pPr>
    </w:p>
    <w:p>
      <w:pPr>
        <w:jc w:val="both"/>
        <w:ind w:left="100" w:right="99" w:firstLine="648"/>
        <w:spacing w:after="0" w:line="245" w:lineRule="auto"/>
        <w:rPr>
          <w:sz w:val="20"/>
          <w:szCs w:val="20"/>
          <w:color w:val="auto"/>
        </w:rPr>
      </w:pPr>
      <w:r>
        <w:rPr>
          <w:rFonts w:ascii="Arial" w:cs="Arial" w:eastAsia="Arial" w:hAnsi="Arial"/>
          <w:sz w:val="21"/>
          <w:szCs w:val="21"/>
          <w:i w:val="1"/>
          <w:iCs w:val="1"/>
          <w:color w:val="auto"/>
        </w:rPr>
        <w:t xml:space="preserve">“Subsidiary” </w:t>
      </w:r>
      <w:r>
        <w:rPr>
          <w:rFonts w:ascii="Arial" w:cs="Arial" w:eastAsia="Arial" w:hAnsi="Arial"/>
          <w:sz w:val="21"/>
          <w:szCs w:val="21"/>
          <w:color w:val="auto"/>
        </w:rPr>
        <w:t>means, as to any Person, any other Person in which such first Person or one or</w:t>
      </w:r>
      <w:r>
        <w:rPr>
          <w:rFonts w:ascii="Arial" w:cs="Arial" w:eastAsia="Arial" w:hAnsi="Arial"/>
          <w:sz w:val="21"/>
          <w:szCs w:val="21"/>
          <w:i w:val="1"/>
          <w:iCs w:val="1"/>
          <w:color w:val="auto"/>
        </w:rPr>
        <w:t xml:space="preserve"> </w:t>
      </w:r>
      <w:r>
        <w:rPr>
          <w:rFonts w:ascii="Arial" w:cs="Arial" w:eastAsia="Arial" w:hAnsi="Arial"/>
          <w:sz w:val="21"/>
          <w:szCs w:val="21"/>
          <w:color w:val="auto"/>
        </w:rPr>
        <w:t>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w:t>
      </w:r>
      <w:r>
        <w:rPr>
          <w:rFonts w:ascii="Arial" w:cs="Arial" w:eastAsia="Arial" w:hAnsi="Arial"/>
          <w:sz w:val="21"/>
          <w:szCs w:val="21"/>
          <w:i w:val="1"/>
          <w:iCs w:val="1"/>
          <w:color w:val="auto"/>
        </w:rPr>
        <w:t>Subsidiary</w:t>
      </w:r>
      <w:r>
        <w:rPr>
          <w:rFonts w:ascii="Arial" w:cs="Arial" w:eastAsia="Arial" w:hAnsi="Arial"/>
          <w:sz w:val="21"/>
          <w:szCs w:val="21"/>
          <w:color w:val="auto"/>
        </w:rPr>
        <w:t>” is a reference to a Subsidiary of the Company.</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“Supplement” </w:t>
      </w:r>
      <w:r>
        <w:rPr>
          <w:rFonts w:ascii="Arial" w:cs="Arial" w:eastAsia="Arial" w:hAnsi="Arial"/>
          <w:sz w:val="22"/>
          <w:szCs w:val="22"/>
          <w:color w:val="auto"/>
        </w:rPr>
        <w:t>is defined in Section 1.</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19"/>
          <w:szCs w:val="19"/>
          <w:i w:val="1"/>
          <w:iCs w:val="1"/>
          <w:color w:val="auto"/>
        </w:rPr>
        <w:t xml:space="preserve">“SVO” </w:t>
      </w:r>
      <w:r>
        <w:rPr>
          <w:rFonts w:ascii="Arial" w:cs="Arial" w:eastAsia="Arial" w:hAnsi="Arial"/>
          <w:sz w:val="19"/>
          <w:szCs w:val="19"/>
          <w:color w:val="auto"/>
        </w:rPr>
        <w:t>means the Securities Valuation Office of the NAIC or any successor to such Office.</w:t>
      </w:r>
    </w:p>
    <w:p>
      <w:pPr>
        <w:spacing w:after="0" w:line="268"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19"/>
          <w:szCs w:val="19"/>
          <w:i w:val="1"/>
          <w:iCs w:val="1"/>
          <w:color w:val="auto"/>
        </w:rPr>
        <w:t xml:space="preserve">“Swaps” </w:t>
      </w:r>
      <w:r>
        <w:rPr>
          <w:rFonts w:ascii="Arial" w:cs="Arial" w:eastAsia="Arial" w:hAnsi="Arial"/>
          <w:sz w:val="19"/>
          <w:szCs w:val="19"/>
          <w:color w:val="auto"/>
        </w:rPr>
        <w:t>means, with respect to any Person, payment obligations with respect to interest rate</w:t>
      </w:r>
      <w:r>
        <w:rPr>
          <w:rFonts w:ascii="Arial" w:cs="Arial" w:eastAsia="Arial" w:hAnsi="Arial"/>
          <w:sz w:val="19"/>
          <w:szCs w:val="19"/>
          <w:i w:val="1"/>
          <w:iCs w:val="1"/>
          <w:color w:val="auto"/>
        </w:rPr>
        <w:t xml:space="preserve"> </w:t>
      </w:r>
      <w:r>
        <w:rPr>
          <w:rFonts w:ascii="Arial" w:cs="Arial" w:eastAsia="Arial" w:hAnsi="Arial"/>
          <w:sz w:val="19"/>
          <w:szCs w:val="19"/>
          <w:color w:val="auto"/>
        </w:rPr>
        <w:t>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“Trust Estate” </w:t>
      </w:r>
      <w:r>
        <w:rPr>
          <w:rFonts w:ascii="Arial" w:cs="Arial" w:eastAsia="Arial" w:hAnsi="Arial"/>
          <w:sz w:val="22"/>
          <w:szCs w:val="22"/>
          <w:color w:val="auto"/>
        </w:rPr>
        <w:t>is defined in the Indenture.</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“Trustee” </w:t>
      </w:r>
      <w:r>
        <w:rPr>
          <w:rFonts w:ascii="Arial" w:cs="Arial" w:eastAsia="Arial" w:hAnsi="Arial"/>
          <w:sz w:val="22"/>
          <w:szCs w:val="22"/>
          <w:color w:val="auto"/>
        </w:rPr>
        <w:t>is defined in Section 1.</w:t>
      </w:r>
    </w:p>
    <w:p>
      <w:pPr>
        <w:spacing w:after="0" w:line="233"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“UCC” </w:t>
      </w:r>
      <w:r>
        <w:rPr>
          <w:rFonts w:ascii="Arial" w:cs="Arial" w:eastAsia="Arial" w:hAnsi="Arial"/>
          <w:sz w:val="22"/>
          <w:szCs w:val="22"/>
          <w:color w:val="auto"/>
        </w:rPr>
        <w:t>means, the Uniform Commercial Code as enacted and in effect from time to time in</w:t>
      </w:r>
      <w:r>
        <w:rPr>
          <w:rFonts w:ascii="Arial" w:cs="Arial" w:eastAsia="Arial" w:hAnsi="Arial"/>
          <w:sz w:val="22"/>
          <w:szCs w:val="22"/>
          <w:i w:val="1"/>
          <w:iCs w:val="1"/>
          <w:color w:val="auto"/>
        </w:rPr>
        <w:t xml:space="preserve"> </w:t>
      </w:r>
      <w:r>
        <w:rPr>
          <w:rFonts w:ascii="Arial" w:cs="Arial" w:eastAsia="Arial" w:hAnsi="Arial"/>
          <w:sz w:val="22"/>
          <w:szCs w:val="22"/>
          <w:color w:val="auto"/>
        </w:rPr>
        <w:t>the state whose laws are treated as applying to the Trust Estate.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68" w:name="page169"/>
    <w:bookmarkEnd w:id="168"/>
    <w:p>
      <w:pPr>
        <w:jc w:val="both"/>
        <w:ind w:left="100" w:right="99" w:firstLine="648"/>
        <w:spacing w:after="0" w:line="251" w:lineRule="exact"/>
        <w:rPr>
          <w:sz w:val="20"/>
          <w:szCs w:val="20"/>
          <w:color w:val="auto"/>
        </w:rPr>
      </w:pPr>
      <w:r>
        <w:rPr>
          <w:rFonts w:ascii="Arial" w:cs="Arial" w:eastAsia="Arial" w:hAnsi="Arial"/>
          <w:sz w:val="22"/>
          <w:szCs w:val="22"/>
          <w:i w:val="1"/>
          <w:iCs w:val="1"/>
          <w:color w:val="auto"/>
        </w:rPr>
        <w:t xml:space="preserve">“USA Patriot Act” </w:t>
      </w:r>
      <w:r>
        <w:rPr>
          <w:rFonts w:ascii="Arial" w:cs="Arial" w:eastAsia="Arial" w:hAnsi="Arial"/>
          <w:sz w:val="22"/>
          <w:szCs w:val="22"/>
          <w:color w:val="auto"/>
        </w:rPr>
        <w:t>means United States Public Law 107</w:t>
      </w:r>
      <w:r>
        <w:rPr>
          <w:rFonts w:ascii="MS PGothic" w:cs="MS PGothic" w:eastAsia="MS PGothic" w:hAnsi="MS PGothic"/>
          <w:sz w:val="22"/>
          <w:szCs w:val="22"/>
          <w:color w:val="auto"/>
        </w:rPr>
        <w:t>‑</w:t>
      </w:r>
      <w:r>
        <w:rPr>
          <w:rFonts w:ascii="Arial" w:cs="Arial" w:eastAsia="Arial" w:hAnsi="Arial"/>
          <w:sz w:val="22"/>
          <w:szCs w:val="22"/>
          <w:color w:val="auto"/>
        </w:rPr>
        <w:t>56, Uniting and Strengthening</w:t>
      </w:r>
      <w:r>
        <w:rPr>
          <w:rFonts w:ascii="Arial" w:cs="Arial" w:eastAsia="Arial" w:hAnsi="Arial"/>
          <w:sz w:val="22"/>
          <w:szCs w:val="22"/>
          <w:i w:val="1"/>
          <w:iCs w:val="1"/>
          <w:color w:val="auto"/>
        </w:rPr>
        <w:t xml:space="preserve"> </w:t>
      </w:r>
      <w:r>
        <w:rPr>
          <w:rFonts w:ascii="Arial" w:cs="Arial" w:eastAsia="Arial" w:hAnsi="Arial"/>
          <w:sz w:val="22"/>
          <w:szCs w:val="22"/>
          <w:color w:val="auto"/>
        </w:rPr>
        <w:t>America by Providing Appropriate Tools Required to Intercept and Obstruct Terrorism (USA PATRIOT ACT) Act of 2001, as amended from time to time, and the rules and regulations promulgated thereunder from time to time in effect.</w:t>
      </w:r>
    </w:p>
    <w:p>
      <w:pPr>
        <w:spacing w:after="0" w:line="212"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i w:val="1"/>
          <w:iCs w:val="1"/>
          <w:color w:val="auto"/>
        </w:rPr>
        <w:t xml:space="preserve">“U.S. Economic Sanctions Laws” </w:t>
      </w:r>
      <w:r>
        <w:rPr>
          <w:rFonts w:ascii="Arial" w:cs="Arial" w:eastAsia="Arial" w:hAnsi="Arial"/>
          <w:sz w:val="22"/>
          <w:szCs w:val="22"/>
          <w:color w:val="auto"/>
        </w:rPr>
        <w:t>means those laws, executive orders, enabling legislation or</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each as amended from time to time, and any other OFAC Sanctions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22"/>
          <w:szCs w:val="22"/>
          <w:b w:val="1"/>
          <w:bCs w:val="1"/>
          <w:color w:val="auto"/>
        </w:rPr>
        <w:t>AQUA PENNSYLVANIA,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THE COMPANY,</w:t>
      </w:r>
    </w:p>
    <w:p>
      <w:pPr>
        <w:jc w:val="center"/>
        <w:spacing w:after="0"/>
        <w:rPr>
          <w:sz w:val="20"/>
          <w:szCs w:val="20"/>
          <w:color w:val="auto"/>
        </w:rPr>
      </w:pPr>
      <w:r>
        <w:rPr>
          <w:rFonts w:ascii="Arial" w:cs="Arial" w:eastAsia="Arial" w:hAnsi="Arial"/>
          <w:sz w:val="22"/>
          <w:szCs w:val="22"/>
          <w:b w:val="1"/>
          <w:bCs w:val="1"/>
          <w:color w:val="auto"/>
        </w:rPr>
        <w:t>OWNERSHIP OF SUBSIDIARY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800" w:type="dxa"/>
            <w:vAlign w:val="bottom"/>
            <w:tcBorders>
              <w:top w:val="single" w:sz="8" w:color="auto"/>
              <w:left w:val="single" w:sz="8" w:color="auto"/>
            </w:tcBorders>
            <w:shd w:val="clear" w:color="auto" w:fill="DBE5F1"/>
          </w:tcPr>
          <w:p>
            <w:pPr>
              <w:spacing w:after="0"/>
              <w:rPr>
                <w:sz w:val="19"/>
                <w:szCs w:val="19"/>
                <w:color w:val="auto"/>
              </w:rPr>
            </w:pPr>
          </w:p>
        </w:tc>
        <w:tc>
          <w:tcPr>
            <w:tcW w:w="3820" w:type="dxa"/>
            <w:vAlign w:val="bottom"/>
            <w:tcBorders>
              <w:top w:val="single" w:sz="8" w:color="auto"/>
              <w:right w:val="single" w:sz="8" w:color="auto"/>
            </w:tcBorders>
            <w:shd w:val="clear" w:color="auto" w:fill="DBE5F1"/>
          </w:tcPr>
          <w:p>
            <w:pPr>
              <w:ind w:left="760"/>
              <w:spacing w:after="0" w:line="229" w:lineRule="exact"/>
              <w:rPr>
                <w:sz w:val="20"/>
                <w:szCs w:val="20"/>
                <w:color w:val="auto"/>
              </w:rPr>
            </w:pPr>
            <w:r>
              <w:rPr>
                <w:rFonts w:ascii="Arial" w:cs="Arial" w:eastAsia="Arial" w:hAnsi="Arial"/>
                <w:sz w:val="22"/>
                <w:szCs w:val="22"/>
                <w:b w:val="1"/>
                <w:bCs w:val="1"/>
                <w:color w:val="auto"/>
              </w:rPr>
              <w:t>Company Name</w:t>
            </w:r>
          </w:p>
        </w:tc>
        <w:tc>
          <w:tcPr>
            <w:tcW w:w="2120" w:type="dxa"/>
            <w:vAlign w:val="bottom"/>
            <w:tcBorders>
              <w:top w:val="single" w:sz="8" w:color="auto"/>
              <w:right w:val="single" w:sz="8" w:color="auto"/>
            </w:tcBorders>
            <w:shd w:val="clear" w:color="auto" w:fill="DBE5F1"/>
          </w:tcPr>
          <w:p>
            <w:pPr>
              <w:jc w:val="center"/>
              <w:spacing w:after="0" w:line="229" w:lineRule="exact"/>
              <w:rPr>
                <w:sz w:val="20"/>
                <w:szCs w:val="20"/>
                <w:color w:val="auto"/>
              </w:rPr>
            </w:pPr>
            <w:r>
              <w:rPr>
                <w:rFonts w:ascii="Arial" w:cs="Arial" w:eastAsia="Arial" w:hAnsi="Arial"/>
                <w:sz w:val="22"/>
                <w:szCs w:val="22"/>
                <w:b w:val="1"/>
                <w:bCs w:val="1"/>
                <w:color w:val="auto"/>
                <w:w w:val="86"/>
              </w:rPr>
              <w:t>State of</w:t>
            </w:r>
          </w:p>
        </w:tc>
        <w:tc>
          <w:tcPr>
            <w:tcW w:w="2100" w:type="dxa"/>
            <w:vAlign w:val="bottom"/>
            <w:tcBorders>
              <w:top w:val="single" w:sz="8" w:color="auto"/>
              <w:right w:val="single" w:sz="8" w:color="auto"/>
            </w:tcBorders>
            <w:shd w:val="clear" w:color="auto" w:fill="DBE5F1"/>
          </w:tcPr>
          <w:p>
            <w:pPr>
              <w:jc w:val="center"/>
              <w:spacing w:after="0" w:line="229" w:lineRule="exact"/>
              <w:rPr>
                <w:sz w:val="20"/>
                <w:szCs w:val="20"/>
                <w:color w:val="auto"/>
              </w:rPr>
            </w:pPr>
            <w:r>
              <w:rPr>
                <w:rFonts w:ascii="Arial" w:cs="Arial" w:eastAsia="Arial" w:hAnsi="Arial"/>
                <w:sz w:val="22"/>
                <w:szCs w:val="22"/>
                <w:b w:val="1"/>
                <w:bCs w:val="1"/>
                <w:color w:val="auto"/>
                <w:w w:val="91"/>
              </w:rPr>
              <w:t>% of Ownership</w:t>
            </w:r>
          </w:p>
        </w:tc>
      </w:tr>
      <w:tr>
        <w:trPr>
          <w:trHeight w:val="271"/>
        </w:trPr>
        <w:tc>
          <w:tcPr>
            <w:tcW w:w="800" w:type="dxa"/>
            <w:vAlign w:val="bottom"/>
            <w:tcBorders>
              <w:left w:val="single" w:sz="8" w:color="auto"/>
              <w:bottom w:val="single" w:sz="8" w:color="auto"/>
            </w:tcBorders>
            <w:shd w:val="clear" w:color="auto" w:fill="DBE5F1"/>
          </w:tcPr>
          <w:p>
            <w:pPr>
              <w:spacing w:after="0"/>
              <w:rPr>
                <w:sz w:val="23"/>
                <w:szCs w:val="23"/>
                <w:color w:val="auto"/>
              </w:rPr>
            </w:pPr>
          </w:p>
        </w:tc>
        <w:tc>
          <w:tcPr>
            <w:tcW w:w="3820" w:type="dxa"/>
            <w:vAlign w:val="bottom"/>
            <w:tcBorders>
              <w:bottom w:val="single" w:sz="8" w:color="auto"/>
              <w:right w:val="single" w:sz="8" w:color="auto"/>
            </w:tcBorders>
            <w:shd w:val="clear" w:color="auto" w:fill="DBE5F1"/>
          </w:tcPr>
          <w:p>
            <w:pPr>
              <w:spacing w:after="0"/>
              <w:rPr>
                <w:sz w:val="23"/>
                <w:szCs w:val="23"/>
                <w:color w:val="auto"/>
              </w:rPr>
            </w:pPr>
          </w:p>
        </w:tc>
        <w:tc>
          <w:tcPr>
            <w:tcW w:w="21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1"/>
              </w:rPr>
              <w:t>Incorporation</w:t>
            </w:r>
          </w:p>
        </w:tc>
        <w:tc>
          <w:tcPr>
            <w:tcW w:w="210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4"/>
              </w:rPr>
              <w:t>(Direct &amp; Indirect)</w:t>
            </w:r>
          </w:p>
        </w:tc>
      </w:tr>
      <w:tr>
        <w:trPr>
          <w:trHeight w:val="458"/>
        </w:trPr>
        <w:tc>
          <w:tcPr>
            <w:tcW w:w="4620" w:type="dxa"/>
            <w:vAlign w:val="bottom"/>
            <w:gridSpan w:val="2"/>
          </w:tcPr>
          <w:p>
            <w:pPr>
              <w:ind w:left="120"/>
              <w:spacing w:after="0"/>
              <w:rPr>
                <w:sz w:val="20"/>
                <w:szCs w:val="20"/>
                <w:color w:val="auto"/>
              </w:rPr>
            </w:pPr>
            <w:r>
              <w:rPr>
                <w:rFonts w:ascii="Arial" w:cs="Arial" w:eastAsia="Arial" w:hAnsi="Arial"/>
                <w:sz w:val="22"/>
                <w:szCs w:val="22"/>
                <w:color w:val="auto"/>
              </w:rPr>
              <w:t>Aqua Pennsylvania, Inc.</w:t>
            </w:r>
          </w:p>
        </w:tc>
        <w:tc>
          <w:tcPr>
            <w:tcW w:w="212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10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43"/>
        </w:trPr>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3820" w:type="dxa"/>
            <w:vAlign w:val="bottom"/>
          </w:tcPr>
          <w:p>
            <w:pPr>
              <w:ind w:left="20"/>
              <w:spacing w:after="0" w:line="243" w:lineRule="exact"/>
              <w:rPr>
                <w:sz w:val="20"/>
                <w:szCs w:val="20"/>
                <w:color w:val="auto"/>
              </w:rPr>
            </w:pPr>
            <w:r>
              <w:rPr>
                <w:rFonts w:ascii="Arial" w:cs="Arial" w:eastAsia="Arial" w:hAnsi="Arial"/>
                <w:sz w:val="22"/>
                <w:szCs w:val="22"/>
                <w:color w:val="auto"/>
              </w:rPr>
              <w:t>Aqua Pennsylvania Wastewater, Inc.</w:t>
            </w:r>
          </w:p>
        </w:tc>
        <w:tc>
          <w:tcPr>
            <w:tcW w:w="2120" w:type="dxa"/>
            <w:vAlign w:val="bottom"/>
          </w:tcPr>
          <w:p>
            <w:pPr>
              <w:jc w:val="center"/>
              <w:spacing w:after="0" w:line="243" w:lineRule="exact"/>
              <w:rPr>
                <w:sz w:val="20"/>
                <w:szCs w:val="20"/>
                <w:color w:val="auto"/>
              </w:rPr>
            </w:pPr>
            <w:r>
              <w:rPr>
                <w:rFonts w:ascii="Arial" w:cs="Arial" w:eastAsia="Arial" w:hAnsi="Arial"/>
                <w:sz w:val="22"/>
                <w:szCs w:val="22"/>
                <w:color w:val="auto"/>
                <w:w w:val="88"/>
              </w:rPr>
              <w:t>Pennsylvania</w:t>
            </w:r>
          </w:p>
        </w:tc>
        <w:tc>
          <w:tcPr>
            <w:tcW w:w="2100" w:type="dxa"/>
            <w:vAlign w:val="bottom"/>
          </w:tcPr>
          <w:p>
            <w:pPr>
              <w:jc w:val="center"/>
              <w:spacing w:after="0" w:line="243" w:lineRule="exact"/>
              <w:rPr>
                <w:sz w:val="20"/>
                <w:szCs w:val="20"/>
                <w:color w:val="auto"/>
              </w:rPr>
            </w:pPr>
            <w:r>
              <w:rPr>
                <w:rFonts w:ascii="Arial" w:cs="Arial" w:eastAsia="Arial" w:hAnsi="Arial"/>
                <w:sz w:val="22"/>
                <w:szCs w:val="22"/>
                <w:color w:val="auto"/>
                <w:w w:val="88"/>
              </w:rPr>
              <w:t>100%</w:t>
            </w:r>
          </w:p>
        </w:tc>
      </w:tr>
      <w:tr>
        <w:trPr>
          <w:trHeight w:val="243"/>
        </w:trPr>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c>
          <w:tcPr>
            <w:tcW w:w="3820" w:type="dxa"/>
            <w:vAlign w:val="bottom"/>
          </w:tcPr>
          <w:p>
            <w:pPr>
              <w:ind w:left="20"/>
              <w:spacing w:after="0" w:line="243" w:lineRule="exact"/>
              <w:rPr>
                <w:sz w:val="20"/>
                <w:szCs w:val="20"/>
                <w:color w:val="auto"/>
              </w:rPr>
            </w:pPr>
            <w:r>
              <w:rPr>
                <w:rFonts w:ascii="Arial" w:cs="Arial" w:eastAsia="Arial" w:hAnsi="Arial"/>
                <w:sz w:val="22"/>
                <w:szCs w:val="22"/>
                <w:color w:val="auto"/>
                <w:w w:val="92"/>
              </w:rPr>
              <w:t>Honesdale Consolidated Water Company</w:t>
            </w:r>
          </w:p>
        </w:tc>
        <w:tc>
          <w:tcPr>
            <w:tcW w:w="2120" w:type="dxa"/>
            <w:vAlign w:val="bottom"/>
          </w:tcPr>
          <w:p>
            <w:pPr>
              <w:jc w:val="center"/>
              <w:spacing w:after="0" w:line="243" w:lineRule="exact"/>
              <w:rPr>
                <w:sz w:val="20"/>
                <w:szCs w:val="20"/>
                <w:color w:val="auto"/>
              </w:rPr>
            </w:pPr>
            <w:r>
              <w:rPr>
                <w:rFonts w:ascii="Arial" w:cs="Arial" w:eastAsia="Arial" w:hAnsi="Arial"/>
                <w:sz w:val="22"/>
                <w:szCs w:val="22"/>
                <w:color w:val="auto"/>
                <w:w w:val="88"/>
              </w:rPr>
              <w:t>Pennsylvania</w:t>
            </w:r>
          </w:p>
        </w:tc>
        <w:tc>
          <w:tcPr>
            <w:tcW w:w="2100" w:type="dxa"/>
            <w:vAlign w:val="bottom"/>
          </w:tcPr>
          <w:p>
            <w:pPr>
              <w:jc w:val="center"/>
              <w:spacing w:after="0" w:line="243" w:lineRule="exact"/>
              <w:rPr>
                <w:sz w:val="20"/>
                <w:szCs w:val="20"/>
                <w:color w:val="auto"/>
              </w:rPr>
            </w:pPr>
            <w:r>
              <w:rPr>
                <w:rFonts w:ascii="Arial" w:cs="Arial" w:eastAsia="Arial" w:hAnsi="Arial"/>
                <w:sz w:val="22"/>
                <w:szCs w:val="22"/>
                <w:color w:val="auto"/>
                <w:w w:val="88"/>
              </w:rPr>
              <w:t>100%</w:t>
            </w:r>
          </w:p>
        </w:tc>
      </w:tr>
      <w:tr>
        <w:trPr>
          <w:trHeight w:val="275"/>
        </w:trPr>
        <w:tc>
          <w:tcPr>
            <w:tcW w:w="800" w:type="dxa"/>
            <w:vAlign w:val="bottom"/>
          </w:tcPr>
          <w:p>
            <w:pPr>
              <w:jc w:val="right"/>
              <w:spacing w:after="0"/>
              <w:rPr>
                <w:sz w:val="20"/>
                <w:szCs w:val="20"/>
                <w:color w:val="auto"/>
              </w:rPr>
            </w:pPr>
            <w:r>
              <w:rPr>
                <w:rFonts w:ascii="Arial" w:cs="Arial" w:eastAsia="Arial" w:hAnsi="Arial"/>
                <w:sz w:val="22"/>
                <w:szCs w:val="22"/>
                <w:color w:val="auto"/>
              </w:rPr>
              <w:t>3.</w:t>
            </w:r>
          </w:p>
        </w:tc>
        <w:tc>
          <w:tcPr>
            <w:tcW w:w="3820" w:type="dxa"/>
            <w:vAlign w:val="bottom"/>
          </w:tcPr>
          <w:p>
            <w:pPr>
              <w:ind w:left="20"/>
              <w:spacing w:after="0"/>
              <w:rPr>
                <w:sz w:val="20"/>
                <w:szCs w:val="20"/>
                <w:color w:val="auto"/>
              </w:rPr>
            </w:pPr>
            <w:r>
              <w:rPr>
                <w:rFonts w:ascii="Arial" w:cs="Arial" w:eastAsia="Arial" w:hAnsi="Arial"/>
                <w:sz w:val="22"/>
                <w:szCs w:val="22"/>
                <w:color w:val="auto"/>
              </w:rPr>
              <w:t>Superior Water Company</w:t>
            </w:r>
          </w:p>
        </w:tc>
        <w:tc>
          <w:tcPr>
            <w:tcW w:w="212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100" w:type="dxa"/>
            <w:vAlign w:val="bottom"/>
          </w:tcPr>
          <w:p>
            <w:pPr>
              <w:jc w:val="center"/>
              <w:spacing w:after="0"/>
              <w:rPr>
                <w:sz w:val="20"/>
                <w:szCs w:val="20"/>
                <w:color w:val="auto"/>
              </w:rPr>
            </w:pPr>
            <w:r>
              <w:rPr>
                <w:rFonts w:ascii="Arial" w:cs="Arial" w:eastAsia="Arial" w:hAnsi="Arial"/>
                <w:sz w:val="22"/>
                <w:szCs w:val="22"/>
                <w:color w:val="auto"/>
                <w:w w:val="88"/>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5.4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b w:val="1"/>
          <w:bCs w:val="1"/>
          <w:color w:val="auto"/>
        </w:rPr>
        <w:t>FINANCIAL STATEMENTS</w:t>
      </w:r>
    </w:p>
    <w:p>
      <w:pPr>
        <w:spacing w:after="0" w:line="200" w:lineRule="exact"/>
        <w:rPr>
          <w:sz w:val="20"/>
          <w:szCs w:val="20"/>
          <w:color w:val="auto"/>
        </w:rPr>
      </w:pPr>
    </w:p>
    <w:p>
      <w:pPr>
        <w:spacing w:after="0" w:line="296" w:lineRule="exact"/>
        <w:rPr>
          <w:sz w:val="20"/>
          <w:szCs w:val="20"/>
          <w:color w:val="auto"/>
        </w:rPr>
      </w:pPr>
    </w:p>
    <w:p>
      <w:pPr>
        <w:ind w:left="740" w:right="579" w:hanging="635"/>
        <w:spacing w:after="0" w:line="251" w:lineRule="auto"/>
        <w:tabs>
          <w:tab w:leader="none" w:pos="74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Aqua Pennsylvania, Inc. Consolidated Financial Statements as of and for the years ended December 31, 2017, 2016 and 2015 (audited)</w:t>
      </w:r>
    </w:p>
    <w:p>
      <w:pPr>
        <w:spacing w:after="0" w:line="200" w:lineRule="exact"/>
        <w:rPr>
          <w:rFonts w:ascii="Arial" w:cs="Arial" w:eastAsia="Arial" w:hAnsi="Arial"/>
          <w:sz w:val="22"/>
          <w:szCs w:val="22"/>
          <w:color w:val="auto"/>
        </w:rPr>
      </w:pPr>
    </w:p>
    <w:p>
      <w:pPr>
        <w:ind w:left="740" w:hanging="635"/>
        <w:spacing w:after="0"/>
        <w:tabs>
          <w:tab w:leader="none" w:pos="74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Aqua Pennsylvania, Inc. Report for Quarter Ended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5.5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71" w:name="page172"/>
    <w:bookmarkEnd w:id="171"/>
    <w:tbl>
      <w:tblPr>
        <w:tblLayout w:type="fixed"/>
        <w:tblInd w:w="110" w:type="dxa"/>
        <w:tblCellMar>
          <w:top w:w="0" w:type="dxa"/>
          <w:left w:w="0" w:type="dxa"/>
          <w:bottom w:w="0" w:type="dxa"/>
          <w:right w:w="0" w:type="dxa"/>
        </w:tblCellMar>
      </w:tblPr>
      <w:tr>
        <w:trPr>
          <w:trHeight w:val="253"/>
        </w:trPr>
        <w:tc>
          <w:tcPr>
            <w:tcW w:w="3200" w:type="dxa"/>
            <w:vAlign w:val="bottom"/>
          </w:tcPr>
          <w:p>
            <w:pPr>
              <w:spacing w:after="0"/>
              <w:rPr>
                <w:sz w:val="21"/>
                <w:szCs w:val="21"/>
                <w:color w:val="auto"/>
              </w:rPr>
            </w:pPr>
          </w:p>
        </w:tc>
        <w:tc>
          <w:tcPr>
            <w:tcW w:w="2620" w:type="dxa"/>
            <w:vAlign w:val="bottom"/>
            <w:gridSpan w:val="3"/>
          </w:tcPr>
          <w:p>
            <w:pPr>
              <w:jc w:val="center"/>
              <w:ind w:right="180"/>
              <w:spacing w:after="0"/>
              <w:rPr>
                <w:sz w:val="20"/>
                <w:szCs w:val="20"/>
                <w:color w:val="auto"/>
              </w:rPr>
            </w:pPr>
            <w:r>
              <w:rPr>
                <w:rFonts w:ascii="Arial" w:cs="Arial" w:eastAsia="Arial" w:hAnsi="Arial"/>
                <w:sz w:val="22"/>
                <w:szCs w:val="22"/>
                <w:b w:val="1"/>
                <w:bCs w:val="1"/>
                <w:color w:val="auto"/>
                <w:w w:val="95"/>
              </w:rPr>
              <w:t>SCHEDULE 5.15(A)</w:t>
            </w:r>
          </w:p>
        </w:tc>
        <w:tc>
          <w:tcPr>
            <w:tcW w:w="3020" w:type="dxa"/>
            <w:vAlign w:val="bottom"/>
          </w:tcPr>
          <w:p>
            <w:pPr>
              <w:spacing w:after="0"/>
              <w:rPr>
                <w:sz w:val="21"/>
                <w:szCs w:val="21"/>
                <w:color w:val="auto"/>
              </w:rPr>
            </w:pPr>
          </w:p>
        </w:tc>
      </w:tr>
      <w:tr>
        <w:trPr>
          <w:trHeight w:val="281"/>
        </w:trPr>
        <w:tc>
          <w:tcPr>
            <w:tcW w:w="3200" w:type="dxa"/>
            <w:vAlign w:val="bottom"/>
          </w:tcPr>
          <w:p>
            <w:pPr>
              <w:spacing w:after="0"/>
              <w:rPr>
                <w:sz w:val="24"/>
                <w:szCs w:val="24"/>
                <w:color w:val="auto"/>
              </w:rPr>
            </w:pPr>
          </w:p>
        </w:tc>
        <w:tc>
          <w:tcPr>
            <w:tcW w:w="2620" w:type="dxa"/>
            <w:vAlign w:val="bottom"/>
            <w:gridSpan w:val="3"/>
          </w:tcPr>
          <w:p>
            <w:pPr>
              <w:jc w:val="center"/>
              <w:ind w:right="200"/>
              <w:spacing w:after="0"/>
              <w:rPr>
                <w:sz w:val="20"/>
                <w:szCs w:val="20"/>
                <w:color w:val="auto"/>
              </w:rPr>
            </w:pPr>
            <w:r>
              <w:rPr>
                <w:rFonts w:ascii="Arial" w:cs="Arial" w:eastAsia="Arial" w:hAnsi="Arial"/>
                <w:sz w:val="22"/>
                <w:szCs w:val="22"/>
                <w:b w:val="1"/>
                <w:bCs w:val="1"/>
                <w:color w:val="auto"/>
              </w:rPr>
              <w:t>EXISTING DEBT</w:t>
            </w:r>
          </w:p>
        </w:tc>
        <w:tc>
          <w:tcPr>
            <w:tcW w:w="3020" w:type="dxa"/>
            <w:vAlign w:val="bottom"/>
          </w:tcPr>
          <w:p>
            <w:pPr>
              <w:spacing w:after="0"/>
              <w:rPr>
                <w:sz w:val="24"/>
                <w:szCs w:val="24"/>
                <w:color w:val="auto"/>
              </w:rPr>
            </w:pPr>
          </w:p>
        </w:tc>
      </w:tr>
      <w:tr>
        <w:trPr>
          <w:trHeight w:val="476"/>
        </w:trPr>
        <w:tc>
          <w:tcPr>
            <w:tcW w:w="3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32"/>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96"/>
              </w:rPr>
              <w:t>Aqua Pennsylvania and Subsidiaries</w:t>
            </w:r>
          </w:p>
        </w:tc>
        <w:tc>
          <w:tcPr>
            <w:tcW w:w="1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r>
      <w:tr>
        <w:trPr>
          <w:trHeight w:val="237"/>
        </w:trPr>
        <w:tc>
          <w:tcPr>
            <w:tcW w:w="5820" w:type="dxa"/>
            <w:vAlign w:val="bottom"/>
            <w:tcBorders>
              <w:left w:val="single" w:sz="8" w:color="auto"/>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Schedule 5.15(a) - Existing Debt as of June 30, 2018</w:t>
            </w:r>
          </w:p>
        </w:tc>
        <w:tc>
          <w:tcPr>
            <w:tcW w:w="3020" w:type="dxa"/>
            <w:vAlign w:val="bottom"/>
            <w:tcBorders>
              <w:bottom w:val="single" w:sz="8" w:color="auto"/>
              <w:right w:val="single" w:sz="8" w:color="auto"/>
            </w:tcBorders>
          </w:tcPr>
          <w:p>
            <w:pPr>
              <w:spacing w:after="0"/>
              <w:rPr>
                <w:sz w:val="20"/>
                <w:szCs w:val="20"/>
                <w:color w:val="auto"/>
              </w:rPr>
            </w:pPr>
          </w:p>
        </w:tc>
      </w:tr>
      <w:tr>
        <w:trPr>
          <w:trHeight w:val="241"/>
        </w:trPr>
        <w:tc>
          <w:tcPr>
            <w:tcW w:w="3200" w:type="dxa"/>
            <w:vAlign w:val="bottom"/>
            <w:tcBorders>
              <w:left w:val="single" w:sz="8" w:color="auto"/>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r>
      <w:tr>
        <w:trPr>
          <w:trHeight w:val="230"/>
        </w:trPr>
        <w:tc>
          <w:tcPr>
            <w:tcW w:w="3200" w:type="dxa"/>
            <w:vAlign w:val="bottom"/>
            <w:tcBorders>
              <w:left w:val="single" w:sz="8" w:color="auto"/>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Outstanding</w:t>
            </w:r>
          </w:p>
        </w:tc>
      </w:tr>
      <w:tr>
        <w:trPr>
          <w:trHeight w:val="237"/>
        </w:trPr>
        <w:tc>
          <w:tcPr>
            <w:tcW w:w="3200" w:type="dxa"/>
            <w:vAlign w:val="bottom"/>
            <w:tcBorders>
              <w:left w:val="single" w:sz="8" w:color="auto"/>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Balance</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Unsecured Note</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5.64%</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5,466,000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Unsecured Note</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5.64%</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5,461,000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Unsecured Note</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5.95%</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10,000,000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Unsecured Note</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5.95%</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10,000,000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Unsecured Note</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5.95%</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10,000,000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Unsecured Note</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5.95%</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10,000,000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Bank Loan</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2.48%</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50,000,000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Bank Loan</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3.50%</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50,000,000</w:t>
            </w:r>
          </w:p>
        </w:tc>
      </w:tr>
      <w:tr>
        <w:trPr>
          <w:trHeight w:val="243"/>
        </w:trPr>
        <w:tc>
          <w:tcPr>
            <w:tcW w:w="3200" w:type="dxa"/>
            <w:vAlign w:val="bottom"/>
            <w:tcBorders>
              <w:left w:val="single" w:sz="8" w:color="auto"/>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spacing w:after="0"/>
              <w:rPr>
                <w:sz w:val="21"/>
                <w:szCs w:val="21"/>
                <w:color w:val="auto"/>
              </w:rPr>
            </w:pPr>
          </w:p>
        </w:tc>
      </w:tr>
      <w:tr>
        <w:trPr>
          <w:trHeight w:val="232"/>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Unsecured Notes</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150,927,000</w:t>
            </w:r>
          </w:p>
        </w:tc>
      </w:tr>
      <w:tr>
        <w:trPr>
          <w:trHeight w:val="241"/>
        </w:trPr>
        <w:tc>
          <w:tcPr>
            <w:tcW w:w="3200" w:type="dxa"/>
            <w:vAlign w:val="bottom"/>
            <w:tcBorders>
              <w:left w:val="single" w:sz="8" w:color="auto"/>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r>
      <w:tr>
        <w:trPr>
          <w:trHeight w:val="230"/>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Exempt-Bond Premium</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1,428,254</w:t>
            </w:r>
          </w:p>
        </w:tc>
      </w:tr>
      <w:tr>
        <w:trPr>
          <w:trHeight w:val="27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w:t>
            </w:r>
          </w:p>
        </w:tc>
        <w:tc>
          <w:tcPr>
            <w:tcW w:w="11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5.25%</w:t>
            </w:r>
          </w:p>
        </w:tc>
        <w:tc>
          <w:tcPr>
            <w:tcW w:w="32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24,830,000</w:t>
            </w:r>
            <w:r>
              <w:rPr>
                <w:rFonts w:ascii="Arial" w:cs="Arial" w:eastAsia="Arial" w:hAnsi="Arial"/>
                <w:sz w:val="8"/>
                <w:szCs w:val="8"/>
                <w:color w:val="auto"/>
              </w:rPr>
              <w:t>*</w:t>
            </w:r>
          </w:p>
        </w:tc>
      </w:tr>
      <w:tr>
        <w:trPr>
          <w:trHeight w:val="27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w:t>
            </w:r>
          </w:p>
        </w:tc>
        <w:tc>
          <w:tcPr>
            <w:tcW w:w="11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5.25%</w:t>
            </w:r>
          </w:p>
        </w:tc>
        <w:tc>
          <w:tcPr>
            <w:tcW w:w="32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24,830,000</w:t>
            </w:r>
            <w:r>
              <w:rPr>
                <w:rFonts w:ascii="Arial" w:cs="Arial" w:eastAsia="Arial" w:hAnsi="Arial"/>
                <w:sz w:val="8"/>
                <w:szCs w:val="8"/>
                <w:color w:val="auto"/>
              </w:rPr>
              <w:t>*</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Exempt-Bond Premium</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236,578</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6.75%</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13,000,000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58,000,000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Exempt-Bond Discount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(1,423,988)</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62,165,000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Exempt-Bond Premium</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440,020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4.75%</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12,520,000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Exempt-Bond Discount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(215,359)</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25,910,000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19,270,000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Exempt-Bond Discount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(91,246)</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4.50%</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15,000,000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Exempt-Bond Discount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(468,000)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81,205,000</w:t>
            </w:r>
          </w:p>
        </w:tc>
      </w:tr>
      <w:tr>
        <w:trPr>
          <w:trHeight w:val="237"/>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Tax Exempt-Bond Premium</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1,988,790</w:t>
            </w:r>
          </w:p>
        </w:tc>
      </w:tr>
      <w:tr>
        <w:trPr>
          <w:trHeight w:val="243"/>
        </w:trPr>
        <w:tc>
          <w:tcPr>
            <w:tcW w:w="3200" w:type="dxa"/>
            <w:vAlign w:val="bottom"/>
            <w:tcBorders>
              <w:left w:val="single" w:sz="8" w:color="auto"/>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spacing w:after="0"/>
              <w:rPr>
                <w:sz w:val="21"/>
                <w:szCs w:val="21"/>
                <w:color w:val="auto"/>
              </w:rPr>
            </w:pPr>
          </w:p>
        </w:tc>
      </w:tr>
      <w:tr>
        <w:trPr>
          <w:trHeight w:val="232"/>
        </w:trPr>
        <w:tc>
          <w:tcPr>
            <w:tcW w:w="32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Tax Exempt Bonds</w:t>
            </w:r>
          </w:p>
        </w:tc>
        <w:tc>
          <w:tcPr>
            <w:tcW w:w="11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338,625,049</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________________________</w:t>
      </w:r>
    </w:p>
    <w:p>
      <w:pPr>
        <w:spacing w:after="0" w:line="33" w:lineRule="exact"/>
        <w:rPr>
          <w:sz w:val="20"/>
          <w:szCs w:val="20"/>
          <w:color w:val="auto"/>
        </w:rPr>
      </w:pPr>
    </w:p>
    <w:p>
      <w:pPr>
        <w:ind w:left="820" w:hanging="715"/>
        <w:spacing w:after="0"/>
        <w:tabs>
          <w:tab w:leader="none" w:pos="8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Redeemed on July 2, 2018</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5.15(a)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88" w:right="1440" w:bottom="1440" w:gutter="0" w:footer="0" w:header="0"/>
        </w:sectPr>
      </w:pPr>
    </w:p>
    <w:bookmarkStart w:id="172" w:name="page173"/>
    <w:bookmarkEnd w:id="172"/>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981075</wp:posOffset>
            </wp:positionH>
            <wp:positionV relativeFrom="page">
              <wp:posOffset>243205</wp:posOffset>
            </wp:positionV>
            <wp:extent cx="5600065" cy="73323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8">
                      <a:extLst>
                        <a:ext uri="{28A0092B-C50C-407E-A947-70E740481C1C}"/>
                      </a:extLst>
                    </a:blip>
                    <a:srcRect/>
                    <a:stretch>
                      <a:fillRect/>
                    </a:stretch>
                  </pic:blipFill>
                  <pic:spPr bwMode="auto">
                    <a:xfrm>
                      <a:off x="0" y="0"/>
                      <a:ext cx="5600065" cy="7332345"/>
                    </a:xfrm>
                    <a:prstGeom prst="rect">
                      <a:avLst/>
                    </a:prstGeom>
                    <a:noFill/>
                  </pic:spPr>
                </pic:pic>
              </a:graphicData>
            </a:graphic>
          </wp:anchor>
        </w:drawing>
        <w:t>Schedule 5.15(a)</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Existing Debt as of June 30, 2018 Continued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44"/>
        </w:trPr>
        <w:tc>
          <w:tcPr>
            <w:tcW w:w="2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top w:val="single" w:sz="8" w:color="auto"/>
              <w:bottom w:val="single" w:sz="8" w:color="auto"/>
              <w:right w:val="single" w:sz="8" w:color="auto"/>
            </w:tcBorders>
          </w:tcPr>
          <w:p>
            <w:pPr>
              <w:spacing w:after="0"/>
              <w:rPr>
                <w:sz w:val="21"/>
                <w:szCs w:val="21"/>
                <w:color w:val="auto"/>
              </w:rPr>
            </w:pPr>
          </w:p>
        </w:tc>
        <w:tc>
          <w:tcPr>
            <w:tcW w:w="116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2.711%</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30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420,750</w:t>
            </w:r>
          </w:p>
        </w:tc>
        <w:tc>
          <w:tcPr>
            <w:tcW w:w="40" w:type="dxa"/>
            <w:vAlign w:val="bottom"/>
          </w:tcPr>
          <w:p>
            <w:pPr>
              <w:spacing w:after="0"/>
              <w:rPr>
                <w:sz w:val="21"/>
                <w:szCs w:val="21"/>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841,706</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281,053</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2.690%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794,281</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1,561,280</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514,835</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1.510%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2,061,918</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920,035</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4.047%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153,264</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3.631%</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28,479</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4.047%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66,920</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3.552%</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500,967</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1.349%</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70,376</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3.631%</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82,326</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4.050%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247,932</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3.030%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269,253</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3.460%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3,633,629</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3.468%</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306,477</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2.774%</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1,323,816</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4.047%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121,744</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3.790%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663,339</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3.810%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337,221</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3.430%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400,495</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2.774%</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609,751</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3.470%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2,380,221</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3.468%</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138,918</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3.195%</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1,187,829</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2.556%</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611,825</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2.554%</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755,305</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379,979</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3.046%</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889,869</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1,007,698</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728,608</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852,455</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3.143%</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1,407,861</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684,231</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6,436,934</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3.330%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207,333</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2.730%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1,829,977</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2.668%</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925,758</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808,488</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314,862</w:t>
            </w:r>
          </w:p>
        </w:tc>
        <w:tc>
          <w:tcPr>
            <w:tcW w:w="40" w:type="dxa"/>
            <w:vAlign w:val="bottom"/>
          </w:tcPr>
          <w:p>
            <w:pPr>
              <w:spacing w:after="0"/>
              <w:rPr>
                <w:sz w:val="20"/>
                <w:szCs w:val="20"/>
                <w:color w:val="auto"/>
              </w:rPr>
            </w:pPr>
          </w:p>
        </w:tc>
      </w:tr>
      <w:tr>
        <w:trPr>
          <w:trHeight w:val="237"/>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9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2.774%</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141,256</w:t>
            </w:r>
          </w:p>
        </w:tc>
        <w:tc>
          <w:tcPr>
            <w:tcW w:w="40" w:type="dxa"/>
            <w:vAlign w:val="bottom"/>
          </w:tcPr>
          <w:p>
            <w:pPr>
              <w:spacing w:after="0"/>
              <w:rPr>
                <w:sz w:val="20"/>
                <w:szCs w:val="20"/>
                <w:color w:val="auto"/>
              </w:rPr>
            </w:pPr>
          </w:p>
        </w:tc>
      </w:tr>
      <w:tr>
        <w:trPr>
          <w:trHeight w:val="469"/>
        </w:trPr>
        <w:tc>
          <w:tcPr>
            <w:tcW w:w="2420" w:type="dxa"/>
            <w:vAlign w:val="bottom"/>
          </w:tcPr>
          <w:p>
            <w:pPr>
              <w:spacing w:after="0"/>
              <w:rPr>
                <w:sz w:val="24"/>
                <w:szCs w:val="24"/>
                <w:color w:val="auto"/>
              </w:rPr>
            </w:pPr>
          </w:p>
        </w:tc>
        <w:tc>
          <w:tcPr>
            <w:tcW w:w="3400" w:type="dxa"/>
            <w:vAlign w:val="bottom"/>
            <w:gridSpan w:val="3"/>
          </w:tcPr>
          <w:p>
            <w:pPr>
              <w:ind w:left="1600"/>
              <w:spacing w:after="0"/>
              <w:rPr>
                <w:sz w:val="20"/>
                <w:szCs w:val="20"/>
                <w:color w:val="auto"/>
              </w:rPr>
            </w:pPr>
            <w:r>
              <w:rPr>
                <w:rFonts w:ascii="Arial" w:cs="Arial" w:eastAsia="Arial" w:hAnsi="Arial"/>
                <w:sz w:val="22"/>
                <w:szCs w:val="22"/>
                <w:color w:val="auto"/>
              </w:rPr>
              <w:t>5.15(a)-2</w:t>
            </w:r>
          </w:p>
        </w:tc>
        <w:tc>
          <w:tcPr>
            <w:tcW w:w="3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8"/>
        </w:trPr>
        <w:tc>
          <w:tcPr>
            <w:tcW w:w="242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r>
        <w:trPr>
          <w:trHeight w:val="20"/>
        </w:trPr>
        <w:tc>
          <w:tcPr>
            <w:tcW w:w="2420" w:type="dxa"/>
            <w:vAlign w:val="bottom"/>
            <w:tcBorders>
              <w:bottom w:val="single" w:sz="8" w:color="EEEEEE"/>
            </w:tcBorders>
          </w:tcPr>
          <w:p>
            <w:pPr>
              <w:spacing w:after="0" w:line="20" w:lineRule="exact"/>
              <w:rPr>
                <w:sz w:val="1"/>
                <w:szCs w:val="1"/>
                <w:color w:val="auto"/>
              </w:rPr>
            </w:pPr>
          </w:p>
        </w:tc>
        <w:tc>
          <w:tcPr>
            <w:tcW w:w="19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73" w:name="page174"/>
    <w:bookmarkEnd w:id="173"/>
    <w:tbl>
      <w:tblPr>
        <w:tblLayout w:type="fixed"/>
        <w:tblInd w:w="110" w:type="dxa"/>
        <w:tblCellMar>
          <w:top w:w="0" w:type="dxa"/>
          <w:left w:w="0" w:type="dxa"/>
          <w:bottom w:w="0" w:type="dxa"/>
          <w:right w:w="0" w:type="dxa"/>
        </w:tblCellMar>
      </w:tblPr>
      <w:tr>
        <w:trPr>
          <w:trHeight w:val="250"/>
        </w:trPr>
        <w:tc>
          <w:tcPr>
            <w:tcW w:w="2660" w:type="dxa"/>
            <w:vAlign w:val="bottom"/>
            <w:tcBorders>
              <w:top w:val="single" w:sz="8" w:color="auto"/>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680" w:type="dxa"/>
            <w:vAlign w:val="bottom"/>
            <w:tcBorders>
              <w:top w:val="single" w:sz="8" w:color="auto"/>
              <w:bottom w:val="single" w:sz="8" w:color="auto"/>
              <w:right w:val="single" w:sz="8" w:color="auto"/>
            </w:tcBorders>
          </w:tcPr>
          <w:p>
            <w:pPr>
              <w:spacing w:after="0"/>
              <w:rPr>
                <w:sz w:val="21"/>
                <w:szCs w:val="21"/>
                <w:color w:val="auto"/>
              </w:rPr>
            </w:pPr>
          </w:p>
        </w:tc>
        <w:tc>
          <w:tcPr>
            <w:tcW w:w="116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2.774%</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30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116,342</w:t>
            </w:r>
          </w:p>
        </w:tc>
        <w:tc>
          <w:tcPr>
            <w:tcW w:w="40" w:type="dxa"/>
            <w:vAlign w:val="bottom"/>
          </w:tcPr>
          <w:p>
            <w:pPr>
              <w:spacing w:after="0"/>
              <w:rPr>
                <w:sz w:val="21"/>
                <w:szCs w:val="21"/>
                <w:color w:val="auto"/>
              </w:rPr>
            </w:pPr>
          </w:p>
        </w:tc>
      </w:tr>
      <w:tr>
        <w:trPr>
          <w:trHeight w:val="237"/>
        </w:trPr>
        <w:tc>
          <w:tcPr>
            <w:tcW w:w="26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3.052%</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504,994</w:t>
            </w:r>
          </w:p>
        </w:tc>
        <w:tc>
          <w:tcPr>
            <w:tcW w:w="40" w:type="dxa"/>
            <w:vAlign w:val="bottom"/>
          </w:tcPr>
          <w:p>
            <w:pPr>
              <w:spacing w:after="0"/>
              <w:rPr>
                <w:sz w:val="20"/>
                <w:szCs w:val="20"/>
                <w:color w:val="auto"/>
              </w:rPr>
            </w:pPr>
          </w:p>
        </w:tc>
      </w:tr>
      <w:tr>
        <w:trPr>
          <w:trHeight w:val="237"/>
        </w:trPr>
        <w:tc>
          <w:tcPr>
            <w:tcW w:w="26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3.468%</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2,835,999</w:t>
            </w:r>
          </w:p>
        </w:tc>
        <w:tc>
          <w:tcPr>
            <w:tcW w:w="40" w:type="dxa"/>
            <w:vAlign w:val="bottom"/>
          </w:tcPr>
          <w:p>
            <w:pPr>
              <w:spacing w:after="0"/>
              <w:rPr>
                <w:sz w:val="20"/>
                <w:szCs w:val="20"/>
                <w:color w:val="auto"/>
              </w:rPr>
            </w:pPr>
          </w:p>
        </w:tc>
      </w:tr>
      <w:tr>
        <w:trPr>
          <w:trHeight w:val="237"/>
        </w:trPr>
        <w:tc>
          <w:tcPr>
            <w:tcW w:w="26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2.774%</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760,536</w:t>
            </w:r>
          </w:p>
        </w:tc>
        <w:tc>
          <w:tcPr>
            <w:tcW w:w="40" w:type="dxa"/>
            <w:vAlign w:val="bottom"/>
          </w:tcPr>
          <w:p>
            <w:pPr>
              <w:spacing w:after="0"/>
              <w:rPr>
                <w:sz w:val="20"/>
                <w:szCs w:val="20"/>
                <w:color w:val="auto"/>
              </w:rPr>
            </w:pPr>
          </w:p>
        </w:tc>
      </w:tr>
      <w:tr>
        <w:trPr>
          <w:trHeight w:val="237"/>
        </w:trPr>
        <w:tc>
          <w:tcPr>
            <w:tcW w:w="26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1.156%</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217,733</w:t>
            </w:r>
          </w:p>
        </w:tc>
        <w:tc>
          <w:tcPr>
            <w:tcW w:w="40" w:type="dxa"/>
            <w:vAlign w:val="bottom"/>
          </w:tcPr>
          <w:p>
            <w:pPr>
              <w:spacing w:after="0"/>
              <w:rPr>
                <w:sz w:val="20"/>
                <w:szCs w:val="20"/>
                <w:color w:val="auto"/>
              </w:rPr>
            </w:pPr>
          </w:p>
        </w:tc>
      </w:tr>
      <w:tr>
        <w:trPr>
          <w:trHeight w:val="237"/>
        </w:trPr>
        <w:tc>
          <w:tcPr>
            <w:tcW w:w="26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2.774%</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1,003,780</w:t>
            </w:r>
          </w:p>
        </w:tc>
        <w:tc>
          <w:tcPr>
            <w:tcW w:w="40" w:type="dxa"/>
            <w:vAlign w:val="bottom"/>
          </w:tcPr>
          <w:p>
            <w:pPr>
              <w:spacing w:after="0"/>
              <w:rPr>
                <w:sz w:val="20"/>
                <w:szCs w:val="20"/>
                <w:color w:val="auto"/>
              </w:rPr>
            </w:pPr>
          </w:p>
        </w:tc>
      </w:tr>
      <w:tr>
        <w:trPr>
          <w:trHeight w:val="237"/>
        </w:trPr>
        <w:tc>
          <w:tcPr>
            <w:tcW w:w="26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3.365%</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1,182,658</w:t>
            </w:r>
          </w:p>
        </w:tc>
        <w:tc>
          <w:tcPr>
            <w:tcW w:w="40" w:type="dxa"/>
            <w:vAlign w:val="bottom"/>
          </w:tcPr>
          <w:p>
            <w:pPr>
              <w:spacing w:after="0"/>
              <w:rPr>
                <w:sz w:val="20"/>
                <w:szCs w:val="20"/>
                <w:color w:val="auto"/>
              </w:rPr>
            </w:pPr>
          </w:p>
        </w:tc>
      </w:tr>
      <w:tr>
        <w:trPr>
          <w:trHeight w:val="237"/>
        </w:trPr>
        <w:tc>
          <w:tcPr>
            <w:tcW w:w="26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PennVest</w:t>
            </w:r>
          </w:p>
        </w:tc>
        <w:tc>
          <w:tcPr>
            <w:tcW w:w="1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1,251,377</w:t>
            </w:r>
          </w:p>
        </w:tc>
        <w:tc>
          <w:tcPr>
            <w:tcW w:w="40" w:type="dxa"/>
            <w:vAlign w:val="bottom"/>
          </w:tcPr>
          <w:p>
            <w:pPr>
              <w:spacing w:after="0"/>
              <w:rPr>
                <w:sz w:val="20"/>
                <w:szCs w:val="20"/>
                <w:color w:val="auto"/>
              </w:rPr>
            </w:pPr>
          </w:p>
        </w:tc>
      </w:tr>
      <w:tr>
        <w:trPr>
          <w:trHeight w:val="243"/>
        </w:trPr>
        <w:tc>
          <w:tcPr>
            <w:tcW w:w="2660" w:type="dxa"/>
            <w:vAlign w:val="bottom"/>
            <w:tcBorders>
              <w:left w:val="single" w:sz="8" w:color="auto"/>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32"/>
        </w:trPr>
        <w:tc>
          <w:tcPr>
            <w:tcW w:w="26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PennVest</w:t>
            </w:r>
          </w:p>
        </w:tc>
        <w:tc>
          <w:tcPr>
            <w:tcW w:w="1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45,774,670</w:t>
            </w:r>
          </w:p>
        </w:tc>
        <w:tc>
          <w:tcPr>
            <w:tcW w:w="40" w:type="dxa"/>
            <w:vAlign w:val="bottom"/>
          </w:tcPr>
          <w:p>
            <w:pPr>
              <w:spacing w:after="0"/>
              <w:rPr>
                <w:sz w:val="20"/>
                <w:szCs w:val="20"/>
                <w:color w:val="auto"/>
              </w:rPr>
            </w:pPr>
          </w:p>
        </w:tc>
      </w:tr>
      <w:tr>
        <w:trPr>
          <w:trHeight w:val="467"/>
        </w:trPr>
        <w:tc>
          <w:tcPr>
            <w:tcW w:w="2660" w:type="dxa"/>
            <w:vAlign w:val="bottom"/>
          </w:tcPr>
          <w:p>
            <w:pPr>
              <w:spacing w:after="0"/>
              <w:rPr>
                <w:sz w:val="24"/>
                <w:szCs w:val="24"/>
                <w:color w:val="auto"/>
              </w:rPr>
            </w:pPr>
          </w:p>
        </w:tc>
        <w:tc>
          <w:tcPr>
            <w:tcW w:w="3160" w:type="dxa"/>
            <w:vAlign w:val="bottom"/>
            <w:gridSpan w:val="3"/>
          </w:tcPr>
          <w:p>
            <w:pPr>
              <w:ind w:left="1360"/>
              <w:spacing w:after="0"/>
              <w:rPr>
                <w:sz w:val="20"/>
                <w:szCs w:val="20"/>
                <w:color w:val="auto"/>
              </w:rPr>
            </w:pPr>
            <w:r>
              <w:rPr>
                <w:rFonts w:ascii="Arial" w:cs="Arial" w:eastAsia="Arial" w:hAnsi="Arial"/>
                <w:sz w:val="22"/>
                <w:szCs w:val="22"/>
                <w:color w:val="auto"/>
              </w:rPr>
              <w:t>5.15(a)-3</w:t>
            </w:r>
          </w:p>
        </w:tc>
        <w:tc>
          <w:tcPr>
            <w:tcW w:w="3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8"/>
        </w:trPr>
        <w:tc>
          <w:tcPr>
            <w:tcW w:w="266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r>
        <w:trPr>
          <w:trHeight w:val="20"/>
        </w:trPr>
        <w:tc>
          <w:tcPr>
            <w:tcW w:w="266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3" w:right="1440" w:bottom="1440" w:gutter="0" w:footer="0" w:header="0"/>
        </w:sectPr>
      </w:pPr>
    </w:p>
    <w:bookmarkStart w:id="174" w:name="page175"/>
    <w:bookmarkEnd w:id="174"/>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981075</wp:posOffset>
            </wp:positionH>
            <wp:positionV relativeFrom="page">
              <wp:posOffset>243205</wp:posOffset>
            </wp:positionV>
            <wp:extent cx="5600065" cy="6517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3">
                      <a:extLst>
                        <a:ext uri="{28A0092B-C50C-407E-A947-70E740481C1C}"/>
                      </a:extLst>
                    </a:blip>
                    <a:srcRect/>
                    <a:stretch>
                      <a:fillRect/>
                    </a:stretch>
                  </pic:blipFill>
                  <pic:spPr bwMode="auto">
                    <a:xfrm>
                      <a:off x="0" y="0"/>
                      <a:ext cx="5600065" cy="6517640"/>
                    </a:xfrm>
                    <a:prstGeom prst="rect">
                      <a:avLst/>
                    </a:prstGeom>
                    <a:noFill/>
                  </pic:spPr>
                </pic:pic>
              </a:graphicData>
            </a:graphic>
          </wp:anchor>
        </w:drawing>
        <w:t>Schedule 5.15(a)</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Existing Debt as of June 30, 2018 Continued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44"/>
        </w:trPr>
        <w:tc>
          <w:tcPr>
            <w:tcW w:w="31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top w:val="single" w:sz="8" w:color="auto"/>
              <w:bottom w:val="single" w:sz="8" w:color="auto"/>
              <w:right w:val="single" w:sz="8" w:color="auto"/>
            </w:tcBorders>
          </w:tcPr>
          <w:p>
            <w:pPr>
              <w:spacing w:after="0"/>
              <w:rPr>
                <w:sz w:val="21"/>
                <w:szCs w:val="21"/>
                <w:color w:val="auto"/>
              </w:rPr>
            </w:pPr>
          </w:p>
        </w:tc>
        <w:tc>
          <w:tcPr>
            <w:tcW w:w="1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5.751%</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30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15,000,000</w:t>
            </w:r>
          </w:p>
        </w:tc>
        <w:tc>
          <w:tcPr>
            <w:tcW w:w="40" w:type="dxa"/>
            <w:vAlign w:val="bottom"/>
          </w:tcPr>
          <w:p>
            <w:pPr>
              <w:spacing w:after="0"/>
              <w:rPr>
                <w:sz w:val="21"/>
                <w:szCs w:val="21"/>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5.751%</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5.98%</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6.06%</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6.06%</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7.72%</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9.17%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1,600,000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9.29%</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3.79%</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3.80%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3.85%</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3.94%</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4.61%</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4.62%</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3.64%</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4.01%</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4.06%</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13,000,000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4.11%</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3.77%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3.82%</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3.85%</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4.16%</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4.18%</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4.20%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3.85%</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3.95%</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3.65%</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3.69%</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4.04%</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4.06%</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4.06%</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4.09%</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3.99%</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4.04%</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10,000,000</w:t>
            </w:r>
          </w:p>
        </w:tc>
        <w:tc>
          <w:tcPr>
            <w:tcW w:w="40" w:type="dxa"/>
            <w:vAlign w:val="bottom"/>
          </w:tcPr>
          <w:p>
            <w:pPr>
              <w:spacing w:after="0"/>
              <w:rPr>
                <w:sz w:val="20"/>
                <w:szCs w:val="20"/>
                <w:color w:val="auto"/>
              </w:rPr>
            </w:pPr>
          </w:p>
        </w:tc>
      </w:tr>
      <w:tr>
        <w:trPr>
          <w:trHeight w:val="237"/>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FMB</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4.09%</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65,000,000</w:t>
            </w:r>
          </w:p>
        </w:tc>
        <w:tc>
          <w:tcPr>
            <w:tcW w:w="40" w:type="dxa"/>
            <w:vAlign w:val="bottom"/>
          </w:tcPr>
          <w:p>
            <w:pPr>
              <w:spacing w:after="0"/>
              <w:rPr>
                <w:sz w:val="20"/>
                <w:szCs w:val="20"/>
                <w:color w:val="auto"/>
              </w:rPr>
            </w:pPr>
          </w:p>
        </w:tc>
      </w:tr>
      <w:tr>
        <w:trPr>
          <w:trHeight w:val="243"/>
        </w:trPr>
        <w:tc>
          <w:tcPr>
            <w:tcW w:w="314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32"/>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First Mortgage Bonds</w:t>
            </w:r>
          </w:p>
        </w:tc>
        <w:tc>
          <w:tcPr>
            <w:tcW w:w="1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891,600,000</w:t>
            </w:r>
          </w:p>
        </w:tc>
        <w:tc>
          <w:tcPr>
            <w:tcW w:w="40" w:type="dxa"/>
            <w:vAlign w:val="bottom"/>
          </w:tcPr>
          <w:p>
            <w:pPr>
              <w:spacing w:after="0"/>
              <w:rPr>
                <w:sz w:val="20"/>
                <w:szCs w:val="20"/>
                <w:color w:val="auto"/>
              </w:rPr>
            </w:pPr>
          </w:p>
        </w:tc>
      </w:tr>
      <w:tr>
        <w:trPr>
          <w:trHeight w:val="467"/>
        </w:trPr>
        <w:tc>
          <w:tcPr>
            <w:tcW w:w="3140" w:type="dxa"/>
            <w:vAlign w:val="bottom"/>
          </w:tcPr>
          <w:p>
            <w:pPr>
              <w:spacing w:after="0"/>
              <w:rPr>
                <w:sz w:val="24"/>
                <w:szCs w:val="24"/>
                <w:color w:val="auto"/>
              </w:rPr>
            </w:pPr>
          </w:p>
        </w:tc>
        <w:tc>
          <w:tcPr>
            <w:tcW w:w="2680" w:type="dxa"/>
            <w:vAlign w:val="bottom"/>
            <w:gridSpan w:val="3"/>
          </w:tcPr>
          <w:p>
            <w:pPr>
              <w:ind w:left="880"/>
              <w:spacing w:after="0"/>
              <w:rPr>
                <w:sz w:val="20"/>
                <w:szCs w:val="20"/>
                <w:color w:val="auto"/>
              </w:rPr>
            </w:pPr>
            <w:r>
              <w:rPr>
                <w:rFonts w:ascii="Arial" w:cs="Arial" w:eastAsia="Arial" w:hAnsi="Arial"/>
                <w:sz w:val="22"/>
                <w:szCs w:val="22"/>
                <w:color w:val="auto"/>
              </w:rPr>
              <w:t>5.15(a)-4</w:t>
            </w:r>
          </w:p>
        </w:tc>
        <w:tc>
          <w:tcPr>
            <w:tcW w:w="3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8"/>
        </w:trPr>
        <w:tc>
          <w:tcPr>
            <w:tcW w:w="3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r>
        <w:trPr>
          <w:trHeight w:val="20"/>
        </w:trPr>
        <w:tc>
          <w:tcPr>
            <w:tcW w:w="31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75" w:name="page176"/>
    <w:bookmarkEnd w:id="175"/>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981075</wp:posOffset>
            </wp:positionH>
            <wp:positionV relativeFrom="page">
              <wp:posOffset>243205</wp:posOffset>
            </wp:positionV>
            <wp:extent cx="5600065" cy="27698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6">
                      <a:extLst>
                        <a:ext uri="{28A0092B-C50C-407E-A947-70E740481C1C}"/>
                      </a:extLst>
                    </a:blip>
                    <a:srcRect/>
                    <a:stretch>
                      <a:fillRect/>
                    </a:stretch>
                  </pic:blipFill>
                  <pic:spPr bwMode="auto">
                    <a:xfrm>
                      <a:off x="0" y="0"/>
                      <a:ext cx="5600065" cy="2769870"/>
                    </a:xfrm>
                    <a:prstGeom prst="rect">
                      <a:avLst/>
                    </a:prstGeom>
                    <a:noFill/>
                  </pic:spPr>
                </pic:pic>
              </a:graphicData>
            </a:graphic>
          </wp:anchor>
        </w:drawing>
        <w:t>Schedule 5.15(a)</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Existing Debt as of June 30, 2018 Continued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44"/>
        </w:trPr>
        <w:tc>
          <w:tcPr>
            <w:tcW w:w="434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PennVest - Aqua PA WW</w:t>
            </w:r>
          </w:p>
        </w:tc>
        <w:tc>
          <w:tcPr>
            <w:tcW w:w="116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30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171,725</w:t>
            </w:r>
          </w:p>
        </w:tc>
      </w:tr>
      <w:tr>
        <w:trPr>
          <w:trHeight w:val="237"/>
        </w:trPr>
        <w:tc>
          <w:tcPr>
            <w:tcW w:w="4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PennVest - Aqua PA WW</w:t>
            </w:r>
          </w:p>
        </w:tc>
        <w:tc>
          <w:tcPr>
            <w:tcW w:w="11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1.16%</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800,468</w:t>
            </w:r>
          </w:p>
        </w:tc>
      </w:tr>
      <w:tr>
        <w:trPr>
          <w:trHeight w:val="237"/>
        </w:trPr>
        <w:tc>
          <w:tcPr>
            <w:tcW w:w="4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PennVest - Aqua PA WW</w:t>
            </w:r>
          </w:p>
        </w:tc>
        <w:tc>
          <w:tcPr>
            <w:tcW w:w="11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567,508</w:t>
            </w:r>
          </w:p>
        </w:tc>
      </w:tr>
      <w:tr>
        <w:trPr>
          <w:trHeight w:val="237"/>
        </w:trPr>
        <w:tc>
          <w:tcPr>
            <w:tcW w:w="4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PennVest - Aqua PA WW</w:t>
            </w:r>
          </w:p>
        </w:tc>
        <w:tc>
          <w:tcPr>
            <w:tcW w:w="11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132,536</w:t>
            </w:r>
          </w:p>
        </w:tc>
      </w:tr>
      <w:tr>
        <w:trPr>
          <w:trHeight w:val="237"/>
        </w:trPr>
        <w:tc>
          <w:tcPr>
            <w:tcW w:w="4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PennVest - Aqua PA WW</w:t>
            </w:r>
          </w:p>
        </w:tc>
        <w:tc>
          <w:tcPr>
            <w:tcW w:w="11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1.35%</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51,985</w:t>
            </w:r>
          </w:p>
        </w:tc>
      </w:tr>
      <w:tr>
        <w:trPr>
          <w:trHeight w:val="237"/>
        </w:trPr>
        <w:tc>
          <w:tcPr>
            <w:tcW w:w="4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PennVest - Aqua PA WW</w:t>
            </w:r>
          </w:p>
        </w:tc>
        <w:tc>
          <w:tcPr>
            <w:tcW w:w="11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2.77%</w:t>
            </w: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171,750</w:t>
            </w:r>
          </w:p>
        </w:tc>
      </w:tr>
      <w:tr>
        <w:trPr>
          <w:trHeight w:val="243"/>
        </w:trPr>
        <w:tc>
          <w:tcPr>
            <w:tcW w:w="434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r>
      <w:tr>
        <w:trPr>
          <w:trHeight w:val="232"/>
        </w:trPr>
        <w:tc>
          <w:tcPr>
            <w:tcW w:w="4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Total PennVest LWWW</w:t>
            </w: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1,895,972</w:t>
            </w:r>
          </w:p>
        </w:tc>
      </w:tr>
      <w:tr>
        <w:trPr>
          <w:trHeight w:val="241"/>
        </w:trPr>
        <w:tc>
          <w:tcPr>
            <w:tcW w:w="43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r>
      <w:tr>
        <w:trPr>
          <w:trHeight w:val="237"/>
        </w:trPr>
        <w:tc>
          <w:tcPr>
            <w:tcW w:w="43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r>
      <w:tr>
        <w:trPr>
          <w:trHeight w:val="232"/>
        </w:trPr>
        <w:tc>
          <w:tcPr>
            <w:tcW w:w="4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Total Long Term Debt</w:t>
            </w: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$ 1,428,822,690</w:t>
            </w:r>
          </w:p>
        </w:tc>
      </w:tr>
      <w:tr>
        <w:trPr>
          <w:trHeight w:val="241"/>
        </w:trPr>
        <w:tc>
          <w:tcPr>
            <w:tcW w:w="43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r>
      <w:tr>
        <w:trPr>
          <w:trHeight w:val="232"/>
        </w:trPr>
        <w:tc>
          <w:tcPr>
            <w:tcW w:w="4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PNC Revolver</w:t>
            </w: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w:t>
            </w:r>
          </w:p>
        </w:tc>
      </w:tr>
      <w:tr>
        <w:trPr>
          <w:trHeight w:val="241"/>
        </w:trPr>
        <w:tc>
          <w:tcPr>
            <w:tcW w:w="43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r>
      <w:tr>
        <w:trPr>
          <w:trHeight w:val="232"/>
        </w:trPr>
        <w:tc>
          <w:tcPr>
            <w:tcW w:w="4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Total Debt Aqua Pennsylvania</w:t>
            </w:r>
          </w:p>
        </w:tc>
        <w:tc>
          <w:tcPr>
            <w:tcW w:w="11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$ 1,428,822,690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5.15(a)-5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22"/>
          <w:szCs w:val="22"/>
          <w:b w:val="1"/>
          <w:bCs w:val="1"/>
          <w:color w:val="auto"/>
        </w:rPr>
        <w:t>SCHEDULE 5.15(B)</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AQUA PENNSYLVANIA, INC. AND SUBSIDIARIES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DEBT ISSUANCE LIMITATIONS</w:t>
      </w:r>
    </w:p>
    <w:p>
      <w:pPr>
        <w:spacing w:after="0" w:line="200" w:lineRule="exact"/>
        <w:rPr>
          <w:sz w:val="20"/>
          <w:szCs w:val="20"/>
          <w:color w:val="auto"/>
        </w:rPr>
      </w:pPr>
    </w:p>
    <w:p>
      <w:pPr>
        <w:spacing w:after="0" w:line="258" w:lineRule="exact"/>
        <w:rPr>
          <w:sz w:val="20"/>
          <w:szCs w:val="20"/>
          <w:color w:val="auto"/>
        </w:rPr>
      </w:pPr>
    </w:p>
    <w:p>
      <w:pPr>
        <w:ind w:left="100" w:right="239"/>
        <w:spacing w:after="0" w:line="251" w:lineRule="auto"/>
        <w:rPr>
          <w:sz w:val="20"/>
          <w:szCs w:val="20"/>
          <w:color w:val="auto"/>
        </w:rPr>
      </w:pPr>
      <w:r>
        <w:rPr>
          <w:rFonts w:ascii="Arial" w:cs="Arial" w:eastAsia="Arial" w:hAnsi="Arial"/>
          <w:sz w:val="22"/>
          <w:szCs w:val="22"/>
          <w:color w:val="auto"/>
        </w:rPr>
        <w:t>Indenture of Mortgage dated as of January 1, 1941 of Aqua Pennsylvania, Inc. as Supplemented and Amended</w:t>
      </w:r>
    </w:p>
    <w:p>
      <w:pPr>
        <w:spacing w:after="0" w:line="200" w:lineRule="exact"/>
        <w:rPr>
          <w:sz w:val="20"/>
          <w:szCs w:val="20"/>
          <w:color w:val="auto"/>
        </w:rPr>
      </w:pPr>
    </w:p>
    <w:p>
      <w:pPr>
        <w:ind w:left="100" w:right="479"/>
        <w:spacing w:after="0" w:line="328" w:lineRule="auto"/>
        <w:rPr>
          <w:sz w:val="20"/>
          <w:szCs w:val="20"/>
          <w:color w:val="auto"/>
        </w:rPr>
      </w:pPr>
      <w:r>
        <w:rPr>
          <w:rFonts w:ascii="Arial" w:cs="Arial" w:eastAsia="Arial" w:hAnsi="Arial"/>
          <w:sz w:val="19"/>
          <w:szCs w:val="19"/>
          <w:color w:val="auto"/>
        </w:rPr>
        <w:t>$100 million Amended and Restated Credit Agreement among Aqua Pennsylvania, Inc. and PNC Bank, National Association as Agent dated as of November 15, 2018, as amended</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Aqua Pennsylvania, Inc. $40,000,000 5.95% Senior Notes dated March 31, 2006</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Aqua Pennsylvania, Inc. $10,927,000 5.64% Senior Notes dated September 29, 2006</w:t>
      </w:r>
    </w:p>
    <w:p>
      <w:pPr>
        <w:spacing w:after="0" w:line="233" w:lineRule="exact"/>
        <w:rPr>
          <w:sz w:val="20"/>
          <w:szCs w:val="20"/>
          <w:color w:val="auto"/>
        </w:rPr>
      </w:pPr>
    </w:p>
    <w:p>
      <w:pPr>
        <w:ind w:left="100" w:right="879"/>
        <w:spacing w:after="0" w:line="274" w:lineRule="auto"/>
        <w:rPr>
          <w:sz w:val="20"/>
          <w:szCs w:val="20"/>
          <w:color w:val="auto"/>
        </w:rPr>
      </w:pPr>
      <w:r>
        <w:rPr>
          <w:rFonts w:ascii="Arial" w:cs="Arial" w:eastAsia="Arial" w:hAnsi="Arial"/>
          <w:sz w:val="21"/>
          <w:szCs w:val="21"/>
          <w:color w:val="auto"/>
        </w:rPr>
        <w:t>$50 million Term Loan Agreement among Aqua Pennsylvania, Inc. and PNC Bank, National Association as Agent and Dated as of September 28, 2017, as amended</w:t>
      </w:r>
    </w:p>
    <w:p>
      <w:pPr>
        <w:spacing w:after="0" w:line="178" w:lineRule="exact"/>
        <w:rPr>
          <w:sz w:val="20"/>
          <w:szCs w:val="20"/>
          <w:color w:val="auto"/>
        </w:rPr>
      </w:pPr>
    </w:p>
    <w:p>
      <w:pPr>
        <w:ind w:left="100" w:right="879"/>
        <w:spacing w:after="0" w:line="251" w:lineRule="auto"/>
        <w:rPr>
          <w:sz w:val="20"/>
          <w:szCs w:val="20"/>
          <w:color w:val="auto"/>
        </w:rPr>
      </w:pPr>
      <w:r>
        <w:rPr>
          <w:rFonts w:ascii="Arial" w:cs="Arial" w:eastAsia="Arial" w:hAnsi="Arial"/>
          <w:sz w:val="22"/>
          <w:szCs w:val="22"/>
          <w:color w:val="auto"/>
        </w:rPr>
        <w:t>$50 million Term Loan Agreement among Aqua Pennsylvania, Inc. and PNC Bank, National Association as Agent and Dated as of May 4, 2018,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5.15(b)</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22"/>
          <w:szCs w:val="22"/>
          <w:b w:val="1"/>
          <w:bCs w:val="1"/>
          <w:color w:val="auto"/>
        </w:rPr>
        <w:t>FORM OF SUPPLEMENT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ATTACHED FIFTY-FOURTH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21"/>
          <w:szCs w:val="21"/>
          <w:b w:val="1"/>
          <w:bCs w:val="1"/>
          <w:color w:val="auto"/>
        </w:rPr>
        <w:t>FORM OF OPINION OF GENERAL COUNSEL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4.4(a)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79" w:name="page180"/>
    <w:bookmarkEnd w:id="179"/>
    <w:p>
      <w:pPr>
        <w:jc w:val="center"/>
        <w:spacing w:after="0"/>
        <w:rPr>
          <w:sz w:val="20"/>
          <w:szCs w:val="20"/>
          <w:color w:val="auto"/>
        </w:rPr>
      </w:pPr>
      <w:r>
        <w:rPr>
          <w:rFonts w:ascii="Arial" w:cs="Arial" w:eastAsia="Arial" w:hAnsi="Arial"/>
          <w:sz w:val="21"/>
          <w:szCs w:val="21"/>
          <w:b w:val="1"/>
          <w:bCs w:val="1"/>
          <w:color w:val="auto"/>
        </w:rPr>
        <w:t>FORM OF OPINION OF SPECIAL COUNSEL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4.4(b)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0" w:name="page181"/>
    <w:bookmarkEnd w:id="180"/>
    <w:p>
      <w:pPr>
        <w:jc w:val="center"/>
        <w:spacing w:after="0"/>
        <w:rPr>
          <w:sz w:val="20"/>
          <w:szCs w:val="20"/>
          <w:color w:val="auto"/>
        </w:rPr>
      </w:pPr>
      <w:r>
        <w:rPr>
          <w:rFonts w:ascii="Arial" w:cs="Arial" w:eastAsia="Arial" w:hAnsi="Arial"/>
          <w:sz w:val="21"/>
          <w:szCs w:val="21"/>
          <w:b w:val="1"/>
          <w:bCs w:val="1"/>
          <w:color w:val="auto"/>
        </w:rPr>
        <w:t>FORM OF OPINION OF SPECIAL COUNSEL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PURCHASERS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[DELIVERED TO PURCHASERS ONLY]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4.4(c)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22"/>
          <w:szCs w:val="22"/>
          <w:color w:val="auto"/>
        </w:rPr>
        <w:t>[FORM OF]</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TAX COMPLIANCE CERTIFICATE</w:t>
      </w:r>
    </w:p>
    <w:p>
      <w:pPr>
        <w:spacing w:after="0" w:line="347"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9"/>
          <w:szCs w:val="19"/>
          <w:color w:val="auto"/>
        </w:rPr>
        <w:t xml:space="preserve">Reference is hereby made to the Bond Purchase Agreement dated as of November 15, 2018 (as amended, supplemented or otherwise modified from time to time, the </w:t>
      </w:r>
      <w:r>
        <w:rPr>
          <w:rFonts w:ascii="Arial" w:cs="Arial" w:eastAsia="Arial" w:hAnsi="Arial"/>
          <w:sz w:val="19"/>
          <w:szCs w:val="19"/>
          <w:i w:val="1"/>
          <w:iCs w:val="1"/>
          <w:color w:val="auto"/>
        </w:rPr>
        <w:t>“Bond Purchase</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w:t>
      </w:r>
      <w:r>
        <w:rPr>
          <w:rFonts w:ascii="Arial" w:cs="Arial" w:eastAsia="Arial" w:hAnsi="Arial"/>
          <w:sz w:val="19"/>
          <w:szCs w:val="19"/>
          <w:color w:val="auto"/>
        </w:rPr>
        <w:t>), among Aqua Pennsylvania, Inc., a corporation organized under the laws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Commonwealth of Pennsylvania (the </w:t>
      </w:r>
      <w:r>
        <w:rPr>
          <w:rFonts w:ascii="Arial" w:cs="Arial" w:eastAsia="Arial" w:hAnsi="Arial"/>
          <w:sz w:val="19"/>
          <w:szCs w:val="19"/>
          <w:i w:val="1"/>
          <w:iCs w:val="1"/>
          <w:color w:val="auto"/>
        </w:rPr>
        <w:t>“Company”</w:t>
      </w:r>
      <w:r>
        <w:rPr>
          <w:rFonts w:ascii="Arial" w:cs="Arial" w:eastAsia="Arial" w:hAnsi="Arial"/>
          <w:sz w:val="19"/>
          <w:szCs w:val="19"/>
          <w:color w:val="auto"/>
        </w:rPr>
        <w:t>) and the Purchasers that are signatories thereto.</w:t>
      </w:r>
    </w:p>
    <w:p>
      <w:pPr>
        <w:spacing w:after="0" w:line="35" w:lineRule="exact"/>
        <w:rPr>
          <w:sz w:val="20"/>
          <w:szCs w:val="20"/>
          <w:color w:val="auto"/>
        </w:rPr>
      </w:pPr>
    </w:p>
    <w:p>
      <w:pPr>
        <w:jc w:val="both"/>
        <w:ind w:left="100" w:right="99" w:firstLine="1296"/>
        <w:spacing w:after="0" w:line="326" w:lineRule="auto"/>
        <w:rPr>
          <w:sz w:val="20"/>
          <w:szCs w:val="20"/>
          <w:color w:val="auto"/>
        </w:rPr>
      </w:pPr>
      <w:r>
        <w:rPr>
          <w:rFonts w:ascii="Arial" w:cs="Arial" w:eastAsia="Arial" w:hAnsi="Arial"/>
          <w:sz w:val="19"/>
          <w:szCs w:val="19"/>
          <w:color w:val="auto"/>
        </w:rPr>
        <w:t>Unless otherwise defined herein, capitalized terms defined in the Bond Purchase Agreement and used herein have the meanings given to them in the Bond Purchase Agreement.</w:t>
      </w:r>
    </w:p>
    <w:p>
      <w:pPr>
        <w:spacing w:after="0" w:line="1" w:lineRule="exact"/>
        <w:rPr>
          <w:sz w:val="20"/>
          <w:szCs w:val="20"/>
          <w:color w:val="auto"/>
        </w:rPr>
      </w:pPr>
    </w:p>
    <w:p>
      <w:pPr>
        <w:jc w:val="both"/>
        <w:ind w:left="100" w:right="99" w:firstLine="1296"/>
        <w:spacing w:after="0" w:line="251" w:lineRule="auto"/>
        <w:rPr>
          <w:sz w:val="20"/>
          <w:szCs w:val="20"/>
          <w:color w:val="auto"/>
        </w:rPr>
      </w:pPr>
      <w:r>
        <w:rPr>
          <w:rFonts w:ascii="Arial" w:cs="Arial" w:eastAsia="Arial" w:hAnsi="Arial"/>
          <w:sz w:val="22"/>
          <w:szCs w:val="22"/>
          <w:color w:val="auto"/>
        </w:rPr>
        <w:t>Pursuant to the provisions of Section 12.4 (Tax Withholding) of the Bond Purchase Agreement, the undersigned hereby certifies that:</w:t>
      </w:r>
    </w:p>
    <w:p>
      <w:pPr>
        <w:spacing w:after="0" w:line="173" w:lineRule="exact"/>
        <w:rPr>
          <w:sz w:val="20"/>
          <w:szCs w:val="20"/>
          <w:color w:val="auto"/>
        </w:rPr>
      </w:pPr>
    </w:p>
    <w:p>
      <w:pPr>
        <w:ind w:left="1380" w:right="99" w:hanging="627"/>
        <w:spacing w:after="0" w:line="251" w:lineRule="auto"/>
        <w:tabs>
          <w:tab w:leader="none" w:pos="13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it is the sole record and beneficial owner of the Bonds in respect of which it is providing this certificate;</w:t>
      </w:r>
    </w:p>
    <w:p>
      <w:pPr>
        <w:spacing w:after="0" w:line="173" w:lineRule="exact"/>
        <w:rPr>
          <w:rFonts w:ascii="Arial" w:cs="Arial" w:eastAsia="Arial" w:hAnsi="Arial"/>
          <w:sz w:val="22"/>
          <w:szCs w:val="22"/>
          <w:color w:val="auto"/>
        </w:rPr>
      </w:pPr>
    </w:p>
    <w:p>
      <w:pPr>
        <w:ind w:left="1380" w:hanging="627"/>
        <w:spacing w:after="0"/>
        <w:tabs>
          <w:tab w:leader="none" w:pos="13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it is not a bank within the meaning of Section 881(c)(3)(A) of the Code;</w:t>
      </w:r>
    </w:p>
    <w:p>
      <w:pPr>
        <w:spacing w:after="0" w:line="206" w:lineRule="exact"/>
        <w:rPr>
          <w:rFonts w:ascii="Arial" w:cs="Arial" w:eastAsia="Arial" w:hAnsi="Arial"/>
          <w:sz w:val="22"/>
          <w:szCs w:val="22"/>
          <w:color w:val="auto"/>
        </w:rPr>
      </w:pPr>
    </w:p>
    <w:p>
      <w:pPr>
        <w:ind w:left="1380" w:hanging="627"/>
        <w:spacing w:after="0"/>
        <w:tabs>
          <w:tab w:leader="none" w:pos="138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it is not a ten percent shareholder of the Issuer within the meaning of Section 871(h)(3)</w:t>
      </w:r>
    </w:p>
    <w:p>
      <w:pPr>
        <w:spacing w:after="0" w:line="42" w:lineRule="exact"/>
        <w:rPr>
          <w:rFonts w:ascii="Arial" w:cs="Arial" w:eastAsia="Arial" w:hAnsi="Arial"/>
          <w:sz w:val="19"/>
          <w:szCs w:val="19"/>
          <w:color w:val="auto"/>
        </w:rPr>
      </w:pPr>
    </w:p>
    <w:p>
      <w:pPr>
        <w:ind w:left="1380"/>
        <w:spacing w:after="0"/>
        <w:rPr>
          <w:rFonts w:ascii="Arial" w:cs="Arial" w:eastAsia="Arial" w:hAnsi="Arial"/>
          <w:sz w:val="19"/>
          <w:szCs w:val="19"/>
          <w:color w:val="auto"/>
        </w:rPr>
      </w:pPr>
      <w:r>
        <w:rPr>
          <w:rFonts w:ascii="Arial" w:cs="Arial" w:eastAsia="Arial" w:hAnsi="Arial"/>
          <w:sz w:val="22"/>
          <w:szCs w:val="22"/>
          <w:color w:val="auto"/>
        </w:rPr>
        <w:t>(B) of the Code; and</w:t>
      </w:r>
    </w:p>
    <w:p>
      <w:pPr>
        <w:spacing w:after="0" w:line="188" w:lineRule="exact"/>
        <w:rPr>
          <w:rFonts w:ascii="Arial" w:cs="Arial" w:eastAsia="Arial" w:hAnsi="Arial"/>
          <w:sz w:val="19"/>
          <w:szCs w:val="19"/>
          <w:color w:val="auto"/>
        </w:rPr>
      </w:pPr>
    </w:p>
    <w:p>
      <w:pPr>
        <w:ind w:left="1380" w:right="99" w:hanging="627"/>
        <w:spacing w:after="0" w:line="251" w:lineRule="auto"/>
        <w:tabs>
          <w:tab w:leader="none" w:pos="13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it is not a controlled foreign corporation related to the Issuer as described in Section 881(c)(3)(C) of the Code.</w:t>
      </w:r>
    </w:p>
    <w:p>
      <w:pPr>
        <w:spacing w:after="0" w:line="173" w:lineRule="exact"/>
        <w:rPr>
          <w:sz w:val="20"/>
          <w:szCs w:val="20"/>
          <w:color w:val="auto"/>
        </w:rPr>
      </w:pPr>
    </w:p>
    <w:p>
      <w:pPr>
        <w:ind w:left="100" w:right="99" w:firstLine="1296"/>
        <w:spacing w:after="0" w:line="251" w:lineRule="auto"/>
        <w:rPr>
          <w:sz w:val="20"/>
          <w:szCs w:val="20"/>
          <w:color w:val="auto"/>
        </w:rPr>
      </w:pPr>
      <w:r>
        <w:rPr>
          <w:rFonts w:ascii="Arial" w:cs="Arial" w:eastAsia="Arial" w:hAnsi="Arial"/>
          <w:sz w:val="22"/>
          <w:szCs w:val="22"/>
          <w:color w:val="auto"/>
        </w:rPr>
        <w:t>The undersigned has furnished the Issuer with a certificate of its non-U.S. Person status on IRS W-8BEN-E.</w:t>
      </w:r>
    </w:p>
    <w:p>
      <w:pPr>
        <w:spacing w:after="0" w:line="3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[Purchaser Name]</w:t>
      </w:r>
    </w:p>
    <w:p>
      <w:pPr>
        <w:spacing w:after="0" w:line="200" w:lineRule="exact"/>
        <w:rPr>
          <w:sz w:val="20"/>
          <w:szCs w:val="20"/>
          <w:color w:val="auto"/>
        </w:rPr>
      </w:pPr>
    </w:p>
    <w:p>
      <w:pPr>
        <w:spacing w:after="0" w:line="27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-158115</wp:posOffset>
            </wp:positionV>
            <wp:extent cx="24180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4320"/>
        <w:spacing w:after="0"/>
        <w:tabs>
          <w:tab w:leader="none" w:pos="51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7620</wp:posOffset>
            </wp:positionV>
            <wp:extent cx="24180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12.4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82" w:name="page183"/>
    <w:bookmarkEnd w:id="182"/>
    <w:p>
      <w:pPr>
        <w:jc w:val="right"/>
        <w:ind w:right="99"/>
        <w:spacing w:after="0"/>
        <w:rPr>
          <w:sz w:val="20"/>
          <w:szCs w:val="20"/>
          <w:color w:val="auto"/>
        </w:rPr>
      </w:pPr>
      <w:r>
        <w:rPr>
          <w:rFonts w:ascii="Arial" w:cs="Arial" w:eastAsia="Arial" w:hAnsi="Arial"/>
          <w:sz w:val="22"/>
          <w:szCs w:val="22"/>
          <w:b w:val="1"/>
          <w:bCs w:val="1"/>
          <w:color w:val="auto"/>
        </w:rPr>
        <w:t>Exhibit 10.1</w:t>
      </w:r>
    </w:p>
    <w:p>
      <w:pPr>
        <w:jc w:val="right"/>
        <w:ind w:right="99"/>
        <w:spacing w:after="0"/>
        <w:rPr>
          <w:sz w:val="20"/>
          <w:szCs w:val="20"/>
          <w:color w:val="auto"/>
        </w:rPr>
      </w:pPr>
      <w:r>
        <w:rPr>
          <w:rFonts w:ascii="Arial" w:cs="Arial" w:eastAsia="Arial" w:hAnsi="Arial"/>
          <w:sz w:val="22"/>
          <w:szCs w:val="22"/>
          <w:color w:val="auto"/>
        </w:rPr>
        <w:t>EXECUTION VERSION</w:t>
      </w:r>
    </w:p>
    <w:p>
      <w:pPr>
        <w:spacing w:after="0" w:line="169" w:lineRule="exact"/>
        <w:rPr>
          <w:sz w:val="20"/>
          <w:szCs w:val="20"/>
          <w:color w:val="auto"/>
        </w:rPr>
      </w:pPr>
    </w:p>
    <w:p>
      <w:pPr>
        <w:jc w:val="right"/>
        <w:ind w:right="99"/>
        <w:spacing w:after="0"/>
        <w:rPr>
          <w:sz w:val="20"/>
          <w:szCs w:val="20"/>
          <w:color w:val="auto"/>
        </w:rPr>
      </w:pPr>
      <w:r>
        <w:rPr>
          <w:rFonts w:ascii="Arial" w:cs="Arial" w:eastAsia="Arial" w:hAnsi="Arial"/>
          <w:sz w:val="22"/>
          <w:szCs w:val="22"/>
          <w:color w:val="auto"/>
        </w:rPr>
        <w:t>Published CUSIP Number: 03836VAE5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-142875</wp:posOffset>
            </wp:positionV>
            <wp:extent cx="56000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6">
                      <a:extLst>
                        <a:ext uri="{28A0092B-C50C-407E-A947-70E740481C1C}"/>
                      </a:extLst>
                    </a:blip>
                    <a:srcRect/>
                    <a:stretch>
                      <a:fillRect/>
                    </a:stretch>
                  </pic:blipFill>
                  <pic:spPr bwMode="auto">
                    <a:xfrm>
                      <a:off x="0" y="0"/>
                      <a:ext cx="5600065" cy="17145"/>
                    </a:xfrm>
                    <a:prstGeom prst="rect">
                      <a:avLst/>
                    </a:prstGeom>
                    <a:noFill/>
                  </pic:spPr>
                </pic:pic>
              </a:graphicData>
            </a:graphic>
          </wp:anchor>
        </w:drawing>
      </w:r>
    </w:p>
    <w:p>
      <w:pPr>
        <w:jc w:val="right"/>
        <w:ind w:right="99"/>
        <w:spacing w:after="0"/>
        <w:rPr>
          <w:sz w:val="20"/>
          <w:szCs w:val="20"/>
          <w:color w:val="auto"/>
        </w:rPr>
      </w:pPr>
      <w:r>
        <w:rPr>
          <w:rFonts w:ascii="Arial" w:cs="Arial" w:eastAsia="Arial" w:hAnsi="Arial"/>
          <w:sz w:val="22"/>
          <w:szCs w:val="22"/>
          <w:color w:val="auto"/>
        </w:rPr>
        <w:t>Revolving Facility CUSIP Number: 03836VAF2</w:t>
      </w:r>
    </w:p>
    <w:p>
      <w:pPr>
        <w:spacing w:after="0" w:line="37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CREDIT AGREEMENT</w:t>
      </w:r>
    </w:p>
    <w:p>
      <w:pPr>
        <w:spacing w:after="0" w:line="179"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dated as of</w:t>
      </w:r>
    </w:p>
    <w:p>
      <w:pPr>
        <w:spacing w:after="0" w:line="179"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December 5, 2018,</w:t>
      </w:r>
    </w:p>
    <w:p>
      <w:pPr>
        <w:spacing w:after="0" w:line="1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179"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AQUA AMERICA, INC.,</w:t>
      </w:r>
    </w:p>
    <w:p>
      <w:pPr>
        <w:spacing w:after="0" w:line="179"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the LENDERS party hereto</w:t>
      </w:r>
    </w:p>
    <w:p>
      <w:pPr>
        <w:spacing w:after="0" w:line="179"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1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PNC BANK, NATIONAL ASSOCIATION,</w:t>
      </w:r>
    </w:p>
    <w:p>
      <w:pPr>
        <w:jc w:val="center"/>
        <w:spacing w:after="0"/>
        <w:rPr>
          <w:sz w:val="20"/>
          <w:szCs w:val="20"/>
          <w:color w:val="auto"/>
        </w:rPr>
      </w:pPr>
      <w:r>
        <w:rPr>
          <w:rFonts w:ascii="Arial" w:cs="Arial" w:eastAsia="Arial" w:hAnsi="Arial"/>
          <w:sz w:val="22"/>
          <w:szCs w:val="22"/>
          <w:color w:val="auto"/>
        </w:rPr>
        <w:t>as Administrative Agent</w:t>
      </w:r>
    </w:p>
    <w:p>
      <w:pPr>
        <w:spacing w:after="0" w:line="16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__________________________</w:t>
      </w:r>
    </w:p>
    <w:p>
      <w:pPr>
        <w:spacing w:after="0" w:line="376"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RBC CAPITAL MARKETS</w:t>
      </w:r>
      <w:r>
        <w:rPr>
          <w:rFonts w:ascii="Arial" w:cs="Arial" w:eastAsia="Arial" w:hAnsi="Arial"/>
          <w:sz w:val="10"/>
          <w:szCs w:val="10"/>
          <w:color w:val="auto"/>
        </w:rPr>
        <w:t>1</w:t>
      </w:r>
      <w:r>
        <w:rPr>
          <w:rFonts w:ascii="Arial" w:cs="Arial" w:eastAsia="Arial" w:hAnsi="Arial"/>
          <w:sz w:val="22"/>
          <w:szCs w:val="22"/>
          <w:color w:val="auto"/>
        </w:rPr>
        <w:t>,</w:t>
      </w:r>
    </w:p>
    <w:p>
      <w:pPr>
        <w:ind w:left="3020"/>
        <w:spacing w:after="0" w:line="205" w:lineRule="auto"/>
        <w:rPr>
          <w:sz w:val="20"/>
          <w:szCs w:val="20"/>
          <w:color w:val="auto"/>
        </w:rPr>
      </w:pPr>
      <w:r>
        <w:rPr>
          <w:rFonts w:ascii="Arial" w:cs="Arial" w:eastAsia="Arial" w:hAnsi="Arial"/>
          <w:sz w:val="22"/>
          <w:szCs w:val="22"/>
          <w:color w:val="auto"/>
        </w:rPr>
        <w:t>PNC CAPITAL MARKETS LLC,</w:t>
      </w:r>
    </w:p>
    <w:p>
      <w:pPr>
        <w:ind w:left="1420"/>
        <w:spacing w:after="0" w:line="205" w:lineRule="auto"/>
        <w:rPr>
          <w:sz w:val="20"/>
          <w:szCs w:val="20"/>
          <w:color w:val="auto"/>
        </w:rPr>
      </w:pPr>
      <w:r>
        <w:rPr>
          <w:rFonts w:ascii="Arial" w:cs="Arial" w:eastAsia="Arial" w:hAnsi="Arial"/>
          <w:sz w:val="22"/>
          <w:szCs w:val="22"/>
          <w:color w:val="auto"/>
        </w:rPr>
        <w:t>MERRILL LYNCH, PIERCE, FENNER &amp; SMITH INCORPORATED</w:t>
      </w:r>
    </w:p>
    <w:p>
      <w:pPr>
        <w:ind w:left="4360"/>
        <w:spacing w:after="0" w:line="205" w:lineRule="auto"/>
        <w:rPr>
          <w:sz w:val="20"/>
          <w:szCs w:val="20"/>
          <w:color w:val="auto"/>
        </w:rPr>
      </w:pPr>
      <w:r>
        <w:rPr>
          <w:rFonts w:ascii="Arial" w:cs="Arial" w:eastAsia="Arial" w:hAnsi="Arial"/>
          <w:sz w:val="22"/>
          <w:szCs w:val="22"/>
          <w:color w:val="auto"/>
        </w:rPr>
        <w:t>and</w:t>
      </w:r>
    </w:p>
    <w:p>
      <w:pPr>
        <w:ind w:left="3760"/>
        <w:spacing w:after="0" w:line="205" w:lineRule="auto"/>
        <w:rPr>
          <w:sz w:val="20"/>
          <w:szCs w:val="20"/>
          <w:color w:val="auto"/>
        </w:rPr>
      </w:pPr>
      <w:r>
        <w:rPr>
          <w:rFonts w:ascii="Arial" w:cs="Arial" w:eastAsia="Arial" w:hAnsi="Arial"/>
          <w:sz w:val="22"/>
          <w:szCs w:val="22"/>
          <w:color w:val="auto"/>
        </w:rPr>
        <w:t>COBANK, ACB,</w:t>
      </w:r>
    </w:p>
    <w:p>
      <w:pPr>
        <w:ind w:left="2480"/>
        <w:spacing w:after="0"/>
        <w:rPr>
          <w:sz w:val="20"/>
          <w:szCs w:val="20"/>
          <w:color w:val="auto"/>
        </w:rPr>
      </w:pPr>
      <w:r>
        <w:rPr>
          <w:rFonts w:ascii="Arial" w:cs="Arial" w:eastAsia="Arial" w:hAnsi="Arial"/>
          <w:sz w:val="22"/>
          <w:szCs w:val="22"/>
          <w:color w:val="auto"/>
        </w:rPr>
        <w:t>as Joint Lead Arrangers and Joint Bookrunners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RBC CAPITAL MARKETS,</w:t>
      </w:r>
    </w:p>
    <w:p>
      <w:pPr>
        <w:jc w:val="center"/>
        <w:spacing w:after="0"/>
        <w:rPr>
          <w:sz w:val="20"/>
          <w:szCs w:val="20"/>
          <w:color w:val="auto"/>
        </w:rPr>
      </w:pPr>
      <w:r>
        <w:rPr>
          <w:rFonts w:ascii="Arial" w:cs="Arial" w:eastAsia="Arial" w:hAnsi="Arial"/>
          <w:sz w:val="22"/>
          <w:szCs w:val="22"/>
          <w:color w:val="auto"/>
        </w:rPr>
        <w:t>as Syndication Agent</w:t>
      </w:r>
    </w:p>
    <w:p>
      <w:pPr>
        <w:spacing w:after="0" w:line="16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160"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BANK OF AMERICA, N.A.</w:t>
      </w:r>
    </w:p>
    <w:p>
      <w:pPr>
        <w:jc w:val="center"/>
        <w:spacing w:after="0" w:line="205" w:lineRule="auto"/>
        <w:rPr>
          <w:sz w:val="20"/>
          <w:szCs w:val="20"/>
          <w:color w:val="auto"/>
        </w:rPr>
      </w:pPr>
      <w:r>
        <w:rPr>
          <w:rFonts w:ascii="Arial" w:cs="Arial" w:eastAsia="Arial" w:hAnsi="Arial"/>
          <w:sz w:val="22"/>
          <w:szCs w:val="22"/>
          <w:color w:val="auto"/>
        </w:rPr>
        <w:t>and</w:t>
      </w:r>
    </w:p>
    <w:p>
      <w:pPr>
        <w:jc w:val="center"/>
        <w:spacing w:after="0" w:line="205" w:lineRule="auto"/>
        <w:rPr>
          <w:sz w:val="20"/>
          <w:szCs w:val="20"/>
          <w:color w:val="auto"/>
        </w:rPr>
      </w:pPr>
      <w:r>
        <w:rPr>
          <w:rFonts w:ascii="Arial" w:cs="Arial" w:eastAsia="Arial" w:hAnsi="Arial"/>
          <w:sz w:val="22"/>
          <w:szCs w:val="22"/>
          <w:color w:val="auto"/>
        </w:rPr>
        <w:t>COBANK, ACB,</w:t>
      </w:r>
    </w:p>
    <w:p>
      <w:pPr>
        <w:jc w:val="center"/>
        <w:spacing w:after="0"/>
        <w:rPr>
          <w:sz w:val="20"/>
          <w:szCs w:val="20"/>
          <w:color w:val="auto"/>
        </w:rPr>
      </w:pPr>
      <w:r>
        <w:rPr>
          <w:rFonts w:ascii="Arial" w:cs="Arial" w:eastAsia="Arial" w:hAnsi="Arial"/>
          <w:sz w:val="22"/>
          <w:szCs w:val="22"/>
          <w:color w:val="auto"/>
        </w:rPr>
        <w:t>as 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[CS&amp;M Ref. No. 4025-142]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-130175</wp:posOffset>
            </wp:positionV>
            <wp:extent cx="56000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7">
                      <a:extLst>
                        <a:ext uri="{28A0092B-C50C-407E-A947-70E740481C1C}"/>
                      </a:extLst>
                    </a:blip>
                    <a:srcRect/>
                    <a:stretch>
                      <a:fillRect/>
                    </a:stretch>
                  </pic:blipFill>
                  <pic:spPr bwMode="auto">
                    <a:xfrm>
                      <a:off x="0" y="0"/>
                      <a:ext cx="5600065" cy="17145"/>
                    </a:xfrm>
                    <a:prstGeom prst="rect">
                      <a:avLst/>
                    </a:prstGeom>
                    <a:noFill/>
                  </pic:spPr>
                </pic:pic>
              </a:graphicData>
            </a:graphic>
          </wp:anchor>
        </w:drawing>
      </w:r>
    </w:p>
    <w:p>
      <w:pPr>
        <w:spacing w:after="0" w:line="178" w:lineRule="exact"/>
        <w:rPr>
          <w:sz w:val="20"/>
          <w:szCs w:val="20"/>
          <w:color w:val="auto"/>
        </w:rPr>
      </w:pPr>
    </w:p>
    <w:p>
      <w:pPr>
        <w:ind w:left="200" w:hanging="95"/>
        <w:spacing w:after="0"/>
        <w:tabs>
          <w:tab w:leader="none" w:pos="200" w:val="left"/>
        </w:tabs>
        <w:numPr>
          <w:ilvl w:val="0"/>
          <w:numId w:val="108"/>
        </w:numPr>
        <w:rPr>
          <w:rFonts w:ascii="Arial" w:cs="Arial" w:eastAsia="Arial" w:hAnsi="Arial"/>
          <w:sz w:val="17"/>
          <w:szCs w:val="17"/>
          <w:color w:val="auto"/>
          <w:vertAlign w:val="superscript"/>
        </w:rPr>
      </w:pPr>
      <w:r>
        <w:rPr>
          <w:rFonts w:ascii="Arial" w:cs="Arial" w:eastAsia="Arial" w:hAnsi="Arial"/>
          <w:sz w:val="17"/>
          <w:szCs w:val="17"/>
          <w:color w:val="auto"/>
        </w:rPr>
        <w:t>RBC Capital Markets is a brand name for the capital markets activities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146685</wp:posOffset>
            </wp:positionV>
            <wp:extent cx="5642610" cy="514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22"/>
          <w:szCs w:val="22"/>
          <w:color w:val="auto"/>
        </w:rPr>
        <w:t>TABLE OF CONTENTS</w:t>
      </w:r>
    </w:p>
    <w:p>
      <w:pPr>
        <w:spacing w:after="0" w:line="39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580" w:type="dxa"/>
            <w:vAlign w:val="bottom"/>
            <w:gridSpan w:val="5"/>
            <w:vMerge w:val="restart"/>
          </w:tcPr>
          <w:p>
            <w:pPr>
              <w:spacing w:after="0"/>
              <w:rPr>
                <w:rFonts w:ascii="Arial" w:cs="Arial" w:eastAsia="Arial" w:hAnsi="Arial"/>
                <w:sz w:val="20"/>
                <w:szCs w:val="20"/>
                <w:color w:val="0000EE"/>
              </w:rPr>
            </w:pPr>
            <w:hyperlink w:anchor="page188">
              <w:r>
                <w:rPr>
                  <w:rFonts w:ascii="Arial" w:cs="Arial" w:eastAsia="Arial" w:hAnsi="Arial"/>
                  <w:sz w:val="20"/>
                  <w:szCs w:val="20"/>
                  <w:color w:val="0000EE"/>
                </w:rPr>
                <w:t>ARTICLE I DEFINITIONS</w:t>
              </w:r>
            </w:hyperlink>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ind w:right="21"/>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196"/>
        </w:trPr>
        <w:tc>
          <w:tcPr>
            <w:tcW w:w="2580" w:type="dxa"/>
            <w:vAlign w:val="bottom"/>
            <w:gridSpan w:val="5"/>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426"/>
        </w:trPr>
        <w:tc>
          <w:tcPr>
            <w:tcW w:w="800" w:type="dxa"/>
            <w:vAlign w:val="bottom"/>
            <w:tcBorders>
              <w:top w:val="single" w:sz="8" w:color="0000EE"/>
            </w:tcBorders>
          </w:tcPr>
          <w:p>
            <w:pPr>
              <w:spacing w:after="0"/>
              <w:rPr>
                <w:sz w:val="24"/>
                <w:szCs w:val="24"/>
                <w:color w:val="auto"/>
              </w:rPr>
            </w:pPr>
          </w:p>
        </w:tc>
        <w:tc>
          <w:tcPr>
            <w:tcW w:w="1220" w:type="dxa"/>
            <w:vAlign w:val="bottom"/>
            <w:tcBorders>
              <w:top w:val="single" w:sz="8" w:color="0000EE"/>
              <w:bottom w:val="single" w:sz="8" w:color="0000EE"/>
            </w:tcBorders>
          </w:tcPr>
          <w:p>
            <w:pPr>
              <w:spacing w:after="0"/>
              <w:rPr>
                <w:rFonts w:ascii="Arial" w:cs="Arial" w:eastAsia="Arial" w:hAnsi="Arial"/>
                <w:sz w:val="20"/>
                <w:szCs w:val="20"/>
                <w:color w:val="0000EE"/>
                <w:w w:val="88"/>
              </w:rPr>
            </w:pPr>
            <w:hyperlink w:anchor="page188">
              <w:r>
                <w:rPr>
                  <w:rFonts w:ascii="Arial" w:cs="Arial" w:eastAsia="Arial" w:hAnsi="Arial"/>
                  <w:sz w:val="20"/>
                  <w:szCs w:val="20"/>
                  <w:color w:val="0000EE"/>
                  <w:w w:val="88"/>
                </w:rPr>
                <w:t>SECTION 1.01</w:t>
              </w:r>
            </w:hyperlink>
          </w:p>
        </w:tc>
        <w:tc>
          <w:tcPr>
            <w:tcW w:w="200" w:type="dxa"/>
            <w:vAlign w:val="bottom"/>
            <w:tcBorders>
              <w:top w:val="single" w:sz="8" w:color="0000EE"/>
            </w:tcBorders>
          </w:tcPr>
          <w:p>
            <w:pPr>
              <w:spacing w:after="0"/>
              <w:rPr>
                <w:sz w:val="24"/>
                <w:szCs w:val="24"/>
                <w:color w:val="auto"/>
              </w:rPr>
            </w:pPr>
          </w:p>
        </w:tc>
        <w:tc>
          <w:tcPr>
            <w:tcW w:w="360" w:type="dxa"/>
            <w:vAlign w:val="bottom"/>
            <w:gridSpan w:val="2"/>
          </w:tcPr>
          <w:p>
            <w:pPr>
              <w:spacing w:after="0"/>
              <w:rPr>
                <w:sz w:val="24"/>
                <w:szCs w:val="24"/>
                <w:color w:val="auto"/>
              </w:rPr>
            </w:pPr>
          </w:p>
        </w:tc>
        <w:tc>
          <w:tcPr>
            <w:tcW w:w="1120" w:type="dxa"/>
            <w:vAlign w:val="bottom"/>
            <w:tcBorders>
              <w:bottom w:val="single" w:sz="8" w:color="0000EE"/>
            </w:tcBorders>
            <w:gridSpan w:val="8"/>
          </w:tcPr>
          <w:p>
            <w:pPr>
              <w:spacing w:after="0"/>
              <w:rPr>
                <w:rFonts w:ascii="Arial" w:cs="Arial" w:eastAsia="Arial" w:hAnsi="Arial"/>
                <w:sz w:val="20"/>
                <w:szCs w:val="20"/>
                <w:color w:val="0000EE"/>
                <w:w w:val="83"/>
              </w:rPr>
            </w:pPr>
            <w:hyperlink w:anchor="page188">
              <w:r>
                <w:rPr>
                  <w:rFonts w:ascii="Arial" w:cs="Arial" w:eastAsia="Arial" w:hAnsi="Arial"/>
                  <w:sz w:val="20"/>
                  <w:szCs w:val="20"/>
                  <w:color w:val="0000EE"/>
                  <w:w w:val="83"/>
                </w:rPr>
                <w:t>Defined Terms</w:t>
              </w:r>
            </w:hyperlink>
          </w:p>
        </w:tc>
        <w:tc>
          <w:tcPr>
            <w:tcW w:w="4660" w:type="dxa"/>
            <w:vAlign w:val="bottom"/>
            <w:gridSpan w:val="29"/>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18">
              <w:r>
                <w:rPr>
                  <w:rFonts w:ascii="Arial" w:cs="Arial" w:eastAsia="Arial" w:hAnsi="Arial"/>
                  <w:sz w:val="20"/>
                  <w:szCs w:val="20"/>
                  <w:color w:val="0000EE"/>
                  <w:w w:val="88"/>
                </w:rPr>
                <w:t>SECTION 1.02</w:t>
              </w:r>
            </w:hyperlink>
          </w:p>
        </w:tc>
        <w:tc>
          <w:tcPr>
            <w:tcW w:w="560" w:type="dxa"/>
            <w:vAlign w:val="bottom"/>
            <w:gridSpan w:val="3"/>
          </w:tcPr>
          <w:p>
            <w:pPr>
              <w:spacing w:after="0"/>
              <w:rPr>
                <w:sz w:val="18"/>
                <w:szCs w:val="18"/>
                <w:color w:val="auto"/>
              </w:rPr>
            </w:pPr>
          </w:p>
        </w:tc>
        <w:tc>
          <w:tcPr>
            <w:tcW w:w="3100" w:type="dxa"/>
            <w:vAlign w:val="bottom"/>
            <w:tcBorders>
              <w:bottom w:val="single" w:sz="8" w:color="0000EE"/>
            </w:tcBorders>
            <w:gridSpan w:val="29"/>
          </w:tcPr>
          <w:p>
            <w:pPr>
              <w:spacing w:after="0" w:line="209" w:lineRule="exact"/>
              <w:rPr>
                <w:rFonts w:ascii="Arial" w:cs="Arial" w:eastAsia="Arial" w:hAnsi="Arial"/>
                <w:sz w:val="20"/>
                <w:szCs w:val="20"/>
                <w:color w:val="0000EE"/>
                <w:w w:val="89"/>
              </w:rPr>
            </w:pPr>
            <w:hyperlink w:anchor="page218">
              <w:r>
                <w:rPr>
                  <w:rFonts w:ascii="Arial" w:cs="Arial" w:eastAsia="Arial" w:hAnsi="Arial"/>
                  <w:sz w:val="20"/>
                  <w:szCs w:val="20"/>
                  <w:color w:val="0000EE"/>
                  <w:w w:val="89"/>
                </w:rPr>
                <w:t>Classification of Loans and Borrowings</w:t>
              </w:r>
            </w:hyperlink>
          </w:p>
        </w:tc>
        <w:tc>
          <w:tcPr>
            <w:tcW w:w="2680" w:type="dxa"/>
            <w:vAlign w:val="bottom"/>
            <w:gridSpan w:val="8"/>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18">
              <w:r>
                <w:rPr>
                  <w:rFonts w:ascii="Arial" w:cs="Arial" w:eastAsia="Arial" w:hAnsi="Arial"/>
                  <w:sz w:val="20"/>
                  <w:szCs w:val="20"/>
                  <w:color w:val="0000EE"/>
                  <w:w w:val="88"/>
                </w:rPr>
                <w:t>SECTION 1.03</w:t>
              </w:r>
            </w:hyperlink>
          </w:p>
        </w:tc>
        <w:tc>
          <w:tcPr>
            <w:tcW w:w="560" w:type="dxa"/>
            <w:vAlign w:val="bottom"/>
            <w:gridSpan w:val="3"/>
          </w:tcPr>
          <w:p>
            <w:pPr>
              <w:spacing w:after="0"/>
              <w:rPr>
                <w:sz w:val="18"/>
                <w:szCs w:val="18"/>
                <w:color w:val="auto"/>
              </w:rPr>
            </w:pPr>
          </w:p>
        </w:tc>
        <w:tc>
          <w:tcPr>
            <w:tcW w:w="1260" w:type="dxa"/>
            <w:vAlign w:val="bottom"/>
            <w:tcBorders>
              <w:bottom w:val="single" w:sz="8" w:color="0000EE"/>
            </w:tcBorders>
            <w:gridSpan w:val="10"/>
          </w:tcPr>
          <w:p>
            <w:pPr>
              <w:spacing w:after="0" w:line="209" w:lineRule="exact"/>
              <w:rPr>
                <w:rFonts w:ascii="Arial" w:cs="Arial" w:eastAsia="Arial" w:hAnsi="Arial"/>
                <w:sz w:val="20"/>
                <w:szCs w:val="20"/>
                <w:color w:val="0000EE"/>
                <w:w w:val="83"/>
              </w:rPr>
            </w:pPr>
            <w:hyperlink w:anchor="page218">
              <w:r>
                <w:rPr>
                  <w:rFonts w:ascii="Arial" w:cs="Arial" w:eastAsia="Arial" w:hAnsi="Arial"/>
                  <w:sz w:val="20"/>
                  <w:szCs w:val="20"/>
                  <w:color w:val="0000EE"/>
                  <w:w w:val="83"/>
                </w:rPr>
                <w:t>Terms Generally</w:t>
              </w:r>
            </w:hyperlink>
          </w:p>
        </w:tc>
        <w:tc>
          <w:tcPr>
            <w:tcW w:w="4520" w:type="dxa"/>
            <w:vAlign w:val="bottom"/>
            <w:gridSpan w:val="27"/>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spacing w:after="0" w:line="209" w:lineRule="exact"/>
              <w:rPr>
                <w:rFonts w:ascii="Arial" w:cs="Arial" w:eastAsia="Arial" w:hAnsi="Arial"/>
                <w:sz w:val="20"/>
                <w:szCs w:val="20"/>
                <w:color w:val="0000EE"/>
                <w:w w:val="88"/>
              </w:rPr>
            </w:pPr>
            <w:hyperlink w:anchor="page219">
              <w:r>
                <w:rPr>
                  <w:rFonts w:ascii="Arial" w:cs="Arial" w:eastAsia="Arial" w:hAnsi="Arial"/>
                  <w:sz w:val="20"/>
                  <w:szCs w:val="20"/>
                  <w:color w:val="0000EE"/>
                  <w:w w:val="88"/>
                </w:rPr>
                <w:t>SECTION 1.04</w:t>
              </w:r>
            </w:hyperlink>
          </w:p>
        </w:tc>
        <w:tc>
          <w:tcPr>
            <w:tcW w:w="560" w:type="dxa"/>
            <w:vAlign w:val="bottom"/>
            <w:gridSpan w:val="3"/>
          </w:tcPr>
          <w:p>
            <w:pPr>
              <w:spacing w:after="0"/>
              <w:rPr>
                <w:sz w:val="18"/>
                <w:szCs w:val="18"/>
                <w:color w:val="auto"/>
              </w:rPr>
            </w:pPr>
          </w:p>
        </w:tc>
        <w:tc>
          <w:tcPr>
            <w:tcW w:w="5780" w:type="dxa"/>
            <w:vAlign w:val="bottom"/>
            <w:gridSpan w:val="37"/>
          </w:tcPr>
          <w:p>
            <w:pPr>
              <w:spacing w:after="0" w:line="209" w:lineRule="exact"/>
              <w:rPr>
                <w:rFonts w:ascii="Arial" w:cs="Arial" w:eastAsia="Arial" w:hAnsi="Arial"/>
                <w:sz w:val="20"/>
                <w:szCs w:val="20"/>
                <w:color w:val="0000EE"/>
              </w:rPr>
            </w:pPr>
            <w:hyperlink w:anchor="page219">
              <w:r>
                <w:rPr>
                  <w:rFonts w:ascii="Arial" w:cs="Arial" w:eastAsia="Arial" w:hAnsi="Arial"/>
                  <w:sz w:val="20"/>
                  <w:szCs w:val="20"/>
                  <w:color w:val="0000EE"/>
                </w:rPr>
                <w:t>Accounting Terms; GAAP; Pro Forma Calculations</w:t>
              </w:r>
            </w:hyperlink>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8"/>
              </w:rPr>
            </w:pPr>
            <w:hyperlink w:anchor="page220">
              <w:r>
                <w:rPr>
                  <w:rFonts w:ascii="Arial" w:cs="Arial" w:eastAsia="Arial" w:hAnsi="Arial"/>
                  <w:sz w:val="20"/>
                  <w:szCs w:val="20"/>
                  <w:color w:val="0000EE"/>
                  <w:w w:val="88"/>
                </w:rPr>
                <w:t>SECTION 1.05</w:t>
              </w:r>
            </w:hyperlink>
          </w:p>
        </w:tc>
        <w:tc>
          <w:tcPr>
            <w:tcW w:w="560" w:type="dxa"/>
            <w:vAlign w:val="bottom"/>
            <w:gridSpan w:val="3"/>
          </w:tcPr>
          <w:p>
            <w:pPr>
              <w:spacing w:after="0"/>
              <w:rPr>
                <w:sz w:val="18"/>
                <w:szCs w:val="18"/>
                <w:color w:val="auto"/>
              </w:rPr>
            </w:pPr>
          </w:p>
        </w:tc>
        <w:tc>
          <w:tcPr>
            <w:tcW w:w="2480" w:type="dxa"/>
            <w:vAlign w:val="bottom"/>
            <w:tcBorders>
              <w:top w:val="single" w:sz="8" w:color="0000EE"/>
              <w:bottom w:val="single" w:sz="8" w:color="0000EE"/>
            </w:tcBorders>
            <w:gridSpan w:val="26"/>
          </w:tcPr>
          <w:p>
            <w:pPr>
              <w:spacing w:after="0" w:line="209" w:lineRule="exact"/>
              <w:rPr>
                <w:rFonts w:ascii="Arial" w:cs="Arial" w:eastAsia="Arial" w:hAnsi="Arial"/>
                <w:sz w:val="20"/>
                <w:szCs w:val="20"/>
                <w:color w:val="0000EE"/>
                <w:w w:val="87"/>
              </w:rPr>
            </w:pPr>
            <w:hyperlink w:anchor="page220">
              <w:r>
                <w:rPr>
                  <w:rFonts w:ascii="Arial" w:cs="Arial" w:eastAsia="Arial" w:hAnsi="Arial"/>
                  <w:sz w:val="20"/>
                  <w:szCs w:val="20"/>
                  <w:color w:val="0000EE"/>
                  <w:w w:val="87"/>
                </w:rPr>
                <w:t>Effectuation of the Transactions</w:t>
              </w:r>
            </w:hyperlink>
          </w:p>
        </w:tc>
        <w:tc>
          <w:tcPr>
            <w:tcW w:w="1540" w:type="dxa"/>
            <w:vAlign w:val="bottom"/>
            <w:tcBorders>
              <w:top w:val="single" w:sz="8" w:color="0000EE"/>
            </w:tcBorders>
            <w:gridSpan w:val="8"/>
          </w:tcPr>
          <w:p>
            <w:pPr>
              <w:spacing w:after="0"/>
              <w:rPr>
                <w:sz w:val="18"/>
                <w:szCs w:val="18"/>
                <w:color w:val="auto"/>
              </w:rPr>
            </w:pPr>
          </w:p>
        </w:tc>
        <w:tc>
          <w:tcPr>
            <w:tcW w:w="1760" w:type="dxa"/>
            <w:vAlign w:val="bottom"/>
            <w:gridSpan w:val="3"/>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spacing w:after="0" w:line="209" w:lineRule="exact"/>
              <w:rPr>
                <w:rFonts w:ascii="Arial" w:cs="Arial" w:eastAsia="Arial" w:hAnsi="Arial"/>
                <w:sz w:val="20"/>
                <w:szCs w:val="20"/>
                <w:color w:val="0000EE"/>
                <w:w w:val="88"/>
              </w:rPr>
            </w:pPr>
            <w:hyperlink w:anchor="page220">
              <w:r>
                <w:rPr>
                  <w:rFonts w:ascii="Arial" w:cs="Arial" w:eastAsia="Arial" w:hAnsi="Arial"/>
                  <w:sz w:val="20"/>
                  <w:szCs w:val="20"/>
                  <w:color w:val="0000EE"/>
                  <w:w w:val="88"/>
                </w:rPr>
                <w:t>SECTION 1.06</w:t>
              </w:r>
            </w:hyperlink>
          </w:p>
        </w:tc>
        <w:tc>
          <w:tcPr>
            <w:tcW w:w="560" w:type="dxa"/>
            <w:vAlign w:val="bottom"/>
            <w:gridSpan w:val="3"/>
          </w:tcPr>
          <w:p>
            <w:pPr>
              <w:spacing w:after="0"/>
              <w:rPr>
                <w:sz w:val="18"/>
                <w:szCs w:val="18"/>
                <w:color w:val="auto"/>
              </w:rPr>
            </w:pPr>
          </w:p>
        </w:tc>
        <w:tc>
          <w:tcPr>
            <w:tcW w:w="5780" w:type="dxa"/>
            <w:vAlign w:val="bottom"/>
            <w:gridSpan w:val="37"/>
          </w:tcPr>
          <w:p>
            <w:pPr>
              <w:spacing w:after="0" w:line="209" w:lineRule="exact"/>
              <w:rPr>
                <w:rFonts w:ascii="Arial" w:cs="Arial" w:eastAsia="Arial" w:hAnsi="Arial"/>
                <w:sz w:val="20"/>
                <w:szCs w:val="20"/>
                <w:color w:val="0000EE"/>
              </w:rPr>
            </w:pPr>
            <w:hyperlink w:anchor="page220">
              <w:r>
                <w:rPr>
                  <w:rFonts w:ascii="Arial" w:cs="Arial" w:eastAsia="Arial" w:hAnsi="Arial"/>
                  <w:sz w:val="20"/>
                  <w:szCs w:val="20"/>
                  <w:color w:val="0000EE"/>
                </w:rPr>
                <w:t>Negative Covenant Compliance</w:t>
              </w:r>
            </w:hyperlink>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spacing w:after="0" w:line="209" w:lineRule="exact"/>
              <w:rPr>
                <w:rFonts w:ascii="Arial" w:cs="Arial" w:eastAsia="Arial" w:hAnsi="Arial"/>
                <w:sz w:val="20"/>
                <w:szCs w:val="20"/>
                <w:color w:val="0000EE"/>
                <w:w w:val="88"/>
              </w:rPr>
            </w:pPr>
            <w:hyperlink w:anchor="page220">
              <w:r>
                <w:rPr>
                  <w:rFonts w:ascii="Arial" w:cs="Arial" w:eastAsia="Arial" w:hAnsi="Arial"/>
                  <w:sz w:val="20"/>
                  <w:szCs w:val="20"/>
                  <w:color w:val="0000EE"/>
                  <w:w w:val="88"/>
                </w:rPr>
                <w:t>SECTION 1.07</w:t>
              </w:r>
            </w:hyperlink>
          </w:p>
        </w:tc>
        <w:tc>
          <w:tcPr>
            <w:tcW w:w="560" w:type="dxa"/>
            <w:vAlign w:val="bottom"/>
            <w:gridSpan w:val="3"/>
          </w:tcPr>
          <w:p>
            <w:pPr>
              <w:spacing w:after="0"/>
              <w:rPr>
                <w:sz w:val="18"/>
                <w:szCs w:val="18"/>
                <w:color w:val="auto"/>
              </w:rPr>
            </w:pPr>
          </w:p>
        </w:tc>
        <w:tc>
          <w:tcPr>
            <w:tcW w:w="5780" w:type="dxa"/>
            <w:vAlign w:val="bottom"/>
            <w:gridSpan w:val="37"/>
          </w:tcPr>
          <w:p>
            <w:pPr>
              <w:spacing w:after="0" w:line="209" w:lineRule="exact"/>
              <w:rPr>
                <w:rFonts w:ascii="Arial" w:cs="Arial" w:eastAsia="Arial" w:hAnsi="Arial"/>
                <w:sz w:val="20"/>
                <w:szCs w:val="20"/>
                <w:color w:val="0000EE"/>
              </w:rPr>
            </w:pPr>
            <w:hyperlink w:anchor="page220">
              <w:r>
                <w:rPr>
                  <w:rFonts w:ascii="Arial" w:cs="Arial" w:eastAsia="Arial" w:hAnsi="Arial"/>
                  <w:sz w:val="20"/>
                  <w:szCs w:val="20"/>
                  <w:color w:val="0000EE"/>
                </w:rPr>
                <w:t>Timing of Payment or Performance</w:t>
              </w:r>
            </w:hyperlink>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8"/>
              </w:rPr>
            </w:pPr>
            <w:hyperlink w:anchor="page221">
              <w:r>
                <w:rPr>
                  <w:rFonts w:ascii="Arial" w:cs="Arial" w:eastAsia="Arial" w:hAnsi="Arial"/>
                  <w:sz w:val="20"/>
                  <w:szCs w:val="20"/>
                  <w:color w:val="0000EE"/>
                  <w:w w:val="88"/>
                </w:rPr>
                <w:t>SECTION 1.08</w:t>
              </w:r>
            </w:hyperlink>
          </w:p>
        </w:tc>
        <w:tc>
          <w:tcPr>
            <w:tcW w:w="560" w:type="dxa"/>
            <w:vAlign w:val="bottom"/>
            <w:gridSpan w:val="3"/>
          </w:tcPr>
          <w:p>
            <w:pPr>
              <w:spacing w:after="0"/>
              <w:rPr>
                <w:sz w:val="18"/>
                <w:szCs w:val="18"/>
                <w:color w:val="auto"/>
              </w:rPr>
            </w:pPr>
          </w:p>
        </w:tc>
        <w:tc>
          <w:tcPr>
            <w:tcW w:w="720" w:type="dxa"/>
            <w:vAlign w:val="bottom"/>
            <w:tcBorders>
              <w:top w:val="single" w:sz="8" w:color="0000EE"/>
              <w:bottom w:val="single" w:sz="8" w:color="0000EE"/>
            </w:tcBorders>
            <w:gridSpan w:val="4"/>
          </w:tcPr>
          <w:p>
            <w:pPr>
              <w:spacing w:after="0" w:line="209" w:lineRule="exact"/>
              <w:rPr>
                <w:rFonts w:ascii="Arial" w:cs="Arial" w:eastAsia="Arial" w:hAnsi="Arial"/>
                <w:sz w:val="20"/>
                <w:szCs w:val="20"/>
                <w:color w:val="0000EE"/>
                <w:w w:val="81"/>
              </w:rPr>
            </w:pPr>
            <w:hyperlink w:anchor="page221">
              <w:r>
                <w:rPr>
                  <w:rFonts w:ascii="Arial" w:cs="Arial" w:eastAsia="Arial" w:hAnsi="Arial"/>
                  <w:sz w:val="20"/>
                  <w:szCs w:val="20"/>
                  <w:color w:val="0000EE"/>
                  <w:w w:val="81"/>
                </w:rPr>
                <w:t>Rounding</w:t>
              </w:r>
            </w:hyperlink>
          </w:p>
        </w:tc>
        <w:tc>
          <w:tcPr>
            <w:tcW w:w="2020" w:type="dxa"/>
            <w:vAlign w:val="bottom"/>
            <w:tcBorders>
              <w:top w:val="single" w:sz="8" w:color="0000EE"/>
            </w:tcBorders>
            <w:gridSpan w:val="23"/>
          </w:tcPr>
          <w:p>
            <w:pPr>
              <w:spacing w:after="0"/>
              <w:rPr>
                <w:sz w:val="18"/>
                <w:szCs w:val="18"/>
                <w:color w:val="auto"/>
              </w:rPr>
            </w:pPr>
          </w:p>
        </w:tc>
        <w:tc>
          <w:tcPr>
            <w:tcW w:w="3040" w:type="dxa"/>
            <w:vAlign w:val="bottom"/>
            <w:gridSpan w:val="10"/>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21">
              <w:r>
                <w:rPr>
                  <w:rFonts w:ascii="Arial" w:cs="Arial" w:eastAsia="Arial" w:hAnsi="Arial"/>
                  <w:sz w:val="20"/>
                  <w:szCs w:val="20"/>
                  <w:color w:val="0000EE"/>
                  <w:w w:val="88"/>
                </w:rPr>
                <w:t>SECTION 1.09</w:t>
              </w:r>
            </w:hyperlink>
          </w:p>
        </w:tc>
        <w:tc>
          <w:tcPr>
            <w:tcW w:w="560" w:type="dxa"/>
            <w:vAlign w:val="bottom"/>
            <w:gridSpan w:val="3"/>
          </w:tcPr>
          <w:p>
            <w:pPr>
              <w:spacing w:after="0"/>
              <w:rPr>
                <w:sz w:val="18"/>
                <w:szCs w:val="18"/>
                <w:color w:val="auto"/>
              </w:rPr>
            </w:pPr>
          </w:p>
        </w:tc>
        <w:tc>
          <w:tcPr>
            <w:tcW w:w="1020" w:type="dxa"/>
            <w:vAlign w:val="bottom"/>
            <w:tcBorders>
              <w:bottom w:val="single" w:sz="8" w:color="0000EE"/>
            </w:tcBorders>
            <w:gridSpan w:val="6"/>
          </w:tcPr>
          <w:p>
            <w:pPr>
              <w:spacing w:after="0" w:line="209" w:lineRule="exact"/>
              <w:rPr>
                <w:rFonts w:ascii="Arial" w:cs="Arial" w:eastAsia="Arial" w:hAnsi="Arial"/>
                <w:sz w:val="20"/>
                <w:szCs w:val="20"/>
                <w:color w:val="0000EE"/>
                <w:w w:val="86"/>
              </w:rPr>
            </w:pPr>
            <w:hyperlink w:anchor="page221">
              <w:r>
                <w:rPr>
                  <w:rFonts w:ascii="Arial" w:cs="Arial" w:eastAsia="Arial" w:hAnsi="Arial"/>
                  <w:sz w:val="20"/>
                  <w:szCs w:val="20"/>
                  <w:color w:val="0000EE"/>
                  <w:w w:val="86"/>
                </w:rPr>
                <w:t>Certifications</w:t>
              </w:r>
            </w:hyperlink>
          </w:p>
        </w:tc>
        <w:tc>
          <w:tcPr>
            <w:tcW w:w="4760" w:type="dxa"/>
            <w:vAlign w:val="bottom"/>
            <w:gridSpan w:val="31"/>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426"/>
        </w:trPr>
        <w:tc>
          <w:tcPr>
            <w:tcW w:w="2320" w:type="dxa"/>
            <w:vAlign w:val="bottom"/>
            <w:tcBorders>
              <w:bottom w:val="single" w:sz="8" w:color="0000EE"/>
            </w:tcBorders>
            <w:gridSpan w:val="4"/>
          </w:tcPr>
          <w:p>
            <w:pPr>
              <w:spacing w:after="0"/>
              <w:rPr>
                <w:rFonts w:ascii="Arial" w:cs="Arial" w:eastAsia="Arial" w:hAnsi="Arial"/>
                <w:sz w:val="20"/>
                <w:szCs w:val="20"/>
                <w:color w:val="0000EE"/>
                <w:w w:val="95"/>
              </w:rPr>
            </w:pPr>
            <w:hyperlink w:anchor="page221">
              <w:r>
                <w:rPr>
                  <w:rFonts w:ascii="Arial" w:cs="Arial" w:eastAsia="Arial" w:hAnsi="Arial"/>
                  <w:sz w:val="20"/>
                  <w:szCs w:val="20"/>
                  <w:color w:val="0000EE"/>
                  <w:w w:val="95"/>
                </w:rPr>
                <w:t>ARTICLE II THE CREDITS</w:t>
              </w:r>
            </w:hyperlink>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426"/>
        </w:trPr>
        <w:tc>
          <w:tcPr>
            <w:tcW w:w="800" w:type="dxa"/>
            <w:vAlign w:val="bottom"/>
          </w:tcPr>
          <w:p>
            <w:pPr>
              <w:spacing w:after="0"/>
              <w:rPr>
                <w:sz w:val="24"/>
                <w:szCs w:val="24"/>
                <w:color w:val="auto"/>
              </w:rPr>
            </w:pPr>
          </w:p>
        </w:tc>
        <w:tc>
          <w:tcPr>
            <w:tcW w:w="1220" w:type="dxa"/>
            <w:vAlign w:val="bottom"/>
            <w:tcBorders>
              <w:bottom w:val="single" w:sz="8" w:color="0000EE"/>
            </w:tcBorders>
          </w:tcPr>
          <w:p>
            <w:pPr>
              <w:spacing w:after="0"/>
              <w:rPr>
                <w:rFonts w:ascii="Arial" w:cs="Arial" w:eastAsia="Arial" w:hAnsi="Arial"/>
                <w:sz w:val="20"/>
                <w:szCs w:val="20"/>
                <w:color w:val="0000EE"/>
                <w:w w:val="88"/>
              </w:rPr>
            </w:pPr>
            <w:hyperlink w:anchor="page221">
              <w:r>
                <w:rPr>
                  <w:rFonts w:ascii="Arial" w:cs="Arial" w:eastAsia="Arial" w:hAnsi="Arial"/>
                  <w:sz w:val="20"/>
                  <w:szCs w:val="20"/>
                  <w:color w:val="0000EE"/>
                  <w:w w:val="88"/>
                </w:rPr>
                <w:t>SECTION 2.01</w:t>
              </w:r>
            </w:hyperlink>
          </w:p>
        </w:tc>
        <w:tc>
          <w:tcPr>
            <w:tcW w:w="560" w:type="dxa"/>
            <w:vAlign w:val="bottom"/>
            <w:gridSpan w:val="3"/>
          </w:tcPr>
          <w:p>
            <w:pPr>
              <w:spacing w:after="0"/>
              <w:rPr>
                <w:sz w:val="24"/>
                <w:szCs w:val="24"/>
                <w:color w:val="auto"/>
              </w:rPr>
            </w:pPr>
          </w:p>
        </w:tc>
        <w:tc>
          <w:tcPr>
            <w:tcW w:w="1060" w:type="dxa"/>
            <w:vAlign w:val="bottom"/>
            <w:tcBorders>
              <w:bottom w:val="single" w:sz="8" w:color="0000EE"/>
            </w:tcBorders>
            <w:gridSpan w:val="7"/>
          </w:tcPr>
          <w:p>
            <w:pPr>
              <w:spacing w:after="0"/>
              <w:rPr>
                <w:rFonts w:ascii="Arial" w:cs="Arial" w:eastAsia="Arial" w:hAnsi="Arial"/>
                <w:sz w:val="20"/>
                <w:szCs w:val="20"/>
                <w:color w:val="0000EE"/>
                <w:w w:val="84"/>
              </w:rPr>
            </w:pPr>
            <w:hyperlink w:anchor="page221">
              <w:r>
                <w:rPr>
                  <w:rFonts w:ascii="Arial" w:cs="Arial" w:eastAsia="Arial" w:hAnsi="Arial"/>
                  <w:sz w:val="20"/>
                  <w:szCs w:val="20"/>
                  <w:color w:val="0000EE"/>
                  <w:w w:val="84"/>
                </w:rPr>
                <w:t>Commitments</w:t>
              </w:r>
            </w:hyperlink>
          </w:p>
        </w:tc>
        <w:tc>
          <w:tcPr>
            <w:tcW w:w="4720" w:type="dxa"/>
            <w:vAlign w:val="bottom"/>
            <w:gridSpan w:val="30"/>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21">
              <w:r>
                <w:rPr>
                  <w:rFonts w:ascii="Arial" w:cs="Arial" w:eastAsia="Arial" w:hAnsi="Arial"/>
                  <w:sz w:val="20"/>
                  <w:szCs w:val="20"/>
                  <w:color w:val="0000EE"/>
                  <w:w w:val="88"/>
                </w:rPr>
                <w:t>SECTION 2.02</w:t>
              </w:r>
            </w:hyperlink>
          </w:p>
        </w:tc>
        <w:tc>
          <w:tcPr>
            <w:tcW w:w="560" w:type="dxa"/>
            <w:vAlign w:val="bottom"/>
            <w:gridSpan w:val="3"/>
          </w:tcPr>
          <w:p>
            <w:pPr>
              <w:spacing w:after="0"/>
              <w:rPr>
                <w:sz w:val="18"/>
                <w:szCs w:val="18"/>
                <w:color w:val="auto"/>
              </w:rPr>
            </w:pPr>
          </w:p>
        </w:tc>
        <w:tc>
          <w:tcPr>
            <w:tcW w:w="1740" w:type="dxa"/>
            <w:vAlign w:val="bottom"/>
            <w:tcBorders>
              <w:bottom w:val="single" w:sz="8" w:color="0000EE"/>
            </w:tcBorders>
            <w:gridSpan w:val="16"/>
          </w:tcPr>
          <w:p>
            <w:pPr>
              <w:spacing w:after="0" w:line="209" w:lineRule="exact"/>
              <w:rPr>
                <w:rFonts w:ascii="Arial" w:cs="Arial" w:eastAsia="Arial" w:hAnsi="Arial"/>
                <w:sz w:val="20"/>
                <w:szCs w:val="20"/>
                <w:color w:val="0000EE"/>
                <w:w w:val="86"/>
              </w:rPr>
            </w:pPr>
            <w:hyperlink w:anchor="page221">
              <w:r>
                <w:rPr>
                  <w:rFonts w:ascii="Arial" w:cs="Arial" w:eastAsia="Arial" w:hAnsi="Arial"/>
                  <w:sz w:val="20"/>
                  <w:szCs w:val="20"/>
                  <w:color w:val="0000EE"/>
                  <w:w w:val="86"/>
                </w:rPr>
                <w:t>Loans and Borrowings</w:t>
              </w:r>
            </w:hyperlink>
          </w:p>
        </w:tc>
        <w:tc>
          <w:tcPr>
            <w:tcW w:w="4040" w:type="dxa"/>
            <w:vAlign w:val="bottom"/>
            <w:gridSpan w:val="21"/>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22">
              <w:r>
                <w:rPr>
                  <w:rFonts w:ascii="Arial" w:cs="Arial" w:eastAsia="Arial" w:hAnsi="Arial"/>
                  <w:sz w:val="20"/>
                  <w:szCs w:val="20"/>
                  <w:color w:val="0000EE"/>
                  <w:w w:val="88"/>
                </w:rPr>
                <w:t>SECTION 2.03</w:t>
              </w:r>
            </w:hyperlink>
          </w:p>
        </w:tc>
        <w:tc>
          <w:tcPr>
            <w:tcW w:w="560" w:type="dxa"/>
            <w:vAlign w:val="bottom"/>
            <w:gridSpan w:val="3"/>
          </w:tcPr>
          <w:p>
            <w:pPr>
              <w:spacing w:after="0"/>
              <w:rPr>
                <w:sz w:val="18"/>
                <w:szCs w:val="18"/>
                <w:color w:val="auto"/>
              </w:rPr>
            </w:pPr>
          </w:p>
        </w:tc>
        <w:tc>
          <w:tcPr>
            <w:tcW w:w="1920" w:type="dxa"/>
            <w:vAlign w:val="bottom"/>
            <w:tcBorders>
              <w:bottom w:val="single" w:sz="8" w:color="0000EE"/>
            </w:tcBorders>
            <w:gridSpan w:val="18"/>
          </w:tcPr>
          <w:p>
            <w:pPr>
              <w:spacing w:after="0" w:line="209" w:lineRule="exact"/>
              <w:rPr>
                <w:rFonts w:ascii="Arial" w:cs="Arial" w:eastAsia="Arial" w:hAnsi="Arial"/>
                <w:sz w:val="20"/>
                <w:szCs w:val="20"/>
                <w:color w:val="0000EE"/>
                <w:w w:val="86"/>
              </w:rPr>
            </w:pPr>
            <w:hyperlink w:anchor="page222">
              <w:r>
                <w:rPr>
                  <w:rFonts w:ascii="Arial" w:cs="Arial" w:eastAsia="Arial" w:hAnsi="Arial"/>
                  <w:sz w:val="20"/>
                  <w:szCs w:val="20"/>
                  <w:color w:val="0000EE"/>
                  <w:w w:val="86"/>
                </w:rPr>
                <w:t>Requests for Borrowings</w:t>
              </w:r>
            </w:hyperlink>
          </w:p>
        </w:tc>
        <w:tc>
          <w:tcPr>
            <w:tcW w:w="3860" w:type="dxa"/>
            <w:vAlign w:val="bottom"/>
            <w:gridSpan w:val="19"/>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23">
              <w:r>
                <w:rPr>
                  <w:rFonts w:ascii="Arial" w:cs="Arial" w:eastAsia="Arial" w:hAnsi="Arial"/>
                  <w:sz w:val="20"/>
                  <w:szCs w:val="20"/>
                  <w:color w:val="0000EE"/>
                  <w:w w:val="88"/>
                </w:rPr>
                <w:t>SECTION 2.04</w:t>
              </w:r>
            </w:hyperlink>
          </w:p>
        </w:tc>
        <w:tc>
          <w:tcPr>
            <w:tcW w:w="560" w:type="dxa"/>
            <w:vAlign w:val="bottom"/>
            <w:gridSpan w:val="3"/>
          </w:tcPr>
          <w:p>
            <w:pPr>
              <w:spacing w:after="0"/>
              <w:rPr>
                <w:sz w:val="18"/>
                <w:szCs w:val="18"/>
                <w:color w:val="auto"/>
              </w:rPr>
            </w:pPr>
          </w:p>
        </w:tc>
        <w:tc>
          <w:tcPr>
            <w:tcW w:w="1280" w:type="dxa"/>
            <w:vAlign w:val="bottom"/>
            <w:tcBorders>
              <w:bottom w:val="single" w:sz="8" w:color="0000EE"/>
            </w:tcBorders>
            <w:gridSpan w:val="11"/>
          </w:tcPr>
          <w:p>
            <w:pPr>
              <w:spacing w:after="0" w:line="209" w:lineRule="exact"/>
              <w:rPr>
                <w:rFonts w:ascii="Arial" w:cs="Arial" w:eastAsia="Arial" w:hAnsi="Arial"/>
                <w:sz w:val="20"/>
                <w:szCs w:val="20"/>
                <w:color w:val="0000EE"/>
                <w:w w:val="86"/>
              </w:rPr>
            </w:pPr>
            <w:hyperlink w:anchor="page223">
              <w:r>
                <w:rPr>
                  <w:rFonts w:ascii="Arial" w:cs="Arial" w:eastAsia="Arial" w:hAnsi="Arial"/>
                  <w:sz w:val="20"/>
                  <w:szCs w:val="20"/>
                  <w:color w:val="0000EE"/>
                  <w:w w:val="86"/>
                </w:rPr>
                <w:t>Swingline Loans</w:t>
              </w:r>
            </w:hyperlink>
          </w:p>
        </w:tc>
        <w:tc>
          <w:tcPr>
            <w:tcW w:w="4500" w:type="dxa"/>
            <w:vAlign w:val="bottom"/>
            <w:gridSpan w:val="26"/>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spacing w:after="0" w:line="209" w:lineRule="exact"/>
              <w:rPr>
                <w:rFonts w:ascii="Arial" w:cs="Arial" w:eastAsia="Arial" w:hAnsi="Arial"/>
                <w:sz w:val="20"/>
                <w:szCs w:val="20"/>
                <w:color w:val="0000EE"/>
                <w:w w:val="88"/>
              </w:rPr>
            </w:pPr>
            <w:hyperlink w:anchor="page226">
              <w:r>
                <w:rPr>
                  <w:rFonts w:ascii="Arial" w:cs="Arial" w:eastAsia="Arial" w:hAnsi="Arial"/>
                  <w:sz w:val="20"/>
                  <w:szCs w:val="20"/>
                  <w:color w:val="0000EE"/>
                  <w:w w:val="88"/>
                </w:rPr>
                <w:t>SECTION 2.05</w:t>
              </w:r>
            </w:hyperlink>
          </w:p>
        </w:tc>
        <w:tc>
          <w:tcPr>
            <w:tcW w:w="560" w:type="dxa"/>
            <w:vAlign w:val="bottom"/>
            <w:gridSpan w:val="3"/>
          </w:tcPr>
          <w:p>
            <w:pPr>
              <w:spacing w:after="0"/>
              <w:rPr>
                <w:sz w:val="18"/>
                <w:szCs w:val="18"/>
                <w:color w:val="auto"/>
              </w:rPr>
            </w:pPr>
          </w:p>
        </w:tc>
        <w:tc>
          <w:tcPr>
            <w:tcW w:w="5780" w:type="dxa"/>
            <w:vAlign w:val="bottom"/>
            <w:gridSpan w:val="37"/>
          </w:tcPr>
          <w:p>
            <w:pPr>
              <w:spacing w:after="0" w:line="209" w:lineRule="exact"/>
              <w:rPr>
                <w:rFonts w:ascii="Arial" w:cs="Arial" w:eastAsia="Arial" w:hAnsi="Arial"/>
                <w:sz w:val="20"/>
                <w:szCs w:val="20"/>
                <w:color w:val="0000EE"/>
              </w:rPr>
            </w:pPr>
            <w:hyperlink w:anchor="page226">
              <w:r>
                <w:rPr>
                  <w:rFonts w:ascii="Arial" w:cs="Arial" w:eastAsia="Arial" w:hAnsi="Arial"/>
                  <w:sz w:val="20"/>
                  <w:szCs w:val="20"/>
                  <w:color w:val="0000EE"/>
                </w:rPr>
                <w:t>Letters of Credit</w:t>
              </w:r>
            </w:hyperlink>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3"/>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33">
              <w:r>
                <w:rPr>
                  <w:rFonts w:ascii="Arial" w:cs="Arial" w:eastAsia="Arial" w:hAnsi="Arial"/>
                  <w:sz w:val="20"/>
                  <w:szCs w:val="20"/>
                  <w:color w:val="0000EE"/>
                  <w:w w:val="88"/>
                </w:rPr>
                <w:t>SECTION 2.06</w:t>
              </w:r>
            </w:hyperlink>
          </w:p>
        </w:tc>
        <w:tc>
          <w:tcPr>
            <w:tcW w:w="560" w:type="dxa"/>
            <w:vAlign w:val="bottom"/>
            <w:gridSpan w:val="3"/>
          </w:tcPr>
          <w:p>
            <w:pPr>
              <w:spacing w:after="0"/>
              <w:rPr>
                <w:sz w:val="18"/>
                <w:szCs w:val="18"/>
                <w:color w:val="auto"/>
              </w:rPr>
            </w:pPr>
          </w:p>
        </w:tc>
        <w:tc>
          <w:tcPr>
            <w:tcW w:w="1800" w:type="dxa"/>
            <w:vAlign w:val="bottom"/>
            <w:tcBorders>
              <w:bottom w:val="single" w:sz="8" w:color="0000EE"/>
            </w:tcBorders>
            <w:gridSpan w:val="17"/>
          </w:tcPr>
          <w:p>
            <w:pPr>
              <w:spacing w:after="0" w:line="209" w:lineRule="exact"/>
              <w:rPr>
                <w:rFonts w:ascii="Arial" w:cs="Arial" w:eastAsia="Arial" w:hAnsi="Arial"/>
                <w:sz w:val="20"/>
                <w:szCs w:val="20"/>
                <w:color w:val="0000EE"/>
                <w:w w:val="88"/>
              </w:rPr>
            </w:pPr>
            <w:hyperlink w:anchor="page233">
              <w:r>
                <w:rPr>
                  <w:rFonts w:ascii="Arial" w:cs="Arial" w:eastAsia="Arial" w:hAnsi="Arial"/>
                  <w:sz w:val="20"/>
                  <w:szCs w:val="20"/>
                  <w:color w:val="0000EE"/>
                  <w:w w:val="88"/>
                </w:rPr>
                <w:t>Funding of Borrowings</w:t>
              </w:r>
            </w:hyperlink>
          </w:p>
        </w:tc>
        <w:tc>
          <w:tcPr>
            <w:tcW w:w="3980" w:type="dxa"/>
            <w:vAlign w:val="bottom"/>
            <w:gridSpan w:val="20"/>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34">
              <w:r>
                <w:rPr>
                  <w:rFonts w:ascii="Arial" w:cs="Arial" w:eastAsia="Arial" w:hAnsi="Arial"/>
                  <w:sz w:val="20"/>
                  <w:szCs w:val="20"/>
                  <w:color w:val="0000EE"/>
                  <w:w w:val="88"/>
                </w:rPr>
                <w:t>SECTION 2.07</w:t>
              </w:r>
            </w:hyperlink>
          </w:p>
        </w:tc>
        <w:tc>
          <w:tcPr>
            <w:tcW w:w="560" w:type="dxa"/>
            <w:vAlign w:val="bottom"/>
            <w:gridSpan w:val="3"/>
          </w:tcPr>
          <w:p>
            <w:pPr>
              <w:spacing w:after="0"/>
              <w:rPr>
                <w:sz w:val="18"/>
                <w:szCs w:val="18"/>
                <w:color w:val="auto"/>
              </w:rPr>
            </w:pPr>
          </w:p>
        </w:tc>
        <w:tc>
          <w:tcPr>
            <w:tcW w:w="1320" w:type="dxa"/>
            <w:vAlign w:val="bottom"/>
            <w:tcBorders>
              <w:bottom w:val="single" w:sz="8" w:color="0000EE"/>
            </w:tcBorders>
            <w:gridSpan w:val="12"/>
          </w:tcPr>
          <w:p>
            <w:pPr>
              <w:spacing w:after="0" w:line="209" w:lineRule="exact"/>
              <w:rPr>
                <w:rFonts w:ascii="Arial" w:cs="Arial" w:eastAsia="Arial" w:hAnsi="Arial"/>
                <w:sz w:val="20"/>
                <w:szCs w:val="20"/>
                <w:color w:val="0000EE"/>
                <w:w w:val="84"/>
              </w:rPr>
            </w:pPr>
            <w:hyperlink w:anchor="page234">
              <w:r>
                <w:rPr>
                  <w:rFonts w:ascii="Arial" w:cs="Arial" w:eastAsia="Arial" w:hAnsi="Arial"/>
                  <w:sz w:val="20"/>
                  <w:szCs w:val="20"/>
                  <w:color w:val="0000EE"/>
                  <w:w w:val="84"/>
                </w:rPr>
                <w:t>Interest Elections</w:t>
              </w:r>
            </w:hyperlink>
          </w:p>
        </w:tc>
        <w:tc>
          <w:tcPr>
            <w:tcW w:w="4460" w:type="dxa"/>
            <w:vAlign w:val="bottom"/>
            <w:gridSpan w:val="25"/>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spacing w:after="0" w:line="209" w:lineRule="exact"/>
              <w:rPr>
                <w:rFonts w:ascii="Arial" w:cs="Arial" w:eastAsia="Arial" w:hAnsi="Arial"/>
                <w:sz w:val="20"/>
                <w:szCs w:val="20"/>
                <w:color w:val="0000EE"/>
                <w:w w:val="88"/>
              </w:rPr>
            </w:pPr>
            <w:hyperlink w:anchor="page235">
              <w:r>
                <w:rPr>
                  <w:rFonts w:ascii="Arial" w:cs="Arial" w:eastAsia="Arial" w:hAnsi="Arial"/>
                  <w:sz w:val="20"/>
                  <w:szCs w:val="20"/>
                  <w:color w:val="0000EE"/>
                  <w:w w:val="88"/>
                </w:rPr>
                <w:t>SECTION 2.08</w:t>
              </w:r>
            </w:hyperlink>
          </w:p>
        </w:tc>
        <w:tc>
          <w:tcPr>
            <w:tcW w:w="560" w:type="dxa"/>
            <w:vAlign w:val="bottom"/>
            <w:gridSpan w:val="3"/>
          </w:tcPr>
          <w:p>
            <w:pPr>
              <w:spacing w:after="0"/>
              <w:rPr>
                <w:sz w:val="18"/>
                <w:szCs w:val="18"/>
                <w:color w:val="auto"/>
              </w:rPr>
            </w:pPr>
          </w:p>
        </w:tc>
        <w:tc>
          <w:tcPr>
            <w:tcW w:w="5780" w:type="dxa"/>
            <w:vAlign w:val="bottom"/>
            <w:gridSpan w:val="37"/>
          </w:tcPr>
          <w:p>
            <w:pPr>
              <w:spacing w:after="0" w:line="209" w:lineRule="exact"/>
              <w:rPr>
                <w:rFonts w:ascii="Arial" w:cs="Arial" w:eastAsia="Arial" w:hAnsi="Arial"/>
                <w:sz w:val="20"/>
                <w:szCs w:val="20"/>
                <w:color w:val="0000EE"/>
              </w:rPr>
            </w:pPr>
            <w:hyperlink w:anchor="page235">
              <w:r>
                <w:rPr>
                  <w:rFonts w:ascii="Arial" w:cs="Arial" w:eastAsia="Arial" w:hAnsi="Arial"/>
                  <w:sz w:val="20"/>
                  <w:szCs w:val="20"/>
                  <w:color w:val="0000EE"/>
                </w:rPr>
                <w:t>Termination and Reduction of Commitments</w:t>
              </w:r>
            </w:hyperlink>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8"/>
              </w:rPr>
            </w:pPr>
            <w:hyperlink w:anchor="page235">
              <w:r>
                <w:rPr>
                  <w:rFonts w:ascii="Arial" w:cs="Arial" w:eastAsia="Arial" w:hAnsi="Arial"/>
                  <w:sz w:val="20"/>
                  <w:szCs w:val="20"/>
                  <w:color w:val="0000EE"/>
                  <w:w w:val="88"/>
                </w:rPr>
                <w:t>SECTION 2.09</w:t>
              </w:r>
            </w:hyperlink>
          </w:p>
        </w:tc>
        <w:tc>
          <w:tcPr>
            <w:tcW w:w="560" w:type="dxa"/>
            <w:vAlign w:val="bottom"/>
            <w:gridSpan w:val="3"/>
          </w:tcPr>
          <w:p>
            <w:pPr>
              <w:spacing w:after="0"/>
              <w:rPr>
                <w:sz w:val="18"/>
                <w:szCs w:val="18"/>
                <w:color w:val="auto"/>
              </w:rPr>
            </w:pPr>
          </w:p>
        </w:tc>
        <w:tc>
          <w:tcPr>
            <w:tcW w:w="3080" w:type="dxa"/>
            <w:vAlign w:val="bottom"/>
            <w:tcBorders>
              <w:top w:val="single" w:sz="8" w:color="0000EE"/>
              <w:bottom w:val="single" w:sz="8" w:color="0000EE"/>
            </w:tcBorders>
            <w:gridSpan w:val="28"/>
          </w:tcPr>
          <w:p>
            <w:pPr>
              <w:spacing w:after="0" w:line="209" w:lineRule="exact"/>
              <w:rPr>
                <w:rFonts w:ascii="Arial" w:cs="Arial" w:eastAsia="Arial" w:hAnsi="Arial"/>
                <w:sz w:val="20"/>
                <w:szCs w:val="20"/>
                <w:color w:val="0000EE"/>
                <w:w w:val="87"/>
              </w:rPr>
            </w:pPr>
            <w:hyperlink w:anchor="page235">
              <w:r>
                <w:rPr>
                  <w:rFonts w:ascii="Arial" w:cs="Arial" w:eastAsia="Arial" w:hAnsi="Arial"/>
                  <w:sz w:val="20"/>
                  <w:szCs w:val="20"/>
                  <w:color w:val="0000EE"/>
                  <w:w w:val="87"/>
                </w:rPr>
                <w:t>Repayment of Loans; Evidence of Debt</w:t>
              </w:r>
            </w:hyperlink>
          </w:p>
        </w:tc>
        <w:tc>
          <w:tcPr>
            <w:tcW w:w="400" w:type="dxa"/>
            <w:vAlign w:val="bottom"/>
            <w:tcBorders>
              <w:top w:val="single" w:sz="8" w:color="0000EE"/>
            </w:tcBorders>
            <w:gridSpan w:val="2"/>
          </w:tcPr>
          <w:p>
            <w:pPr>
              <w:spacing w:after="0"/>
              <w:rPr>
                <w:sz w:val="18"/>
                <w:szCs w:val="18"/>
                <w:color w:val="auto"/>
              </w:rPr>
            </w:pPr>
          </w:p>
        </w:tc>
        <w:tc>
          <w:tcPr>
            <w:tcW w:w="2300" w:type="dxa"/>
            <w:vAlign w:val="bottom"/>
            <w:gridSpan w:val="7"/>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spacing w:after="0" w:line="209" w:lineRule="exact"/>
              <w:rPr>
                <w:rFonts w:ascii="Arial" w:cs="Arial" w:eastAsia="Arial" w:hAnsi="Arial"/>
                <w:sz w:val="20"/>
                <w:szCs w:val="20"/>
                <w:color w:val="0000EE"/>
                <w:w w:val="88"/>
              </w:rPr>
            </w:pPr>
            <w:hyperlink w:anchor="page236">
              <w:r>
                <w:rPr>
                  <w:rFonts w:ascii="Arial" w:cs="Arial" w:eastAsia="Arial" w:hAnsi="Arial"/>
                  <w:sz w:val="20"/>
                  <w:szCs w:val="20"/>
                  <w:color w:val="0000EE"/>
                  <w:w w:val="88"/>
                </w:rPr>
                <w:t>SECTION 2.10</w:t>
              </w:r>
            </w:hyperlink>
          </w:p>
        </w:tc>
        <w:tc>
          <w:tcPr>
            <w:tcW w:w="560" w:type="dxa"/>
            <w:vAlign w:val="bottom"/>
            <w:gridSpan w:val="3"/>
          </w:tcPr>
          <w:p>
            <w:pPr>
              <w:spacing w:after="0"/>
              <w:rPr>
                <w:sz w:val="18"/>
                <w:szCs w:val="18"/>
                <w:color w:val="auto"/>
              </w:rPr>
            </w:pPr>
          </w:p>
        </w:tc>
        <w:tc>
          <w:tcPr>
            <w:tcW w:w="5780" w:type="dxa"/>
            <w:vAlign w:val="bottom"/>
            <w:gridSpan w:val="37"/>
          </w:tcPr>
          <w:p>
            <w:pPr>
              <w:spacing w:after="0" w:line="209" w:lineRule="exact"/>
              <w:rPr>
                <w:rFonts w:ascii="Arial" w:cs="Arial" w:eastAsia="Arial" w:hAnsi="Arial"/>
                <w:sz w:val="20"/>
                <w:szCs w:val="20"/>
                <w:color w:val="0000EE"/>
              </w:rPr>
            </w:pPr>
            <w:hyperlink w:anchor="page236">
              <w:r>
                <w:rPr>
                  <w:rFonts w:ascii="Arial" w:cs="Arial" w:eastAsia="Arial" w:hAnsi="Arial"/>
                  <w:sz w:val="20"/>
                  <w:szCs w:val="20"/>
                  <w:color w:val="0000EE"/>
                </w:rPr>
                <w:t>Prepayment of Loans</w:t>
              </w:r>
            </w:hyperlink>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tcBorders>
          </w:tcPr>
          <w:p>
            <w:pPr>
              <w:spacing w:after="0" w:line="209" w:lineRule="exact"/>
              <w:rPr>
                <w:rFonts w:ascii="Arial" w:cs="Arial" w:eastAsia="Arial" w:hAnsi="Arial"/>
                <w:sz w:val="20"/>
                <w:szCs w:val="20"/>
                <w:color w:val="0000EE"/>
                <w:w w:val="88"/>
              </w:rPr>
            </w:pPr>
            <w:hyperlink w:anchor="page237">
              <w:r>
                <w:rPr>
                  <w:rFonts w:ascii="Arial" w:cs="Arial" w:eastAsia="Arial" w:hAnsi="Arial"/>
                  <w:sz w:val="20"/>
                  <w:szCs w:val="20"/>
                  <w:color w:val="0000EE"/>
                  <w:w w:val="88"/>
                </w:rPr>
                <w:t>SECTION 2.11</w:t>
              </w:r>
            </w:hyperlink>
          </w:p>
        </w:tc>
        <w:tc>
          <w:tcPr>
            <w:tcW w:w="560" w:type="dxa"/>
            <w:vAlign w:val="bottom"/>
            <w:gridSpan w:val="3"/>
          </w:tcPr>
          <w:p>
            <w:pPr>
              <w:spacing w:after="0"/>
              <w:rPr>
                <w:sz w:val="18"/>
                <w:szCs w:val="18"/>
                <w:color w:val="auto"/>
              </w:rPr>
            </w:pPr>
          </w:p>
        </w:tc>
        <w:tc>
          <w:tcPr>
            <w:tcW w:w="1620" w:type="dxa"/>
            <w:vAlign w:val="bottom"/>
            <w:tcBorders>
              <w:top w:val="single" w:sz="8" w:color="0000EE"/>
            </w:tcBorders>
            <w:gridSpan w:val="14"/>
          </w:tcPr>
          <w:p>
            <w:pPr>
              <w:spacing w:after="0" w:line="209" w:lineRule="exact"/>
              <w:rPr>
                <w:rFonts w:ascii="Arial" w:cs="Arial" w:eastAsia="Arial" w:hAnsi="Arial"/>
                <w:sz w:val="20"/>
                <w:szCs w:val="20"/>
                <w:color w:val="0000EE"/>
              </w:rPr>
            </w:pPr>
            <w:hyperlink w:anchor="page237">
              <w:r>
                <w:rPr>
                  <w:rFonts w:ascii="Arial" w:cs="Arial" w:eastAsia="Arial" w:hAnsi="Arial"/>
                  <w:sz w:val="20"/>
                  <w:szCs w:val="20"/>
                  <w:color w:val="0000EE"/>
                </w:rPr>
                <w:t>Fees</w:t>
              </w:r>
            </w:hyperlink>
          </w:p>
        </w:tc>
        <w:tc>
          <w:tcPr>
            <w:tcW w:w="4160" w:type="dxa"/>
            <w:vAlign w:val="bottom"/>
            <w:gridSpan w:val="23"/>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3"/>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spacing w:after="0" w:line="209" w:lineRule="exact"/>
              <w:rPr>
                <w:rFonts w:ascii="Arial" w:cs="Arial" w:eastAsia="Arial" w:hAnsi="Arial"/>
                <w:sz w:val="20"/>
                <w:szCs w:val="20"/>
                <w:color w:val="0000EE"/>
                <w:w w:val="88"/>
              </w:rPr>
            </w:pPr>
            <w:hyperlink w:anchor="page238">
              <w:r>
                <w:rPr>
                  <w:rFonts w:ascii="Arial" w:cs="Arial" w:eastAsia="Arial" w:hAnsi="Arial"/>
                  <w:sz w:val="20"/>
                  <w:szCs w:val="20"/>
                  <w:color w:val="0000EE"/>
                  <w:w w:val="88"/>
                </w:rPr>
                <w:t>SECTION 2.12</w:t>
              </w:r>
            </w:hyperlink>
          </w:p>
        </w:tc>
        <w:tc>
          <w:tcPr>
            <w:tcW w:w="560" w:type="dxa"/>
            <w:vAlign w:val="bottom"/>
            <w:gridSpan w:val="3"/>
          </w:tcPr>
          <w:p>
            <w:pPr>
              <w:spacing w:after="0"/>
              <w:rPr>
                <w:sz w:val="18"/>
                <w:szCs w:val="18"/>
                <w:color w:val="auto"/>
              </w:rPr>
            </w:pPr>
          </w:p>
        </w:tc>
        <w:tc>
          <w:tcPr>
            <w:tcW w:w="5780" w:type="dxa"/>
            <w:vAlign w:val="bottom"/>
            <w:gridSpan w:val="37"/>
          </w:tcPr>
          <w:p>
            <w:pPr>
              <w:spacing w:after="0" w:line="209" w:lineRule="exact"/>
              <w:rPr>
                <w:rFonts w:ascii="Arial" w:cs="Arial" w:eastAsia="Arial" w:hAnsi="Arial"/>
                <w:sz w:val="20"/>
                <w:szCs w:val="20"/>
                <w:color w:val="0000EE"/>
              </w:rPr>
            </w:pPr>
            <w:hyperlink w:anchor="page238">
              <w:r>
                <w:rPr>
                  <w:rFonts w:ascii="Arial" w:cs="Arial" w:eastAsia="Arial" w:hAnsi="Arial"/>
                  <w:sz w:val="20"/>
                  <w:szCs w:val="20"/>
                  <w:color w:val="0000EE"/>
                </w:rPr>
                <w:t>Interest</w:t>
              </w:r>
            </w:hyperlink>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39">
              <w:r>
                <w:rPr>
                  <w:rFonts w:ascii="Arial" w:cs="Arial" w:eastAsia="Arial" w:hAnsi="Arial"/>
                  <w:sz w:val="20"/>
                  <w:szCs w:val="20"/>
                  <w:color w:val="0000EE"/>
                  <w:w w:val="88"/>
                </w:rPr>
                <w:t>SECTION 2.13</w:t>
              </w:r>
            </w:hyperlink>
          </w:p>
        </w:tc>
        <w:tc>
          <w:tcPr>
            <w:tcW w:w="560" w:type="dxa"/>
            <w:vAlign w:val="bottom"/>
            <w:gridSpan w:val="3"/>
          </w:tcPr>
          <w:p>
            <w:pPr>
              <w:spacing w:after="0"/>
              <w:rPr>
                <w:sz w:val="18"/>
                <w:szCs w:val="18"/>
                <w:color w:val="auto"/>
              </w:rPr>
            </w:pPr>
          </w:p>
        </w:tc>
        <w:tc>
          <w:tcPr>
            <w:tcW w:w="1960" w:type="dxa"/>
            <w:vAlign w:val="bottom"/>
            <w:tcBorders>
              <w:bottom w:val="single" w:sz="8" w:color="0000EE"/>
            </w:tcBorders>
            <w:gridSpan w:val="20"/>
          </w:tcPr>
          <w:p>
            <w:pPr>
              <w:spacing w:after="0" w:line="209" w:lineRule="exact"/>
              <w:rPr>
                <w:rFonts w:ascii="Arial" w:cs="Arial" w:eastAsia="Arial" w:hAnsi="Arial"/>
                <w:sz w:val="20"/>
                <w:szCs w:val="20"/>
                <w:color w:val="0000EE"/>
                <w:w w:val="87"/>
              </w:rPr>
            </w:pPr>
            <w:hyperlink w:anchor="page239">
              <w:r>
                <w:rPr>
                  <w:rFonts w:ascii="Arial" w:cs="Arial" w:eastAsia="Arial" w:hAnsi="Arial"/>
                  <w:sz w:val="20"/>
                  <w:szCs w:val="20"/>
                  <w:color w:val="0000EE"/>
                  <w:w w:val="87"/>
                </w:rPr>
                <w:t>Alternate Rate of Interest</w:t>
              </w:r>
            </w:hyperlink>
          </w:p>
        </w:tc>
        <w:tc>
          <w:tcPr>
            <w:tcW w:w="3820" w:type="dxa"/>
            <w:vAlign w:val="bottom"/>
            <w:gridSpan w:val="17"/>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spacing w:after="0" w:line="209" w:lineRule="exact"/>
              <w:rPr>
                <w:rFonts w:ascii="Arial" w:cs="Arial" w:eastAsia="Arial" w:hAnsi="Arial"/>
                <w:sz w:val="20"/>
                <w:szCs w:val="20"/>
                <w:color w:val="0000EE"/>
                <w:w w:val="88"/>
              </w:rPr>
            </w:pPr>
            <w:hyperlink w:anchor="page240">
              <w:r>
                <w:rPr>
                  <w:rFonts w:ascii="Arial" w:cs="Arial" w:eastAsia="Arial" w:hAnsi="Arial"/>
                  <w:sz w:val="20"/>
                  <w:szCs w:val="20"/>
                  <w:color w:val="0000EE"/>
                  <w:w w:val="88"/>
                </w:rPr>
                <w:t>SECTION 2.14</w:t>
              </w:r>
            </w:hyperlink>
          </w:p>
        </w:tc>
        <w:tc>
          <w:tcPr>
            <w:tcW w:w="560" w:type="dxa"/>
            <w:vAlign w:val="bottom"/>
            <w:gridSpan w:val="3"/>
          </w:tcPr>
          <w:p>
            <w:pPr>
              <w:spacing w:after="0"/>
              <w:rPr>
                <w:sz w:val="18"/>
                <w:szCs w:val="18"/>
                <w:color w:val="auto"/>
              </w:rPr>
            </w:pPr>
          </w:p>
        </w:tc>
        <w:tc>
          <w:tcPr>
            <w:tcW w:w="5780" w:type="dxa"/>
            <w:vAlign w:val="bottom"/>
            <w:gridSpan w:val="37"/>
          </w:tcPr>
          <w:p>
            <w:pPr>
              <w:spacing w:after="0" w:line="209" w:lineRule="exact"/>
              <w:rPr>
                <w:rFonts w:ascii="Arial" w:cs="Arial" w:eastAsia="Arial" w:hAnsi="Arial"/>
                <w:sz w:val="20"/>
                <w:szCs w:val="20"/>
                <w:color w:val="0000EE"/>
              </w:rPr>
            </w:pPr>
            <w:hyperlink w:anchor="page240">
              <w:r>
                <w:rPr>
                  <w:rFonts w:ascii="Arial" w:cs="Arial" w:eastAsia="Arial" w:hAnsi="Arial"/>
                  <w:sz w:val="20"/>
                  <w:szCs w:val="20"/>
                  <w:color w:val="0000EE"/>
                </w:rPr>
                <w:t>Increased Costs; Illegality</w:t>
              </w:r>
            </w:hyperlink>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8"/>
              </w:rPr>
            </w:pPr>
            <w:hyperlink w:anchor="page243">
              <w:r>
                <w:rPr>
                  <w:rFonts w:ascii="Arial" w:cs="Arial" w:eastAsia="Arial" w:hAnsi="Arial"/>
                  <w:sz w:val="20"/>
                  <w:szCs w:val="20"/>
                  <w:color w:val="0000EE"/>
                  <w:w w:val="88"/>
                </w:rPr>
                <w:t>SECTION 2.15</w:t>
              </w:r>
            </w:hyperlink>
          </w:p>
        </w:tc>
        <w:tc>
          <w:tcPr>
            <w:tcW w:w="560" w:type="dxa"/>
            <w:vAlign w:val="bottom"/>
            <w:gridSpan w:val="3"/>
          </w:tcPr>
          <w:p>
            <w:pPr>
              <w:spacing w:after="0"/>
              <w:rPr>
                <w:sz w:val="18"/>
                <w:szCs w:val="18"/>
                <w:color w:val="auto"/>
              </w:rPr>
            </w:pPr>
          </w:p>
        </w:tc>
        <w:tc>
          <w:tcPr>
            <w:tcW w:w="1940" w:type="dxa"/>
            <w:vAlign w:val="bottom"/>
            <w:tcBorders>
              <w:top w:val="single" w:sz="8" w:color="0000EE"/>
              <w:bottom w:val="single" w:sz="8" w:color="0000EE"/>
            </w:tcBorders>
            <w:gridSpan w:val="19"/>
          </w:tcPr>
          <w:p>
            <w:pPr>
              <w:spacing w:after="0" w:line="209" w:lineRule="exact"/>
              <w:rPr>
                <w:rFonts w:ascii="Arial" w:cs="Arial" w:eastAsia="Arial" w:hAnsi="Arial"/>
                <w:sz w:val="20"/>
                <w:szCs w:val="20"/>
                <w:color w:val="0000EE"/>
                <w:w w:val="85"/>
              </w:rPr>
            </w:pPr>
            <w:hyperlink w:anchor="page243">
              <w:r>
                <w:rPr>
                  <w:rFonts w:ascii="Arial" w:cs="Arial" w:eastAsia="Arial" w:hAnsi="Arial"/>
                  <w:sz w:val="20"/>
                  <w:szCs w:val="20"/>
                  <w:color w:val="0000EE"/>
                  <w:w w:val="85"/>
                </w:rPr>
                <w:t>Break Funding Payments</w:t>
              </w:r>
            </w:hyperlink>
          </w:p>
        </w:tc>
        <w:tc>
          <w:tcPr>
            <w:tcW w:w="60" w:type="dxa"/>
            <w:vAlign w:val="bottom"/>
            <w:tcBorders>
              <w:top w:val="single" w:sz="8" w:color="0000EE"/>
            </w:tcBorders>
            <w:gridSpan w:val="2"/>
          </w:tcPr>
          <w:p>
            <w:pPr>
              <w:spacing w:after="0"/>
              <w:rPr>
                <w:sz w:val="18"/>
                <w:szCs w:val="18"/>
                <w:color w:val="auto"/>
              </w:rPr>
            </w:pPr>
          </w:p>
        </w:tc>
        <w:tc>
          <w:tcPr>
            <w:tcW w:w="3780" w:type="dxa"/>
            <w:vAlign w:val="bottom"/>
            <w:gridSpan w:val="16"/>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43">
              <w:r>
                <w:rPr>
                  <w:rFonts w:ascii="Arial" w:cs="Arial" w:eastAsia="Arial" w:hAnsi="Arial"/>
                  <w:sz w:val="20"/>
                  <w:szCs w:val="20"/>
                  <w:color w:val="0000EE"/>
                  <w:w w:val="88"/>
                </w:rPr>
                <w:t>SECTION 2.16</w:t>
              </w:r>
            </w:hyperlink>
          </w:p>
        </w:tc>
        <w:tc>
          <w:tcPr>
            <w:tcW w:w="560" w:type="dxa"/>
            <w:vAlign w:val="bottom"/>
            <w:gridSpan w:val="3"/>
          </w:tcPr>
          <w:p>
            <w:pPr>
              <w:spacing w:after="0"/>
              <w:rPr>
                <w:sz w:val="18"/>
                <w:szCs w:val="18"/>
                <w:color w:val="auto"/>
              </w:rPr>
            </w:pPr>
          </w:p>
        </w:tc>
        <w:tc>
          <w:tcPr>
            <w:tcW w:w="400" w:type="dxa"/>
            <w:vAlign w:val="bottom"/>
            <w:tcBorders>
              <w:bottom w:val="single" w:sz="8" w:color="0000EE"/>
            </w:tcBorders>
            <w:gridSpan w:val="2"/>
          </w:tcPr>
          <w:p>
            <w:pPr>
              <w:spacing w:after="0" w:line="210" w:lineRule="exact"/>
              <w:rPr>
                <w:rFonts w:ascii="Arial" w:cs="Arial" w:eastAsia="Arial" w:hAnsi="Arial"/>
                <w:sz w:val="19"/>
                <w:szCs w:val="19"/>
                <w:color w:val="0000EE"/>
                <w:w w:val="73"/>
              </w:rPr>
            </w:pPr>
            <w:hyperlink w:anchor="page243">
              <w:r>
                <w:rPr>
                  <w:rFonts w:ascii="Arial" w:cs="Arial" w:eastAsia="Arial" w:hAnsi="Arial"/>
                  <w:sz w:val="19"/>
                  <w:szCs w:val="19"/>
                  <w:color w:val="0000EE"/>
                  <w:w w:val="73"/>
                </w:rPr>
                <w:t>Taxes</w:t>
              </w:r>
            </w:hyperlink>
          </w:p>
        </w:tc>
        <w:tc>
          <w:tcPr>
            <w:tcW w:w="5380" w:type="dxa"/>
            <w:vAlign w:val="bottom"/>
            <w:gridSpan w:val="35"/>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spacing w:after="0" w:line="209" w:lineRule="exact"/>
              <w:rPr>
                <w:rFonts w:ascii="Arial" w:cs="Arial" w:eastAsia="Arial" w:hAnsi="Arial"/>
                <w:sz w:val="20"/>
                <w:szCs w:val="20"/>
                <w:color w:val="0000EE"/>
                <w:w w:val="88"/>
              </w:rPr>
            </w:pPr>
            <w:hyperlink w:anchor="page247">
              <w:r>
                <w:rPr>
                  <w:rFonts w:ascii="Arial" w:cs="Arial" w:eastAsia="Arial" w:hAnsi="Arial"/>
                  <w:sz w:val="20"/>
                  <w:szCs w:val="20"/>
                  <w:color w:val="0000EE"/>
                  <w:w w:val="88"/>
                </w:rPr>
                <w:t>SECTION 2.17</w:t>
              </w:r>
            </w:hyperlink>
          </w:p>
        </w:tc>
        <w:tc>
          <w:tcPr>
            <w:tcW w:w="560" w:type="dxa"/>
            <w:vAlign w:val="bottom"/>
            <w:gridSpan w:val="3"/>
          </w:tcPr>
          <w:p>
            <w:pPr>
              <w:spacing w:after="0"/>
              <w:rPr>
                <w:sz w:val="18"/>
                <w:szCs w:val="18"/>
                <w:color w:val="auto"/>
              </w:rPr>
            </w:pPr>
          </w:p>
        </w:tc>
        <w:tc>
          <w:tcPr>
            <w:tcW w:w="5780" w:type="dxa"/>
            <w:vAlign w:val="bottom"/>
            <w:gridSpan w:val="37"/>
          </w:tcPr>
          <w:p>
            <w:pPr>
              <w:spacing w:after="0" w:line="209" w:lineRule="exact"/>
              <w:rPr>
                <w:rFonts w:ascii="Arial" w:cs="Arial" w:eastAsia="Arial" w:hAnsi="Arial"/>
                <w:sz w:val="20"/>
                <w:szCs w:val="20"/>
                <w:color w:val="0000EE"/>
              </w:rPr>
            </w:pPr>
            <w:hyperlink w:anchor="page247">
              <w:r>
                <w:rPr>
                  <w:rFonts w:ascii="Arial" w:cs="Arial" w:eastAsia="Arial" w:hAnsi="Arial"/>
                  <w:sz w:val="20"/>
                  <w:szCs w:val="20"/>
                  <w:color w:val="0000EE"/>
                </w:rPr>
                <w:t>Payments Generally; Pro Rata Treatment; Sharing of Setoffs</w:t>
              </w:r>
            </w:hyperlink>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tcBorders>
          </w:tcPr>
          <w:p>
            <w:pPr>
              <w:spacing w:after="0" w:line="209" w:lineRule="exact"/>
              <w:rPr>
                <w:rFonts w:ascii="Arial" w:cs="Arial" w:eastAsia="Arial" w:hAnsi="Arial"/>
                <w:sz w:val="20"/>
                <w:szCs w:val="20"/>
                <w:color w:val="0000EE"/>
                <w:w w:val="88"/>
              </w:rPr>
            </w:pPr>
            <w:hyperlink w:anchor="page249">
              <w:r>
                <w:rPr>
                  <w:rFonts w:ascii="Arial" w:cs="Arial" w:eastAsia="Arial" w:hAnsi="Arial"/>
                  <w:sz w:val="20"/>
                  <w:szCs w:val="20"/>
                  <w:color w:val="0000EE"/>
                  <w:w w:val="88"/>
                </w:rPr>
                <w:t>SECTION 2.18</w:t>
              </w:r>
            </w:hyperlink>
          </w:p>
        </w:tc>
        <w:tc>
          <w:tcPr>
            <w:tcW w:w="560" w:type="dxa"/>
            <w:vAlign w:val="bottom"/>
            <w:gridSpan w:val="3"/>
          </w:tcPr>
          <w:p>
            <w:pPr>
              <w:spacing w:after="0"/>
              <w:rPr>
                <w:sz w:val="18"/>
                <w:szCs w:val="18"/>
                <w:color w:val="auto"/>
              </w:rPr>
            </w:pPr>
          </w:p>
        </w:tc>
        <w:tc>
          <w:tcPr>
            <w:tcW w:w="4720" w:type="dxa"/>
            <w:vAlign w:val="bottom"/>
            <w:tcBorders>
              <w:top w:val="single" w:sz="8" w:color="0000EE"/>
            </w:tcBorders>
            <w:gridSpan w:val="35"/>
          </w:tcPr>
          <w:p>
            <w:pPr>
              <w:spacing w:after="0" w:line="209" w:lineRule="exact"/>
              <w:rPr>
                <w:rFonts w:ascii="Arial" w:cs="Arial" w:eastAsia="Arial" w:hAnsi="Arial"/>
                <w:sz w:val="20"/>
                <w:szCs w:val="20"/>
                <w:color w:val="0000EE"/>
              </w:rPr>
            </w:pPr>
            <w:hyperlink w:anchor="page249">
              <w:r>
                <w:rPr>
                  <w:rFonts w:ascii="Arial" w:cs="Arial" w:eastAsia="Arial" w:hAnsi="Arial"/>
                  <w:sz w:val="20"/>
                  <w:szCs w:val="20"/>
                  <w:color w:val="0000EE"/>
                </w:rPr>
                <w:t>Mitigation Obligations; Replacement of Lenders</w:t>
              </w:r>
            </w:hyperlink>
          </w:p>
        </w:tc>
        <w:tc>
          <w:tcPr>
            <w:tcW w:w="1060" w:type="dxa"/>
            <w:vAlign w:val="bottom"/>
            <w:gridSpan w:val="2"/>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tcBorders>
          </w:tcPr>
          <w:p>
            <w:pPr>
              <w:spacing w:after="0" w:line="209" w:lineRule="exact"/>
              <w:rPr>
                <w:rFonts w:ascii="Arial" w:cs="Arial" w:eastAsia="Arial" w:hAnsi="Arial"/>
                <w:sz w:val="20"/>
                <w:szCs w:val="20"/>
                <w:color w:val="0000EE"/>
                <w:w w:val="88"/>
              </w:rPr>
            </w:pPr>
            <w:hyperlink w:anchor="page250">
              <w:r>
                <w:rPr>
                  <w:rFonts w:ascii="Arial" w:cs="Arial" w:eastAsia="Arial" w:hAnsi="Arial"/>
                  <w:sz w:val="20"/>
                  <w:szCs w:val="20"/>
                  <w:color w:val="0000EE"/>
                  <w:w w:val="88"/>
                </w:rPr>
                <w:t>SECTION 2.19</w:t>
              </w:r>
            </w:hyperlink>
          </w:p>
        </w:tc>
        <w:tc>
          <w:tcPr>
            <w:tcW w:w="560" w:type="dxa"/>
            <w:vAlign w:val="bottom"/>
            <w:gridSpan w:val="3"/>
          </w:tcPr>
          <w:p>
            <w:pPr>
              <w:spacing w:after="0"/>
              <w:rPr>
                <w:sz w:val="18"/>
                <w:szCs w:val="18"/>
                <w:color w:val="auto"/>
              </w:rPr>
            </w:pPr>
          </w:p>
        </w:tc>
        <w:tc>
          <w:tcPr>
            <w:tcW w:w="3780" w:type="dxa"/>
            <w:vAlign w:val="bottom"/>
            <w:tcBorders>
              <w:top w:val="single" w:sz="8" w:color="0000EE"/>
            </w:tcBorders>
            <w:gridSpan w:val="32"/>
          </w:tcPr>
          <w:p>
            <w:pPr>
              <w:spacing w:after="0" w:line="209" w:lineRule="exact"/>
              <w:rPr>
                <w:rFonts w:ascii="Arial" w:cs="Arial" w:eastAsia="Arial" w:hAnsi="Arial"/>
                <w:sz w:val="20"/>
                <w:szCs w:val="20"/>
                <w:color w:val="0000EE"/>
              </w:rPr>
            </w:pPr>
            <w:hyperlink w:anchor="page250">
              <w:r>
                <w:rPr>
                  <w:rFonts w:ascii="Arial" w:cs="Arial" w:eastAsia="Arial" w:hAnsi="Arial"/>
                  <w:sz w:val="20"/>
                  <w:szCs w:val="20"/>
                  <w:color w:val="0000EE"/>
                </w:rPr>
                <w:t>Extension of Maturity Date</w:t>
              </w:r>
            </w:hyperlink>
          </w:p>
        </w:tc>
        <w:tc>
          <w:tcPr>
            <w:tcW w:w="2000" w:type="dxa"/>
            <w:vAlign w:val="bottom"/>
            <w:gridSpan w:val="5"/>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tcBorders>
          </w:tcPr>
          <w:p>
            <w:pPr>
              <w:spacing w:after="0" w:line="209" w:lineRule="exact"/>
              <w:rPr>
                <w:rFonts w:ascii="Arial" w:cs="Arial" w:eastAsia="Arial" w:hAnsi="Arial"/>
                <w:sz w:val="20"/>
                <w:szCs w:val="20"/>
                <w:color w:val="0000EE"/>
                <w:w w:val="88"/>
              </w:rPr>
            </w:pPr>
            <w:hyperlink w:anchor="page252">
              <w:r>
                <w:rPr>
                  <w:rFonts w:ascii="Arial" w:cs="Arial" w:eastAsia="Arial" w:hAnsi="Arial"/>
                  <w:sz w:val="20"/>
                  <w:szCs w:val="20"/>
                  <w:color w:val="0000EE"/>
                  <w:w w:val="88"/>
                </w:rPr>
                <w:t>SECTION 2.20</w:t>
              </w:r>
            </w:hyperlink>
          </w:p>
        </w:tc>
        <w:tc>
          <w:tcPr>
            <w:tcW w:w="560" w:type="dxa"/>
            <w:vAlign w:val="bottom"/>
            <w:gridSpan w:val="3"/>
          </w:tcPr>
          <w:p>
            <w:pPr>
              <w:spacing w:after="0"/>
              <w:rPr>
                <w:sz w:val="18"/>
                <w:szCs w:val="18"/>
                <w:color w:val="auto"/>
              </w:rPr>
            </w:pPr>
          </w:p>
        </w:tc>
        <w:tc>
          <w:tcPr>
            <w:tcW w:w="2100" w:type="dxa"/>
            <w:vAlign w:val="bottom"/>
            <w:tcBorders>
              <w:top w:val="single" w:sz="8" w:color="0000EE"/>
            </w:tcBorders>
            <w:gridSpan w:val="22"/>
          </w:tcPr>
          <w:p>
            <w:pPr>
              <w:spacing w:after="0" w:line="209" w:lineRule="exact"/>
              <w:rPr>
                <w:rFonts w:ascii="Arial" w:cs="Arial" w:eastAsia="Arial" w:hAnsi="Arial"/>
                <w:sz w:val="20"/>
                <w:szCs w:val="20"/>
                <w:color w:val="0000EE"/>
              </w:rPr>
            </w:pPr>
            <w:hyperlink w:anchor="page252">
              <w:r>
                <w:rPr>
                  <w:rFonts w:ascii="Arial" w:cs="Arial" w:eastAsia="Arial" w:hAnsi="Arial"/>
                  <w:sz w:val="20"/>
                  <w:szCs w:val="20"/>
                  <w:color w:val="0000EE"/>
                </w:rPr>
                <w:t>Defaulting Lenders</w:t>
              </w:r>
            </w:hyperlink>
          </w:p>
        </w:tc>
        <w:tc>
          <w:tcPr>
            <w:tcW w:w="3680" w:type="dxa"/>
            <w:vAlign w:val="bottom"/>
            <w:gridSpan w:val="15"/>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20" w:type="dxa"/>
            <w:vAlign w:val="bottom"/>
            <w:vMerge w:val="restart"/>
          </w:tcPr>
          <w:p>
            <w:pPr>
              <w:spacing w:after="0"/>
              <w:rPr>
                <w:rFonts w:ascii="Arial" w:cs="Arial" w:eastAsia="Arial" w:hAnsi="Arial"/>
                <w:sz w:val="20"/>
                <w:szCs w:val="20"/>
                <w:color w:val="0000EE"/>
                <w:w w:val="88"/>
              </w:rPr>
            </w:pPr>
            <w:hyperlink w:anchor="page254">
              <w:r>
                <w:rPr>
                  <w:rFonts w:ascii="Arial" w:cs="Arial" w:eastAsia="Arial" w:hAnsi="Arial"/>
                  <w:sz w:val="20"/>
                  <w:szCs w:val="20"/>
                  <w:color w:val="0000EE"/>
                  <w:w w:val="88"/>
                </w:rPr>
                <w:t>SECTION 2.21</w:t>
              </w:r>
            </w:hyperlink>
          </w:p>
        </w:tc>
        <w:tc>
          <w:tcPr>
            <w:tcW w:w="560" w:type="dxa"/>
            <w:vAlign w:val="bottom"/>
            <w:gridSpan w:val="3"/>
            <w:vMerge w:val="restart"/>
          </w:tcPr>
          <w:p>
            <w:pPr>
              <w:spacing w:after="0"/>
              <w:rPr>
                <w:sz w:val="17"/>
                <w:szCs w:val="17"/>
                <w:color w:val="auto"/>
              </w:rPr>
            </w:pPr>
          </w:p>
        </w:tc>
        <w:tc>
          <w:tcPr>
            <w:tcW w:w="5780" w:type="dxa"/>
            <w:vAlign w:val="bottom"/>
            <w:gridSpan w:val="37"/>
          </w:tcPr>
          <w:p>
            <w:pPr>
              <w:spacing w:after="0" w:line="196" w:lineRule="exact"/>
              <w:rPr>
                <w:rFonts w:ascii="Arial" w:cs="Arial" w:eastAsia="Arial" w:hAnsi="Arial"/>
                <w:sz w:val="20"/>
                <w:szCs w:val="20"/>
                <w:color w:val="0000EE"/>
                <w:w w:val="91"/>
              </w:rPr>
            </w:pPr>
            <w:hyperlink w:anchor="page254">
              <w:r>
                <w:rPr>
                  <w:rFonts w:ascii="Arial" w:cs="Arial" w:eastAsia="Arial" w:hAnsi="Arial"/>
                  <w:sz w:val="20"/>
                  <w:szCs w:val="20"/>
                  <w:color w:val="0000EE"/>
                  <w:w w:val="91"/>
                </w:rPr>
                <w:t>Conversion of Tranche 2 Commitments and Tranche 2 Loans; True-Up</w:t>
              </w:r>
            </w:hyperlink>
          </w:p>
        </w:tc>
        <w:tc>
          <w:tcPr>
            <w:tcW w:w="500" w:type="dxa"/>
            <w:vAlign w:val="bottom"/>
            <w:gridSpan w:val="2"/>
            <w:vMerge w:val="restart"/>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1220" w:type="dxa"/>
            <w:vAlign w:val="bottom"/>
            <w:tcBorders>
              <w:bottom w:val="single" w:sz="8" w:color="0000EE"/>
            </w:tcBorders>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5560" w:type="dxa"/>
            <w:vAlign w:val="bottom"/>
            <w:tcBorders>
              <w:top w:val="single" w:sz="8" w:color="0000EE"/>
              <w:bottom w:val="single" w:sz="8" w:color="0000EE"/>
            </w:tcBorders>
            <w:gridSpan w:val="36"/>
            <w:vMerge w:val="restart"/>
          </w:tcPr>
          <w:p>
            <w:pPr>
              <w:spacing w:after="0" w:line="169" w:lineRule="exact"/>
              <w:rPr>
                <w:rFonts w:ascii="Arial" w:cs="Arial" w:eastAsia="Arial" w:hAnsi="Arial"/>
                <w:sz w:val="19"/>
                <w:szCs w:val="19"/>
                <w:color w:val="0000EE"/>
              </w:rPr>
            </w:pPr>
            <w:hyperlink w:anchor="page254">
              <w:r>
                <w:rPr>
                  <w:rFonts w:ascii="Arial" w:cs="Arial" w:eastAsia="Arial" w:hAnsi="Arial"/>
                  <w:sz w:val="19"/>
                  <w:szCs w:val="19"/>
                  <w:color w:val="0000EE"/>
                </w:rPr>
                <w:t>Borrowing</w:t>
              </w:r>
            </w:hyperlink>
          </w:p>
        </w:tc>
        <w:tc>
          <w:tcPr>
            <w:tcW w:w="220" w:type="dxa"/>
            <w:vAlign w:val="bottom"/>
            <w:vMerge w:val="restart"/>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560" w:type="dxa"/>
            <w:vAlign w:val="bottom"/>
            <w:gridSpan w:val="36"/>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220" w:type="dxa"/>
            <w:vAlign w:val="bottom"/>
          </w:tcPr>
          <w:p>
            <w:pPr>
              <w:spacing w:after="0" w:line="183" w:lineRule="exact"/>
              <w:rPr>
                <w:rFonts w:ascii="Arial" w:cs="Arial" w:eastAsia="Arial" w:hAnsi="Arial"/>
                <w:sz w:val="20"/>
                <w:szCs w:val="20"/>
                <w:color w:val="0000EE"/>
                <w:w w:val="88"/>
              </w:rPr>
            </w:pPr>
            <w:hyperlink w:anchor="page255">
              <w:r>
                <w:rPr>
                  <w:rFonts w:ascii="Arial" w:cs="Arial" w:eastAsia="Arial" w:hAnsi="Arial"/>
                  <w:sz w:val="20"/>
                  <w:szCs w:val="20"/>
                  <w:color w:val="0000EE"/>
                  <w:w w:val="88"/>
                </w:rPr>
                <w:t>SECTION 2.22</w:t>
              </w:r>
            </w:hyperlink>
          </w:p>
        </w:tc>
        <w:tc>
          <w:tcPr>
            <w:tcW w:w="560" w:type="dxa"/>
            <w:vAlign w:val="bottom"/>
            <w:gridSpan w:val="3"/>
          </w:tcPr>
          <w:p>
            <w:pPr>
              <w:spacing w:after="0"/>
              <w:rPr>
                <w:sz w:val="15"/>
                <w:szCs w:val="15"/>
                <w:color w:val="auto"/>
              </w:rPr>
            </w:pPr>
          </w:p>
        </w:tc>
        <w:tc>
          <w:tcPr>
            <w:tcW w:w="800" w:type="dxa"/>
            <w:vAlign w:val="bottom"/>
            <w:tcBorders>
              <w:top w:val="single" w:sz="8" w:color="0000EE"/>
            </w:tcBorders>
            <w:gridSpan w:val="5"/>
          </w:tcPr>
          <w:p>
            <w:pPr>
              <w:spacing w:after="0" w:line="183" w:lineRule="exact"/>
              <w:rPr>
                <w:rFonts w:ascii="Arial" w:cs="Arial" w:eastAsia="Arial" w:hAnsi="Arial"/>
                <w:sz w:val="20"/>
                <w:szCs w:val="20"/>
                <w:color w:val="auto"/>
                <w:w w:val="74"/>
              </w:rPr>
            </w:pPr>
            <w:r>
              <w:rPr>
                <w:rFonts w:ascii="Arial" w:cs="Arial" w:eastAsia="Arial" w:hAnsi="Arial"/>
                <w:sz w:val="20"/>
                <w:szCs w:val="20"/>
                <w:color w:val="auto"/>
                <w:w w:val="74"/>
              </w:rPr>
              <w:t>I</w:t>
            </w:r>
            <w:hyperlink w:anchor="page255">
              <w:r>
                <w:rPr>
                  <w:rFonts w:ascii="Arial" w:cs="Arial" w:eastAsia="Arial" w:hAnsi="Arial"/>
                  <w:sz w:val="20"/>
                  <w:szCs w:val="20"/>
                  <w:color w:val="0000EE"/>
                  <w:w w:val="74"/>
                </w:rPr>
                <w:t>ncremental</w:t>
              </w:r>
            </w:hyperlink>
          </w:p>
        </w:tc>
        <w:tc>
          <w:tcPr>
            <w:tcW w:w="4980" w:type="dxa"/>
            <w:vAlign w:val="bottom"/>
            <w:gridSpan w:val="32"/>
          </w:tcPr>
          <w:p>
            <w:pPr>
              <w:ind w:left="140"/>
              <w:spacing w:after="0" w:line="183" w:lineRule="exact"/>
              <w:rPr>
                <w:rFonts w:ascii="Arial" w:cs="Arial" w:eastAsia="Arial" w:hAnsi="Arial"/>
                <w:sz w:val="20"/>
                <w:szCs w:val="20"/>
                <w:color w:val="0000EE"/>
              </w:rPr>
            </w:pPr>
            <w:hyperlink w:anchor="page255">
              <w:r>
                <w:rPr>
                  <w:rFonts w:ascii="Arial" w:cs="Arial" w:eastAsia="Arial" w:hAnsi="Arial"/>
                  <w:sz w:val="20"/>
                  <w:szCs w:val="20"/>
                  <w:color w:val="0000EE"/>
                </w:rPr>
                <w:t>Tranche 1 Commitments and Loans</w:t>
              </w:r>
            </w:hyperlink>
          </w:p>
        </w:tc>
        <w:tc>
          <w:tcPr>
            <w:tcW w:w="500" w:type="dxa"/>
            <w:vAlign w:val="bottom"/>
            <w:gridSpan w:val="2"/>
          </w:tcPr>
          <w:p>
            <w:pPr>
              <w:jc w:val="right"/>
              <w:spacing w:after="0" w:line="183" w:lineRule="exact"/>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480" w:type="dxa"/>
            <w:vAlign w:val="bottom"/>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spacing w:after="0" w:line="209" w:lineRule="exact"/>
              <w:rPr>
                <w:rFonts w:ascii="Arial" w:cs="Arial" w:eastAsia="Arial" w:hAnsi="Arial"/>
                <w:sz w:val="20"/>
                <w:szCs w:val="20"/>
                <w:color w:val="0000EE"/>
                <w:w w:val="88"/>
              </w:rPr>
            </w:pPr>
            <w:hyperlink w:anchor="page258">
              <w:r>
                <w:rPr>
                  <w:rFonts w:ascii="Arial" w:cs="Arial" w:eastAsia="Arial" w:hAnsi="Arial"/>
                  <w:sz w:val="20"/>
                  <w:szCs w:val="20"/>
                  <w:color w:val="0000EE"/>
                  <w:w w:val="88"/>
                </w:rPr>
                <w:t>SECTION 2.23</w:t>
              </w:r>
            </w:hyperlink>
          </w:p>
        </w:tc>
        <w:tc>
          <w:tcPr>
            <w:tcW w:w="560" w:type="dxa"/>
            <w:vAlign w:val="bottom"/>
            <w:gridSpan w:val="3"/>
          </w:tcPr>
          <w:p>
            <w:pPr>
              <w:spacing w:after="0"/>
              <w:rPr>
                <w:sz w:val="18"/>
                <w:szCs w:val="18"/>
                <w:color w:val="auto"/>
              </w:rPr>
            </w:pPr>
          </w:p>
        </w:tc>
        <w:tc>
          <w:tcPr>
            <w:tcW w:w="5780" w:type="dxa"/>
            <w:vAlign w:val="bottom"/>
            <w:gridSpan w:val="37"/>
          </w:tcPr>
          <w:p>
            <w:pPr>
              <w:spacing w:after="0" w:line="209" w:lineRule="exact"/>
              <w:rPr>
                <w:rFonts w:ascii="Arial" w:cs="Arial" w:eastAsia="Arial" w:hAnsi="Arial"/>
                <w:sz w:val="20"/>
                <w:szCs w:val="20"/>
                <w:color w:val="0000EE"/>
              </w:rPr>
            </w:pPr>
            <w:hyperlink w:anchor="page258">
              <w:r>
                <w:rPr>
                  <w:rFonts w:ascii="Arial" w:cs="Arial" w:eastAsia="Arial" w:hAnsi="Arial"/>
                  <w:sz w:val="20"/>
                  <w:szCs w:val="20"/>
                  <w:color w:val="0000EE"/>
                </w:rPr>
                <w:t>Bridge Facility</w:t>
              </w:r>
            </w:hyperlink>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3"/>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60" w:type="dxa"/>
            <w:vAlign w:val="bottom"/>
            <w:gridSpan w:val="42"/>
          </w:tcPr>
          <w:p>
            <w:pPr>
              <w:spacing w:after="0"/>
              <w:rPr>
                <w:rFonts w:ascii="Arial" w:cs="Arial" w:eastAsia="Arial" w:hAnsi="Arial"/>
                <w:sz w:val="20"/>
                <w:szCs w:val="20"/>
                <w:color w:val="0000EE"/>
              </w:rPr>
            </w:pPr>
            <w:hyperlink w:anchor="page259">
              <w:r>
                <w:rPr>
                  <w:rFonts w:ascii="Arial" w:cs="Arial" w:eastAsia="Arial" w:hAnsi="Arial"/>
                  <w:sz w:val="20"/>
                  <w:szCs w:val="20"/>
                  <w:color w:val="0000EE"/>
                </w:rPr>
                <w:t>ARTICLE III REPRESENTATIONS AND WARRANTIES</w:t>
              </w:r>
            </w:hyperlink>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426"/>
        </w:trPr>
        <w:tc>
          <w:tcPr>
            <w:tcW w:w="800" w:type="dxa"/>
            <w:vAlign w:val="bottom"/>
            <w:tcBorders>
              <w:top w:val="single" w:sz="8" w:color="0000EE"/>
            </w:tcBorders>
          </w:tcPr>
          <w:p>
            <w:pPr>
              <w:spacing w:after="0"/>
              <w:rPr>
                <w:sz w:val="24"/>
                <w:szCs w:val="24"/>
                <w:color w:val="auto"/>
              </w:rPr>
            </w:pPr>
          </w:p>
        </w:tc>
        <w:tc>
          <w:tcPr>
            <w:tcW w:w="1220" w:type="dxa"/>
            <w:vAlign w:val="bottom"/>
            <w:tcBorders>
              <w:top w:val="single" w:sz="8" w:color="0000EE"/>
              <w:bottom w:val="single" w:sz="8" w:color="0000EE"/>
            </w:tcBorders>
          </w:tcPr>
          <w:p>
            <w:pPr>
              <w:spacing w:after="0"/>
              <w:rPr>
                <w:rFonts w:ascii="Arial" w:cs="Arial" w:eastAsia="Arial" w:hAnsi="Arial"/>
                <w:sz w:val="20"/>
                <w:szCs w:val="20"/>
                <w:color w:val="0000EE"/>
                <w:w w:val="88"/>
              </w:rPr>
            </w:pPr>
            <w:hyperlink w:anchor="page259">
              <w:r>
                <w:rPr>
                  <w:rFonts w:ascii="Arial" w:cs="Arial" w:eastAsia="Arial" w:hAnsi="Arial"/>
                  <w:sz w:val="20"/>
                  <w:szCs w:val="20"/>
                  <w:color w:val="0000EE"/>
                  <w:w w:val="88"/>
                </w:rPr>
                <w:t>SECTION 3.01</w:t>
              </w:r>
            </w:hyperlink>
          </w:p>
        </w:tc>
        <w:tc>
          <w:tcPr>
            <w:tcW w:w="560" w:type="dxa"/>
            <w:vAlign w:val="bottom"/>
            <w:tcBorders>
              <w:top w:val="single" w:sz="8" w:color="0000EE"/>
            </w:tcBorders>
            <w:gridSpan w:val="3"/>
          </w:tcPr>
          <w:p>
            <w:pPr>
              <w:spacing w:after="0"/>
              <w:rPr>
                <w:sz w:val="24"/>
                <w:szCs w:val="24"/>
                <w:color w:val="auto"/>
              </w:rPr>
            </w:pPr>
          </w:p>
        </w:tc>
        <w:tc>
          <w:tcPr>
            <w:tcW w:w="1660" w:type="dxa"/>
            <w:vAlign w:val="bottom"/>
            <w:tcBorders>
              <w:top w:val="single" w:sz="8" w:color="0000EE"/>
              <w:bottom w:val="single" w:sz="8" w:color="0000EE"/>
            </w:tcBorders>
            <w:gridSpan w:val="15"/>
          </w:tcPr>
          <w:p>
            <w:pPr>
              <w:spacing w:after="0"/>
              <w:rPr>
                <w:rFonts w:ascii="Arial" w:cs="Arial" w:eastAsia="Arial" w:hAnsi="Arial"/>
                <w:sz w:val="20"/>
                <w:szCs w:val="20"/>
                <w:color w:val="0000EE"/>
                <w:w w:val="85"/>
              </w:rPr>
            </w:pPr>
            <w:hyperlink w:anchor="page259">
              <w:r>
                <w:rPr>
                  <w:rFonts w:ascii="Arial" w:cs="Arial" w:eastAsia="Arial" w:hAnsi="Arial"/>
                  <w:sz w:val="20"/>
                  <w:szCs w:val="20"/>
                  <w:color w:val="0000EE"/>
                  <w:w w:val="85"/>
                </w:rPr>
                <w:t>Organization; Powers</w:t>
              </w:r>
            </w:hyperlink>
          </w:p>
        </w:tc>
        <w:tc>
          <w:tcPr>
            <w:tcW w:w="480" w:type="dxa"/>
            <w:vAlign w:val="bottom"/>
            <w:tcBorders>
              <w:top w:val="single" w:sz="8" w:color="0000EE"/>
            </w:tcBorders>
            <w:gridSpan w:val="8"/>
          </w:tcPr>
          <w:p>
            <w:pPr>
              <w:spacing w:after="0"/>
              <w:rPr>
                <w:sz w:val="24"/>
                <w:szCs w:val="24"/>
                <w:color w:val="auto"/>
              </w:rPr>
            </w:pPr>
          </w:p>
        </w:tc>
        <w:tc>
          <w:tcPr>
            <w:tcW w:w="3640" w:type="dxa"/>
            <w:vAlign w:val="bottom"/>
            <w:gridSpan w:val="14"/>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59">
              <w:r>
                <w:rPr>
                  <w:rFonts w:ascii="Arial" w:cs="Arial" w:eastAsia="Arial" w:hAnsi="Arial"/>
                  <w:sz w:val="20"/>
                  <w:szCs w:val="20"/>
                  <w:color w:val="0000EE"/>
                  <w:w w:val="88"/>
                </w:rPr>
                <w:t>SECTION 3.02</w:t>
              </w:r>
            </w:hyperlink>
          </w:p>
        </w:tc>
        <w:tc>
          <w:tcPr>
            <w:tcW w:w="560" w:type="dxa"/>
            <w:vAlign w:val="bottom"/>
            <w:gridSpan w:val="3"/>
          </w:tcPr>
          <w:p>
            <w:pPr>
              <w:spacing w:after="0"/>
              <w:rPr>
                <w:sz w:val="18"/>
                <w:szCs w:val="18"/>
                <w:color w:val="auto"/>
              </w:rPr>
            </w:pPr>
          </w:p>
        </w:tc>
        <w:tc>
          <w:tcPr>
            <w:tcW w:w="2280" w:type="dxa"/>
            <w:vAlign w:val="bottom"/>
            <w:tcBorders>
              <w:bottom w:val="single" w:sz="8" w:color="0000EE"/>
            </w:tcBorders>
            <w:gridSpan w:val="24"/>
          </w:tcPr>
          <w:p>
            <w:pPr>
              <w:spacing w:after="0" w:line="209" w:lineRule="exact"/>
              <w:rPr>
                <w:rFonts w:ascii="Arial" w:cs="Arial" w:eastAsia="Arial" w:hAnsi="Arial"/>
                <w:sz w:val="20"/>
                <w:szCs w:val="20"/>
                <w:color w:val="0000EE"/>
                <w:w w:val="91"/>
              </w:rPr>
            </w:pPr>
            <w:hyperlink w:anchor="page259">
              <w:r>
                <w:rPr>
                  <w:rFonts w:ascii="Arial" w:cs="Arial" w:eastAsia="Arial" w:hAnsi="Arial"/>
                  <w:sz w:val="20"/>
                  <w:szCs w:val="20"/>
                  <w:color w:val="0000EE"/>
                  <w:w w:val="91"/>
                </w:rPr>
                <w:t>Authorization; Enforceability</w:t>
              </w:r>
            </w:hyperlink>
          </w:p>
        </w:tc>
        <w:tc>
          <w:tcPr>
            <w:tcW w:w="3500" w:type="dxa"/>
            <w:vAlign w:val="bottom"/>
            <w:gridSpan w:val="13"/>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60">
              <w:r>
                <w:rPr>
                  <w:rFonts w:ascii="Arial" w:cs="Arial" w:eastAsia="Arial" w:hAnsi="Arial"/>
                  <w:sz w:val="20"/>
                  <w:szCs w:val="20"/>
                  <w:color w:val="0000EE"/>
                  <w:w w:val="88"/>
                </w:rPr>
                <w:t>SECTION 3.03</w:t>
              </w:r>
            </w:hyperlink>
          </w:p>
        </w:tc>
        <w:tc>
          <w:tcPr>
            <w:tcW w:w="560" w:type="dxa"/>
            <w:vAlign w:val="bottom"/>
            <w:gridSpan w:val="3"/>
          </w:tcPr>
          <w:p>
            <w:pPr>
              <w:spacing w:after="0"/>
              <w:rPr>
                <w:sz w:val="18"/>
                <w:szCs w:val="18"/>
                <w:color w:val="auto"/>
              </w:rPr>
            </w:pPr>
          </w:p>
        </w:tc>
        <w:tc>
          <w:tcPr>
            <w:tcW w:w="3760" w:type="dxa"/>
            <w:vAlign w:val="bottom"/>
            <w:tcBorders>
              <w:bottom w:val="single" w:sz="8" w:color="0000EE"/>
            </w:tcBorders>
            <w:gridSpan w:val="31"/>
          </w:tcPr>
          <w:p>
            <w:pPr>
              <w:spacing w:after="0" w:line="209" w:lineRule="exact"/>
              <w:rPr>
                <w:rFonts w:ascii="Arial" w:cs="Arial" w:eastAsia="Arial" w:hAnsi="Arial"/>
                <w:sz w:val="20"/>
                <w:szCs w:val="20"/>
                <w:color w:val="0000EE"/>
                <w:w w:val="89"/>
              </w:rPr>
            </w:pPr>
            <w:hyperlink w:anchor="page260">
              <w:r>
                <w:rPr>
                  <w:rFonts w:ascii="Arial" w:cs="Arial" w:eastAsia="Arial" w:hAnsi="Arial"/>
                  <w:sz w:val="20"/>
                  <w:szCs w:val="20"/>
                  <w:color w:val="0000EE"/>
                  <w:w w:val="89"/>
                </w:rPr>
                <w:t>Governmental Approvals; Absence of Conflicts</w:t>
              </w:r>
            </w:hyperlink>
          </w:p>
        </w:tc>
        <w:tc>
          <w:tcPr>
            <w:tcW w:w="2020" w:type="dxa"/>
            <w:vAlign w:val="bottom"/>
            <w:gridSpan w:val="6"/>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260">
              <w:r>
                <w:rPr>
                  <w:rFonts w:ascii="Arial" w:cs="Arial" w:eastAsia="Arial" w:hAnsi="Arial"/>
                  <w:sz w:val="20"/>
                  <w:szCs w:val="20"/>
                  <w:color w:val="0000EE"/>
                  <w:w w:val="88"/>
                </w:rPr>
                <w:t>SECTION 3.04</w:t>
              </w:r>
            </w:hyperlink>
          </w:p>
        </w:tc>
        <w:tc>
          <w:tcPr>
            <w:tcW w:w="560" w:type="dxa"/>
            <w:vAlign w:val="bottom"/>
            <w:gridSpan w:val="3"/>
          </w:tcPr>
          <w:p>
            <w:pPr>
              <w:spacing w:after="0"/>
              <w:rPr>
                <w:sz w:val="18"/>
                <w:szCs w:val="18"/>
                <w:color w:val="auto"/>
              </w:rPr>
            </w:pPr>
          </w:p>
        </w:tc>
        <w:tc>
          <w:tcPr>
            <w:tcW w:w="3820" w:type="dxa"/>
            <w:vAlign w:val="bottom"/>
            <w:tcBorders>
              <w:bottom w:val="single" w:sz="8" w:color="0000EE"/>
            </w:tcBorders>
            <w:gridSpan w:val="33"/>
          </w:tcPr>
          <w:p>
            <w:pPr>
              <w:spacing w:after="0" w:line="209" w:lineRule="exact"/>
              <w:rPr>
                <w:rFonts w:ascii="Arial" w:cs="Arial" w:eastAsia="Arial" w:hAnsi="Arial"/>
                <w:sz w:val="20"/>
                <w:szCs w:val="20"/>
                <w:color w:val="0000EE"/>
                <w:w w:val="90"/>
              </w:rPr>
            </w:pPr>
            <w:hyperlink w:anchor="page260">
              <w:r>
                <w:rPr>
                  <w:rFonts w:ascii="Arial" w:cs="Arial" w:eastAsia="Arial" w:hAnsi="Arial"/>
                  <w:sz w:val="20"/>
                  <w:szCs w:val="20"/>
                  <w:color w:val="0000EE"/>
                  <w:w w:val="90"/>
                </w:rPr>
                <w:t>Financial Condition; No Material Adverse Effect</w:t>
              </w:r>
            </w:hyperlink>
          </w:p>
        </w:tc>
        <w:tc>
          <w:tcPr>
            <w:tcW w:w="1960" w:type="dxa"/>
            <w:vAlign w:val="bottom"/>
            <w:gridSpan w:val="4"/>
          </w:tcPr>
          <w:p>
            <w:pPr>
              <w:spacing w:after="0"/>
              <w:rPr>
                <w:sz w:val="18"/>
                <w:szCs w:val="18"/>
                <w:color w:val="auto"/>
              </w:rPr>
            </w:pPr>
          </w:p>
        </w:tc>
        <w:tc>
          <w:tcPr>
            <w:tcW w:w="5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123190</wp:posOffset>
            </wp:positionV>
            <wp:extent cx="5642610" cy="514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4" w:name="page185"/>
    <w:bookmarkEnd w:id="184"/>
    <w:tbl>
      <w:tblPr>
        <w:tblLayout w:type="fixed"/>
        <w:tblInd w:w="22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20"/>
                <w:szCs w:val="20"/>
                <w:color w:val="0000EE"/>
                <w:w w:val="91"/>
              </w:rPr>
            </w:pPr>
            <w:hyperlink w:anchor="page260">
              <w:r>
                <w:rPr>
                  <w:rFonts w:ascii="Arial" w:cs="Arial" w:eastAsia="Arial" w:hAnsi="Arial"/>
                  <w:sz w:val="20"/>
                  <w:szCs w:val="20"/>
                  <w:color w:val="0000EE"/>
                  <w:w w:val="91"/>
                </w:rPr>
                <w:t>SECTION 3.05</w:t>
              </w:r>
            </w:hyperlink>
          </w:p>
        </w:tc>
        <w:tc>
          <w:tcPr>
            <w:tcW w:w="3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5260" w:type="dxa"/>
            <w:vAlign w:val="bottom"/>
            <w:gridSpan w:val="31"/>
          </w:tcPr>
          <w:p>
            <w:pPr>
              <w:spacing w:after="0"/>
              <w:rPr>
                <w:rFonts w:ascii="Arial" w:cs="Arial" w:eastAsia="Arial" w:hAnsi="Arial"/>
                <w:sz w:val="20"/>
                <w:szCs w:val="20"/>
                <w:color w:val="0000EE"/>
              </w:rPr>
            </w:pPr>
            <w:hyperlink w:anchor="page260">
              <w:r>
                <w:rPr>
                  <w:rFonts w:ascii="Arial" w:cs="Arial" w:eastAsia="Arial" w:hAnsi="Arial"/>
                  <w:sz w:val="20"/>
                  <w:szCs w:val="20"/>
                  <w:color w:val="0000EE"/>
                </w:rPr>
                <w:t>Properties</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61">
              <w:r>
                <w:rPr>
                  <w:rFonts w:ascii="Arial" w:cs="Arial" w:eastAsia="Arial" w:hAnsi="Arial"/>
                  <w:sz w:val="20"/>
                  <w:szCs w:val="20"/>
                  <w:color w:val="0000EE"/>
                  <w:w w:val="91"/>
                </w:rPr>
                <w:t>SECTION 3.06</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tcBorders>
              <w:bottom w:val="single" w:sz="8" w:color="0000EE"/>
            </w:tcBorders>
            <w:gridSpan w:val="27"/>
          </w:tcPr>
          <w:p>
            <w:pPr>
              <w:spacing w:after="0" w:line="209" w:lineRule="exact"/>
              <w:rPr>
                <w:rFonts w:ascii="Arial" w:cs="Arial" w:eastAsia="Arial" w:hAnsi="Arial"/>
                <w:sz w:val="20"/>
                <w:szCs w:val="20"/>
                <w:color w:val="0000EE"/>
                <w:w w:val="92"/>
              </w:rPr>
            </w:pPr>
            <w:hyperlink w:anchor="page261">
              <w:r>
                <w:rPr>
                  <w:rFonts w:ascii="Arial" w:cs="Arial" w:eastAsia="Arial" w:hAnsi="Arial"/>
                  <w:sz w:val="20"/>
                  <w:szCs w:val="20"/>
                  <w:color w:val="0000EE"/>
                  <w:w w:val="92"/>
                </w:rPr>
                <w:t>Litigation and Environmental Matters</w:t>
              </w:r>
            </w:hyperlink>
          </w:p>
        </w:tc>
        <w:tc>
          <w:tcPr>
            <w:tcW w:w="2240" w:type="dxa"/>
            <w:vAlign w:val="bottom"/>
            <w:gridSpan w:val="4"/>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74</w:t>
            </w:r>
          </w:p>
        </w:tc>
      </w:tr>
      <w:tr>
        <w:trPr>
          <w:trHeight w:val="210"/>
        </w:trPr>
        <w:tc>
          <w:tcPr>
            <w:tcW w:w="800" w:type="dxa"/>
            <w:vAlign w:val="bottom"/>
          </w:tcPr>
          <w:p>
            <w:pPr>
              <w:spacing w:after="0"/>
              <w:rPr>
                <w:sz w:val="18"/>
                <w:szCs w:val="18"/>
                <w:color w:val="auto"/>
              </w:rPr>
            </w:pPr>
          </w:p>
        </w:tc>
        <w:tc>
          <w:tcPr>
            <w:tcW w:w="1260" w:type="dxa"/>
            <w:vAlign w:val="bottom"/>
            <w:gridSpan w:val="2"/>
          </w:tcPr>
          <w:p>
            <w:pPr>
              <w:spacing w:after="0" w:line="209" w:lineRule="exact"/>
              <w:rPr>
                <w:rFonts w:ascii="Arial" w:cs="Arial" w:eastAsia="Arial" w:hAnsi="Arial"/>
                <w:sz w:val="20"/>
                <w:szCs w:val="20"/>
                <w:color w:val="0000EE"/>
                <w:w w:val="91"/>
              </w:rPr>
            </w:pPr>
            <w:hyperlink w:anchor="page261">
              <w:r>
                <w:rPr>
                  <w:rFonts w:ascii="Arial" w:cs="Arial" w:eastAsia="Arial" w:hAnsi="Arial"/>
                  <w:sz w:val="20"/>
                  <w:szCs w:val="20"/>
                  <w:color w:val="0000EE"/>
                  <w:w w:val="91"/>
                </w:rPr>
                <w:t>SECTION 3.07</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gridSpan w:val="31"/>
          </w:tcPr>
          <w:p>
            <w:pPr>
              <w:spacing w:after="0" w:line="209" w:lineRule="exact"/>
              <w:rPr>
                <w:rFonts w:ascii="Arial" w:cs="Arial" w:eastAsia="Arial" w:hAnsi="Arial"/>
                <w:sz w:val="20"/>
                <w:szCs w:val="20"/>
                <w:color w:val="0000EE"/>
              </w:rPr>
            </w:pPr>
            <w:hyperlink w:anchor="page261">
              <w:r>
                <w:rPr>
                  <w:rFonts w:ascii="Arial" w:cs="Arial" w:eastAsia="Arial" w:hAnsi="Arial"/>
                  <w:sz w:val="20"/>
                  <w:szCs w:val="20"/>
                  <w:color w:val="0000EE"/>
                </w:rPr>
                <w:t>Compliance with Laws</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74</w:t>
            </w: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61">
              <w:r>
                <w:rPr>
                  <w:rFonts w:ascii="Arial" w:cs="Arial" w:eastAsia="Arial" w:hAnsi="Arial"/>
                  <w:sz w:val="20"/>
                  <w:szCs w:val="20"/>
                  <w:color w:val="0000EE"/>
                  <w:w w:val="91"/>
                </w:rPr>
                <w:t>SECTION 3.08</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Borders>
              <w:bottom w:val="single" w:sz="8" w:color="0000EE"/>
            </w:tcBorders>
            <w:gridSpan w:val="22"/>
          </w:tcPr>
          <w:p>
            <w:pPr>
              <w:spacing w:after="0" w:line="209" w:lineRule="exact"/>
              <w:rPr>
                <w:rFonts w:ascii="Arial" w:cs="Arial" w:eastAsia="Arial" w:hAnsi="Arial"/>
                <w:sz w:val="20"/>
                <w:szCs w:val="20"/>
                <w:color w:val="0000EE"/>
                <w:w w:val="88"/>
              </w:rPr>
            </w:pPr>
            <w:hyperlink w:anchor="page261">
              <w:r>
                <w:rPr>
                  <w:rFonts w:ascii="Arial" w:cs="Arial" w:eastAsia="Arial" w:hAnsi="Arial"/>
                  <w:sz w:val="20"/>
                  <w:szCs w:val="20"/>
                  <w:color w:val="0000EE"/>
                  <w:w w:val="88"/>
                </w:rPr>
                <w:t>Investment Company Status</w:t>
              </w:r>
            </w:hyperlink>
          </w:p>
        </w:tc>
        <w:tc>
          <w:tcPr>
            <w:tcW w:w="3020" w:type="dxa"/>
            <w:vAlign w:val="bottom"/>
            <w:gridSpan w:val="9"/>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74</w:t>
            </w:r>
          </w:p>
        </w:tc>
      </w:tr>
      <w:tr>
        <w:trPr>
          <w:trHeight w:val="210"/>
        </w:trPr>
        <w:tc>
          <w:tcPr>
            <w:tcW w:w="800" w:type="dxa"/>
            <w:vAlign w:val="bottom"/>
          </w:tcPr>
          <w:p>
            <w:pPr>
              <w:spacing w:after="0"/>
              <w:rPr>
                <w:sz w:val="18"/>
                <w:szCs w:val="18"/>
                <w:color w:val="auto"/>
              </w:rPr>
            </w:pPr>
          </w:p>
        </w:tc>
        <w:tc>
          <w:tcPr>
            <w:tcW w:w="1260" w:type="dxa"/>
            <w:vAlign w:val="bottom"/>
            <w:gridSpan w:val="2"/>
          </w:tcPr>
          <w:p>
            <w:pPr>
              <w:spacing w:after="0" w:line="209" w:lineRule="exact"/>
              <w:rPr>
                <w:rFonts w:ascii="Arial" w:cs="Arial" w:eastAsia="Arial" w:hAnsi="Arial"/>
                <w:sz w:val="20"/>
                <w:szCs w:val="20"/>
                <w:color w:val="0000EE"/>
                <w:w w:val="91"/>
              </w:rPr>
            </w:pPr>
            <w:hyperlink w:anchor="page262">
              <w:r>
                <w:rPr>
                  <w:rFonts w:ascii="Arial" w:cs="Arial" w:eastAsia="Arial" w:hAnsi="Arial"/>
                  <w:sz w:val="20"/>
                  <w:szCs w:val="20"/>
                  <w:color w:val="0000EE"/>
                  <w:w w:val="91"/>
                </w:rPr>
                <w:t>SECTION 3.09</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gridSpan w:val="31"/>
          </w:tcPr>
          <w:p>
            <w:pPr>
              <w:spacing w:after="0" w:line="209" w:lineRule="exact"/>
              <w:rPr>
                <w:rFonts w:ascii="Arial" w:cs="Arial" w:eastAsia="Arial" w:hAnsi="Arial"/>
                <w:sz w:val="20"/>
                <w:szCs w:val="20"/>
                <w:color w:val="0000EE"/>
              </w:rPr>
            </w:pPr>
            <w:hyperlink w:anchor="page262">
              <w:r>
                <w:rPr>
                  <w:rFonts w:ascii="Arial" w:cs="Arial" w:eastAsia="Arial" w:hAnsi="Arial"/>
                  <w:sz w:val="20"/>
                  <w:szCs w:val="20"/>
                  <w:color w:val="0000EE"/>
                </w:rPr>
                <w:t>Taxes</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75</w:t>
            </w: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62">
              <w:r>
                <w:rPr>
                  <w:rFonts w:ascii="Arial" w:cs="Arial" w:eastAsia="Arial" w:hAnsi="Arial"/>
                  <w:sz w:val="20"/>
                  <w:szCs w:val="20"/>
                  <w:color w:val="0000EE"/>
                  <w:w w:val="91"/>
                </w:rPr>
                <w:t>SECTION 3.10</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bottom w:val="single" w:sz="8" w:color="0000EE"/>
            </w:tcBorders>
            <w:gridSpan w:val="2"/>
          </w:tcPr>
          <w:p>
            <w:pPr>
              <w:spacing w:after="0" w:line="209" w:lineRule="exact"/>
              <w:rPr>
                <w:rFonts w:ascii="Arial" w:cs="Arial" w:eastAsia="Arial" w:hAnsi="Arial"/>
                <w:sz w:val="20"/>
                <w:szCs w:val="20"/>
                <w:color w:val="0000EE"/>
                <w:w w:val="93"/>
              </w:rPr>
            </w:pPr>
            <w:hyperlink w:anchor="page262">
              <w:r>
                <w:rPr>
                  <w:rFonts w:ascii="Arial" w:cs="Arial" w:eastAsia="Arial" w:hAnsi="Arial"/>
                  <w:sz w:val="20"/>
                  <w:szCs w:val="20"/>
                  <w:color w:val="0000EE"/>
                  <w:w w:val="93"/>
                </w:rPr>
                <w:t>ERISA</w:t>
              </w:r>
            </w:hyperlink>
          </w:p>
        </w:tc>
        <w:tc>
          <w:tcPr>
            <w:tcW w:w="4680" w:type="dxa"/>
            <w:vAlign w:val="bottom"/>
            <w:gridSpan w:val="29"/>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75</w:t>
            </w: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spacing w:after="0" w:line="209" w:lineRule="exact"/>
              <w:rPr>
                <w:rFonts w:ascii="Arial" w:cs="Arial" w:eastAsia="Arial" w:hAnsi="Arial"/>
                <w:sz w:val="20"/>
                <w:szCs w:val="20"/>
                <w:color w:val="0000EE"/>
                <w:w w:val="89"/>
              </w:rPr>
            </w:pPr>
            <w:hyperlink w:anchor="page262">
              <w:r>
                <w:rPr>
                  <w:rFonts w:ascii="Arial" w:cs="Arial" w:eastAsia="Arial" w:hAnsi="Arial"/>
                  <w:sz w:val="20"/>
                  <w:szCs w:val="20"/>
                  <w:color w:val="0000EE"/>
                  <w:w w:val="89"/>
                </w:rPr>
                <w:t>SECTION 3.11</w:t>
              </w:r>
            </w:hyperlink>
          </w:p>
        </w:tc>
        <w:tc>
          <w:tcPr>
            <w:tcW w:w="38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bottom w:val="single" w:sz="8" w:color="0000EE"/>
            </w:tcBorders>
            <w:gridSpan w:val="4"/>
          </w:tcPr>
          <w:p>
            <w:pPr>
              <w:spacing w:after="0" w:line="209" w:lineRule="exact"/>
              <w:rPr>
                <w:rFonts w:ascii="Arial" w:cs="Arial" w:eastAsia="Arial" w:hAnsi="Arial"/>
                <w:sz w:val="20"/>
                <w:szCs w:val="20"/>
                <w:color w:val="0000EE"/>
                <w:w w:val="91"/>
              </w:rPr>
            </w:pPr>
            <w:hyperlink w:anchor="page262">
              <w:r>
                <w:rPr>
                  <w:rFonts w:ascii="Arial" w:cs="Arial" w:eastAsia="Arial" w:hAnsi="Arial"/>
                  <w:sz w:val="20"/>
                  <w:szCs w:val="20"/>
                  <w:color w:val="0000EE"/>
                  <w:w w:val="91"/>
                </w:rPr>
                <w:t>Solvency</w:t>
              </w:r>
            </w:hyperlink>
          </w:p>
        </w:tc>
        <w:tc>
          <w:tcPr>
            <w:tcW w:w="4500" w:type="dxa"/>
            <w:vAlign w:val="bottom"/>
            <w:gridSpan w:val="27"/>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75</w:t>
            </w: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62">
              <w:r>
                <w:rPr>
                  <w:rFonts w:ascii="Arial" w:cs="Arial" w:eastAsia="Arial" w:hAnsi="Arial"/>
                  <w:sz w:val="20"/>
                  <w:szCs w:val="20"/>
                  <w:color w:val="0000EE"/>
                  <w:w w:val="91"/>
                </w:rPr>
                <w:t>SECTION 3.12</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bottom w:val="single" w:sz="8" w:color="0000EE"/>
            </w:tcBorders>
            <w:gridSpan w:val="6"/>
          </w:tcPr>
          <w:p>
            <w:pPr>
              <w:spacing w:after="0" w:line="209" w:lineRule="exact"/>
              <w:rPr>
                <w:rFonts w:ascii="Arial" w:cs="Arial" w:eastAsia="Arial" w:hAnsi="Arial"/>
                <w:sz w:val="20"/>
                <w:szCs w:val="20"/>
                <w:color w:val="0000EE"/>
                <w:w w:val="89"/>
              </w:rPr>
            </w:pPr>
            <w:hyperlink w:anchor="page262">
              <w:r>
                <w:rPr>
                  <w:rFonts w:ascii="Arial" w:cs="Arial" w:eastAsia="Arial" w:hAnsi="Arial"/>
                  <w:sz w:val="20"/>
                  <w:szCs w:val="20"/>
                  <w:color w:val="0000EE"/>
                  <w:w w:val="89"/>
                </w:rPr>
                <w:t>Disclosure</w:t>
              </w:r>
            </w:hyperlink>
          </w:p>
        </w:tc>
        <w:tc>
          <w:tcPr>
            <w:tcW w:w="4400" w:type="dxa"/>
            <w:vAlign w:val="bottom"/>
            <w:gridSpan w:val="25"/>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75</w:t>
            </w:r>
          </w:p>
        </w:tc>
      </w:tr>
      <w:tr>
        <w:trPr>
          <w:trHeight w:val="210"/>
        </w:trPr>
        <w:tc>
          <w:tcPr>
            <w:tcW w:w="800" w:type="dxa"/>
            <w:vAlign w:val="bottom"/>
          </w:tcPr>
          <w:p>
            <w:pPr>
              <w:spacing w:after="0"/>
              <w:rPr>
                <w:sz w:val="18"/>
                <w:szCs w:val="18"/>
                <w:color w:val="auto"/>
              </w:rPr>
            </w:pPr>
          </w:p>
        </w:tc>
        <w:tc>
          <w:tcPr>
            <w:tcW w:w="1260" w:type="dxa"/>
            <w:vAlign w:val="bottom"/>
            <w:gridSpan w:val="2"/>
          </w:tcPr>
          <w:p>
            <w:pPr>
              <w:spacing w:after="0" w:line="209" w:lineRule="exact"/>
              <w:rPr>
                <w:rFonts w:ascii="Arial" w:cs="Arial" w:eastAsia="Arial" w:hAnsi="Arial"/>
                <w:sz w:val="20"/>
                <w:szCs w:val="20"/>
                <w:color w:val="0000EE"/>
                <w:w w:val="91"/>
              </w:rPr>
            </w:pPr>
            <w:hyperlink w:anchor="page263">
              <w:r>
                <w:rPr>
                  <w:rFonts w:ascii="Arial" w:cs="Arial" w:eastAsia="Arial" w:hAnsi="Arial"/>
                  <w:sz w:val="20"/>
                  <w:szCs w:val="20"/>
                  <w:color w:val="0000EE"/>
                  <w:w w:val="91"/>
                </w:rPr>
                <w:t>SECTION 3.13</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gridSpan w:val="31"/>
          </w:tcPr>
          <w:p>
            <w:pPr>
              <w:spacing w:after="0" w:line="209" w:lineRule="exact"/>
              <w:rPr>
                <w:rFonts w:ascii="Arial" w:cs="Arial" w:eastAsia="Arial" w:hAnsi="Arial"/>
                <w:sz w:val="20"/>
                <w:szCs w:val="20"/>
                <w:color w:val="0000EE"/>
              </w:rPr>
            </w:pPr>
            <w:hyperlink w:anchor="page263">
              <w:r>
                <w:rPr>
                  <w:rFonts w:ascii="Arial" w:cs="Arial" w:eastAsia="Arial" w:hAnsi="Arial"/>
                  <w:sz w:val="20"/>
                  <w:szCs w:val="20"/>
                  <w:color w:val="0000EE"/>
                </w:rPr>
                <w:t>Federal Reserve Regulations</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76</w:t>
            </w:r>
          </w:p>
        </w:tc>
      </w:tr>
      <w:tr>
        <w:trPr>
          <w:trHeight w:val="210"/>
        </w:trPr>
        <w:tc>
          <w:tcPr>
            <w:tcW w:w="800" w:type="dxa"/>
            <w:vAlign w:val="bottom"/>
          </w:tcPr>
          <w:p>
            <w:pPr>
              <w:spacing w:after="0"/>
              <w:rPr>
                <w:sz w:val="18"/>
                <w:szCs w:val="18"/>
                <w:color w:val="auto"/>
              </w:rPr>
            </w:pPr>
          </w:p>
        </w:tc>
        <w:tc>
          <w:tcPr>
            <w:tcW w:w="12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91"/>
              </w:rPr>
            </w:pPr>
            <w:hyperlink w:anchor="page263">
              <w:r>
                <w:rPr>
                  <w:rFonts w:ascii="Arial" w:cs="Arial" w:eastAsia="Arial" w:hAnsi="Arial"/>
                  <w:sz w:val="20"/>
                  <w:szCs w:val="20"/>
                  <w:color w:val="0000EE"/>
                  <w:w w:val="91"/>
                </w:rPr>
                <w:t>SECTION 3.14</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top w:val="single" w:sz="8" w:color="0000EE"/>
              <w:bottom w:val="single" w:sz="8" w:color="0000EE"/>
            </w:tcBorders>
            <w:gridSpan w:val="8"/>
          </w:tcPr>
          <w:p>
            <w:pPr>
              <w:spacing w:after="0" w:line="209" w:lineRule="exact"/>
              <w:rPr>
                <w:rFonts w:ascii="Arial" w:cs="Arial" w:eastAsia="Arial" w:hAnsi="Arial"/>
                <w:sz w:val="20"/>
                <w:szCs w:val="20"/>
                <w:color w:val="0000EE"/>
                <w:w w:val="88"/>
              </w:rPr>
            </w:pPr>
            <w:hyperlink w:anchor="page263">
              <w:r>
                <w:rPr>
                  <w:rFonts w:ascii="Arial" w:cs="Arial" w:eastAsia="Arial" w:hAnsi="Arial"/>
                  <w:sz w:val="20"/>
                  <w:szCs w:val="20"/>
                  <w:color w:val="0000EE"/>
                  <w:w w:val="88"/>
                </w:rPr>
                <w:t>Subsidiaries</w:t>
              </w:r>
            </w:hyperlink>
          </w:p>
        </w:tc>
        <w:tc>
          <w:tcPr>
            <w:tcW w:w="1300" w:type="dxa"/>
            <w:vAlign w:val="bottom"/>
            <w:tcBorders>
              <w:top w:val="single" w:sz="8" w:color="0000EE"/>
            </w:tcBorders>
            <w:gridSpan w:val="15"/>
          </w:tcPr>
          <w:p>
            <w:pPr>
              <w:spacing w:after="0"/>
              <w:rPr>
                <w:sz w:val="18"/>
                <w:szCs w:val="18"/>
                <w:color w:val="auto"/>
              </w:rPr>
            </w:pPr>
          </w:p>
        </w:tc>
        <w:tc>
          <w:tcPr>
            <w:tcW w:w="2980" w:type="dxa"/>
            <w:vAlign w:val="bottom"/>
            <w:gridSpan w:val="8"/>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76</w:t>
            </w:r>
          </w:p>
        </w:tc>
      </w:tr>
      <w:tr>
        <w:trPr>
          <w:trHeight w:val="210"/>
        </w:trPr>
        <w:tc>
          <w:tcPr>
            <w:tcW w:w="800" w:type="dxa"/>
            <w:vAlign w:val="bottom"/>
          </w:tcPr>
          <w:p>
            <w:pPr>
              <w:spacing w:after="0"/>
              <w:rPr>
                <w:sz w:val="18"/>
                <w:szCs w:val="18"/>
                <w:color w:val="auto"/>
              </w:rPr>
            </w:pPr>
          </w:p>
        </w:tc>
        <w:tc>
          <w:tcPr>
            <w:tcW w:w="1260" w:type="dxa"/>
            <w:vAlign w:val="bottom"/>
            <w:gridSpan w:val="2"/>
          </w:tcPr>
          <w:p>
            <w:pPr>
              <w:spacing w:after="0" w:line="209" w:lineRule="exact"/>
              <w:rPr>
                <w:rFonts w:ascii="Arial" w:cs="Arial" w:eastAsia="Arial" w:hAnsi="Arial"/>
                <w:sz w:val="20"/>
                <w:szCs w:val="20"/>
                <w:color w:val="0000EE"/>
                <w:w w:val="91"/>
              </w:rPr>
            </w:pPr>
            <w:hyperlink w:anchor="page264">
              <w:r>
                <w:rPr>
                  <w:rFonts w:ascii="Arial" w:cs="Arial" w:eastAsia="Arial" w:hAnsi="Arial"/>
                  <w:sz w:val="20"/>
                  <w:szCs w:val="20"/>
                  <w:color w:val="0000EE"/>
                  <w:w w:val="91"/>
                </w:rPr>
                <w:t>SECTION 3.15</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gridSpan w:val="31"/>
          </w:tcPr>
          <w:p>
            <w:pPr>
              <w:spacing w:after="0" w:line="209" w:lineRule="exact"/>
              <w:rPr>
                <w:rFonts w:ascii="Arial" w:cs="Arial" w:eastAsia="Arial" w:hAnsi="Arial"/>
                <w:sz w:val="20"/>
                <w:szCs w:val="20"/>
                <w:color w:val="0000EE"/>
              </w:rPr>
            </w:pPr>
            <w:hyperlink w:anchor="page264">
              <w:r>
                <w:rPr>
                  <w:rFonts w:ascii="Arial" w:cs="Arial" w:eastAsia="Arial" w:hAnsi="Arial"/>
                  <w:sz w:val="20"/>
                  <w:szCs w:val="20"/>
                  <w:color w:val="0000EE"/>
                </w:rPr>
                <w:t>USA PATRIOT Act</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77</w:t>
            </w:r>
          </w:p>
        </w:tc>
      </w:tr>
      <w:tr>
        <w:trPr>
          <w:trHeight w:val="20"/>
        </w:trPr>
        <w:tc>
          <w:tcPr>
            <w:tcW w:w="800" w:type="dxa"/>
            <w:vAlign w:val="bottom"/>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64">
              <w:r>
                <w:rPr>
                  <w:rFonts w:ascii="Arial" w:cs="Arial" w:eastAsia="Arial" w:hAnsi="Arial"/>
                  <w:sz w:val="20"/>
                  <w:szCs w:val="20"/>
                  <w:color w:val="0000EE"/>
                  <w:w w:val="91"/>
                </w:rPr>
                <w:t>SECTION 3.16</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Borders>
              <w:bottom w:val="single" w:sz="8" w:color="0000EE"/>
            </w:tcBorders>
            <w:gridSpan w:val="19"/>
          </w:tcPr>
          <w:p>
            <w:pPr>
              <w:spacing w:after="0" w:line="209" w:lineRule="exact"/>
              <w:rPr>
                <w:rFonts w:ascii="Arial" w:cs="Arial" w:eastAsia="Arial" w:hAnsi="Arial"/>
                <w:sz w:val="20"/>
                <w:szCs w:val="20"/>
                <w:color w:val="0000EE"/>
                <w:w w:val="93"/>
              </w:rPr>
            </w:pPr>
            <w:hyperlink w:anchor="page264">
              <w:r>
                <w:rPr>
                  <w:rFonts w:ascii="Arial" w:cs="Arial" w:eastAsia="Arial" w:hAnsi="Arial"/>
                  <w:sz w:val="20"/>
                  <w:szCs w:val="20"/>
                  <w:color w:val="0000EE"/>
                  <w:w w:val="93"/>
                </w:rPr>
                <w:t>EEA Financial Institution</w:t>
              </w:r>
            </w:hyperlink>
          </w:p>
        </w:tc>
        <w:tc>
          <w:tcPr>
            <w:tcW w:w="3220" w:type="dxa"/>
            <w:vAlign w:val="bottom"/>
            <w:gridSpan w:val="12"/>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77</w:t>
            </w:r>
          </w:p>
        </w:tc>
      </w:tr>
      <w:tr>
        <w:trPr>
          <w:trHeight w:val="426"/>
        </w:trPr>
        <w:tc>
          <w:tcPr>
            <w:tcW w:w="2400" w:type="dxa"/>
            <w:vAlign w:val="bottom"/>
            <w:gridSpan w:val="5"/>
          </w:tcPr>
          <w:p>
            <w:pPr>
              <w:spacing w:after="0"/>
              <w:rPr>
                <w:rFonts w:ascii="Arial" w:cs="Arial" w:eastAsia="Arial" w:hAnsi="Arial"/>
                <w:sz w:val="20"/>
                <w:szCs w:val="20"/>
                <w:color w:val="0000EE"/>
                <w:w w:val="99"/>
              </w:rPr>
            </w:pPr>
            <w:hyperlink w:anchor="page264">
              <w:r>
                <w:rPr>
                  <w:rFonts w:ascii="Arial" w:cs="Arial" w:eastAsia="Arial" w:hAnsi="Arial"/>
                  <w:sz w:val="20"/>
                  <w:szCs w:val="20"/>
                  <w:color w:val="0000EE"/>
                  <w:w w:val="99"/>
                </w:rPr>
                <w:t>ARTICLE IV CONDITIONS</w:t>
              </w:r>
            </w:hyperlink>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426"/>
        </w:trPr>
        <w:tc>
          <w:tcPr>
            <w:tcW w:w="800" w:type="dxa"/>
            <w:vAlign w:val="bottom"/>
            <w:tcBorders>
              <w:top w:val="single" w:sz="8" w:color="0000EE"/>
            </w:tcBorders>
          </w:tcPr>
          <w:p>
            <w:pPr>
              <w:spacing w:after="0"/>
              <w:rPr>
                <w:sz w:val="24"/>
                <w:szCs w:val="24"/>
                <w:color w:val="auto"/>
              </w:rPr>
            </w:pPr>
          </w:p>
        </w:tc>
        <w:tc>
          <w:tcPr>
            <w:tcW w:w="1260" w:type="dxa"/>
            <w:vAlign w:val="bottom"/>
            <w:tcBorders>
              <w:top w:val="single" w:sz="8" w:color="0000EE"/>
              <w:bottom w:val="single" w:sz="8" w:color="0000EE"/>
            </w:tcBorders>
            <w:gridSpan w:val="2"/>
          </w:tcPr>
          <w:p>
            <w:pPr>
              <w:spacing w:after="0"/>
              <w:rPr>
                <w:rFonts w:ascii="Arial" w:cs="Arial" w:eastAsia="Arial" w:hAnsi="Arial"/>
                <w:sz w:val="20"/>
                <w:szCs w:val="20"/>
                <w:color w:val="0000EE"/>
                <w:w w:val="91"/>
              </w:rPr>
            </w:pPr>
            <w:hyperlink w:anchor="page264">
              <w:r>
                <w:rPr>
                  <w:rFonts w:ascii="Arial" w:cs="Arial" w:eastAsia="Arial" w:hAnsi="Arial"/>
                  <w:sz w:val="20"/>
                  <w:szCs w:val="20"/>
                  <w:color w:val="0000EE"/>
                  <w:w w:val="91"/>
                </w:rPr>
                <w:t>SECTION 4.01</w:t>
              </w:r>
            </w:hyperlink>
          </w:p>
        </w:tc>
        <w:tc>
          <w:tcPr>
            <w:tcW w:w="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Borders>
              <w:bottom w:val="single" w:sz="8" w:color="0000EE"/>
            </w:tcBorders>
            <w:gridSpan w:val="9"/>
          </w:tcPr>
          <w:p>
            <w:pPr>
              <w:spacing w:after="0"/>
              <w:rPr>
                <w:rFonts w:ascii="Arial" w:cs="Arial" w:eastAsia="Arial" w:hAnsi="Arial"/>
                <w:sz w:val="20"/>
                <w:szCs w:val="20"/>
                <w:color w:val="0000EE"/>
                <w:w w:val="91"/>
              </w:rPr>
            </w:pPr>
            <w:hyperlink w:anchor="page264">
              <w:r>
                <w:rPr>
                  <w:rFonts w:ascii="Arial" w:cs="Arial" w:eastAsia="Arial" w:hAnsi="Arial"/>
                  <w:sz w:val="20"/>
                  <w:szCs w:val="20"/>
                  <w:color w:val="0000EE"/>
                  <w:w w:val="91"/>
                </w:rPr>
                <w:t>Effective Date</w:t>
              </w:r>
            </w:hyperlink>
          </w:p>
        </w:tc>
        <w:tc>
          <w:tcPr>
            <w:tcW w:w="4100" w:type="dxa"/>
            <w:vAlign w:val="bottom"/>
            <w:gridSpan w:val="2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65">
              <w:r>
                <w:rPr>
                  <w:rFonts w:ascii="Arial" w:cs="Arial" w:eastAsia="Arial" w:hAnsi="Arial"/>
                  <w:sz w:val="20"/>
                  <w:szCs w:val="20"/>
                  <w:color w:val="0000EE"/>
                  <w:w w:val="91"/>
                </w:rPr>
                <w:t>SECTION 4.02</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Borders>
              <w:bottom w:val="single" w:sz="8" w:color="0000EE"/>
            </w:tcBorders>
            <w:gridSpan w:val="13"/>
          </w:tcPr>
          <w:p>
            <w:pPr>
              <w:spacing w:after="0" w:line="209" w:lineRule="exact"/>
              <w:rPr>
                <w:rFonts w:ascii="Arial" w:cs="Arial" w:eastAsia="Arial" w:hAnsi="Arial"/>
                <w:sz w:val="20"/>
                <w:szCs w:val="20"/>
                <w:color w:val="0000EE"/>
                <w:w w:val="89"/>
              </w:rPr>
            </w:pPr>
            <w:hyperlink w:anchor="page265">
              <w:r>
                <w:rPr>
                  <w:rFonts w:ascii="Arial" w:cs="Arial" w:eastAsia="Arial" w:hAnsi="Arial"/>
                  <w:sz w:val="20"/>
                  <w:szCs w:val="20"/>
                  <w:color w:val="0000EE"/>
                  <w:w w:val="89"/>
                </w:rPr>
                <w:t>Each Credit Event</w:t>
              </w:r>
            </w:hyperlink>
          </w:p>
        </w:tc>
        <w:tc>
          <w:tcPr>
            <w:tcW w:w="3800" w:type="dxa"/>
            <w:vAlign w:val="bottom"/>
            <w:gridSpan w:val="18"/>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78</w:t>
            </w:r>
          </w:p>
        </w:tc>
      </w:tr>
      <w:tr>
        <w:trPr>
          <w:trHeight w:val="210"/>
        </w:trPr>
        <w:tc>
          <w:tcPr>
            <w:tcW w:w="800" w:type="dxa"/>
            <w:vAlign w:val="bottom"/>
          </w:tcPr>
          <w:p>
            <w:pPr>
              <w:spacing w:after="0"/>
              <w:rPr>
                <w:sz w:val="18"/>
                <w:szCs w:val="18"/>
                <w:color w:val="auto"/>
              </w:rPr>
            </w:pPr>
          </w:p>
        </w:tc>
        <w:tc>
          <w:tcPr>
            <w:tcW w:w="1260" w:type="dxa"/>
            <w:vAlign w:val="bottom"/>
            <w:gridSpan w:val="2"/>
          </w:tcPr>
          <w:p>
            <w:pPr>
              <w:spacing w:after="0" w:line="209" w:lineRule="exact"/>
              <w:rPr>
                <w:rFonts w:ascii="Arial" w:cs="Arial" w:eastAsia="Arial" w:hAnsi="Arial"/>
                <w:sz w:val="20"/>
                <w:szCs w:val="20"/>
                <w:color w:val="0000EE"/>
                <w:w w:val="91"/>
              </w:rPr>
            </w:pPr>
            <w:hyperlink w:anchor="page266">
              <w:r>
                <w:rPr>
                  <w:rFonts w:ascii="Arial" w:cs="Arial" w:eastAsia="Arial" w:hAnsi="Arial"/>
                  <w:sz w:val="20"/>
                  <w:szCs w:val="20"/>
                  <w:color w:val="0000EE"/>
                  <w:w w:val="91"/>
                </w:rPr>
                <w:t>SECTION 4.03</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gridSpan w:val="31"/>
          </w:tcPr>
          <w:p>
            <w:pPr>
              <w:spacing w:after="0" w:line="209" w:lineRule="exact"/>
              <w:rPr>
                <w:rFonts w:ascii="Arial" w:cs="Arial" w:eastAsia="Arial" w:hAnsi="Arial"/>
                <w:sz w:val="20"/>
                <w:szCs w:val="20"/>
                <w:color w:val="0000EE"/>
              </w:rPr>
            </w:pPr>
            <w:hyperlink w:anchor="page266">
              <w:r>
                <w:rPr>
                  <w:rFonts w:ascii="Arial" w:cs="Arial" w:eastAsia="Arial" w:hAnsi="Arial"/>
                  <w:sz w:val="20"/>
                  <w:szCs w:val="20"/>
                  <w:color w:val="0000EE"/>
                </w:rPr>
                <w:t>PNG Acquisition Closing Date</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79</w:t>
            </w:r>
          </w:p>
        </w:tc>
      </w:tr>
      <w:tr>
        <w:trPr>
          <w:trHeight w:val="20"/>
        </w:trPr>
        <w:tc>
          <w:tcPr>
            <w:tcW w:w="800" w:type="dxa"/>
            <w:vAlign w:val="bottom"/>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26"/>
        </w:trPr>
        <w:tc>
          <w:tcPr>
            <w:tcW w:w="7700" w:type="dxa"/>
            <w:vAlign w:val="bottom"/>
            <w:gridSpan w:val="37"/>
          </w:tcPr>
          <w:p>
            <w:pPr>
              <w:spacing w:after="0"/>
              <w:rPr>
                <w:rFonts w:ascii="Arial" w:cs="Arial" w:eastAsia="Arial" w:hAnsi="Arial"/>
                <w:sz w:val="20"/>
                <w:szCs w:val="20"/>
                <w:color w:val="0000EE"/>
              </w:rPr>
            </w:pPr>
            <w:hyperlink w:anchor="page267">
              <w:r>
                <w:rPr>
                  <w:rFonts w:ascii="Arial" w:cs="Arial" w:eastAsia="Arial" w:hAnsi="Arial"/>
                  <w:sz w:val="20"/>
                  <w:szCs w:val="20"/>
                  <w:color w:val="0000EE"/>
                </w:rPr>
                <w:t>ARTICLE V AFFIRMATIVE COVENANTS</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0"/>
        </w:trPr>
        <w:tc>
          <w:tcPr>
            <w:tcW w:w="80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26"/>
        </w:trPr>
        <w:tc>
          <w:tcPr>
            <w:tcW w:w="800" w:type="dxa"/>
            <w:vAlign w:val="bottom"/>
          </w:tcPr>
          <w:p>
            <w:pPr>
              <w:spacing w:after="0"/>
              <w:rPr>
                <w:sz w:val="24"/>
                <w:szCs w:val="24"/>
                <w:color w:val="auto"/>
              </w:rPr>
            </w:pPr>
          </w:p>
        </w:tc>
        <w:tc>
          <w:tcPr>
            <w:tcW w:w="1260" w:type="dxa"/>
            <w:vAlign w:val="bottom"/>
            <w:tcBorders>
              <w:bottom w:val="single" w:sz="8" w:color="0000EE"/>
            </w:tcBorders>
            <w:gridSpan w:val="2"/>
          </w:tcPr>
          <w:p>
            <w:pPr>
              <w:spacing w:after="0"/>
              <w:rPr>
                <w:rFonts w:ascii="Arial" w:cs="Arial" w:eastAsia="Arial" w:hAnsi="Arial"/>
                <w:sz w:val="20"/>
                <w:szCs w:val="20"/>
                <w:color w:val="0000EE"/>
                <w:w w:val="91"/>
              </w:rPr>
            </w:pPr>
            <w:hyperlink w:anchor="page267">
              <w:r>
                <w:rPr>
                  <w:rFonts w:ascii="Arial" w:cs="Arial" w:eastAsia="Arial" w:hAnsi="Arial"/>
                  <w:sz w:val="20"/>
                  <w:szCs w:val="20"/>
                  <w:color w:val="0000EE"/>
                  <w:w w:val="91"/>
                </w:rPr>
                <w:t>SECTION 5.01</w:t>
              </w:r>
            </w:hyperlink>
          </w:p>
        </w:tc>
        <w:tc>
          <w:tcPr>
            <w:tcW w:w="3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tcBorders>
              <w:bottom w:val="single" w:sz="8" w:color="0000EE"/>
            </w:tcBorders>
            <w:gridSpan w:val="28"/>
          </w:tcPr>
          <w:p>
            <w:pPr>
              <w:spacing w:after="0"/>
              <w:rPr>
                <w:rFonts w:ascii="Arial" w:cs="Arial" w:eastAsia="Arial" w:hAnsi="Arial"/>
                <w:sz w:val="20"/>
                <w:szCs w:val="20"/>
                <w:color w:val="0000EE"/>
                <w:w w:val="89"/>
              </w:rPr>
            </w:pPr>
            <w:hyperlink w:anchor="page267">
              <w:r>
                <w:rPr>
                  <w:rFonts w:ascii="Arial" w:cs="Arial" w:eastAsia="Arial" w:hAnsi="Arial"/>
                  <w:sz w:val="20"/>
                  <w:szCs w:val="20"/>
                  <w:color w:val="0000EE"/>
                  <w:w w:val="89"/>
                </w:rPr>
                <w:t>Financial Statements and Other Information</w:t>
              </w:r>
            </w:hyperlink>
          </w:p>
        </w:tc>
        <w:tc>
          <w:tcPr>
            <w:tcW w:w="17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69">
              <w:r>
                <w:rPr>
                  <w:rFonts w:ascii="Arial" w:cs="Arial" w:eastAsia="Arial" w:hAnsi="Arial"/>
                  <w:sz w:val="20"/>
                  <w:szCs w:val="20"/>
                  <w:color w:val="0000EE"/>
                  <w:w w:val="91"/>
                </w:rPr>
                <w:t>SECTION 5.02</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tcBorders>
              <w:bottom w:val="single" w:sz="8" w:color="0000EE"/>
            </w:tcBorders>
            <w:gridSpan w:val="20"/>
          </w:tcPr>
          <w:p>
            <w:pPr>
              <w:spacing w:after="0" w:line="209" w:lineRule="exact"/>
              <w:rPr>
                <w:rFonts w:ascii="Arial" w:cs="Arial" w:eastAsia="Arial" w:hAnsi="Arial"/>
                <w:sz w:val="20"/>
                <w:szCs w:val="20"/>
                <w:color w:val="0000EE"/>
                <w:w w:val="91"/>
              </w:rPr>
            </w:pPr>
            <w:hyperlink w:anchor="page269">
              <w:r>
                <w:rPr>
                  <w:rFonts w:ascii="Arial" w:cs="Arial" w:eastAsia="Arial" w:hAnsi="Arial"/>
                  <w:sz w:val="20"/>
                  <w:szCs w:val="20"/>
                  <w:color w:val="0000EE"/>
                  <w:w w:val="91"/>
                </w:rPr>
                <w:t>Notices of Material Events</w:t>
              </w:r>
            </w:hyperlink>
          </w:p>
        </w:tc>
        <w:tc>
          <w:tcPr>
            <w:tcW w:w="3120" w:type="dxa"/>
            <w:vAlign w:val="bottom"/>
            <w:gridSpan w:val="11"/>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82</w:t>
            </w: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69">
              <w:r>
                <w:rPr>
                  <w:rFonts w:ascii="Arial" w:cs="Arial" w:eastAsia="Arial" w:hAnsi="Arial"/>
                  <w:sz w:val="20"/>
                  <w:szCs w:val="20"/>
                  <w:color w:val="0000EE"/>
                  <w:w w:val="91"/>
                </w:rPr>
                <w:t>SECTION 5.03</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Borders>
              <w:bottom w:val="single" w:sz="8" w:color="0000EE"/>
            </w:tcBorders>
            <w:gridSpan w:val="25"/>
          </w:tcPr>
          <w:p>
            <w:pPr>
              <w:spacing w:after="0" w:line="209" w:lineRule="exact"/>
              <w:rPr>
                <w:rFonts w:ascii="Arial" w:cs="Arial" w:eastAsia="Arial" w:hAnsi="Arial"/>
                <w:sz w:val="20"/>
                <w:szCs w:val="20"/>
                <w:color w:val="0000EE"/>
                <w:w w:val="88"/>
              </w:rPr>
            </w:pPr>
            <w:hyperlink w:anchor="page269">
              <w:r>
                <w:rPr>
                  <w:rFonts w:ascii="Arial" w:cs="Arial" w:eastAsia="Arial" w:hAnsi="Arial"/>
                  <w:sz w:val="20"/>
                  <w:szCs w:val="20"/>
                  <w:color w:val="0000EE"/>
                  <w:w w:val="88"/>
                </w:rPr>
                <w:t>Existence; Conduct of Business</w:t>
              </w:r>
            </w:hyperlink>
          </w:p>
        </w:tc>
        <w:tc>
          <w:tcPr>
            <w:tcW w:w="2740" w:type="dxa"/>
            <w:vAlign w:val="bottom"/>
            <w:gridSpan w:val="6"/>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82</w:t>
            </w:r>
          </w:p>
        </w:tc>
      </w:tr>
      <w:tr>
        <w:trPr>
          <w:trHeight w:val="210"/>
        </w:trPr>
        <w:tc>
          <w:tcPr>
            <w:tcW w:w="800" w:type="dxa"/>
            <w:vAlign w:val="bottom"/>
          </w:tcPr>
          <w:p>
            <w:pPr>
              <w:spacing w:after="0"/>
              <w:rPr>
                <w:sz w:val="18"/>
                <w:szCs w:val="18"/>
                <w:color w:val="auto"/>
              </w:rPr>
            </w:pPr>
          </w:p>
        </w:tc>
        <w:tc>
          <w:tcPr>
            <w:tcW w:w="1260" w:type="dxa"/>
            <w:vAlign w:val="bottom"/>
            <w:gridSpan w:val="2"/>
          </w:tcPr>
          <w:p>
            <w:pPr>
              <w:spacing w:after="0" w:line="209" w:lineRule="exact"/>
              <w:rPr>
                <w:rFonts w:ascii="Arial" w:cs="Arial" w:eastAsia="Arial" w:hAnsi="Arial"/>
                <w:sz w:val="20"/>
                <w:szCs w:val="20"/>
                <w:color w:val="0000EE"/>
                <w:w w:val="91"/>
              </w:rPr>
            </w:pPr>
            <w:hyperlink w:anchor="page269">
              <w:r>
                <w:rPr>
                  <w:rFonts w:ascii="Arial" w:cs="Arial" w:eastAsia="Arial" w:hAnsi="Arial"/>
                  <w:sz w:val="20"/>
                  <w:szCs w:val="20"/>
                  <w:color w:val="0000EE"/>
                  <w:w w:val="91"/>
                </w:rPr>
                <w:t>SECTION 5.04</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gridSpan w:val="31"/>
          </w:tcPr>
          <w:p>
            <w:pPr>
              <w:spacing w:after="0" w:line="209" w:lineRule="exact"/>
              <w:rPr>
                <w:rFonts w:ascii="Arial" w:cs="Arial" w:eastAsia="Arial" w:hAnsi="Arial"/>
                <w:sz w:val="20"/>
                <w:szCs w:val="20"/>
                <w:color w:val="0000EE"/>
              </w:rPr>
            </w:pPr>
            <w:hyperlink w:anchor="page269">
              <w:r>
                <w:rPr>
                  <w:rFonts w:ascii="Arial" w:cs="Arial" w:eastAsia="Arial" w:hAnsi="Arial"/>
                  <w:sz w:val="20"/>
                  <w:szCs w:val="20"/>
                  <w:color w:val="0000EE"/>
                </w:rPr>
                <w:t>Payment of Taxes</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82</w:t>
            </w:r>
          </w:p>
        </w:tc>
      </w:tr>
      <w:tr>
        <w:trPr>
          <w:trHeight w:val="20"/>
        </w:trPr>
        <w:tc>
          <w:tcPr>
            <w:tcW w:w="800" w:type="dxa"/>
            <w:vAlign w:val="bottom"/>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70">
              <w:r>
                <w:rPr>
                  <w:rFonts w:ascii="Arial" w:cs="Arial" w:eastAsia="Arial" w:hAnsi="Arial"/>
                  <w:sz w:val="20"/>
                  <w:szCs w:val="20"/>
                  <w:color w:val="0000EE"/>
                  <w:w w:val="91"/>
                </w:rPr>
                <w:t>SECTION 5.05</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000" w:type="dxa"/>
            <w:vAlign w:val="bottom"/>
            <w:tcBorders>
              <w:bottom w:val="single" w:sz="8" w:color="0000EE"/>
            </w:tcBorders>
            <w:gridSpan w:val="26"/>
          </w:tcPr>
          <w:p>
            <w:pPr>
              <w:spacing w:after="0" w:line="209" w:lineRule="exact"/>
              <w:rPr>
                <w:rFonts w:ascii="Arial" w:cs="Arial" w:eastAsia="Arial" w:hAnsi="Arial"/>
                <w:sz w:val="20"/>
                <w:szCs w:val="20"/>
                <w:color w:val="0000EE"/>
                <w:w w:val="89"/>
              </w:rPr>
            </w:pPr>
            <w:hyperlink w:anchor="page270">
              <w:r>
                <w:rPr>
                  <w:rFonts w:ascii="Arial" w:cs="Arial" w:eastAsia="Arial" w:hAnsi="Arial"/>
                  <w:sz w:val="20"/>
                  <w:szCs w:val="20"/>
                  <w:color w:val="0000EE"/>
                  <w:w w:val="89"/>
                </w:rPr>
                <w:t>Maintenance of Properties and Rights</w:t>
              </w:r>
            </w:hyperlink>
          </w:p>
        </w:tc>
        <w:tc>
          <w:tcPr>
            <w:tcW w:w="2260" w:type="dxa"/>
            <w:vAlign w:val="bottom"/>
            <w:gridSpan w:val="5"/>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83</w:t>
            </w: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70">
              <w:r>
                <w:rPr>
                  <w:rFonts w:ascii="Arial" w:cs="Arial" w:eastAsia="Arial" w:hAnsi="Arial"/>
                  <w:sz w:val="20"/>
                  <w:szCs w:val="20"/>
                  <w:color w:val="0000EE"/>
                  <w:w w:val="91"/>
                </w:rPr>
                <w:t>SECTION 5.06</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bottom w:val="single" w:sz="8" w:color="0000EE"/>
            </w:tcBorders>
            <w:gridSpan w:val="5"/>
          </w:tcPr>
          <w:p>
            <w:pPr>
              <w:spacing w:after="0" w:line="209" w:lineRule="exact"/>
              <w:rPr>
                <w:rFonts w:ascii="Arial" w:cs="Arial" w:eastAsia="Arial" w:hAnsi="Arial"/>
                <w:sz w:val="20"/>
                <w:szCs w:val="20"/>
                <w:color w:val="0000EE"/>
                <w:w w:val="86"/>
              </w:rPr>
            </w:pPr>
            <w:hyperlink w:anchor="page270">
              <w:r>
                <w:rPr>
                  <w:rFonts w:ascii="Arial" w:cs="Arial" w:eastAsia="Arial" w:hAnsi="Arial"/>
                  <w:sz w:val="20"/>
                  <w:szCs w:val="20"/>
                  <w:color w:val="0000EE"/>
                  <w:w w:val="86"/>
                </w:rPr>
                <w:t>Insurance</w:t>
              </w:r>
            </w:hyperlink>
          </w:p>
        </w:tc>
        <w:tc>
          <w:tcPr>
            <w:tcW w:w="4460" w:type="dxa"/>
            <w:vAlign w:val="bottom"/>
            <w:gridSpan w:val="26"/>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83</w:t>
            </w: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70">
              <w:r>
                <w:rPr>
                  <w:rFonts w:ascii="Arial" w:cs="Arial" w:eastAsia="Arial" w:hAnsi="Arial"/>
                  <w:sz w:val="20"/>
                  <w:szCs w:val="20"/>
                  <w:color w:val="0000EE"/>
                  <w:w w:val="91"/>
                </w:rPr>
                <w:t>SECTION 5.07</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880" w:type="dxa"/>
            <w:vAlign w:val="bottom"/>
            <w:tcBorders>
              <w:bottom w:val="single" w:sz="8" w:color="0000EE"/>
            </w:tcBorders>
            <w:gridSpan w:val="29"/>
          </w:tcPr>
          <w:p>
            <w:pPr>
              <w:spacing w:after="0" w:line="209" w:lineRule="exact"/>
              <w:rPr>
                <w:rFonts w:ascii="Arial" w:cs="Arial" w:eastAsia="Arial" w:hAnsi="Arial"/>
                <w:sz w:val="20"/>
                <w:szCs w:val="20"/>
                <w:color w:val="0000EE"/>
                <w:w w:val="89"/>
              </w:rPr>
            </w:pPr>
            <w:hyperlink w:anchor="page270">
              <w:r>
                <w:rPr>
                  <w:rFonts w:ascii="Arial" w:cs="Arial" w:eastAsia="Arial" w:hAnsi="Arial"/>
                  <w:sz w:val="20"/>
                  <w:szCs w:val="20"/>
                  <w:color w:val="0000EE"/>
                  <w:w w:val="89"/>
                </w:rPr>
                <w:t>Books and Records; Inspection and Audit Rights</w:t>
              </w:r>
            </w:hyperlink>
          </w:p>
        </w:tc>
        <w:tc>
          <w:tcPr>
            <w:tcW w:w="1380" w:type="dxa"/>
            <w:vAlign w:val="bottom"/>
            <w:gridSpan w:val="2"/>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83</w:t>
            </w:r>
          </w:p>
        </w:tc>
      </w:tr>
      <w:tr>
        <w:trPr>
          <w:trHeight w:val="210"/>
        </w:trPr>
        <w:tc>
          <w:tcPr>
            <w:tcW w:w="800" w:type="dxa"/>
            <w:vAlign w:val="bottom"/>
          </w:tcPr>
          <w:p>
            <w:pPr>
              <w:spacing w:after="0"/>
              <w:rPr>
                <w:sz w:val="18"/>
                <w:szCs w:val="18"/>
                <w:color w:val="auto"/>
              </w:rPr>
            </w:pPr>
          </w:p>
        </w:tc>
        <w:tc>
          <w:tcPr>
            <w:tcW w:w="1260" w:type="dxa"/>
            <w:vAlign w:val="bottom"/>
            <w:gridSpan w:val="2"/>
          </w:tcPr>
          <w:p>
            <w:pPr>
              <w:spacing w:after="0" w:line="209" w:lineRule="exact"/>
              <w:rPr>
                <w:rFonts w:ascii="Arial" w:cs="Arial" w:eastAsia="Arial" w:hAnsi="Arial"/>
                <w:sz w:val="20"/>
                <w:szCs w:val="20"/>
                <w:color w:val="0000EE"/>
                <w:w w:val="91"/>
              </w:rPr>
            </w:pPr>
            <w:hyperlink w:anchor="page271">
              <w:r>
                <w:rPr>
                  <w:rFonts w:ascii="Arial" w:cs="Arial" w:eastAsia="Arial" w:hAnsi="Arial"/>
                  <w:sz w:val="20"/>
                  <w:szCs w:val="20"/>
                  <w:color w:val="0000EE"/>
                  <w:w w:val="91"/>
                </w:rPr>
                <w:t>SECTION 5.08</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gridSpan w:val="31"/>
          </w:tcPr>
          <w:p>
            <w:pPr>
              <w:spacing w:after="0" w:line="209" w:lineRule="exact"/>
              <w:rPr>
                <w:rFonts w:ascii="Arial" w:cs="Arial" w:eastAsia="Arial" w:hAnsi="Arial"/>
                <w:sz w:val="20"/>
                <w:szCs w:val="20"/>
                <w:color w:val="0000EE"/>
              </w:rPr>
            </w:pPr>
            <w:hyperlink w:anchor="page271">
              <w:r>
                <w:rPr>
                  <w:rFonts w:ascii="Arial" w:cs="Arial" w:eastAsia="Arial" w:hAnsi="Arial"/>
                  <w:sz w:val="20"/>
                  <w:szCs w:val="20"/>
                  <w:color w:val="0000EE"/>
                </w:rPr>
                <w:t>Compliance with Laws</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84</w:t>
            </w:r>
          </w:p>
        </w:tc>
      </w:tr>
      <w:tr>
        <w:trPr>
          <w:trHeight w:val="210"/>
        </w:trPr>
        <w:tc>
          <w:tcPr>
            <w:tcW w:w="800" w:type="dxa"/>
            <w:vAlign w:val="bottom"/>
          </w:tcPr>
          <w:p>
            <w:pPr>
              <w:spacing w:after="0"/>
              <w:rPr>
                <w:sz w:val="18"/>
                <w:szCs w:val="18"/>
                <w:color w:val="auto"/>
              </w:rPr>
            </w:pPr>
          </w:p>
        </w:tc>
        <w:tc>
          <w:tcPr>
            <w:tcW w:w="12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91"/>
              </w:rPr>
            </w:pPr>
            <w:hyperlink w:anchor="page271">
              <w:r>
                <w:rPr>
                  <w:rFonts w:ascii="Arial" w:cs="Arial" w:eastAsia="Arial" w:hAnsi="Arial"/>
                  <w:sz w:val="20"/>
                  <w:szCs w:val="20"/>
                  <w:color w:val="0000EE"/>
                  <w:w w:val="91"/>
                </w:rPr>
                <w:t>SECTION 5.09</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Borders>
              <w:top w:val="single" w:sz="8" w:color="0000EE"/>
              <w:bottom w:val="single" w:sz="8" w:color="0000EE"/>
            </w:tcBorders>
            <w:gridSpan w:val="11"/>
          </w:tcPr>
          <w:p>
            <w:pPr>
              <w:spacing w:after="0" w:line="209" w:lineRule="exact"/>
              <w:rPr>
                <w:rFonts w:ascii="Arial" w:cs="Arial" w:eastAsia="Arial" w:hAnsi="Arial"/>
                <w:sz w:val="20"/>
                <w:szCs w:val="20"/>
                <w:color w:val="0000EE"/>
                <w:w w:val="86"/>
              </w:rPr>
            </w:pPr>
            <w:hyperlink w:anchor="page271">
              <w:r>
                <w:rPr>
                  <w:rFonts w:ascii="Arial" w:cs="Arial" w:eastAsia="Arial" w:hAnsi="Arial"/>
                  <w:sz w:val="20"/>
                  <w:szCs w:val="20"/>
                  <w:color w:val="0000EE"/>
                  <w:w w:val="86"/>
                </w:rPr>
                <w:t>Use of Proceeds</w:t>
              </w:r>
            </w:hyperlink>
          </w:p>
        </w:tc>
        <w:tc>
          <w:tcPr>
            <w:tcW w:w="540" w:type="dxa"/>
            <w:vAlign w:val="bottom"/>
            <w:tcBorders>
              <w:top w:val="single" w:sz="8" w:color="0000EE"/>
            </w:tcBorders>
            <w:gridSpan w:val="6"/>
          </w:tcPr>
          <w:p>
            <w:pPr>
              <w:spacing w:after="0"/>
              <w:rPr>
                <w:sz w:val="18"/>
                <w:szCs w:val="18"/>
                <w:color w:val="auto"/>
              </w:rPr>
            </w:pPr>
          </w:p>
        </w:tc>
        <w:tc>
          <w:tcPr>
            <w:tcW w:w="3420" w:type="dxa"/>
            <w:vAlign w:val="bottom"/>
            <w:gridSpan w:val="14"/>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84</w:t>
            </w: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71">
              <w:r>
                <w:rPr>
                  <w:rFonts w:ascii="Arial" w:cs="Arial" w:eastAsia="Arial" w:hAnsi="Arial"/>
                  <w:sz w:val="20"/>
                  <w:szCs w:val="20"/>
                  <w:color w:val="0000EE"/>
                  <w:w w:val="91"/>
                </w:rPr>
                <w:t>SECTION 5.10</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Borders>
              <w:bottom w:val="single" w:sz="8" w:color="0000EE"/>
            </w:tcBorders>
            <w:gridSpan w:val="21"/>
          </w:tcPr>
          <w:p>
            <w:pPr>
              <w:spacing w:after="0" w:line="209" w:lineRule="exact"/>
              <w:rPr>
                <w:rFonts w:ascii="Arial" w:cs="Arial" w:eastAsia="Arial" w:hAnsi="Arial"/>
                <w:sz w:val="20"/>
                <w:szCs w:val="20"/>
                <w:color w:val="0000EE"/>
                <w:w w:val="89"/>
              </w:rPr>
            </w:pPr>
            <w:hyperlink w:anchor="page271">
              <w:r>
                <w:rPr>
                  <w:rFonts w:ascii="Arial" w:cs="Arial" w:eastAsia="Arial" w:hAnsi="Arial"/>
                  <w:sz w:val="20"/>
                  <w:szCs w:val="20"/>
                  <w:color w:val="0000EE"/>
                  <w:w w:val="89"/>
                </w:rPr>
                <w:t>Designation of Subsidiaries</w:t>
              </w:r>
            </w:hyperlink>
          </w:p>
        </w:tc>
        <w:tc>
          <w:tcPr>
            <w:tcW w:w="3060" w:type="dxa"/>
            <w:vAlign w:val="bottom"/>
            <w:gridSpan w:val="10"/>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84</w:t>
            </w:r>
          </w:p>
        </w:tc>
      </w:tr>
      <w:tr>
        <w:trPr>
          <w:trHeight w:val="426"/>
        </w:trPr>
        <w:tc>
          <w:tcPr>
            <w:tcW w:w="3360" w:type="dxa"/>
            <w:vAlign w:val="bottom"/>
            <w:tcBorders>
              <w:bottom w:val="single" w:sz="8" w:color="0000EE"/>
            </w:tcBorders>
            <w:gridSpan w:val="13"/>
          </w:tcPr>
          <w:p>
            <w:pPr>
              <w:spacing w:after="0"/>
              <w:rPr>
                <w:rFonts w:ascii="Arial" w:cs="Arial" w:eastAsia="Arial" w:hAnsi="Arial"/>
                <w:sz w:val="20"/>
                <w:szCs w:val="20"/>
                <w:color w:val="0000EE"/>
                <w:w w:val="96"/>
              </w:rPr>
            </w:pPr>
            <w:hyperlink w:anchor="page272">
              <w:r>
                <w:rPr>
                  <w:rFonts w:ascii="Arial" w:cs="Arial" w:eastAsia="Arial" w:hAnsi="Arial"/>
                  <w:sz w:val="20"/>
                  <w:szCs w:val="20"/>
                  <w:color w:val="0000EE"/>
                  <w:w w:val="96"/>
                </w:rPr>
                <w:t>ARTICLE VI NEGATIVE COVENANTS</w:t>
              </w:r>
            </w:hyperlink>
          </w:p>
        </w:tc>
        <w:tc>
          <w:tcPr>
            <w:tcW w:w="4340" w:type="dxa"/>
            <w:vAlign w:val="bottom"/>
            <w:gridSpan w:val="2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426"/>
        </w:trPr>
        <w:tc>
          <w:tcPr>
            <w:tcW w:w="80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20"/>
                <w:szCs w:val="20"/>
                <w:color w:val="0000EE"/>
                <w:w w:val="91"/>
              </w:rPr>
            </w:pPr>
            <w:hyperlink w:anchor="page272">
              <w:r>
                <w:rPr>
                  <w:rFonts w:ascii="Arial" w:cs="Arial" w:eastAsia="Arial" w:hAnsi="Arial"/>
                  <w:sz w:val="20"/>
                  <w:szCs w:val="20"/>
                  <w:color w:val="0000EE"/>
                  <w:w w:val="91"/>
                </w:rPr>
                <w:t>SECTION 6.01</w:t>
              </w:r>
            </w:hyperlink>
          </w:p>
        </w:tc>
        <w:tc>
          <w:tcPr>
            <w:tcW w:w="3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31"/>
          </w:tcPr>
          <w:p>
            <w:pPr>
              <w:spacing w:after="0"/>
              <w:rPr>
                <w:rFonts w:ascii="Arial" w:cs="Arial" w:eastAsia="Arial" w:hAnsi="Arial"/>
                <w:sz w:val="20"/>
                <w:szCs w:val="20"/>
                <w:color w:val="0000EE"/>
              </w:rPr>
            </w:pPr>
            <w:hyperlink w:anchor="page272">
              <w:r>
                <w:rPr>
                  <w:rFonts w:ascii="Arial" w:cs="Arial" w:eastAsia="Arial" w:hAnsi="Arial"/>
                  <w:sz w:val="20"/>
                  <w:szCs w:val="20"/>
                  <w:color w:val="0000EE"/>
                </w:rPr>
                <w:t>Liens</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0"/>
        </w:trPr>
        <w:tc>
          <w:tcPr>
            <w:tcW w:w="800" w:type="dxa"/>
            <w:vAlign w:val="bottom"/>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74">
              <w:r>
                <w:rPr>
                  <w:rFonts w:ascii="Arial" w:cs="Arial" w:eastAsia="Arial" w:hAnsi="Arial"/>
                  <w:sz w:val="20"/>
                  <w:szCs w:val="20"/>
                  <w:color w:val="0000EE"/>
                  <w:w w:val="91"/>
                </w:rPr>
                <w:t>SECTION 6.02</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Borders>
              <w:bottom w:val="single" w:sz="8" w:color="0000EE"/>
            </w:tcBorders>
            <w:gridSpan w:val="17"/>
          </w:tcPr>
          <w:p>
            <w:pPr>
              <w:spacing w:after="0" w:line="209" w:lineRule="exact"/>
              <w:rPr>
                <w:rFonts w:ascii="Arial" w:cs="Arial" w:eastAsia="Arial" w:hAnsi="Arial"/>
                <w:sz w:val="20"/>
                <w:szCs w:val="20"/>
                <w:color w:val="0000EE"/>
                <w:w w:val="88"/>
              </w:rPr>
            </w:pPr>
            <w:hyperlink w:anchor="page274">
              <w:r>
                <w:rPr>
                  <w:rFonts w:ascii="Arial" w:cs="Arial" w:eastAsia="Arial" w:hAnsi="Arial"/>
                  <w:sz w:val="20"/>
                  <w:szCs w:val="20"/>
                  <w:color w:val="0000EE"/>
                  <w:w w:val="88"/>
                </w:rPr>
                <w:t>Fundamental Changes</w:t>
              </w:r>
            </w:hyperlink>
          </w:p>
        </w:tc>
        <w:tc>
          <w:tcPr>
            <w:tcW w:w="3420" w:type="dxa"/>
            <w:vAlign w:val="bottom"/>
            <w:gridSpan w:val="14"/>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87</w:t>
            </w:r>
          </w:p>
        </w:tc>
      </w:tr>
      <w:tr>
        <w:trPr>
          <w:trHeight w:val="210"/>
        </w:trPr>
        <w:tc>
          <w:tcPr>
            <w:tcW w:w="800" w:type="dxa"/>
            <w:vAlign w:val="bottom"/>
          </w:tcPr>
          <w:p>
            <w:pPr>
              <w:spacing w:after="0"/>
              <w:rPr>
                <w:sz w:val="18"/>
                <w:szCs w:val="18"/>
                <w:color w:val="auto"/>
              </w:rPr>
            </w:pPr>
          </w:p>
        </w:tc>
        <w:tc>
          <w:tcPr>
            <w:tcW w:w="1260" w:type="dxa"/>
            <w:vAlign w:val="bottom"/>
            <w:gridSpan w:val="2"/>
          </w:tcPr>
          <w:p>
            <w:pPr>
              <w:spacing w:after="0" w:line="209" w:lineRule="exact"/>
              <w:rPr>
                <w:rFonts w:ascii="Arial" w:cs="Arial" w:eastAsia="Arial" w:hAnsi="Arial"/>
                <w:sz w:val="20"/>
                <w:szCs w:val="20"/>
                <w:color w:val="0000EE"/>
                <w:w w:val="91"/>
              </w:rPr>
            </w:pPr>
            <w:hyperlink w:anchor="page275">
              <w:r>
                <w:rPr>
                  <w:rFonts w:ascii="Arial" w:cs="Arial" w:eastAsia="Arial" w:hAnsi="Arial"/>
                  <w:sz w:val="20"/>
                  <w:szCs w:val="20"/>
                  <w:color w:val="0000EE"/>
                  <w:w w:val="91"/>
                </w:rPr>
                <w:t>SECTION 6.03</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gridSpan w:val="31"/>
          </w:tcPr>
          <w:p>
            <w:pPr>
              <w:spacing w:after="0" w:line="209" w:lineRule="exact"/>
              <w:rPr>
                <w:rFonts w:ascii="Arial" w:cs="Arial" w:eastAsia="Arial" w:hAnsi="Arial"/>
                <w:sz w:val="20"/>
                <w:szCs w:val="20"/>
                <w:color w:val="0000EE"/>
              </w:rPr>
            </w:pPr>
            <w:hyperlink w:anchor="page275">
              <w:r>
                <w:rPr>
                  <w:rFonts w:ascii="Arial" w:cs="Arial" w:eastAsia="Arial" w:hAnsi="Arial"/>
                  <w:sz w:val="20"/>
                  <w:szCs w:val="20"/>
                  <w:color w:val="0000EE"/>
                </w:rPr>
                <w:t>Restrictive Agreements</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88</w:t>
            </w:r>
          </w:p>
        </w:tc>
      </w:tr>
      <w:tr>
        <w:trPr>
          <w:trHeight w:val="20"/>
        </w:trPr>
        <w:tc>
          <w:tcPr>
            <w:tcW w:w="800" w:type="dxa"/>
            <w:vAlign w:val="bottom"/>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gridSpan w:val="8"/>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60" w:type="dxa"/>
            <w:vAlign w:val="bottom"/>
            <w:gridSpan w:val="2"/>
          </w:tcPr>
          <w:p>
            <w:pPr>
              <w:spacing w:after="0" w:line="209" w:lineRule="exact"/>
              <w:rPr>
                <w:rFonts w:ascii="Arial" w:cs="Arial" w:eastAsia="Arial" w:hAnsi="Arial"/>
                <w:sz w:val="20"/>
                <w:szCs w:val="20"/>
                <w:color w:val="0000EE"/>
                <w:w w:val="91"/>
              </w:rPr>
            </w:pPr>
            <w:hyperlink w:anchor="page275">
              <w:r>
                <w:rPr>
                  <w:rFonts w:ascii="Arial" w:cs="Arial" w:eastAsia="Arial" w:hAnsi="Arial"/>
                  <w:sz w:val="20"/>
                  <w:szCs w:val="20"/>
                  <w:color w:val="0000EE"/>
                  <w:w w:val="91"/>
                </w:rPr>
                <w:t>SECTION 6.04</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gridSpan w:val="31"/>
          </w:tcPr>
          <w:p>
            <w:pPr>
              <w:spacing w:after="0" w:line="209" w:lineRule="exact"/>
              <w:rPr>
                <w:rFonts w:ascii="Arial" w:cs="Arial" w:eastAsia="Arial" w:hAnsi="Arial"/>
                <w:sz w:val="20"/>
                <w:szCs w:val="20"/>
                <w:color w:val="0000EE"/>
              </w:rPr>
            </w:pPr>
            <w:hyperlink w:anchor="page275">
              <w:r>
                <w:rPr>
                  <w:rFonts w:ascii="Arial" w:cs="Arial" w:eastAsia="Arial" w:hAnsi="Arial"/>
                  <w:sz w:val="20"/>
                  <w:szCs w:val="20"/>
                  <w:color w:val="0000EE"/>
                </w:rPr>
                <w:t>Transactions with Affiliates</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88</w:t>
            </w:r>
          </w:p>
        </w:tc>
      </w:tr>
      <w:tr>
        <w:trPr>
          <w:trHeight w:val="210"/>
        </w:trPr>
        <w:tc>
          <w:tcPr>
            <w:tcW w:w="800" w:type="dxa"/>
            <w:vAlign w:val="bottom"/>
          </w:tcPr>
          <w:p>
            <w:pPr>
              <w:spacing w:after="0"/>
              <w:rPr>
                <w:sz w:val="18"/>
                <w:szCs w:val="18"/>
                <w:color w:val="auto"/>
              </w:rPr>
            </w:pPr>
          </w:p>
        </w:tc>
        <w:tc>
          <w:tcPr>
            <w:tcW w:w="12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91"/>
              </w:rPr>
            </w:pPr>
            <w:hyperlink w:anchor="page275">
              <w:r>
                <w:rPr>
                  <w:rFonts w:ascii="Arial" w:cs="Arial" w:eastAsia="Arial" w:hAnsi="Arial"/>
                  <w:sz w:val="20"/>
                  <w:szCs w:val="20"/>
                  <w:color w:val="0000EE"/>
                  <w:w w:val="91"/>
                </w:rPr>
                <w:t>SECTION 6.05</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Borders>
              <w:top w:val="single" w:sz="8" w:color="0000EE"/>
              <w:bottom w:val="single" w:sz="8" w:color="0000EE"/>
            </w:tcBorders>
            <w:gridSpan w:val="15"/>
          </w:tcPr>
          <w:p>
            <w:pPr>
              <w:spacing w:after="0" w:line="209" w:lineRule="exact"/>
              <w:rPr>
                <w:rFonts w:ascii="Arial" w:cs="Arial" w:eastAsia="Arial" w:hAnsi="Arial"/>
                <w:sz w:val="20"/>
                <w:szCs w:val="20"/>
                <w:color w:val="0000EE"/>
                <w:w w:val="89"/>
              </w:rPr>
            </w:pPr>
            <w:hyperlink w:anchor="page275">
              <w:r>
                <w:rPr>
                  <w:rFonts w:ascii="Arial" w:cs="Arial" w:eastAsia="Arial" w:hAnsi="Arial"/>
                  <w:sz w:val="20"/>
                  <w:szCs w:val="20"/>
                  <w:color w:val="0000EE"/>
                  <w:w w:val="89"/>
                </w:rPr>
                <w:t>Financial Covenant</w:t>
              </w:r>
            </w:hyperlink>
          </w:p>
        </w:tc>
        <w:tc>
          <w:tcPr>
            <w:tcW w:w="620" w:type="dxa"/>
            <w:vAlign w:val="bottom"/>
            <w:tcBorders>
              <w:top w:val="single" w:sz="8" w:color="0000EE"/>
            </w:tcBorders>
            <w:gridSpan w:val="6"/>
          </w:tcPr>
          <w:p>
            <w:pPr>
              <w:spacing w:after="0"/>
              <w:rPr>
                <w:sz w:val="18"/>
                <w:szCs w:val="18"/>
                <w:color w:val="auto"/>
              </w:rPr>
            </w:pPr>
          </w:p>
        </w:tc>
        <w:tc>
          <w:tcPr>
            <w:tcW w:w="3060" w:type="dxa"/>
            <w:vAlign w:val="bottom"/>
            <w:gridSpan w:val="10"/>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88</w:t>
            </w:r>
          </w:p>
        </w:tc>
      </w:tr>
      <w:tr>
        <w:trPr>
          <w:trHeight w:val="426"/>
        </w:trPr>
        <w:tc>
          <w:tcPr>
            <w:tcW w:w="3180" w:type="dxa"/>
            <w:vAlign w:val="bottom"/>
            <w:tcBorders>
              <w:bottom w:val="single" w:sz="8" w:color="0000EE"/>
            </w:tcBorders>
            <w:gridSpan w:val="9"/>
          </w:tcPr>
          <w:p>
            <w:pPr>
              <w:spacing w:after="0"/>
              <w:rPr>
                <w:rFonts w:ascii="Arial" w:cs="Arial" w:eastAsia="Arial" w:hAnsi="Arial"/>
                <w:sz w:val="20"/>
                <w:szCs w:val="20"/>
                <w:color w:val="0000EE"/>
                <w:w w:val="95"/>
              </w:rPr>
            </w:pPr>
            <w:hyperlink w:anchor="page275">
              <w:r>
                <w:rPr>
                  <w:rFonts w:ascii="Arial" w:cs="Arial" w:eastAsia="Arial" w:hAnsi="Arial"/>
                  <w:sz w:val="20"/>
                  <w:szCs w:val="20"/>
                  <w:color w:val="0000EE"/>
                  <w:w w:val="95"/>
                </w:rPr>
                <w:t>ARTICLE VII EVENTS OF DEFAULT</w:t>
              </w:r>
            </w:hyperlink>
          </w:p>
        </w:tc>
        <w:tc>
          <w:tcPr>
            <w:tcW w:w="4520" w:type="dxa"/>
            <w:vAlign w:val="bottom"/>
            <w:gridSpan w:val="2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426"/>
        </w:trPr>
        <w:tc>
          <w:tcPr>
            <w:tcW w:w="80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20"/>
                <w:szCs w:val="20"/>
                <w:color w:val="0000EE"/>
                <w:w w:val="91"/>
              </w:rPr>
            </w:pPr>
            <w:hyperlink w:anchor="page275">
              <w:r>
                <w:rPr>
                  <w:rFonts w:ascii="Arial" w:cs="Arial" w:eastAsia="Arial" w:hAnsi="Arial"/>
                  <w:sz w:val="20"/>
                  <w:szCs w:val="20"/>
                  <w:color w:val="0000EE"/>
                  <w:w w:val="91"/>
                </w:rPr>
                <w:t>SECTION 7.01</w:t>
              </w:r>
            </w:hyperlink>
          </w:p>
        </w:tc>
        <w:tc>
          <w:tcPr>
            <w:tcW w:w="3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31"/>
          </w:tcPr>
          <w:p>
            <w:pPr>
              <w:spacing w:after="0"/>
              <w:rPr>
                <w:rFonts w:ascii="Arial" w:cs="Arial" w:eastAsia="Arial" w:hAnsi="Arial"/>
                <w:sz w:val="20"/>
                <w:szCs w:val="20"/>
                <w:color w:val="0000EE"/>
              </w:rPr>
            </w:pPr>
            <w:hyperlink w:anchor="page275">
              <w:r>
                <w:rPr>
                  <w:rFonts w:ascii="Arial" w:cs="Arial" w:eastAsia="Arial" w:hAnsi="Arial"/>
                  <w:sz w:val="20"/>
                  <w:szCs w:val="20"/>
                  <w:color w:val="0000EE"/>
                </w:rPr>
                <w:t>Events of Default</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10"/>
        </w:trPr>
        <w:tc>
          <w:tcPr>
            <w:tcW w:w="800" w:type="dxa"/>
            <w:vAlign w:val="bottom"/>
          </w:tcPr>
          <w:p>
            <w:pPr>
              <w:spacing w:after="0"/>
              <w:rPr>
                <w:sz w:val="18"/>
                <w:szCs w:val="18"/>
                <w:color w:val="auto"/>
              </w:rPr>
            </w:pPr>
          </w:p>
        </w:tc>
        <w:tc>
          <w:tcPr>
            <w:tcW w:w="12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91"/>
              </w:rPr>
            </w:pPr>
            <w:hyperlink w:anchor="page278">
              <w:r>
                <w:rPr>
                  <w:rFonts w:ascii="Arial" w:cs="Arial" w:eastAsia="Arial" w:hAnsi="Arial"/>
                  <w:sz w:val="20"/>
                  <w:szCs w:val="20"/>
                  <w:color w:val="0000EE"/>
                  <w:w w:val="91"/>
                </w:rPr>
                <w:t>SECTION 7.02</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Borders>
              <w:top w:val="single" w:sz="8" w:color="0000EE"/>
              <w:bottom w:val="single" w:sz="8" w:color="0000EE"/>
            </w:tcBorders>
            <w:gridSpan w:val="11"/>
          </w:tcPr>
          <w:p>
            <w:pPr>
              <w:spacing w:after="0" w:line="209" w:lineRule="exact"/>
              <w:rPr>
                <w:rFonts w:ascii="Arial" w:cs="Arial" w:eastAsia="Arial" w:hAnsi="Arial"/>
                <w:sz w:val="20"/>
                <w:szCs w:val="20"/>
                <w:color w:val="0000EE"/>
                <w:w w:val="88"/>
              </w:rPr>
            </w:pPr>
            <w:hyperlink w:anchor="page278">
              <w:r>
                <w:rPr>
                  <w:rFonts w:ascii="Arial" w:cs="Arial" w:eastAsia="Arial" w:hAnsi="Arial"/>
                  <w:sz w:val="20"/>
                  <w:szCs w:val="20"/>
                  <w:color w:val="0000EE"/>
                  <w:w w:val="88"/>
                </w:rPr>
                <w:t>Clean-up Period</w:t>
              </w:r>
            </w:hyperlink>
          </w:p>
        </w:tc>
        <w:tc>
          <w:tcPr>
            <w:tcW w:w="120" w:type="dxa"/>
            <w:vAlign w:val="bottom"/>
            <w:tcBorders>
              <w:top w:val="single" w:sz="8" w:color="0000EE"/>
            </w:tcBorders>
          </w:tcPr>
          <w:p>
            <w:pPr>
              <w:spacing w:after="0"/>
              <w:rPr>
                <w:sz w:val="18"/>
                <w:szCs w:val="18"/>
                <w:color w:val="auto"/>
              </w:rPr>
            </w:pPr>
          </w:p>
        </w:tc>
        <w:tc>
          <w:tcPr>
            <w:tcW w:w="3840" w:type="dxa"/>
            <w:vAlign w:val="bottom"/>
            <w:gridSpan w:val="19"/>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91</w:t>
            </w:r>
          </w:p>
        </w:tc>
      </w:tr>
      <w:tr>
        <w:trPr>
          <w:trHeight w:val="426"/>
        </w:trPr>
        <w:tc>
          <w:tcPr>
            <w:tcW w:w="4100" w:type="dxa"/>
            <w:vAlign w:val="bottom"/>
            <w:tcBorders>
              <w:bottom w:val="single" w:sz="8" w:color="0000EE"/>
            </w:tcBorders>
            <w:gridSpan w:val="22"/>
          </w:tcPr>
          <w:p>
            <w:pPr>
              <w:spacing w:after="0"/>
              <w:rPr>
                <w:rFonts w:ascii="Arial" w:cs="Arial" w:eastAsia="Arial" w:hAnsi="Arial"/>
                <w:sz w:val="20"/>
                <w:szCs w:val="20"/>
                <w:color w:val="0000EE"/>
                <w:w w:val="98"/>
              </w:rPr>
            </w:pPr>
            <w:hyperlink w:anchor="page279">
              <w:r>
                <w:rPr>
                  <w:rFonts w:ascii="Arial" w:cs="Arial" w:eastAsia="Arial" w:hAnsi="Arial"/>
                  <w:sz w:val="20"/>
                  <w:szCs w:val="20"/>
                  <w:color w:val="0000EE"/>
                  <w:w w:val="98"/>
                </w:rPr>
                <w:t>ARTICLE VIII THE ADMINISTRATIVE AGENT</w:t>
              </w:r>
            </w:hyperlink>
          </w:p>
        </w:tc>
        <w:tc>
          <w:tcPr>
            <w:tcW w:w="360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426"/>
        </w:trPr>
        <w:tc>
          <w:tcPr>
            <w:tcW w:w="800" w:type="dxa"/>
            <w:vAlign w:val="bottom"/>
          </w:tcPr>
          <w:p>
            <w:pPr>
              <w:spacing w:after="0"/>
              <w:rPr>
                <w:sz w:val="24"/>
                <w:szCs w:val="24"/>
                <w:color w:val="auto"/>
              </w:rPr>
            </w:pPr>
          </w:p>
        </w:tc>
        <w:tc>
          <w:tcPr>
            <w:tcW w:w="1260" w:type="dxa"/>
            <w:vAlign w:val="bottom"/>
            <w:tcBorders>
              <w:bottom w:val="single" w:sz="8" w:color="0000EE"/>
            </w:tcBorders>
            <w:gridSpan w:val="2"/>
          </w:tcPr>
          <w:p>
            <w:pPr>
              <w:spacing w:after="0"/>
              <w:rPr>
                <w:rFonts w:ascii="Arial" w:cs="Arial" w:eastAsia="Arial" w:hAnsi="Arial"/>
                <w:sz w:val="20"/>
                <w:szCs w:val="20"/>
                <w:color w:val="0000EE"/>
                <w:w w:val="91"/>
              </w:rPr>
            </w:pPr>
            <w:hyperlink w:anchor="page279">
              <w:r>
                <w:rPr>
                  <w:rFonts w:ascii="Arial" w:cs="Arial" w:eastAsia="Arial" w:hAnsi="Arial"/>
                  <w:sz w:val="20"/>
                  <w:szCs w:val="20"/>
                  <w:color w:val="0000EE"/>
                  <w:w w:val="91"/>
                </w:rPr>
                <w:t>SECTION 8.01</w:t>
              </w:r>
            </w:hyperlink>
          </w:p>
        </w:tc>
        <w:tc>
          <w:tcPr>
            <w:tcW w:w="3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tcBorders>
              <w:bottom w:val="single" w:sz="8" w:color="0000EE"/>
            </w:tcBorders>
            <w:gridSpan w:val="30"/>
          </w:tcPr>
          <w:p>
            <w:pPr>
              <w:spacing w:after="0"/>
              <w:rPr>
                <w:rFonts w:ascii="Arial" w:cs="Arial" w:eastAsia="Arial" w:hAnsi="Arial"/>
                <w:sz w:val="20"/>
                <w:szCs w:val="20"/>
                <w:color w:val="0000EE"/>
                <w:w w:val="92"/>
              </w:rPr>
            </w:pPr>
            <w:hyperlink w:anchor="page279">
              <w:r>
                <w:rPr>
                  <w:rFonts w:ascii="Arial" w:cs="Arial" w:eastAsia="Arial" w:hAnsi="Arial"/>
                  <w:sz w:val="20"/>
                  <w:szCs w:val="20"/>
                  <w:color w:val="0000EE"/>
                  <w:w w:val="92"/>
                </w:rPr>
                <w:t>Appointment and Authorization of Administrative Agent</w:t>
              </w:r>
            </w:hyperlink>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10"/>
        </w:trPr>
        <w:tc>
          <w:tcPr>
            <w:tcW w:w="800" w:type="dxa"/>
            <w:vAlign w:val="bottom"/>
          </w:tcPr>
          <w:p>
            <w:pPr>
              <w:spacing w:after="0"/>
              <w:rPr>
                <w:sz w:val="18"/>
                <w:szCs w:val="18"/>
                <w:color w:val="auto"/>
              </w:rPr>
            </w:pPr>
          </w:p>
        </w:tc>
        <w:tc>
          <w:tcPr>
            <w:tcW w:w="1260" w:type="dxa"/>
            <w:vAlign w:val="bottom"/>
            <w:gridSpan w:val="2"/>
          </w:tcPr>
          <w:p>
            <w:pPr>
              <w:spacing w:after="0" w:line="209" w:lineRule="exact"/>
              <w:rPr>
                <w:rFonts w:ascii="Arial" w:cs="Arial" w:eastAsia="Arial" w:hAnsi="Arial"/>
                <w:sz w:val="20"/>
                <w:szCs w:val="20"/>
                <w:color w:val="0000EE"/>
                <w:w w:val="91"/>
              </w:rPr>
            </w:pPr>
            <w:hyperlink w:anchor="page279">
              <w:r>
                <w:rPr>
                  <w:rFonts w:ascii="Arial" w:cs="Arial" w:eastAsia="Arial" w:hAnsi="Arial"/>
                  <w:sz w:val="20"/>
                  <w:szCs w:val="20"/>
                  <w:color w:val="0000EE"/>
                  <w:w w:val="91"/>
                </w:rPr>
                <w:t>SECTION 8.02</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gridSpan w:val="31"/>
          </w:tcPr>
          <w:p>
            <w:pPr>
              <w:spacing w:after="0" w:line="209" w:lineRule="exact"/>
              <w:rPr>
                <w:rFonts w:ascii="Arial" w:cs="Arial" w:eastAsia="Arial" w:hAnsi="Arial"/>
                <w:sz w:val="20"/>
                <w:szCs w:val="20"/>
                <w:color w:val="0000EE"/>
              </w:rPr>
            </w:pPr>
            <w:hyperlink w:anchor="page279">
              <w:r>
                <w:rPr>
                  <w:rFonts w:ascii="Arial" w:cs="Arial" w:eastAsia="Arial" w:hAnsi="Arial"/>
                  <w:sz w:val="20"/>
                  <w:szCs w:val="20"/>
                  <w:color w:val="0000EE"/>
                </w:rPr>
                <w:t>Rights as a Lender</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92</w:t>
            </w:r>
          </w:p>
        </w:tc>
      </w:tr>
      <w:tr>
        <w:trPr>
          <w:trHeight w:val="20"/>
        </w:trPr>
        <w:tc>
          <w:tcPr>
            <w:tcW w:w="800" w:type="dxa"/>
            <w:vAlign w:val="bottom"/>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14"/>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60" w:type="dxa"/>
            <w:vAlign w:val="bottom"/>
            <w:tcBorders>
              <w:bottom w:val="single" w:sz="8" w:color="0000EE"/>
            </w:tcBorders>
            <w:gridSpan w:val="2"/>
          </w:tcPr>
          <w:p>
            <w:pPr>
              <w:spacing w:after="0" w:line="209" w:lineRule="exact"/>
              <w:rPr>
                <w:rFonts w:ascii="Arial" w:cs="Arial" w:eastAsia="Arial" w:hAnsi="Arial"/>
                <w:sz w:val="20"/>
                <w:szCs w:val="20"/>
                <w:color w:val="0000EE"/>
                <w:w w:val="91"/>
              </w:rPr>
            </w:pPr>
            <w:hyperlink w:anchor="page279">
              <w:r>
                <w:rPr>
                  <w:rFonts w:ascii="Arial" w:cs="Arial" w:eastAsia="Arial" w:hAnsi="Arial"/>
                  <w:sz w:val="20"/>
                  <w:szCs w:val="20"/>
                  <w:color w:val="0000EE"/>
                  <w:w w:val="91"/>
                </w:rPr>
                <w:t>SECTION 8.03</w:t>
              </w:r>
            </w:hyperlink>
          </w:p>
        </w:tc>
        <w:tc>
          <w:tcPr>
            <w:tcW w:w="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Borders>
              <w:bottom w:val="single" w:sz="8" w:color="0000EE"/>
            </w:tcBorders>
            <w:gridSpan w:val="18"/>
          </w:tcPr>
          <w:p>
            <w:pPr>
              <w:spacing w:after="0" w:line="209" w:lineRule="exact"/>
              <w:rPr>
                <w:rFonts w:ascii="Arial" w:cs="Arial" w:eastAsia="Arial" w:hAnsi="Arial"/>
                <w:sz w:val="20"/>
                <w:szCs w:val="20"/>
                <w:color w:val="0000EE"/>
                <w:w w:val="90"/>
              </w:rPr>
            </w:pPr>
            <w:hyperlink w:anchor="page279">
              <w:r>
                <w:rPr>
                  <w:rFonts w:ascii="Arial" w:cs="Arial" w:eastAsia="Arial" w:hAnsi="Arial"/>
                  <w:sz w:val="20"/>
                  <w:szCs w:val="20"/>
                  <w:color w:val="0000EE"/>
                  <w:w w:val="90"/>
                </w:rPr>
                <w:t>Exculpatory Provisions</w:t>
              </w:r>
            </w:hyperlink>
          </w:p>
        </w:tc>
        <w:tc>
          <w:tcPr>
            <w:tcW w:w="3400" w:type="dxa"/>
            <w:vAlign w:val="bottom"/>
            <w:gridSpan w:val="13"/>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92</w:t>
            </w:r>
          </w:p>
        </w:tc>
      </w:tr>
    </w:tbl>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118110</wp:posOffset>
            </wp:positionV>
            <wp:extent cx="5642610" cy="514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85" w:name="page186"/>
    <w:bookmarkEnd w:id="185"/>
    <w:tbl>
      <w:tblPr>
        <w:tblLayout w:type="fixed"/>
        <w:tblInd w:w="22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1220" w:type="dxa"/>
            <w:vAlign w:val="bottom"/>
          </w:tcPr>
          <w:p>
            <w:pPr>
              <w:jc w:val="center"/>
              <w:spacing w:after="0"/>
              <w:rPr>
                <w:rFonts w:ascii="Arial" w:cs="Arial" w:eastAsia="Arial" w:hAnsi="Arial"/>
                <w:sz w:val="20"/>
                <w:szCs w:val="20"/>
                <w:color w:val="0000EE"/>
                <w:w w:val="91"/>
              </w:rPr>
            </w:pPr>
            <w:hyperlink w:anchor="page280">
              <w:r>
                <w:rPr>
                  <w:rFonts w:ascii="Arial" w:cs="Arial" w:eastAsia="Arial" w:hAnsi="Arial"/>
                  <w:sz w:val="20"/>
                  <w:szCs w:val="20"/>
                  <w:color w:val="0000EE"/>
                  <w:w w:val="91"/>
                </w:rPr>
                <w:t>SECTION 8.04</w:t>
              </w:r>
            </w:hyperlink>
          </w:p>
        </w:tc>
        <w:tc>
          <w:tcPr>
            <w:tcW w:w="440" w:type="dxa"/>
            <w:vAlign w:val="bottom"/>
          </w:tcPr>
          <w:p>
            <w:pPr>
              <w:spacing w:after="0"/>
              <w:rPr>
                <w:sz w:val="19"/>
                <w:szCs w:val="19"/>
                <w:color w:val="auto"/>
              </w:rPr>
            </w:pPr>
          </w:p>
        </w:tc>
        <w:tc>
          <w:tcPr>
            <w:tcW w:w="5480" w:type="dxa"/>
            <w:vAlign w:val="bottom"/>
            <w:gridSpan w:val="30"/>
          </w:tcPr>
          <w:p>
            <w:pPr>
              <w:spacing w:after="0"/>
              <w:rPr>
                <w:rFonts w:ascii="Arial" w:cs="Arial" w:eastAsia="Arial" w:hAnsi="Arial"/>
                <w:sz w:val="20"/>
                <w:szCs w:val="20"/>
                <w:color w:val="0000EE"/>
              </w:rPr>
            </w:pPr>
            <w:hyperlink w:anchor="page280">
              <w:r>
                <w:rPr>
                  <w:rFonts w:ascii="Arial" w:cs="Arial" w:eastAsia="Arial" w:hAnsi="Arial"/>
                  <w:sz w:val="20"/>
                  <w:szCs w:val="20"/>
                  <w:color w:val="0000EE"/>
                </w:rPr>
                <w:t>Reliance by Administrative Agent</w:t>
              </w:r>
            </w:hyperlink>
          </w:p>
        </w:tc>
        <w:tc>
          <w:tcPr>
            <w:tcW w:w="720" w:type="dxa"/>
            <w:vAlign w:val="bottom"/>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tcBorders>
          </w:tcPr>
          <w:p>
            <w:pPr>
              <w:jc w:val="center"/>
              <w:spacing w:after="0" w:line="209" w:lineRule="exact"/>
              <w:rPr>
                <w:rFonts w:ascii="Arial" w:cs="Arial" w:eastAsia="Arial" w:hAnsi="Arial"/>
                <w:sz w:val="20"/>
                <w:szCs w:val="20"/>
                <w:color w:val="0000EE"/>
                <w:w w:val="91"/>
              </w:rPr>
            </w:pPr>
            <w:hyperlink w:anchor="page281">
              <w:r>
                <w:rPr>
                  <w:rFonts w:ascii="Arial" w:cs="Arial" w:eastAsia="Arial" w:hAnsi="Arial"/>
                  <w:sz w:val="20"/>
                  <w:szCs w:val="20"/>
                  <w:color w:val="0000EE"/>
                  <w:w w:val="91"/>
                </w:rPr>
                <w:t>SECTION 8.05</w:t>
              </w:r>
            </w:hyperlink>
          </w:p>
        </w:tc>
        <w:tc>
          <w:tcPr>
            <w:tcW w:w="440" w:type="dxa"/>
            <w:vAlign w:val="bottom"/>
          </w:tcPr>
          <w:p>
            <w:pPr>
              <w:spacing w:after="0"/>
              <w:rPr>
                <w:sz w:val="18"/>
                <w:szCs w:val="18"/>
                <w:color w:val="auto"/>
              </w:rPr>
            </w:pPr>
          </w:p>
        </w:tc>
        <w:tc>
          <w:tcPr>
            <w:tcW w:w="2700" w:type="dxa"/>
            <w:vAlign w:val="bottom"/>
            <w:tcBorders>
              <w:top w:val="single" w:sz="8" w:color="0000EE"/>
            </w:tcBorders>
            <w:gridSpan w:val="21"/>
          </w:tcPr>
          <w:p>
            <w:pPr>
              <w:spacing w:after="0" w:line="209" w:lineRule="exact"/>
              <w:rPr>
                <w:rFonts w:ascii="Arial" w:cs="Arial" w:eastAsia="Arial" w:hAnsi="Arial"/>
                <w:sz w:val="20"/>
                <w:szCs w:val="20"/>
                <w:color w:val="0000EE"/>
              </w:rPr>
            </w:pPr>
            <w:hyperlink w:anchor="page281">
              <w:r>
                <w:rPr>
                  <w:rFonts w:ascii="Arial" w:cs="Arial" w:eastAsia="Arial" w:hAnsi="Arial"/>
                  <w:sz w:val="20"/>
                  <w:szCs w:val="20"/>
                  <w:color w:val="0000EE"/>
                </w:rPr>
                <w:t>Delegation of Duties</w:t>
              </w:r>
            </w:hyperlink>
          </w:p>
        </w:tc>
        <w:tc>
          <w:tcPr>
            <w:tcW w:w="2780" w:type="dxa"/>
            <w:vAlign w:val="bottom"/>
            <w:gridSpan w:val="9"/>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jc w:val="center"/>
              <w:spacing w:after="0" w:line="209" w:lineRule="exact"/>
              <w:rPr>
                <w:rFonts w:ascii="Arial" w:cs="Arial" w:eastAsia="Arial" w:hAnsi="Arial"/>
                <w:sz w:val="20"/>
                <w:szCs w:val="20"/>
                <w:color w:val="0000EE"/>
                <w:w w:val="91"/>
              </w:rPr>
            </w:pPr>
            <w:hyperlink w:anchor="page281">
              <w:r>
                <w:rPr>
                  <w:rFonts w:ascii="Arial" w:cs="Arial" w:eastAsia="Arial" w:hAnsi="Arial"/>
                  <w:sz w:val="20"/>
                  <w:szCs w:val="20"/>
                  <w:color w:val="0000EE"/>
                  <w:w w:val="91"/>
                </w:rPr>
                <w:t>SECTION 8.06</w:t>
              </w:r>
            </w:hyperlink>
          </w:p>
        </w:tc>
        <w:tc>
          <w:tcPr>
            <w:tcW w:w="440" w:type="dxa"/>
            <w:vAlign w:val="bottom"/>
          </w:tcPr>
          <w:p>
            <w:pPr>
              <w:spacing w:after="0"/>
              <w:rPr>
                <w:sz w:val="18"/>
                <w:szCs w:val="18"/>
                <w:color w:val="auto"/>
              </w:rPr>
            </w:pPr>
          </w:p>
        </w:tc>
        <w:tc>
          <w:tcPr>
            <w:tcW w:w="5480" w:type="dxa"/>
            <w:vAlign w:val="bottom"/>
            <w:gridSpan w:val="30"/>
          </w:tcPr>
          <w:p>
            <w:pPr>
              <w:spacing w:after="0" w:line="209" w:lineRule="exact"/>
              <w:rPr>
                <w:rFonts w:ascii="Arial" w:cs="Arial" w:eastAsia="Arial" w:hAnsi="Arial"/>
                <w:sz w:val="20"/>
                <w:szCs w:val="20"/>
                <w:color w:val="0000EE"/>
              </w:rPr>
            </w:pPr>
            <w:hyperlink w:anchor="page281">
              <w:r>
                <w:rPr>
                  <w:rFonts w:ascii="Arial" w:cs="Arial" w:eastAsia="Arial" w:hAnsi="Arial"/>
                  <w:sz w:val="20"/>
                  <w:szCs w:val="20"/>
                  <w:color w:val="0000EE"/>
                </w:rPr>
                <w:t>Resignation of Administrative Agent</w:t>
              </w:r>
            </w:hyperlink>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jc w:val="center"/>
              <w:spacing w:after="0" w:line="209" w:lineRule="exact"/>
              <w:rPr>
                <w:rFonts w:ascii="Arial" w:cs="Arial" w:eastAsia="Arial" w:hAnsi="Arial"/>
                <w:sz w:val="20"/>
                <w:szCs w:val="20"/>
                <w:color w:val="0000EE"/>
                <w:w w:val="91"/>
              </w:rPr>
            </w:pPr>
            <w:hyperlink w:anchor="page282">
              <w:r>
                <w:rPr>
                  <w:rFonts w:ascii="Arial" w:cs="Arial" w:eastAsia="Arial" w:hAnsi="Arial"/>
                  <w:sz w:val="20"/>
                  <w:szCs w:val="20"/>
                  <w:color w:val="0000EE"/>
                  <w:w w:val="91"/>
                </w:rPr>
                <w:t>SECTION 8.07</w:t>
              </w:r>
            </w:hyperlink>
          </w:p>
        </w:tc>
        <w:tc>
          <w:tcPr>
            <w:tcW w:w="440" w:type="dxa"/>
            <w:vAlign w:val="bottom"/>
          </w:tcPr>
          <w:p>
            <w:pPr>
              <w:spacing w:after="0"/>
              <w:rPr>
                <w:sz w:val="18"/>
                <w:szCs w:val="18"/>
                <w:color w:val="auto"/>
              </w:rPr>
            </w:pPr>
          </w:p>
        </w:tc>
        <w:tc>
          <w:tcPr>
            <w:tcW w:w="4640" w:type="dxa"/>
            <w:vAlign w:val="bottom"/>
            <w:tcBorders>
              <w:bottom w:val="single" w:sz="8" w:color="0000EE"/>
            </w:tcBorders>
            <w:gridSpan w:val="25"/>
          </w:tcPr>
          <w:p>
            <w:pPr>
              <w:spacing w:after="0" w:line="209" w:lineRule="exact"/>
              <w:rPr>
                <w:rFonts w:ascii="Arial" w:cs="Arial" w:eastAsia="Arial" w:hAnsi="Arial"/>
                <w:sz w:val="20"/>
                <w:szCs w:val="20"/>
                <w:color w:val="0000EE"/>
                <w:w w:val="90"/>
              </w:rPr>
            </w:pPr>
            <w:hyperlink w:anchor="page282">
              <w:r>
                <w:rPr>
                  <w:rFonts w:ascii="Arial" w:cs="Arial" w:eastAsia="Arial" w:hAnsi="Arial"/>
                  <w:sz w:val="20"/>
                  <w:szCs w:val="20"/>
                  <w:color w:val="0000EE"/>
                  <w:w w:val="90"/>
                </w:rPr>
                <w:t>Non-Reliance on Administrative Agent and Other Lenders</w:t>
              </w:r>
            </w:hyperlink>
          </w:p>
        </w:tc>
        <w:tc>
          <w:tcPr>
            <w:tcW w:w="840" w:type="dxa"/>
            <w:vAlign w:val="bottom"/>
            <w:gridSpan w:val="5"/>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jc w:val="center"/>
              <w:spacing w:after="0" w:line="209" w:lineRule="exact"/>
              <w:rPr>
                <w:rFonts w:ascii="Arial" w:cs="Arial" w:eastAsia="Arial" w:hAnsi="Arial"/>
                <w:sz w:val="20"/>
                <w:szCs w:val="20"/>
                <w:color w:val="0000EE"/>
                <w:w w:val="91"/>
              </w:rPr>
            </w:pPr>
            <w:hyperlink w:anchor="page282">
              <w:r>
                <w:rPr>
                  <w:rFonts w:ascii="Arial" w:cs="Arial" w:eastAsia="Arial" w:hAnsi="Arial"/>
                  <w:sz w:val="20"/>
                  <w:szCs w:val="20"/>
                  <w:color w:val="0000EE"/>
                  <w:w w:val="91"/>
                </w:rPr>
                <w:t>SECTION 8.08</w:t>
              </w:r>
            </w:hyperlink>
          </w:p>
        </w:tc>
        <w:tc>
          <w:tcPr>
            <w:tcW w:w="440" w:type="dxa"/>
            <w:vAlign w:val="bottom"/>
          </w:tcPr>
          <w:p>
            <w:pPr>
              <w:spacing w:after="0"/>
              <w:rPr>
                <w:sz w:val="18"/>
                <w:szCs w:val="18"/>
                <w:color w:val="auto"/>
              </w:rPr>
            </w:pPr>
          </w:p>
        </w:tc>
        <w:tc>
          <w:tcPr>
            <w:tcW w:w="5480" w:type="dxa"/>
            <w:vAlign w:val="bottom"/>
            <w:gridSpan w:val="30"/>
          </w:tcPr>
          <w:p>
            <w:pPr>
              <w:spacing w:after="0" w:line="209" w:lineRule="exact"/>
              <w:rPr>
                <w:rFonts w:ascii="Arial" w:cs="Arial" w:eastAsia="Arial" w:hAnsi="Arial"/>
                <w:sz w:val="20"/>
                <w:szCs w:val="20"/>
                <w:color w:val="0000EE"/>
              </w:rPr>
            </w:pPr>
            <w:hyperlink w:anchor="page282">
              <w:r>
                <w:rPr>
                  <w:rFonts w:ascii="Arial" w:cs="Arial" w:eastAsia="Arial" w:hAnsi="Arial"/>
                  <w:sz w:val="20"/>
                  <w:szCs w:val="20"/>
                  <w:color w:val="0000EE"/>
                </w:rPr>
                <w:t>Administrative Agent May File Proofs of Claim</w:t>
              </w:r>
            </w:hyperlink>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20" w:type="dxa"/>
            <w:vAlign w:val="bottom"/>
            <w:tcBorders>
              <w:top w:val="single" w:sz="8" w:color="0000EE"/>
            </w:tcBorders>
            <w:vMerge w:val="restart"/>
          </w:tcPr>
          <w:p>
            <w:pPr>
              <w:jc w:val="center"/>
              <w:spacing w:after="0"/>
              <w:rPr>
                <w:rFonts w:ascii="Arial" w:cs="Arial" w:eastAsia="Arial" w:hAnsi="Arial"/>
                <w:sz w:val="20"/>
                <w:szCs w:val="20"/>
                <w:color w:val="0000EE"/>
                <w:w w:val="91"/>
              </w:rPr>
            </w:pPr>
            <w:hyperlink w:anchor="page283">
              <w:r>
                <w:rPr>
                  <w:rFonts w:ascii="Arial" w:cs="Arial" w:eastAsia="Arial" w:hAnsi="Arial"/>
                  <w:sz w:val="20"/>
                  <w:szCs w:val="20"/>
                  <w:color w:val="0000EE"/>
                  <w:w w:val="91"/>
                </w:rPr>
                <w:t>SECTION 8.09</w:t>
              </w:r>
            </w:hyperlink>
          </w:p>
        </w:tc>
        <w:tc>
          <w:tcPr>
            <w:tcW w:w="440" w:type="dxa"/>
            <w:vAlign w:val="bottom"/>
          </w:tcPr>
          <w:p>
            <w:pPr>
              <w:spacing w:after="0"/>
              <w:rPr>
                <w:sz w:val="17"/>
                <w:szCs w:val="17"/>
                <w:color w:val="auto"/>
              </w:rPr>
            </w:pPr>
          </w:p>
        </w:tc>
        <w:tc>
          <w:tcPr>
            <w:tcW w:w="3800" w:type="dxa"/>
            <w:vAlign w:val="bottom"/>
            <w:tcBorders>
              <w:top w:val="single" w:sz="8" w:color="0000EE"/>
            </w:tcBorders>
            <w:gridSpan w:val="24"/>
          </w:tcPr>
          <w:p>
            <w:pPr>
              <w:spacing w:after="0" w:line="196" w:lineRule="exact"/>
              <w:rPr>
                <w:rFonts w:ascii="Arial" w:cs="Arial" w:eastAsia="Arial" w:hAnsi="Arial"/>
                <w:sz w:val="20"/>
                <w:szCs w:val="20"/>
                <w:color w:val="0000EE"/>
                <w:w w:val="87"/>
              </w:rPr>
            </w:pPr>
            <w:hyperlink w:anchor="page283">
              <w:r>
                <w:rPr>
                  <w:rFonts w:ascii="Arial" w:cs="Arial" w:eastAsia="Arial" w:hAnsi="Arial"/>
                  <w:sz w:val="20"/>
                  <w:szCs w:val="20"/>
                  <w:color w:val="0000EE"/>
                  <w:w w:val="87"/>
                </w:rPr>
                <w:t>No Reliance on Administrative Agent’s Customer</w:t>
              </w:r>
            </w:hyperlink>
          </w:p>
        </w:tc>
        <w:tc>
          <w:tcPr>
            <w:tcW w:w="1680" w:type="dxa"/>
            <w:vAlign w:val="bottom"/>
            <w:gridSpan w:val="6"/>
          </w:tcPr>
          <w:p>
            <w:pPr>
              <w:ind w:left="200"/>
              <w:spacing w:after="0" w:line="196" w:lineRule="exact"/>
              <w:rPr>
                <w:rFonts w:ascii="Arial" w:cs="Arial" w:eastAsia="Arial" w:hAnsi="Arial"/>
                <w:sz w:val="20"/>
                <w:szCs w:val="20"/>
                <w:color w:val="0000EE"/>
              </w:rPr>
            </w:pPr>
            <w:hyperlink w:anchor="page283">
              <w:r>
                <w:rPr>
                  <w:rFonts w:ascii="Arial" w:cs="Arial" w:eastAsia="Arial" w:hAnsi="Arial"/>
                  <w:sz w:val="20"/>
                  <w:szCs w:val="20"/>
                  <w:color w:val="0000EE"/>
                </w:rPr>
                <w:t>Identification</w:t>
              </w:r>
            </w:hyperlink>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1220" w:type="dxa"/>
            <w:vAlign w:val="bottom"/>
            <w:tcBorders>
              <w:top w:val="single" w:sz="8" w:color="0000EE"/>
              <w:bottom w:val="single" w:sz="8" w:color="0000EE"/>
            </w:tcBorders>
            <w:vMerge w:val="continue"/>
          </w:tcPr>
          <w:p>
            <w:pPr>
              <w:spacing w:after="0"/>
              <w:rPr>
                <w:sz w:val="6"/>
                <w:szCs w:val="6"/>
                <w:color w:val="auto"/>
              </w:rPr>
            </w:pPr>
          </w:p>
        </w:tc>
        <w:tc>
          <w:tcPr>
            <w:tcW w:w="440" w:type="dxa"/>
            <w:vAlign w:val="bottom"/>
          </w:tcPr>
          <w:p>
            <w:pPr>
              <w:spacing w:after="0"/>
              <w:rPr>
                <w:sz w:val="6"/>
                <w:szCs w:val="6"/>
                <w:color w:val="auto"/>
              </w:rPr>
            </w:pPr>
          </w:p>
        </w:tc>
        <w:tc>
          <w:tcPr>
            <w:tcW w:w="5060" w:type="dxa"/>
            <w:vAlign w:val="bottom"/>
            <w:tcBorders>
              <w:top w:val="single" w:sz="8" w:color="0000EE"/>
              <w:bottom w:val="single" w:sz="8" w:color="0000EE"/>
            </w:tcBorders>
            <w:gridSpan w:val="29"/>
            <w:vMerge w:val="restart"/>
          </w:tcPr>
          <w:p>
            <w:pPr>
              <w:spacing w:after="0" w:line="169" w:lineRule="exact"/>
              <w:rPr>
                <w:rFonts w:ascii="Arial" w:cs="Arial" w:eastAsia="Arial" w:hAnsi="Arial"/>
                <w:sz w:val="19"/>
                <w:szCs w:val="19"/>
                <w:color w:val="0000EE"/>
              </w:rPr>
            </w:pPr>
            <w:hyperlink w:anchor="page283">
              <w:r>
                <w:rPr>
                  <w:rFonts w:ascii="Arial" w:cs="Arial" w:eastAsia="Arial" w:hAnsi="Arial"/>
                  <w:sz w:val="19"/>
                  <w:szCs w:val="19"/>
                  <w:color w:val="0000EE"/>
                </w:rPr>
                <w:t>Program</w:t>
              </w:r>
            </w:hyperlink>
          </w:p>
        </w:tc>
        <w:tc>
          <w:tcPr>
            <w:tcW w:w="420" w:type="dxa"/>
            <w:vAlign w:val="bottom"/>
            <w:vMerge w:val="restart"/>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60" w:type="dxa"/>
            <w:vAlign w:val="bottom"/>
            <w:gridSpan w:val="29"/>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220" w:type="dxa"/>
            <w:vAlign w:val="bottom"/>
            <w:tcBorders>
              <w:bottom w:val="single" w:sz="8" w:color="0000EE"/>
            </w:tcBorders>
          </w:tcPr>
          <w:p>
            <w:pPr>
              <w:jc w:val="center"/>
              <w:spacing w:after="0" w:line="183" w:lineRule="exact"/>
              <w:rPr>
                <w:rFonts w:ascii="Arial" w:cs="Arial" w:eastAsia="Arial" w:hAnsi="Arial"/>
                <w:sz w:val="20"/>
                <w:szCs w:val="20"/>
                <w:color w:val="0000EE"/>
                <w:w w:val="91"/>
              </w:rPr>
            </w:pPr>
            <w:hyperlink w:anchor="page283">
              <w:r>
                <w:rPr>
                  <w:rFonts w:ascii="Arial" w:cs="Arial" w:eastAsia="Arial" w:hAnsi="Arial"/>
                  <w:sz w:val="20"/>
                  <w:szCs w:val="20"/>
                  <w:color w:val="0000EE"/>
                  <w:w w:val="91"/>
                </w:rPr>
                <w:t>SECTION 8.10</w:t>
              </w:r>
            </w:hyperlink>
          </w:p>
        </w:tc>
        <w:tc>
          <w:tcPr>
            <w:tcW w:w="440" w:type="dxa"/>
            <w:vAlign w:val="bottom"/>
          </w:tcPr>
          <w:p>
            <w:pPr>
              <w:spacing w:after="0"/>
              <w:rPr>
                <w:sz w:val="15"/>
                <w:szCs w:val="15"/>
                <w:color w:val="auto"/>
              </w:rPr>
            </w:pPr>
          </w:p>
        </w:tc>
        <w:tc>
          <w:tcPr>
            <w:tcW w:w="700" w:type="dxa"/>
            <w:vAlign w:val="bottom"/>
            <w:tcBorders>
              <w:top w:val="single" w:sz="8" w:color="0000EE"/>
              <w:bottom w:val="single" w:sz="8" w:color="0000EE"/>
            </w:tcBorders>
            <w:gridSpan w:val="4"/>
          </w:tcPr>
          <w:p>
            <w:pPr>
              <w:spacing w:after="0" w:line="183" w:lineRule="exact"/>
              <w:rPr>
                <w:rFonts w:ascii="Arial" w:cs="Arial" w:eastAsia="Arial" w:hAnsi="Arial"/>
                <w:sz w:val="20"/>
                <w:szCs w:val="20"/>
                <w:color w:val="0000EE"/>
              </w:rPr>
            </w:pPr>
            <w:hyperlink w:anchor="page283">
              <w:r>
                <w:rPr>
                  <w:rFonts w:ascii="Arial" w:cs="Arial" w:eastAsia="Arial" w:hAnsi="Arial"/>
                  <w:sz w:val="20"/>
                  <w:szCs w:val="20"/>
                  <w:color w:val="0000EE"/>
                </w:rPr>
                <w:t>Lender</w:t>
              </w:r>
            </w:hyperlink>
          </w:p>
        </w:tc>
        <w:tc>
          <w:tcPr>
            <w:tcW w:w="1800" w:type="dxa"/>
            <w:vAlign w:val="bottom"/>
            <w:tcBorders>
              <w:bottom w:val="single" w:sz="8" w:color="0000EE"/>
            </w:tcBorders>
            <w:gridSpan w:val="16"/>
          </w:tcPr>
          <w:p>
            <w:pPr>
              <w:spacing w:after="0" w:line="183" w:lineRule="exact"/>
              <w:rPr>
                <w:rFonts w:ascii="Arial" w:cs="Arial" w:eastAsia="Arial" w:hAnsi="Arial"/>
                <w:sz w:val="20"/>
                <w:szCs w:val="20"/>
                <w:color w:val="0000EE"/>
                <w:w w:val="84"/>
              </w:rPr>
            </w:pPr>
            <w:hyperlink w:anchor="page283">
              <w:r>
                <w:rPr>
                  <w:rFonts w:ascii="Arial" w:cs="Arial" w:eastAsia="Arial" w:hAnsi="Arial"/>
                  <w:sz w:val="20"/>
                  <w:szCs w:val="20"/>
                  <w:color w:val="0000EE"/>
                  <w:w w:val="84"/>
                </w:rPr>
                <w:t>ERISA Representations</w:t>
              </w:r>
            </w:hyperlink>
          </w:p>
        </w:tc>
        <w:tc>
          <w:tcPr>
            <w:tcW w:w="2980" w:type="dxa"/>
            <w:vAlign w:val="bottom"/>
            <w:gridSpan w:val="10"/>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jc w:val="center"/>
              <w:spacing w:after="0" w:line="209" w:lineRule="exact"/>
              <w:rPr>
                <w:rFonts w:ascii="Arial" w:cs="Arial" w:eastAsia="Arial" w:hAnsi="Arial"/>
                <w:sz w:val="20"/>
                <w:szCs w:val="20"/>
                <w:color w:val="0000EE"/>
                <w:w w:val="91"/>
              </w:rPr>
            </w:pPr>
            <w:hyperlink w:anchor="page284">
              <w:r>
                <w:rPr>
                  <w:rFonts w:ascii="Arial" w:cs="Arial" w:eastAsia="Arial" w:hAnsi="Arial"/>
                  <w:sz w:val="20"/>
                  <w:szCs w:val="20"/>
                  <w:color w:val="0000EE"/>
                  <w:w w:val="91"/>
                </w:rPr>
                <w:t>SECTION 8.11</w:t>
              </w:r>
            </w:hyperlink>
          </w:p>
        </w:tc>
        <w:tc>
          <w:tcPr>
            <w:tcW w:w="440" w:type="dxa"/>
            <w:vAlign w:val="bottom"/>
          </w:tcPr>
          <w:p>
            <w:pPr>
              <w:spacing w:after="0"/>
              <w:rPr>
                <w:sz w:val="18"/>
                <w:szCs w:val="18"/>
                <w:color w:val="auto"/>
              </w:rPr>
            </w:pPr>
          </w:p>
        </w:tc>
        <w:tc>
          <w:tcPr>
            <w:tcW w:w="5480" w:type="dxa"/>
            <w:vAlign w:val="bottom"/>
            <w:gridSpan w:val="30"/>
          </w:tcPr>
          <w:p>
            <w:pPr>
              <w:spacing w:after="0" w:line="209" w:lineRule="exact"/>
              <w:rPr>
                <w:rFonts w:ascii="Arial" w:cs="Arial" w:eastAsia="Arial" w:hAnsi="Arial"/>
                <w:sz w:val="20"/>
                <w:szCs w:val="20"/>
                <w:color w:val="0000EE"/>
              </w:rPr>
            </w:pPr>
            <w:hyperlink w:anchor="page284">
              <w:r>
                <w:rPr>
                  <w:rFonts w:ascii="Arial" w:cs="Arial" w:eastAsia="Arial" w:hAnsi="Arial"/>
                  <w:sz w:val="20"/>
                  <w:szCs w:val="20"/>
                  <w:color w:val="0000EE"/>
                </w:rPr>
                <w:t>No Other Duties; Etc.</w:t>
              </w:r>
            </w:hyperlink>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bottom w:val="single" w:sz="8" w:color="0000EE"/>
            </w:tcBorders>
          </w:tcPr>
          <w:p>
            <w:pPr>
              <w:jc w:val="center"/>
              <w:spacing w:after="0" w:line="209" w:lineRule="exact"/>
              <w:rPr>
                <w:rFonts w:ascii="Arial" w:cs="Arial" w:eastAsia="Arial" w:hAnsi="Arial"/>
                <w:sz w:val="20"/>
                <w:szCs w:val="20"/>
                <w:color w:val="0000EE"/>
                <w:w w:val="91"/>
              </w:rPr>
            </w:pPr>
            <w:hyperlink w:anchor="page284">
              <w:r>
                <w:rPr>
                  <w:rFonts w:ascii="Arial" w:cs="Arial" w:eastAsia="Arial" w:hAnsi="Arial"/>
                  <w:sz w:val="20"/>
                  <w:szCs w:val="20"/>
                  <w:color w:val="0000EE"/>
                  <w:w w:val="91"/>
                </w:rPr>
                <w:t>SECTION 8.12</w:t>
              </w:r>
            </w:hyperlink>
          </w:p>
        </w:tc>
        <w:tc>
          <w:tcPr>
            <w:tcW w:w="440" w:type="dxa"/>
            <w:vAlign w:val="bottom"/>
          </w:tcPr>
          <w:p>
            <w:pPr>
              <w:spacing w:after="0"/>
              <w:rPr>
                <w:sz w:val="18"/>
                <w:szCs w:val="18"/>
                <w:color w:val="auto"/>
              </w:rPr>
            </w:pPr>
          </w:p>
        </w:tc>
        <w:tc>
          <w:tcPr>
            <w:tcW w:w="1420" w:type="dxa"/>
            <w:vAlign w:val="bottom"/>
            <w:tcBorders>
              <w:top w:val="single" w:sz="8" w:color="0000EE"/>
              <w:bottom w:val="single" w:sz="8" w:color="0000EE"/>
            </w:tcBorders>
            <w:gridSpan w:val="11"/>
          </w:tcPr>
          <w:p>
            <w:pPr>
              <w:spacing w:after="0" w:line="209" w:lineRule="exact"/>
              <w:rPr>
                <w:rFonts w:ascii="Arial" w:cs="Arial" w:eastAsia="Arial" w:hAnsi="Arial"/>
                <w:sz w:val="20"/>
                <w:szCs w:val="20"/>
                <w:color w:val="0000EE"/>
                <w:w w:val="91"/>
              </w:rPr>
            </w:pPr>
            <w:hyperlink w:anchor="page284">
              <w:r>
                <w:rPr>
                  <w:rFonts w:ascii="Arial" w:cs="Arial" w:eastAsia="Arial" w:hAnsi="Arial"/>
                  <w:sz w:val="20"/>
                  <w:szCs w:val="20"/>
                  <w:color w:val="0000EE"/>
                  <w:w w:val="91"/>
                </w:rPr>
                <w:t>Tax Withholdings</w:t>
              </w:r>
            </w:hyperlink>
          </w:p>
        </w:tc>
        <w:tc>
          <w:tcPr>
            <w:tcW w:w="300" w:type="dxa"/>
            <w:vAlign w:val="bottom"/>
            <w:tcBorders>
              <w:top w:val="single" w:sz="8" w:color="0000EE"/>
            </w:tcBorders>
            <w:gridSpan w:val="2"/>
          </w:tcPr>
          <w:p>
            <w:pPr>
              <w:spacing w:after="0"/>
              <w:rPr>
                <w:sz w:val="18"/>
                <w:szCs w:val="18"/>
                <w:color w:val="auto"/>
              </w:rPr>
            </w:pPr>
          </w:p>
        </w:tc>
        <w:tc>
          <w:tcPr>
            <w:tcW w:w="3760" w:type="dxa"/>
            <w:vAlign w:val="bottom"/>
            <w:gridSpan w:val="17"/>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jc w:val="center"/>
              <w:spacing w:after="0" w:line="209" w:lineRule="exact"/>
              <w:rPr>
                <w:rFonts w:ascii="Arial" w:cs="Arial" w:eastAsia="Arial" w:hAnsi="Arial"/>
                <w:sz w:val="20"/>
                <w:szCs w:val="20"/>
                <w:color w:val="0000EE"/>
                <w:w w:val="91"/>
              </w:rPr>
            </w:pPr>
            <w:hyperlink w:anchor="page285">
              <w:r>
                <w:rPr>
                  <w:rFonts w:ascii="Arial" w:cs="Arial" w:eastAsia="Arial" w:hAnsi="Arial"/>
                  <w:sz w:val="20"/>
                  <w:szCs w:val="20"/>
                  <w:color w:val="0000EE"/>
                  <w:w w:val="91"/>
                </w:rPr>
                <w:t>SECTION 8.13</w:t>
              </w:r>
            </w:hyperlink>
          </w:p>
        </w:tc>
        <w:tc>
          <w:tcPr>
            <w:tcW w:w="440" w:type="dxa"/>
            <w:vAlign w:val="bottom"/>
          </w:tcPr>
          <w:p>
            <w:pPr>
              <w:spacing w:after="0"/>
              <w:rPr>
                <w:sz w:val="18"/>
                <w:szCs w:val="18"/>
                <w:color w:val="auto"/>
              </w:rPr>
            </w:pPr>
          </w:p>
        </w:tc>
        <w:tc>
          <w:tcPr>
            <w:tcW w:w="5480" w:type="dxa"/>
            <w:vAlign w:val="bottom"/>
            <w:gridSpan w:val="30"/>
          </w:tcPr>
          <w:p>
            <w:pPr>
              <w:spacing w:after="0" w:line="209" w:lineRule="exact"/>
              <w:rPr>
                <w:rFonts w:ascii="Arial" w:cs="Arial" w:eastAsia="Arial" w:hAnsi="Arial"/>
                <w:sz w:val="20"/>
                <w:szCs w:val="20"/>
                <w:color w:val="0000EE"/>
              </w:rPr>
            </w:pPr>
            <w:hyperlink w:anchor="page285">
              <w:r>
                <w:rPr>
                  <w:rFonts w:ascii="Arial" w:cs="Arial" w:eastAsia="Arial" w:hAnsi="Arial"/>
                  <w:sz w:val="20"/>
                  <w:szCs w:val="20"/>
                  <w:color w:val="0000EE"/>
                </w:rPr>
                <w:t>Beneficiaries</w:t>
              </w:r>
            </w:hyperlink>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40" w:type="dxa"/>
            <w:vAlign w:val="bottom"/>
            <w:gridSpan w:val="33"/>
          </w:tcPr>
          <w:p>
            <w:pPr>
              <w:jc w:val="center"/>
              <w:ind w:right="5160"/>
              <w:spacing w:after="0"/>
              <w:rPr>
                <w:rFonts w:ascii="Arial" w:cs="Arial" w:eastAsia="Arial" w:hAnsi="Arial"/>
                <w:sz w:val="20"/>
                <w:szCs w:val="20"/>
                <w:color w:val="0000EE"/>
                <w:w w:val="97"/>
              </w:rPr>
            </w:pPr>
            <w:hyperlink w:anchor="page285">
              <w:r>
                <w:rPr>
                  <w:rFonts w:ascii="Arial" w:cs="Arial" w:eastAsia="Arial" w:hAnsi="Arial"/>
                  <w:sz w:val="20"/>
                  <w:szCs w:val="20"/>
                  <w:color w:val="0000EE"/>
                  <w:w w:val="97"/>
                </w:rPr>
                <w:t>ARTICLE IX MISCELLANEOUS</w:t>
              </w:r>
            </w:hyperlink>
          </w:p>
        </w:tc>
        <w:tc>
          <w:tcPr>
            <w:tcW w:w="720" w:type="dxa"/>
            <w:vAlign w:val="bottom"/>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 w:type="dxa"/>
            <w:vAlign w:val="bottom"/>
          </w:tcPr>
          <w:p>
            <w:pPr>
              <w:spacing w:after="0"/>
              <w:rPr>
                <w:sz w:val="24"/>
                <w:szCs w:val="24"/>
                <w:color w:val="auto"/>
              </w:rPr>
            </w:pPr>
          </w:p>
        </w:tc>
        <w:tc>
          <w:tcPr>
            <w:tcW w:w="1220" w:type="dxa"/>
            <w:vAlign w:val="bottom"/>
          </w:tcPr>
          <w:p>
            <w:pPr>
              <w:jc w:val="center"/>
              <w:spacing w:after="0"/>
              <w:rPr>
                <w:rFonts w:ascii="Arial" w:cs="Arial" w:eastAsia="Arial" w:hAnsi="Arial"/>
                <w:sz w:val="20"/>
                <w:szCs w:val="20"/>
                <w:color w:val="0000EE"/>
                <w:w w:val="91"/>
              </w:rPr>
            </w:pPr>
            <w:hyperlink w:anchor="page285">
              <w:r>
                <w:rPr>
                  <w:rFonts w:ascii="Arial" w:cs="Arial" w:eastAsia="Arial" w:hAnsi="Arial"/>
                  <w:sz w:val="20"/>
                  <w:szCs w:val="20"/>
                  <w:color w:val="0000EE"/>
                  <w:w w:val="91"/>
                </w:rPr>
                <w:t>SECTION 9.01</w:t>
              </w:r>
            </w:hyperlink>
          </w:p>
        </w:tc>
        <w:tc>
          <w:tcPr>
            <w:tcW w:w="440" w:type="dxa"/>
            <w:vAlign w:val="bottom"/>
          </w:tcPr>
          <w:p>
            <w:pPr>
              <w:spacing w:after="0"/>
              <w:rPr>
                <w:sz w:val="24"/>
                <w:szCs w:val="24"/>
                <w:color w:val="auto"/>
              </w:rPr>
            </w:pPr>
          </w:p>
        </w:tc>
        <w:tc>
          <w:tcPr>
            <w:tcW w:w="5480" w:type="dxa"/>
            <w:vAlign w:val="bottom"/>
            <w:gridSpan w:val="30"/>
          </w:tcPr>
          <w:p>
            <w:pPr>
              <w:spacing w:after="0"/>
              <w:rPr>
                <w:rFonts w:ascii="Arial" w:cs="Arial" w:eastAsia="Arial" w:hAnsi="Arial"/>
                <w:sz w:val="20"/>
                <w:szCs w:val="20"/>
                <w:color w:val="0000EE"/>
              </w:rPr>
            </w:pPr>
            <w:hyperlink w:anchor="page285">
              <w:r>
                <w:rPr>
                  <w:rFonts w:ascii="Arial" w:cs="Arial" w:eastAsia="Arial" w:hAnsi="Arial"/>
                  <w:sz w:val="20"/>
                  <w:szCs w:val="20"/>
                  <w:color w:val="0000EE"/>
                </w:rPr>
                <w:t>Notices</w:t>
              </w:r>
            </w:hyperlink>
          </w:p>
        </w:tc>
        <w:tc>
          <w:tcPr>
            <w:tcW w:w="720" w:type="dxa"/>
            <w:vAlign w:val="bottom"/>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jc w:val="center"/>
              <w:spacing w:after="0" w:line="209" w:lineRule="exact"/>
              <w:rPr>
                <w:rFonts w:ascii="Arial" w:cs="Arial" w:eastAsia="Arial" w:hAnsi="Arial"/>
                <w:sz w:val="20"/>
                <w:szCs w:val="20"/>
                <w:color w:val="0000EE"/>
                <w:w w:val="91"/>
              </w:rPr>
            </w:pPr>
            <w:hyperlink w:anchor="page287">
              <w:r>
                <w:rPr>
                  <w:rFonts w:ascii="Arial" w:cs="Arial" w:eastAsia="Arial" w:hAnsi="Arial"/>
                  <w:sz w:val="20"/>
                  <w:szCs w:val="20"/>
                  <w:color w:val="0000EE"/>
                  <w:w w:val="91"/>
                </w:rPr>
                <w:t>SECTION 9.02</w:t>
              </w:r>
            </w:hyperlink>
          </w:p>
        </w:tc>
        <w:tc>
          <w:tcPr>
            <w:tcW w:w="440" w:type="dxa"/>
            <w:vAlign w:val="bottom"/>
          </w:tcPr>
          <w:p>
            <w:pPr>
              <w:spacing w:after="0"/>
              <w:rPr>
                <w:sz w:val="18"/>
                <w:szCs w:val="18"/>
                <w:color w:val="auto"/>
              </w:rPr>
            </w:pPr>
          </w:p>
        </w:tc>
        <w:tc>
          <w:tcPr>
            <w:tcW w:w="5480" w:type="dxa"/>
            <w:vAlign w:val="bottom"/>
            <w:gridSpan w:val="30"/>
          </w:tcPr>
          <w:p>
            <w:pPr>
              <w:spacing w:after="0" w:line="209" w:lineRule="exact"/>
              <w:rPr>
                <w:rFonts w:ascii="Arial" w:cs="Arial" w:eastAsia="Arial" w:hAnsi="Arial"/>
                <w:sz w:val="20"/>
                <w:szCs w:val="20"/>
                <w:color w:val="0000EE"/>
              </w:rPr>
            </w:pPr>
            <w:hyperlink w:anchor="page287">
              <w:r>
                <w:rPr>
                  <w:rFonts w:ascii="Arial" w:cs="Arial" w:eastAsia="Arial" w:hAnsi="Arial"/>
                  <w:sz w:val="20"/>
                  <w:szCs w:val="20"/>
                  <w:color w:val="0000EE"/>
                </w:rPr>
                <w:t>Waivers; Amendments</w:t>
              </w:r>
            </w:hyperlink>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jc w:val="center"/>
              <w:spacing w:after="0" w:line="209" w:lineRule="exact"/>
              <w:rPr>
                <w:rFonts w:ascii="Arial" w:cs="Arial" w:eastAsia="Arial" w:hAnsi="Arial"/>
                <w:sz w:val="20"/>
                <w:szCs w:val="20"/>
                <w:color w:val="0000EE"/>
                <w:w w:val="91"/>
              </w:rPr>
            </w:pPr>
            <w:hyperlink w:anchor="page289">
              <w:r>
                <w:rPr>
                  <w:rFonts w:ascii="Arial" w:cs="Arial" w:eastAsia="Arial" w:hAnsi="Arial"/>
                  <w:sz w:val="20"/>
                  <w:szCs w:val="20"/>
                  <w:color w:val="0000EE"/>
                  <w:w w:val="91"/>
                </w:rPr>
                <w:t>SECTION 9.03</w:t>
              </w:r>
            </w:hyperlink>
          </w:p>
        </w:tc>
        <w:tc>
          <w:tcPr>
            <w:tcW w:w="440" w:type="dxa"/>
            <w:vAlign w:val="bottom"/>
          </w:tcPr>
          <w:p>
            <w:pPr>
              <w:spacing w:after="0"/>
              <w:rPr>
                <w:sz w:val="18"/>
                <w:szCs w:val="18"/>
                <w:color w:val="auto"/>
              </w:rPr>
            </w:pPr>
          </w:p>
        </w:tc>
        <w:tc>
          <w:tcPr>
            <w:tcW w:w="5480" w:type="dxa"/>
            <w:vAlign w:val="bottom"/>
            <w:gridSpan w:val="30"/>
          </w:tcPr>
          <w:p>
            <w:pPr>
              <w:spacing w:after="0" w:line="209" w:lineRule="exact"/>
              <w:rPr>
                <w:rFonts w:ascii="Arial" w:cs="Arial" w:eastAsia="Arial" w:hAnsi="Arial"/>
                <w:sz w:val="20"/>
                <w:szCs w:val="20"/>
                <w:color w:val="0000EE"/>
              </w:rPr>
            </w:pPr>
            <w:hyperlink w:anchor="page289">
              <w:r>
                <w:rPr>
                  <w:rFonts w:ascii="Arial" w:cs="Arial" w:eastAsia="Arial" w:hAnsi="Arial"/>
                  <w:sz w:val="20"/>
                  <w:szCs w:val="20"/>
                  <w:color w:val="0000EE"/>
                </w:rPr>
                <w:t>Expenses; Indemnity; Damage Waiver</w:t>
              </w:r>
            </w:hyperlink>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bottom w:val="single" w:sz="8" w:color="0000EE"/>
            </w:tcBorders>
          </w:tcPr>
          <w:p>
            <w:pPr>
              <w:jc w:val="center"/>
              <w:spacing w:after="0" w:line="209" w:lineRule="exact"/>
              <w:rPr>
                <w:rFonts w:ascii="Arial" w:cs="Arial" w:eastAsia="Arial" w:hAnsi="Arial"/>
                <w:sz w:val="20"/>
                <w:szCs w:val="20"/>
                <w:color w:val="0000EE"/>
                <w:w w:val="91"/>
              </w:rPr>
            </w:pPr>
            <w:hyperlink w:anchor="page292">
              <w:r>
                <w:rPr>
                  <w:rFonts w:ascii="Arial" w:cs="Arial" w:eastAsia="Arial" w:hAnsi="Arial"/>
                  <w:sz w:val="20"/>
                  <w:szCs w:val="20"/>
                  <w:color w:val="0000EE"/>
                  <w:w w:val="91"/>
                </w:rPr>
                <w:t>SECTION 9.04</w:t>
              </w:r>
            </w:hyperlink>
          </w:p>
        </w:tc>
        <w:tc>
          <w:tcPr>
            <w:tcW w:w="440" w:type="dxa"/>
            <w:vAlign w:val="bottom"/>
          </w:tcPr>
          <w:p>
            <w:pPr>
              <w:spacing w:after="0"/>
              <w:rPr>
                <w:sz w:val="18"/>
                <w:szCs w:val="18"/>
                <w:color w:val="auto"/>
              </w:rPr>
            </w:pPr>
          </w:p>
        </w:tc>
        <w:tc>
          <w:tcPr>
            <w:tcW w:w="1880" w:type="dxa"/>
            <w:vAlign w:val="bottom"/>
            <w:tcBorders>
              <w:top w:val="single" w:sz="8" w:color="0000EE"/>
              <w:bottom w:val="single" w:sz="8" w:color="0000EE"/>
            </w:tcBorders>
            <w:gridSpan w:val="15"/>
          </w:tcPr>
          <w:p>
            <w:pPr>
              <w:spacing w:after="0" w:line="209" w:lineRule="exact"/>
              <w:rPr>
                <w:rFonts w:ascii="Arial" w:cs="Arial" w:eastAsia="Arial" w:hAnsi="Arial"/>
                <w:sz w:val="20"/>
                <w:szCs w:val="20"/>
                <w:color w:val="0000EE"/>
                <w:w w:val="85"/>
              </w:rPr>
            </w:pPr>
            <w:hyperlink w:anchor="page292">
              <w:r>
                <w:rPr>
                  <w:rFonts w:ascii="Arial" w:cs="Arial" w:eastAsia="Arial" w:hAnsi="Arial"/>
                  <w:sz w:val="20"/>
                  <w:szCs w:val="20"/>
                  <w:color w:val="0000EE"/>
                  <w:w w:val="85"/>
                </w:rPr>
                <w:t>Successors and Assigns</w:t>
              </w:r>
            </w:hyperlink>
          </w:p>
        </w:tc>
        <w:tc>
          <w:tcPr>
            <w:tcW w:w="1160" w:type="dxa"/>
            <w:vAlign w:val="bottom"/>
            <w:tcBorders>
              <w:top w:val="single" w:sz="8" w:color="0000EE"/>
            </w:tcBorders>
            <w:gridSpan w:val="8"/>
          </w:tcPr>
          <w:p>
            <w:pPr>
              <w:spacing w:after="0"/>
              <w:rPr>
                <w:sz w:val="18"/>
                <w:szCs w:val="18"/>
                <w:color w:val="auto"/>
              </w:rPr>
            </w:pPr>
          </w:p>
        </w:tc>
        <w:tc>
          <w:tcPr>
            <w:tcW w:w="2440" w:type="dxa"/>
            <w:vAlign w:val="bottom"/>
            <w:gridSpan w:val="7"/>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jc w:val="center"/>
              <w:spacing w:after="0" w:line="209" w:lineRule="exact"/>
              <w:rPr>
                <w:rFonts w:ascii="Arial" w:cs="Arial" w:eastAsia="Arial" w:hAnsi="Arial"/>
                <w:sz w:val="20"/>
                <w:szCs w:val="20"/>
                <w:color w:val="0000EE"/>
                <w:w w:val="91"/>
              </w:rPr>
            </w:pPr>
            <w:hyperlink w:anchor="page296">
              <w:r>
                <w:rPr>
                  <w:rFonts w:ascii="Arial" w:cs="Arial" w:eastAsia="Arial" w:hAnsi="Arial"/>
                  <w:sz w:val="20"/>
                  <w:szCs w:val="20"/>
                  <w:color w:val="0000EE"/>
                  <w:w w:val="91"/>
                </w:rPr>
                <w:t>SECTION 9.05</w:t>
              </w:r>
            </w:hyperlink>
          </w:p>
        </w:tc>
        <w:tc>
          <w:tcPr>
            <w:tcW w:w="440" w:type="dxa"/>
            <w:vAlign w:val="bottom"/>
          </w:tcPr>
          <w:p>
            <w:pPr>
              <w:spacing w:after="0"/>
              <w:rPr>
                <w:sz w:val="18"/>
                <w:szCs w:val="18"/>
                <w:color w:val="auto"/>
              </w:rPr>
            </w:pPr>
          </w:p>
        </w:tc>
        <w:tc>
          <w:tcPr>
            <w:tcW w:w="680" w:type="dxa"/>
            <w:vAlign w:val="bottom"/>
            <w:tcBorders>
              <w:bottom w:val="single" w:sz="8" w:color="0000EE"/>
            </w:tcBorders>
            <w:gridSpan w:val="3"/>
          </w:tcPr>
          <w:p>
            <w:pPr>
              <w:spacing w:after="0" w:line="209" w:lineRule="exact"/>
              <w:rPr>
                <w:rFonts w:ascii="Arial" w:cs="Arial" w:eastAsia="Arial" w:hAnsi="Arial"/>
                <w:sz w:val="20"/>
                <w:szCs w:val="20"/>
                <w:color w:val="0000EE"/>
                <w:w w:val="92"/>
              </w:rPr>
            </w:pPr>
            <w:hyperlink w:anchor="page296">
              <w:r>
                <w:rPr>
                  <w:rFonts w:ascii="Arial" w:cs="Arial" w:eastAsia="Arial" w:hAnsi="Arial"/>
                  <w:sz w:val="20"/>
                  <w:szCs w:val="20"/>
                  <w:color w:val="0000EE"/>
                  <w:w w:val="92"/>
                </w:rPr>
                <w:t>Survival</w:t>
              </w:r>
            </w:hyperlink>
          </w:p>
        </w:tc>
        <w:tc>
          <w:tcPr>
            <w:tcW w:w="4800" w:type="dxa"/>
            <w:vAlign w:val="bottom"/>
            <w:gridSpan w:val="27"/>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jc w:val="center"/>
              <w:spacing w:after="0" w:line="209" w:lineRule="exact"/>
              <w:rPr>
                <w:rFonts w:ascii="Arial" w:cs="Arial" w:eastAsia="Arial" w:hAnsi="Arial"/>
                <w:sz w:val="20"/>
                <w:szCs w:val="20"/>
                <w:color w:val="0000EE"/>
                <w:w w:val="91"/>
              </w:rPr>
            </w:pPr>
            <w:hyperlink w:anchor="page296">
              <w:r>
                <w:rPr>
                  <w:rFonts w:ascii="Arial" w:cs="Arial" w:eastAsia="Arial" w:hAnsi="Arial"/>
                  <w:sz w:val="20"/>
                  <w:szCs w:val="20"/>
                  <w:color w:val="0000EE"/>
                  <w:w w:val="91"/>
                </w:rPr>
                <w:t>SECTION 9.06</w:t>
              </w:r>
            </w:hyperlink>
          </w:p>
        </w:tc>
        <w:tc>
          <w:tcPr>
            <w:tcW w:w="440" w:type="dxa"/>
            <w:vAlign w:val="bottom"/>
          </w:tcPr>
          <w:p>
            <w:pPr>
              <w:spacing w:after="0"/>
              <w:rPr>
                <w:sz w:val="18"/>
                <w:szCs w:val="18"/>
                <w:color w:val="auto"/>
              </w:rPr>
            </w:pPr>
          </w:p>
        </w:tc>
        <w:tc>
          <w:tcPr>
            <w:tcW w:w="4940" w:type="dxa"/>
            <w:vAlign w:val="bottom"/>
            <w:tcBorders>
              <w:bottom w:val="single" w:sz="8" w:color="0000EE"/>
            </w:tcBorders>
            <w:gridSpan w:val="28"/>
          </w:tcPr>
          <w:p>
            <w:pPr>
              <w:spacing w:after="0" w:line="209" w:lineRule="exact"/>
              <w:rPr>
                <w:rFonts w:ascii="Arial" w:cs="Arial" w:eastAsia="Arial" w:hAnsi="Arial"/>
                <w:sz w:val="20"/>
                <w:szCs w:val="20"/>
                <w:color w:val="0000EE"/>
                <w:w w:val="90"/>
              </w:rPr>
            </w:pPr>
            <w:hyperlink w:anchor="page296">
              <w:r>
                <w:rPr>
                  <w:rFonts w:ascii="Arial" w:cs="Arial" w:eastAsia="Arial" w:hAnsi="Arial"/>
                  <w:sz w:val="20"/>
                  <w:szCs w:val="20"/>
                  <w:color w:val="0000EE"/>
                  <w:w w:val="90"/>
                </w:rPr>
                <w:t>Counterparts; Integration; Effectiveness; Electronic Execution</w:t>
              </w:r>
            </w:hyperlink>
          </w:p>
        </w:tc>
        <w:tc>
          <w:tcPr>
            <w:tcW w:w="540" w:type="dxa"/>
            <w:vAlign w:val="bottom"/>
            <w:gridSpan w:val="2"/>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jc w:val="center"/>
              <w:spacing w:after="0" w:line="209" w:lineRule="exact"/>
              <w:rPr>
                <w:rFonts w:ascii="Arial" w:cs="Arial" w:eastAsia="Arial" w:hAnsi="Arial"/>
                <w:sz w:val="20"/>
                <w:szCs w:val="20"/>
                <w:color w:val="0000EE"/>
                <w:w w:val="91"/>
              </w:rPr>
            </w:pPr>
            <w:hyperlink w:anchor="page297">
              <w:r>
                <w:rPr>
                  <w:rFonts w:ascii="Arial" w:cs="Arial" w:eastAsia="Arial" w:hAnsi="Arial"/>
                  <w:sz w:val="20"/>
                  <w:szCs w:val="20"/>
                  <w:color w:val="0000EE"/>
                  <w:w w:val="91"/>
                </w:rPr>
                <w:t>SECTION 9.07</w:t>
              </w:r>
            </w:hyperlink>
          </w:p>
        </w:tc>
        <w:tc>
          <w:tcPr>
            <w:tcW w:w="440" w:type="dxa"/>
            <w:vAlign w:val="bottom"/>
          </w:tcPr>
          <w:p>
            <w:pPr>
              <w:spacing w:after="0"/>
              <w:rPr>
                <w:sz w:val="18"/>
                <w:szCs w:val="18"/>
                <w:color w:val="auto"/>
              </w:rPr>
            </w:pPr>
          </w:p>
        </w:tc>
        <w:tc>
          <w:tcPr>
            <w:tcW w:w="960" w:type="dxa"/>
            <w:vAlign w:val="bottom"/>
            <w:tcBorders>
              <w:bottom w:val="single" w:sz="8" w:color="0000EE"/>
            </w:tcBorders>
            <w:gridSpan w:val="7"/>
          </w:tcPr>
          <w:p>
            <w:pPr>
              <w:spacing w:after="0" w:line="209" w:lineRule="exact"/>
              <w:rPr>
                <w:rFonts w:ascii="Arial" w:cs="Arial" w:eastAsia="Arial" w:hAnsi="Arial"/>
                <w:sz w:val="20"/>
                <w:szCs w:val="20"/>
                <w:color w:val="0000EE"/>
                <w:w w:val="90"/>
              </w:rPr>
            </w:pPr>
            <w:hyperlink w:anchor="page297">
              <w:r>
                <w:rPr>
                  <w:rFonts w:ascii="Arial" w:cs="Arial" w:eastAsia="Arial" w:hAnsi="Arial"/>
                  <w:sz w:val="20"/>
                  <w:szCs w:val="20"/>
                  <w:color w:val="0000EE"/>
                  <w:w w:val="90"/>
                </w:rPr>
                <w:t>Severability</w:t>
              </w:r>
            </w:hyperlink>
          </w:p>
        </w:tc>
        <w:tc>
          <w:tcPr>
            <w:tcW w:w="4520" w:type="dxa"/>
            <w:vAlign w:val="bottom"/>
            <w:gridSpan w:val="23"/>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110</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jc w:val="center"/>
              <w:spacing w:after="0" w:line="209" w:lineRule="exact"/>
              <w:rPr>
                <w:rFonts w:ascii="Arial" w:cs="Arial" w:eastAsia="Arial" w:hAnsi="Arial"/>
                <w:sz w:val="20"/>
                <w:szCs w:val="20"/>
                <w:color w:val="0000EE"/>
                <w:w w:val="91"/>
              </w:rPr>
            </w:pPr>
            <w:hyperlink w:anchor="page297">
              <w:r>
                <w:rPr>
                  <w:rFonts w:ascii="Arial" w:cs="Arial" w:eastAsia="Arial" w:hAnsi="Arial"/>
                  <w:sz w:val="20"/>
                  <w:szCs w:val="20"/>
                  <w:color w:val="0000EE"/>
                  <w:w w:val="91"/>
                </w:rPr>
                <w:t>SECTION 9.08</w:t>
              </w:r>
            </w:hyperlink>
          </w:p>
        </w:tc>
        <w:tc>
          <w:tcPr>
            <w:tcW w:w="440" w:type="dxa"/>
            <w:vAlign w:val="bottom"/>
          </w:tcPr>
          <w:p>
            <w:pPr>
              <w:spacing w:after="0"/>
              <w:rPr>
                <w:sz w:val="18"/>
                <w:szCs w:val="18"/>
                <w:color w:val="auto"/>
              </w:rPr>
            </w:pPr>
          </w:p>
        </w:tc>
        <w:tc>
          <w:tcPr>
            <w:tcW w:w="5480" w:type="dxa"/>
            <w:vAlign w:val="bottom"/>
            <w:gridSpan w:val="30"/>
          </w:tcPr>
          <w:p>
            <w:pPr>
              <w:spacing w:after="0" w:line="209" w:lineRule="exact"/>
              <w:rPr>
                <w:rFonts w:ascii="Arial" w:cs="Arial" w:eastAsia="Arial" w:hAnsi="Arial"/>
                <w:sz w:val="20"/>
                <w:szCs w:val="20"/>
                <w:color w:val="0000EE"/>
              </w:rPr>
            </w:pPr>
            <w:hyperlink w:anchor="page297">
              <w:r>
                <w:rPr>
                  <w:rFonts w:ascii="Arial" w:cs="Arial" w:eastAsia="Arial" w:hAnsi="Arial"/>
                  <w:sz w:val="20"/>
                  <w:szCs w:val="20"/>
                  <w:color w:val="0000EE"/>
                </w:rPr>
                <w:t>Right of Setoff</w:t>
              </w:r>
            </w:hyperlink>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110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jc w:val="center"/>
              <w:spacing w:after="0" w:line="209" w:lineRule="exact"/>
              <w:rPr>
                <w:rFonts w:ascii="Arial" w:cs="Arial" w:eastAsia="Arial" w:hAnsi="Arial"/>
                <w:sz w:val="20"/>
                <w:szCs w:val="20"/>
                <w:color w:val="0000EE"/>
                <w:w w:val="91"/>
              </w:rPr>
            </w:pPr>
            <w:hyperlink w:anchor="page298">
              <w:r>
                <w:rPr>
                  <w:rFonts w:ascii="Arial" w:cs="Arial" w:eastAsia="Arial" w:hAnsi="Arial"/>
                  <w:sz w:val="20"/>
                  <w:szCs w:val="20"/>
                  <w:color w:val="0000EE"/>
                  <w:w w:val="91"/>
                </w:rPr>
                <w:t>SECTION 9.09</w:t>
              </w:r>
            </w:hyperlink>
          </w:p>
        </w:tc>
        <w:tc>
          <w:tcPr>
            <w:tcW w:w="440" w:type="dxa"/>
            <w:vAlign w:val="bottom"/>
          </w:tcPr>
          <w:p>
            <w:pPr>
              <w:spacing w:after="0"/>
              <w:rPr>
                <w:sz w:val="18"/>
                <w:szCs w:val="18"/>
                <w:color w:val="auto"/>
              </w:rPr>
            </w:pPr>
          </w:p>
        </w:tc>
        <w:tc>
          <w:tcPr>
            <w:tcW w:w="5480" w:type="dxa"/>
            <w:vAlign w:val="bottom"/>
            <w:gridSpan w:val="30"/>
          </w:tcPr>
          <w:p>
            <w:pPr>
              <w:spacing w:after="0" w:line="209" w:lineRule="exact"/>
              <w:rPr>
                <w:rFonts w:ascii="Arial" w:cs="Arial" w:eastAsia="Arial" w:hAnsi="Arial"/>
                <w:sz w:val="20"/>
                <w:szCs w:val="20"/>
                <w:color w:val="0000EE"/>
              </w:rPr>
            </w:pPr>
            <w:hyperlink w:anchor="page298">
              <w:r>
                <w:rPr>
                  <w:rFonts w:ascii="Arial" w:cs="Arial" w:eastAsia="Arial" w:hAnsi="Arial"/>
                  <w:sz w:val="20"/>
                  <w:szCs w:val="20"/>
                  <w:color w:val="0000EE"/>
                </w:rPr>
                <w:t>Governing Law; Jurisdiction; Consent to Service of Process</w:t>
              </w:r>
            </w:hyperlink>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111</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top w:val="single" w:sz="8" w:color="0000EE"/>
              <w:bottom w:val="single" w:sz="8" w:color="0000EE"/>
            </w:tcBorders>
          </w:tcPr>
          <w:p>
            <w:pPr>
              <w:jc w:val="center"/>
              <w:spacing w:after="0" w:line="209" w:lineRule="exact"/>
              <w:rPr>
                <w:rFonts w:ascii="Arial" w:cs="Arial" w:eastAsia="Arial" w:hAnsi="Arial"/>
                <w:sz w:val="20"/>
                <w:szCs w:val="20"/>
                <w:color w:val="0000EE"/>
                <w:w w:val="91"/>
              </w:rPr>
            </w:pPr>
            <w:hyperlink w:anchor="page298">
              <w:r>
                <w:rPr>
                  <w:rFonts w:ascii="Arial" w:cs="Arial" w:eastAsia="Arial" w:hAnsi="Arial"/>
                  <w:sz w:val="20"/>
                  <w:szCs w:val="20"/>
                  <w:color w:val="0000EE"/>
                  <w:w w:val="91"/>
                </w:rPr>
                <w:t>SECTION 9.10</w:t>
              </w:r>
            </w:hyperlink>
          </w:p>
        </w:tc>
        <w:tc>
          <w:tcPr>
            <w:tcW w:w="440" w:type="dxa"/>
            <w:vAlign w:val="bottom"/>
          </w:tcPr>
          <w:p>
            <w:pPr>
              <w:spacing w:after="0"/>
              <w:rPr>
                <w:sz w:val="18"/>
                <w:szCs w:val="18"/>
                <w:color w:val="auto"/>
              </w:rPr>
            </w:pPr>
          </w:p>
        </w:tc>
        <w:tc>
          <w:tcPr>
            <w:tcW w:w="2240" w:type="dxa"/>
            <w:vAlign w:val="bottom"/>
            <w:tcBorders>
              <w:top w:val="single" w:sz="8" w:color="0000EE"/>
              <w:bottom w:val="single" w:sz="8" w:color="0000EE"/>
            </w:tcBorders>
            <w:gridSpan w:val="19"/>
          </w:tcPr>
          <w:p>
            <w:pPr>
              <w:spacing w:after="0" w:line="209" w:lineRule="exact"/>
              <w:rPr>
                <w:rFonts w:ascii="Arial" w:cs="Arial" w:eastAsia="Arial" w:hAnsi="Arial"/>
                <w:sz w:val="20"/>
                <w:szCs w:val="20"/>
                <w:color w:val="0000EE"/>
                <w:w w:val="95"/>
              </w:rPr>
            </w:pPr>
            <w:hyperlink w:anchor="page298">
              <w:r>
                <w:rPr>
                  <w:rFonts w:ascii="Arial" w:cs="Arial" w:eastAsia="Arial" w:hAnsi="Arial"/>
                  <w:sz w:val="20"/>
                  <w:szCs w:val="20"/>
                  <w:color w:val="0000EE"/>
                  <w:w w:val="95"/>
                </w:rPr>
                <w:t>WAIVER OF JURY TRIAL</w:t>
              </w:r>
            </w:hyperlink>
          </w:p>
        </w:tc>
        <w:tc>
          <w:tcPr>
            <w:tcW w:w="2500" w:type="dxa"/>
            <w:vAlign w:val="bottom"/>
            <w:tcBorders>
              <w:top w:val="single" w:sz="8" w:color="0000EE"/>
            </w:tcBorders>
            <w:gridSpan w:val="7"/>
          </w:tcPr>
          <w:p>
            <w:pPr>
              <w:spacing w:after="0"/>
              <w:rPr>
                <w:sz w:val="18"/>
                <w:szCs w:val="18"/>
                <w:color w:val="auto"/>
              </w:rPr>
            </w:pPr>
          </w:p>
        </w:tc>
        <w:tc>
          <w:tcPr>
            <w:tcW w:w="740" w:type="dxa"/>
            <w:vAlign w:val="bottom"/>
            <w:gridSpan w:val="4"/>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111</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jc w:val="center"/>
              <w:spacing w:after="0" w:line="209" w:lineRule="exact"/>
              <w:rPr>
                <w:rFonts w:ascii="Arial" w:cs="Arial" w:eastAsia="Arial" w:hAnsi="Arial"/>
                <w:sz w:val="20"/>
                <w:szCs w:val="20"/>
                <w:color w:val="0000EE"/>
                <w:w w:val="91"/>
              </w:rPr>
            </w:pPr>
            <w:hyperlink w:anchor="page299">
              <w:r>
                <w:rPr>
                  <w:rFonts w:ascii="Arial" w:cs="Arial" w:eastAsia="Arial" w:hAnsi="Arial"/>
                  <w:sz w:val="20"/>
                  <w:szCs w:val="20"/>
                  <w:color w:val="0000EE"/>
                  <w:w w:val="91"/>
                </w:rPr>
                <w:t>SECTION 9.11</w:t>
              </w:r>
            </w:hyperlink>
          </w:p>
        </w:tc>
        <w:tc>
          <w:tcPr>
            <w:tcW w:w="440" w:type="dxa"/>
            <w:vAlign w:val="bottom"/>
          </w:tcPr>
          <w:p>
            <w:pPr>
              <w:spacing w:after="0"/>
              <w:rPr>
                <w:sz w:val="18"/>
                <w:szCs w:val="18"/>
                <w:color w:val="auto"/>
              </w:rPr>
            </w:pPr>
          </w:p>
        </w:tc>
        <w:tc>
          <w:tcPr>
            <w:tcW w:w="5480" w:type="dxa"/>
            <w:vAlign w:val="bottom"/>
            <w:gridSpan w:val="30"/>
          </w:tcPr>
          <w:p>
            <w:pPr>
              <w:spacing w:after="0" w:line="209" w:lineRule="exact"/>
              <w:rPr>
                <w:rFonts w:ascii="Arial" w:cs="Arial" w:eastAsia="Arial" w:hAnsi="Arial"/>
                <w:sz w:val="20"/>
                <w:szCs w:val="20"/>
                <w:color w:val="0000EE"/>
              </w:rPr>
            </w:pPr>
            <w:hyperlink w:anchor="page299">
              <w:r>
                <w:rPr>
                  <w:rFonts w:ascii="Arial" w:cs="Arial" w:eastAsia="Arial" w:hAnsi="Arial"/>
                  <w:sz w:val="20"/>
                  <w:szCs w:val="20"/>
                  <w:color w:val="0000EE"/>
                </w:rPr>
                <w:t>Headings</w:t>
              </w:r>
            </w:hyperlink>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9"/>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jc w:val="center"/>
              <w:spacing w:after="0" w:line="209" w:lineRule="exact"/>
              <w:rPr>
                <w:rFonts w:ascii="Arial" w:cs="Arial" w:eastAsia="Arial" w:hAnsi="Arial"/>
                <w:sz w:val="20"/>
                <w:szCs w:val="20"/>
                <w:color w:val="0000EE"/>
                <w:w w:val="91"/>
              </w:rPr>
            </w:pPr>
            <w:hyperlink w:anchor="page299">
              <w:r>
                <w:rPr>
                  <w:rFonts w:ascii="Arial" w:cs="Arial" w:eastAsia="Arial" w:hAnsi="Arial"/>
                  <w:sz w:val="20"/>
                  <w:szCs w:val="20"/>
                  <w:color w:val="0000EE"/>
                  <w:w w:val="91"/>
                </w:rPr>
                <w:t>SECTION 9.12</w:t>
              </w:r>
            </w:hyperlink>
          </w:p>
        </w:tc>
        <w:tc>
          <w:tcPr>
            <w:tcW w:w="440" w:type="dxa"/>
            <w:vAlign w:val="bottom"/>
          </w:tcPr>
          <w:p>
            <w:pPr>
              <w:spacing w:after="0"/>
              <w:rPr>
                <w:sz w:val="18"/>
                <w:szCs w:val="18"/>
                <w:color w:val="auto"/>
              </w:rPr>
            </w:pPr>
          </w:p>
        </w:tc>
        <w:tc>
          <w:tcPr>
            <w:tcW w:w="1200" w:type="dxa"/>
            <w:vAlign w:val="bottom"/>
            <w:tcBorders>
              <w:bottom w:val="single" w:sz="8" w:color="0000EE"/>
            </w:tcBorders>
            <w:gridSpan w:val="10"/>
          </w:tcPr>
          <w:p>
            <w:pPr>
              <w:spacing w:after="0" w:line="209" w:lineRule="exact"/>
              <w:rPr>
                <w:rFonts w:ascii="Arial" w:cs="Arial" w:eastAsia="Arial" w:hAnsi="Arial"/>
                <w:sz w:val="20"/>
                <w:szCs w:val="20"/>
                <w:color w:val="0000EE"/>
                <w:w w:val="93"/>
              </w:rPr>
            </w:pPr>
            <w:hyperlink w:anchor="page299">
              <w:r>
                <w:rPr>
                  <w:rFonts w:ascii="Arial" w:cs="Arial" w:eastAsia="Arial" w:hAnsi="Arial"/>
                  <w:sz w:val="20"/>
                  <w:szCs w:val="20"/>
                  <w:color w:val="0000EE"/>
                  <w:w w:val="93"/>
                </w:rPr>
                <w:t>Confidentiality</w:t>
              </w:r>
            </w:hyperlink>
          </w:p>
        </w:tc>
        <w:tc>
          <w:tcPr>
            <w:tcW w:w="4280" w:type="dxa"/>
            <w:vAlign w:val="bottom"/>
            <w:gridSpan w:val="20"/>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jc w:val="center"/>
              <w:spacing w:after="0" w:line="209" w:lineRule="exact"/>
              <w:rPr>
                <w:rFonts w:ascii="Arial" w:cs="Arial" w:eastAsia="Arial" w:hAnsi="Arial"/>
                <w:sz w:val="20"/>
                <w:szCs w:val="20"/>
                <w:color w:val="0000EE"/>
                <w:w w:val="91"/>
              </w:rPr>
            </w:pPr>
            <w:hyperlink w:anchor="page300">
              <w:r>
                <w:rPr>
                  <w:rFonts w:ascii="Arial" w:cs="Arial" w:eastAsia="Arial" w:hAnsi="Arial"/>
                  <w:sz w:val="20"/>
                  <w:szCs w:val="20"/>
                  <w:color w:val="0000EE"/>
                  <w:w w:val="91"/>
                </w:rPr>
                <w:t>SECTION 9.13</w:t>
              </w:r>
            </w:hyperlink>
          </w:p>
        </w:tc>
        <w:tc>
          <w:tcPr>
            <w:tcW w:w="440" w:type="dxa"/>
            <w:vAlign w:val="bottom"/>
          </w:tcPr>
          <w:p>
            <w:pPr>
              <w:spacing w:after="0"/>
              <w:rPr>
                <w:sz w:val="18"/>
                <w:szCs w:val="18"/>
                <w:color w:val="auto"/>
              </w:rPr>
            </w:pPr>
          </w:p>
        </w:tc>
        <w:tc>
          <w:tcPr>
            <w:tcW w:w="1900" w:type="dxa"/>
            <w:vAlign w:val="bottom"/>
            <w:tcBorders>
              <w:bottom w:val="single" w:sz="8" w:color="0000EE"/>
            </w:tcBorders>
            <w:gridSpan w:val="16"/>
          </w:tcPr>
          <w:p>
            <w:pPr>
              <w:spacing w:after="0" w:line="209" w:lineRule="exact"/>
              <w:rPr>
                <w:rFonts w:ascii="Arial" w:cs="Arial" w:eastAsia="Arial" w:hAnsi="Arial"/>
                <w:sz w:val="20"/>
                <w:szCs w:val="20"/>
                <w:color w:val="0000EE"/>
                <w:w w:val="91"/>
              </w:rPr>
            </w:pPr>
            <w:hyperlink w:anchor="page300">
              <w:r>
                <w:rPr>
                  <w:rFonts w:ascii="Arial" w:cs="Arial" w:eastAsia="Arial" w:hAnsi="Arial"/>
                  <w:sz w:val="20"/>
                  <w:szCs w:val="20"/>
                  <w:color w:val="0000EE"/>
                  <w:w w:val="91"/>
                </w:rPr>
                <w:t>Interest Rate Limitation</w:t>
              </w:r>
            </w:hyperlink>
          </w:p>
        </w:tc>
        <w:tc>
          <w:tcPr>
            <w:tcW w:w="3580" w:type="dxa"/>
            <w:vAlign w:val="bottom"/>
            <w:gridSpan w:val="14"/>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113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jc w:val="center"/>
              <w:spacing w:after="0" w:line="209" w:lineRule="exact"/>
              <w:rPr>
                <w:rFonts w:ascii="Arial" w:cs="Arial" w:eastAsia="Arial" w:hAnsi="Arial"/>
                <w:sz w:val="20"/>
                <w:szCs w:val="20"/>
                <w:color w:val="0000EE"/>
                <w:w w:val="91"/>
              </w:rPr>
            </w:pPr>
            <w:hyperlink w:anchor="page300">
              <w:r>
                <w:rPr>
                  <w:rFonts w:ascii="Arial" w:cs="Arial" w:eastAsia="Arial" w:hAnsi="Arial"/>
                  <w:sz w:val="20"/>
                  <w:szCs w:val="20"/>
                  <w:color w:val="0000EE"/>
                  <w:w w:val="91"/>
                </w:rPr>
                <w:t>SECTION 9.14</w:t>
              </w:r>
            </w:hyperlink>
          </w:p>
        </w:tc>
        <w:tc>
          <w:tcPr>
            <w:tcW w:w="440" w:type="dxa"/>
            <w:vAlign w:val="bottom"/>
          </w:tcPr>
          <w:p>
            <w:pPr>
              <w:spacing w:after="0"/>
              <w:rPr>
                <w:sz w:val="18"/>
                <w:szCs w:val="18"/>
                <w:color w:val="auto"/>
              </w:rPr>
            </w:pPr>
          </w:p>
        </w:tc>
        <w:tc>
          <w:tcPr>
            <w:tcW w:w="2160" w:type="dxa"/>
            <w:vAlign w:val="bottom"/>
            <w:tcBorders>
              <w:bottom w:val="single" w:sz="8" w:color="0000EE"/>
            </w:tcBorders>
            <w:gridSpan w:val="18"/>
          </w:tcPr>
          <w:p>
            <w:pPr>
              <w:spacing w:after="0" w:line="209" w:lineRule="exact"/>
              <w:rPr>
                <w:rFonts w:ascii="Arial" w:cs="Arial" w:eastAsia="Arial" w:hAnsi="Arial"/>
                <w:sz w:val="20"/>
                <w:szCs w:val="20"/>
                <w:color w:val="0000EE"/>
                <w:w w:val="92"/>
              </w:rPr>
            </w:pPr>
            <w:hyperlink w:anchor="page300">
              <w:r>
                <w:rPr>
                  <w:rFonts w:ascii="Arial" w:cs="Arial" w:eastAsia="Arial" w:hAnsi="Arial"/>
                  <w:sz w:val="20"/>
                  <w:szCs w:val="20"/>
                  <w:color w:val="0000EE"/>
                  <w:w w:val="92"/>
                </w:rPr>
                <w:t>USA PATRIOT Act Notice</w:t>
              </w:r>
            </w:hyperlink>
          </w:p>
        </w:tc>
        <w:tc>
          <w:tcPr>
            <w:tcW w:w="3320" w:type="dxa"/>
            <w:vAlign w:val="bottom"/>
            <w:gridSpan w:val="12"/>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113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Borders>
              <w:bottom w:val="single" w:sz="8" w:color="0000EE"/>
            </w:tcBorders>
          </w:tcPr>
          <w:p>
            <w:pPr>
              <w:jc w:val="center"/>
              <w:spacing w:after="0" w:line="209" w:lineRule="exact"/>
              <w:rPr>
                <w:rFonts w:ascii="Arial" w:cs="Arial" w:eastAsia="Arial" w:hAnsi="Arial"/>
                <w:sz w:val="20"/>
                <w:szCs w:val="20"/>
                <w:color w:val="0000EE"/>
                <w:w w:val="91"/>
              </w:rPr>
            </w:pPr>
            <w:hyperlink w:anchor="page300">
              <w:r>
                <w:rPr>
                  <w:rFonts w:ascii="Arial" w:cs="Arial" w:eastAsia="Arial" w:hAnsi="Arial"/>
                  <w:sz w:val="20"/>
                  <w:szCs w:val="20"/>
                  <w:color w:val="0000EE"/>
                  <w:w w:val="91"/>
                </w:rPr>
                <w:t>SECTION 9.15</w:t>
              </w:r>
            </w:hyperlink>
          </w:p>
        </w:tc>
        <w:tc>
          <w:tcPr>
            <w:tcW w:w="440" w:type="dxa"/>
            <w:vAlign w:val="bottom"/>
          </w:tcPr>
          <w:p>
            <w:pPr>
              <w:spacing w:after="0"/>
              <w:rPr>
                <w:sz w:val="18"/>
                <w:szCs w:val="18"/>
                <w:color w:val="auto"/>
              </w:rPr>
            </w:pPr>
          </w:p>
        </w:tc>
        <w:tc>
          <w:tcPr>
            <w:tcW w:w="2100" w:type="dxa"/>
            <w:vAlign w:val="bottom"/>
            <w:tcBorders>
              <w:bottom w:val="single" w:sz="8" w:color="0000EE"/>
            </w:tcBorders>
            <w:gridSpan w:val="17"/>
          </w:tcPr>
          <w:p>
            <w:pPr>
              <w:spacing w:after="0" w:line="209" w:lineRule="exact"/>
              <w:rPr>
                <w:rFonts w:ascii="Arial" w:cs="Arial" w:eastAsia="Arial" w:hAnsi="Arial"/>
                <w:sz w:val="20"/>
                <w:szCs w:val="20"/>
                <w:color w:val="0000EE"/>
                <w:w w:val="91"/>
              </w:rPr>
            </w:pPr>
            <w:hyperlink w:anchor="page300">
              <w:r>
                <w:rPr>
                  <w:rFonts w:ascii="Arial" w:cs="Arial" w:eastAsia="Arial" w:hAnsi="Arial"/>
                  <w:sz w:val="20"/>
                  <w:szCs w:val="20"/>
                  <w:color w:val="0000EE"/>
                  <w:w w:val="91"/>
                </w:rPr>
                <w:t>No Fiduciary Relationship</w:t>
              </w:r>
            </w:hyperlink>
          </w:p>
        </w:tc>
        <w:tc>
          <w:tcPr>
            <w:tcW w:w="3380" w:type="dxa"/>
            <w:vAlign w:val="bottom"/>
            <w:gridSpan w:val="13"/>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113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20" w:type="dxa"/>
            <w:vAlign w:val="bottom"/>
          </w:tcPr>
          <w:p>
            <w:pPr>
              <w:jc w:val="center"/>
              <w:spacing w:after="0" w:line="209" w:lineRule="exact"/>
              <w:rPr>
                <w:rFonts w:ascii="Arial" w:cs="Arial" w:eastAsia="Arial" w:hAnsi="Arial"/>
                <w:sz w:val="20"/>
                <w:szCs w:val="20"/>
                <w:color w:val="0000EE"/>
                <w:w w:val="91"/>
              </w:rPr>
            </w:pPr>
            <w:hyperlink w:anchor="page301">
              <w:r>
                <w:rPr>
                  <w:rFonts w:ascii="Arial" w:cs="Arial" w:eastAsia="Arial" w:hAnsi="Arial"/>
                  <w:sz w:val="20"/>
                  <w:szCs w:val="20"/>
                  <w:color w:val="0000EE"/>
                  <w:w w:val="91"/>
                </w:rPr>
                <w:t>SECTION 9.16</w:t>
              </w:r>
            </w:hyperlink>
          </w:p>
        </w:tc>
        <w:tc>
          <w:tcPr>
            <w:tcW w:w="440" w:type="dxa"/>
            <w:vAlign w:val="bottom"/>
          </w:tcPr>
          <w:p>
            <w:pPr>
              <w:spacing w:after="0"/>
              <w:rPr>
                <w:sz w:val="18"/>
                <w:szCs w:val="18"/>
                <w:color w:val="auto"/>
              </w:rPr>
            </w:pPr>
          </w:p>
        </w:tc>
        <w:tc>
          <w:tcPr>
            <w:tcW w:w="5480" w:type="dxa"/>
            <w:vAlign w:val="bottom"/>
            <w:gridSpan w:val="30"/>
          </w:tcPr>
          <w:p>
            <w:pPr>
              <w:spacing w:after="0" w:line="209" w:lineRule="exact"/>
              <w:rPr>
                <w:rFonts w:ascii="Arial" w:cs="Arial" w:eastAsia="Arial" w:hAnsi="Arial"/>
                <w:sz w:val="20"/>
                <w:szCs w:val="20"/>
                <w:color w:val="0000EE"/>
              </w:rPr>
            </w:pPr>
            <w:hyperlink w:anchor="page301">
              <w:r>
                <w:rPr>
                  <w:rFonts w:ascii="Arial" w:cs="Arial" w:eastAsia="Arial" w:hAnsi="Arial"/>
                  <w:sz w:val="20"/>
                  <w:szCs w:val="20"/>
                  <w:color w:val="0000EE"/>
                </w:rPr>
                <w:t>Non-Public Information</w:t>
              </w:r>
            </w:hyperlink>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114</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20" w:type="dxa"/>
            <w:vAlign w:val="bottom"/>
            <w:tcBorders>
              <w:top w:val="single" w:sz="8" w:color="0000EE"/>
              <w:bottom w:val="single" w:sz="8" w:color="0000EE"/>
            </w:tcBorders>
            <w:vMerge w:val="restart"/>
          </w:tcPr>
          <w:p>
            <w:pPr>
              <w:jc w:val="center"/>
              <w:spacing w:after="0"/>
              <w:rPr>
                <w:rFonts w:ascii="Arial" w:cs="Arial" w:eastAsia="Arial" w:hAnsi="Arial"/>
                <w:sz w:val="20"/>
                <w:szCs w:val="20"/>
                <w:color w:val="0000EE"/>
                <w:w w:val="91"/>
              </w:rPr>
            </w:pPr>
            <w:hyperlink w:anchor="page302">
              <w:r>
                <w:rPr>
                  <w:rFonts w:ascii="Arial" w:cs="Arial" w:eastAsia="Arial" w:hAnsi="Arial"/>
                  <w:sz w:val="20"/>
                  <w:szCs w:val="20"/>
                  <w:color w:val="0000EE"/>
                  <w:w w:val="91"/>
                </w:rPr>
                <w:t>SECTION 9.17</w:t>
              </w:r>
            </w:hyperlink>
          </w:p>
        </w:tc>
        <w:tc>
          <w:tcPr>
            <w:tcW w:w="44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16"/>
          </w:tcPr>
          <w:p>
            <w:pPr>
              <w:spacing w:after="0" w:line="196" w:lineRule="exact"/>
              <w:rPr>
                <w:rFonts w:ascii="Arial" w:cs="Arial" w:eastAsia="Arial" w:hAnsi="Arial"/>
                <w:sz w:val="20"/>
                <w:szCs w:val="20"/>
                <w:color w:val="0000EE"/>
                <w:w w:val="92"/>
              </w:rPr>
            </w:pPr>
            <w:hyperlink w:anchor="page302">
              <w:r>
                <w:rPr>
                  <w:rFonts w:ascii="Arial" w:cs="Arial" w:eastAsia="Arial" w:hAnsi="Arial"/>
                  <w:sz w:val="20"/>
                  <w:szCs w:val="20"/>
                  <w:color w:val="0000EE"/>
                  <w:w w:val="92"/>
                </w:rPr>
                <w:t>Acknowledgement and</w:t>
              </w:r>
            </w:hyperlink>
          </w:p>
        </w:tc>
        <w:tc>
          <w:tcPr>
            <w:tcW w:w="2880" w:type="dxa"/>
            <w:vAlign w:val="bottom"/>
            <w:tcBorders>
              <w:bottom w:val="single" w:sz="8" w:color="0000EE"/>
            </w:tcBorders>
            <w:gridSpan w:val="11"/>
          </w:tcPr>
          <w:p>
            <w:pPr>
              <w:spacing w:after="0" w:line="196" w:lineRule="exact"/>
              <w:rPr>
                <w:rFonts w:ascii="Arial" w:cs="Arial" w:eastAsia="Arial" w:hAnsi="Arial"/>
                <w:sz w:val="20"/>
                <w:szCs w:val="20"/>
                <w:color w:val="0000EE"/>
                <w:w w:val="91"/>
              </w:rPr>
            </w:pPr>
            <w:hyperlink w:anchor="page302">
              <w:r>
                <w:rPr>
                  <w:rFonts w:ascii="Arial" w:cs="Arial" w:eastAsia="Arial" w:hAnsi="Arial"/>
                  <w:sz w:val="20"/>
                  <w:szCs w:val="20"/>
                  <w:color w:val="0000EE"/>
                  <w:w w:val="91"/>
                </w:rPr>
                <w:t>Consent to Bail-In of EEA Financial</w:t>
              </w:r>
            </w:hyperlink>
          </w:p>
        </w:tc>
        <w:tc>
          <w:tcPr>
            <w:tcW w:w="700" w:type="dxa"/>
            <w:vAlign w:val="bottom"/>
            <w:gridSpan w:val="3"/>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20" w:type="dxa"/>
            <w:vAlign w:val="bottom"/>
            <w:tcBorders>
              <w:bottom w:val="single" w:sz="8" w:color="0000EE"/>
            </w:tcBorders>
            <w:vMerge w:val="continue"/>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gridSpan w:val="6"/>
            <w:vMerge w:val="restart"/>
          </w:tcPr>
          <w:p>
            <w:pPr>
              <w:spacing w:after="0" w:line="169" w:lineRule="exact"/>
              <w:rPr>
                <w:rFonts w:ascii="Arial" w:cs="Arial" w:eastAsia="Arial" w:hAnsi="Arial"/>
                <w:sz w:val="19"/>
                <w:szCs w:val="19"/>
                <w:color w:val="0000EE"/>
                <w:w w:val="96"/>
              </w:rPr>
            </w:pPr>
            <w:hyperlink w:anchor="page302">
              <w:r>
                <w:rPr>
                  <w:rFonts w:ascii="Arial" w:cs="Arial" w:eastAsia="Arial" w:hAnsi="Arial"/>
                  <w:sz w:val="19"/>
                  <w:szCs w:val="19"/>
                  <w:color w:val="0000EE"/>
                  <w:w w:val="96"/>
                </w:rPr>
                <w:t>Institutions</w:t>
              </w:r>
            </w:hyperlink>
          </w:p>
        </w:tc>
        <w:tc>
          <w:tcPr>
            <w:tcW w:w="4580" w:type="dxa"/>
            <w:vAlign w:val="bottom"/>
            <w:gridSpan w:val="24"/>
            <w:vMerge w:val="restart"/>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Borders>
              <w:bottom w:val="single" w:sz="8" w:color="0000EE"/>
            </w:tcBorders>
            <w:gridSpan w:val="6"/>
            <w:vMerge w:val="continue"/>
          </w:tcPr>
          <w:p>
            <w:pPr>
              <w:spacing w:after="0"/>
              <w:rPr>
                <w:sz w:val="6"/>
                <w:szCs w:val="6"/>
                <w:color w:val="auto"/>
              </w:rPr>
            </w:pPr>
          </w:p>
        </w:tc>
        <w:tc>
          <w:tcPr>
            <w:tcW w:w="4580" w:type="dxa"/>
            <w:vAlign w:val="bottom"/>
            <w:gridSpan w:val="24"/>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123190</wp:posOffset>
            </wp:positionV>
            <wp:extent cx="5642610" cy="514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86" w:name="page187"/>
    <w:bookmarkEnd w:id="186"/>
    <w:p>
      <w:pPr>
        <w:ind w:left="100"/>
        <w:spacing w:after="0"/>
        <w:rPr>
          <w:sz w:val="20"/>
          <w:szCs w:val="20"/>
          <w:color w:val="auto"/>
        </w:rPr>
      </w:pPr>
      <w:r>
        <w:rPr>
          <w:rFonts w:ascii="Arial" w:cs="Arial" w:eastAsia="Arial" w:hAnsi="Arial"/>
          <w:sz w:val="22"/>
          <w:szCs w:val="22"/>
          <w:b w:val="1"/>
          <w:bCs w:val="1"/>
          <w:u w:val="single" w:color="auto"/>
          <w:color w:val="auto"/>
        </w:rPr>
        <w:t>SCHEDULES</w:t>
      </w:r>
      <w:r>
        <w:rPr>
          <w:rFonts w:ascii="Arial" w:cs="Arial" w:eastAsia="Arial" w:hAnsi="Arial"/>
          <w:sz w:val="22"/>
          <w:szCs w:val="22"/>
          <w:color w:val="auto"/>
        </w:rPr>
        <w:t>:</w:t>
      </w:r>
    </w:p>
    <w:p>
      <w:pPr>
        <w:spacing w:after="0" w:line="36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500" w:type="dxa"/>
            <w:vAlign w:val="bottom"/>
            <w:gridSpan w:val="2"/>
          </w:tcPr>
          <w:p>
            <w:pPr>
              <w:spacing w:after="0"/>
              <w:rPr>
                <w:sz w:val="20"/>
                <w:szCs w:val="20"/>
                <w:color w:val="auto"/>
              </w:rPr>
            </w:pPr>
            <w:r>
              <w:rPr>
                <w:rFonts w:ascii="Arial" w:cs="Arial" w:eastAsia="Arial" w:hAnsi="Arial"/>
                <w:sz w:val="20"/>
                <w:szCs w:val="20"/>
                <w:color w:val="auto"/>
              </w:rPr>
              <w:t>Schedule 2.01</w:t>
            </w:r>
          </w:p>
        </w:tc>
        <w:tc>
          <w:tcPr>
            <w:tcW w:w="480" w:type="dxa"/>
            <w:vAlign w:val="bottom"/>
          </w:tcPr>
          <w:p>
            <w:pPr>
              <w:ind w:left="140"/>
              <w:spacing w:after="0"/>
              <w:rPr>
                <w:sz w:val="20"/>
                <w:szCs w:val="20"/>
                <w:color w:val="auto"/>
              </w:rPr>
            </w:pPr>
            <w:r>
              <w:rPr>
                <w:rFonts w:ascii="Arial" w:cs="Arial" w:eastAsia="Arial" w:hAnsi="Arial"/>
                <w:sz w:val="20"/>
                <w:szCs w:val="20"/>
                <w:color w:val="auto"/>
              </w:rPr>
              <w:t>—</w:t>
            </w:r>
          </w:p>
        </w:tc>
        <w:tc>
          <w:tcPr>
            <w:tcW w:w="6440" w:type="dxa"/>
            <w:vAlign w:val="bottom"/>
          </w:tcPr>
          <w:p>
            <w:pPr>
              <w:ind w:left="160"/>
              <w:spacing w:after="0"/>
              <w:rPr>
                <w:sz w:val="20"/>
                <w:szCs w:val="20"/>
                <w:color w:val="auto"/>
              </w:rPr>
            </w:pPr>
            <w:r>
              <w:rPr>
                <w:rFonts w:ascii="Arial" w:cs="Arial" w:eastAsia="Arial" w:hAnsi="Arial"/>
                <w:sz w:val="20"/>
                <w:szCs w:val="20"/>
                <w:color w:val="auto"/>
              </w:rPr>
              <w:t>Commitments</w:t>
            </w:r>
          </w:p>
        </w:tc>
        <w:tc>
          <w:tcPr>
            <w:tcW w:w="0" w:type="dxa"/>
            <w:vAlign w:val="bottom"/>
          </w:tcPr>
          <w:p>
            <w:pPr>
              <w:spacing w:after="0"/>
              <w:rPr>
                <w:sz w:val="1"/>
                <w:szCs w:val="1"/>
                <w:color w:val="auto"/>
              </w:rPr>
            </w:pP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20"/>
                <w:szCs w:val="20"/>
                <w:color w:val="auto"/>
              </w:rPr>
              <w:t>Schedule 2.05</w:t>
            </w:r>
          </w:p>
        </w:tc>
        <w:tc>
          <w:tcPr>
            <w:tcW w:w="6920" w:type="dxa"/>
            <w:vAlign w:val="bottom"/>
            <w:gridSpan w:val="2"/>
          </w:tcPr>
          <w:p>
            <w:pPr>
              <w:ind w:left="140"/>
              <w:spacing w:after="0" w:line="189" w:lineRule="exact"/>
              <w:rPr>
                <w:sz w:val="20"/>
                <w:szCs w:val="20"/>
                <w:color w:val="auto"/>
              </w:rPr>
            </w:pPr>
            <w:r>
              <w:rPr>
                <w:rFonts w:ascii="Arial" w:cs="Arial" w:eastAsia="Arial" w:hAnsi="Arial"/>
                <w:sz w:val="20"/>
                <w:szCs w:val="20"/>
                <w:color w:val="auto"/>
              </w:rPr>
              <w:t>—   Existing Letters of Credit</w:t>
            </w:r>
          </w:p>
        </w:tc>
        <w:tc>
          <w:tcPr>
            <w:tcW w:w="0" w:type="dxa"/>
            <w:vAlign w:val="bottom"/>
          </w:tcPr>
          <w:p>
            <w:pPr>
              <w:spacing w:after="0"/>
              <w:rPr>
                <w:sz w:val="1"/>
                <w:szCs w:val="1"/>
                <w:color w:val="auto"/>
              </w:rPr>
            </w:pP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20"/>
                <w:szCs w:val="20"/>
                <w:color w:val="auto"/>
                <w:w w:val="97"/>
              </w:rPr>
              <w:t>Schedule 3.06(a)</w:t>
            </w:r>
          </w:p>
        </w:tc>
        <w:tc>
          <w:tcPr>
            <w:tcW w:w="480" w:type="dxa"/>
            <w:vAlign w:val="bottom"/>
          </w:tcPr>
          <w:p>
            <w:pPr>
              <w:ind w:left="140"/>
              <w:spacing w:after="0" w:line="189" w:lineRule="exact"/>
              <w:rPr>
                <w:sz w:val="20"/>
                <w:szCs w:val="20"/>
                <w:color w:val="auto"/>
              </w:rPr>
            </w:pPr>
            <w:r>
              <w:rPr>
                <w:rFonts w:ascii="Arial" w:cs="Arial" w:eastAsia="Arial" w:hAnsi="Arial"/>
                <w:sz w:val="20"/>
                <w:szCs w:val="20"/>
                <w:color w:val="auto"/>
              </w:rPr>
              <w:t>—</w:t>
            </w:r>
          </w:p>
        </w:tc>
        <w:tc>
          <w:tcPr>
            <w:tcW w:w="6440" w:type="dxa"/>
            <w:vAlign w:val="bottom"/>
          </w:tcPr>
          <w:p>
            <w:pPr>
              <w:ind w:left="160"/>
              <w:spacing w:after="0" w:line="189" w:lineRule="exact"/>
              <w:rPr>
                <w:sz w:val="20"/>
                <w:szCs w:val="20"/>
                <w:color w:val="auto"/>
              </w:rPr>
            </w:pPr>
            <w:r>
              <w:rPr>
                <w:rFonts w:ascii="Arial" w:cs="Arial" w:eastAsia="Arial" w:hAnsi="Arial"/>
                <w:sz w:val="20"/>
                <w:szCs w:val="20"/>
                <w:color w:val="auto"/>
              </w:rPr>
              <w:t>Litigation</w:t>
            </w:r>
          </w:p>
        </w:tc>
        <w:tc>
          <w:tcPr>
            <w:tcW w:w="0" w:type="dxa"/>
            <w:vAlign w:val="bottom"/>
          </w:tcPr>
          <w:p>
            <w:pPr>
              <w:spacing w:after="0"/>
              <w:rPr>
                <w:sz w:val="1"/>
                <w:szCs w:val="1"/>
                <w:color w:val="auto"/>
              </w:rPr>
            </w:pP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20"/>
                <w:szCs w:val="20"/>
                <w:color w:val="auto"/>
              </w:rPr>
              <w:t>Schedule</w:t>
            </w:r>
          </w:p>
        </w:tc>
        <w:tc>
          <w:tcPr>
            <w:tcW w:w="480" w:type="dxa"/>
            <w:vAlign w:val="bottom"/>
            <w:vMerge w:val="restart"/>
          </w:tcPr>
          <w:p>
            <w:pPr>
              <w:ind w:left="140"/>
              <w:spacing w:after="0"/>
              <w:rPr>
                <w:sz w:val="20"/>
                <w:szCs w:val="20"/>
                <w:color w:val="auto"/>
              </w:rPr>
            </w:pPr>
            <w:r>
              <w:rPr>
                <w:rFonts w:ascii="Arial" w:cs="Arial" w:eastAsia="Arial" w:hAnsi="Arial"/>
                <w:sz w:val="20"/>
                <w:szCs w:val="20"/>
                <w:color w:val="auto"/>
              </w:rPr>
              <w:t>—</w:t>
            </w:r>
          </w:p>
        </w:tc>
        <w:tc>
          <w:tcPr>
            <w:tcW w:w="6440" w:type="dxa"/>
            <w:vAlign w:val="bottom"/>
            <w:vMerge w:val="restart"/>
          </w:tcPr>
          <w:p>
            <w:pPr>
              <w:ind w:left="160"/>
              <w:spacing w:after="0"/>
              <w:rPr>
                <w:sz w:val="20"/>
                <w:szCs w:val="20"/>
                <w:color w:val="auto"/>
              </w:rPr>
            </w:pPr>
            <w:r>
              <w:rPr>
                <w:rFonts w:ascii="Arial" w:cs="Arial" w:eastAsia="Arial" w:hAnsi="Arial"/>
                <w:sz w:val="20"/>
                <w:szCs w:val="20"/>
                <w:color w:val="auto"/>
              </w:rPr>
              <w:t>Environmental Matters</w:t>
            </w:r>
          </w:p>
        </w:tc>
        <w:tc>
          <w:tcPr>
            <w:tcW w:w="0" w:type="dxa"/>
            <w:vAlign w:val="bottom"/>
          </w:tcPr>
          <w:p>
            <w:pPr>
              <w:spacing w:after="0"/>
              <w:rPr>
                <w:sz w:val="1"/>
                <w:szCs w:val="1"/>
                <w:color w:val="auto"/>
              </w:rPr>
            </w:pP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20"/>
                <w:szCs w:val="20"/>
                <w:color w:val="auto"/>
              </w:rPr>
              <w:t>3.06(b)</w:t>
            </w:r>
          </w:p>
        </w:tc>
        <w:tc>
          <w:tcPr>
            <w:tcW w:w="480" w:type="dxa"/>
            <w:vAlign w:val="bottom"/>
            <w:vMerge w:val="continue"/>
          </w:tcPr>
          <w:p>
            <w:pPr>
              <w:spacing w:after="0"/>
              <w:rPr>
                <w:sz w:val="16"/>
                <w:szCs w:val="16"/>
                <w:color w:val="auto"/>
              </w:rPr>
            </w:pP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20"/>
                <w:szCs w:val="20"/>
                <w:color w:val="auto"/>
              </w:rPr>
              <w:t>Schedule 3.14</w:t>
            </w:r>
          </w:p>
        </w:tc>
        <w:tc>
          <w:tcPr>
            <w:tcW w:w="480" w:type="dxa"/>
            <w:vAlign w:val="bottom"/>
          </w:tcPr>
          <w:p>
            <w:pPr>
              <w:ind w:left="140"/>
              <w:spacing w:after="0" w:line="189" w:lineRule="exact"/>
              <w:rPr>
                <w:sz w:val="20"/>
                <w:szCs w:val="20"/>
                <w:color w:val="auto"/>
              </w:rPr>
            </w:pPr>
            <w:r>
              <w:rPr>
                <w:rFonts w:ascii="Arial" w:cs="Arial" w:eastAsia="Arial" w:hAnsi="Arial"/>
                <w:sz w:val="20"/>
                <w:szCs w:val="20"/>
                <w:color w:val="auto"/>
              </w:rPr>
              <w:t>—</w:t>
            </w:r>
          </w:p>
        </w:tc>
        <w:tc>
          <w:tcPr>
            <w:tcW w:w="6440" w:type="dxa"/>
            <w:vAlign w:val="bottom"/>
          </w:tcPr>
          <w:p>
            <w:pPr>
              <w:ind w:left="160"/>
              <w:spacing w:after="0" w:line="189" w:lineRule="exact"/>
              <w:rPr>
                <w:sz w:val="20"/>
                <w:szCs w:val="20"/>
                <w:color w:val="auto"/>
              </w:rPr>
            </w:pPr>
            <w:r>
              <w:rPr>
                <w:rFonts w:ascii="Arial" w:cs="Arial" w:eastAsia="Arial" w:hAnsi="Arial"/>
                <w:sz w:val="20"/>
                <w:szCs w:val="20"/>
                <w:color w:val="auto"/>
              </w:rPr>
              <w:t>Subsidiaries</w:t>
            </w:r>
          </w:p>
        </w:tc>
        <w:tc>
          <w:tcPr>
            <w:tcW w:w="0" w:type="dxa"/>
            <w:vAlign w:val="bottom"/>
          </w:tcPr>
          <w:p>
            <w:pPr>
              <w:spacing w:after="0"/>
              <w:rPr>
                <w:sz w:val="1"/>
                <w:szCs w:val="1"/>
                <w:color w:val="auto"/>
              </w:rPr>
            </w:pP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20"/>
                <w:szCs w:val="20"/>
                <w:color w:val="auto"/>
              </w:rPr>
              <w:t>Schedule 6.01</w:t>
            </w:r>
          </w:p>
        </w:tc>
        <w:tc>
          <w:tcPr>
            <w:tcW w:w="480" w:type="dxa"/>
            <w:vAlign w:val="bottom"/>
          </w:tcPr>
          <w:p>
            <w:pPr>
              <w:ind w:left="140"/>
              <w:spacing w:after="0" w:line="189" w:lineRule="exact"/>
              <w:rPr>
                <w:sz w:val="20"/>
                <w:szCs w:val="20"/>
                <w:color w:val="auto"/>
              </w:rPr>
            </w:pPr>
            <w:r>
              <w:rPr>
                <w:rFonts w:ascii="Arial" w:cs="Arial" w:eastAsia="Arial" w:hAnsi="Arial"/>
                <w:sz w:val="20"/>
                <w:szCs w:val="20"/>
                <w:color w:val="auto"/>
              </w:rPr>
              <w:t>—</w:t>
            </w:r>
          </w:p>
        </w:tc>
        <w:tc>
          <w:tcPr>
            <w:tcW w:w="6440" w:type="dxa"/>
            <w:vAlign w:val="bottom"/>
          </w:tcPr>
          <w:p>
            <w:pPr>
              <w:ind w:left="160"/>
              <w:spacing w:after="0" w:line="189" w:lineRule="exact"/>
              <w:rPr>
                <w:sz w:val="20"/>
                <w:szCs w:val="20"/>
                <w:color w:val="auto"/>
              </w:rPr>
            </w:pPr>
            <w:r>
              <w:rPr>
                <w:rFonts w:ascii="Arial" w:cs="Arial" w:eastAsia="Arial" w:hAnsi="Arial"/>
                <w:sz w:val="20"/>
                <w:szCs w:val="20"/>
                <w:color w:val="auto"/>
              </w:rPr>
              <w:t>Existing Liens</w:t>
            </w:r>
          </w:p>
        </w:tc>
        <w:tc>
          <w:tcPr>
            <w:tcW w:w="0" w:type="dxa"/>
            <w:vAlign w:val="bottom"/>
          </w:tcPr>
          <w:p>
            <w:pPr>
              <w:spacing w:after="0"/>
              <w:rPr>
                <w:sz w:val="1"/>
                <w:szCs w:val="1"/>
                <w:color w:val="auto"/>
              </w:rPr>
            </w:pPr>
          </w:p>
        </w:tc>
      </w:tr>
      <w:tr>
        <w:trPr>
          <w:trHeight w:val="250"/>
        </w:trPr>
        <w:tc>
          <w:tcPr>
            <w:tcW w:w="1500" w:type="dxa"/>
            <w:vAlign w:val="bottom"/>
            <w:gridSpan w:val="2"/>
          </w:tcPr>
          <w:p>
            <w:pPr>
              <w:spacing w:after="0"/>
              <w:rPr>
                <w:sz w:val="20"/>
                <w:szCs w:val="20"/>
                <w:color w:val="auto"/>
              </w:rPr>
            </w:pPr>
            <w:r>
              <w:rPr>
                <w:rFonts w:ascii="Arial" w:cs="Arial" w:eastAsia="Arial" w:hAnsi="Arial"/>
                <w:sz w:val="20"/>
                <w:szCs w:val="20"/>
                <w:color w:val="auto"/>
              </w:rPr>
              <w:t>Schedule 9.01</w:t>
            </w:r>
          </w:p>
        </w:tc>
        <w:tc>
          <w:tcPr>
            <w:tcW w:w="6920" w:type="dxa"/>
            <w:vAlign w:val="bottom"/>
            <w:gridSpan w:val="2"/>
          </w:tcPr>
          <w:p>
            <w:pPr>
              <w:ind w:left="140"/>
              <w:spacing w:after="0"/>
              <w:rPr>
                <w:sz w:val="20"/>
                <w:szCs w:val="20"/>
                <w:color w:val="auto"/>
              </w:rPr>
            </w:pPr>
            <w:r>
              <w:rPr>
                <w:rFonts w:ascii="Arial" w:cs="Arial" w:eastAsia="Arial" w:hAnsi="Arial"/>
                <w:sz w:val="20"/>
                <w:szCs w:val="20"/>
                <w:color w:val="auto"/>
              </w:rPr>
              <w:t>—   Certain Addresses for Notices</w:t>
            </w:r>
          </w:p>
        </w:tc>
        <w:tc>
          <w:tcPr>
            <w:tcW w:w="0" w:type="dxa"/>
            <w:vAlign w:val="bottom"/>
          </w:tcPr>
          <w:p>
            <w:pPr>
              <w:spacing w:after="0"/>
              <w:rPr>
                <w:sz w:val="1"/>
                <w:szCs w:val="1"/>
                <w:color w:val="auto"/>
              </w:rPr>
            </w:pPr>
          </w:p>
        </w:tc>
      </w:tr>
      <w:tr>
        <w:trPr>
          <w:trHeight w:val="371"/>
        </w:trPr>
        <w:tc>
          <w:tcPr>
            <w:tcW w:w="1500" w:type="dxa"/>
            <w:vAlign w:val="bottom"/>
            <w:gridSpan w:val="2"/>
          </w:tcPr>
          <w:p>
            <w:pPr>
              <w:spacing w:after="0"/>
              <w:rPr>
                <w:sz w:val="20"/>
                <w:szCs w:val="20"/>
                <w:color w:val="auto"/>
              </w:rPr>
            </w:pPr>
            <w:r>
              <w:rPr>
                <w:rFonts w:ascii="Arial" w:cs="Arial" w:eastAsia="Arial" w:hAnsi="Arial"/>
                <w:sz w:val="22"/>
                <w:szCs w:val="22"/>
                <w:b w:val="1"/>
                <w:bCs w:val="1"/>
                <w:color w:val="auto"/>
              </w:rPr>
              <w:t>EXHIBITS</w:t>
            </w:r>
          </w:p>
        </w:tc>
        <w:tc>
          <w:tcPr>
            <w:tcW w:w="4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EXHIBIT A</w:t>
            </w:r>
          </w:p>
        </w:tc>
        <w:tc>
          <w:tcPr>
            <w:tcW w:w="460" w:type="dxa"/>
            <w:vAlign w:val="bottom"/>
          </w:tcPr>
          <w:p>
            <w:pPr>
              <w:spacing w:after="0"/>
              <w:rPr>
                <w:sz w:val="24"/>
                <w:szCs w:val="24"/>
                <w:color w:val="auto"/>
              </w:rPr>
            </w:pPr>
          </w:p>
        </w:tc>
        <w:tc>
          <w:tcPr>
            <w:tcW w:w="6920" w:type="dxa"/>
            <w:vAlign w:val="bottom"/>
            <w:gridSpan w:val="2"/>
          </w:tcPr>
          <w:p>
            <w:pPr>
              <w:ind w:left="140"/>
              <w:spacing w:after="0"/>
              <w:rPr>
                <w:sz w:val="20"/>
                <w:szCs w:val="20"/>
                <w:color w:val="auto"/>
              </w:rPr>
            </w:pPr>
            <w:r>
              <w:rPr>
                <w:rFonts w:ascii="Arial" w:cs="Arial" w:eastAsia="Arial" w:hAnsi="Arial"/>
                <w:sz w:val="20"/>
                <w:szCs w:val="20"/>
                <w:color w:val="auto"/>
              </w:rPr>
              <w:t>—   Form of Assignment and Assumption</w:t>
            </w:r>
          </w:p>
        </w:tc>
        <w:tc>
          <w:tcPr>
            <w:tcW w:w="0" w:type="dxa"/>
            <w:vAlign w:val="bottom"/>
          </w:tcPr>
          <w:p>
            <w:pPr>
              <w:spacing w:after="0"/>
              <w:rPr>
                <w:sz w:val="1"/>
                <w:szCs w:val="1"/>
                <w:color w:val="auto"/>
              </w:rPr>
            </w:pP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20"/>
                <w:szCs w:val="20"/>
                <w:color w:val="auto"/>
              </w:rPr>
              <w:t>EXHIBIT B</w:t>
            </w:r>
          </w:p>
        </w:tc>
        <w:tc>
          <w:tcPr>
            <w:tcW w:w="6920" w:type="dxa"/>
            <w:vAlign w:val="bottom"/>
            <w:gridSpan w:val="2"/>
          </w:tcPr>
          <w:p>
            <w:pPr>
              <w:ind w:left="140"/>
              <w:spacing w:after="0" w:line="189" w:lineRule="exact"/>
              <w:rPr>
                <w:sz w:val="20"/>
                <w:szCs w:val="20"/>
                <w:color w:val="auto"/>
              </w:rPr>
            </w:pPr>
            <w:r>
              <w:rPr>
                <w:rFonts w:ascii="Arial" w:cs="Arial" w:eastAsia="Arial" w:hAnsi="Arial"/>
                <w:sz w:val="20"/>
                <w:szCs w:val="20"/>
                <w:color w:val="auto"/>
              </w:rPr>
              <w:t>—   Form of Borrowing Request</w:t>
            </w:r>
          </w:p>
        </w:tc>
        <w:tc>
          <w:tcPr>
            <w:tcW w:w="0" w:type="dxa"/>
            <w:vAlign w:val="bottom"/>
          </w:tcPr>
          <w:p>
            <w:pPr>
              <w:spacing w:after="0"/>
              <w:rPr>
                <w:sz w:val="1"/>
                <w:szCs w:val="1"/>
                <w:color w:val="auto"/>
              </w:rPr>
            </w:pP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20"/>
                <w:szCs w:val="20"/>
                <w:color w:val="auto"/>
              </w:rPr>
              <w:t>EXHIBIT C</w:t>
            </w:r>
          </w:p>
        </w:tc>
        <w:tc>
          <w:tcPr>
            <w:tcW w:w="6920" w:type="dxa"/>
            <w:vAlign w:val="bottom"/>
            <w:gridSpan w:val="2"/>
          </w:tcPr>
          <w:p>
            <w:pPr>
              <w:ind w:left="140"/>
              <w:spacing w:after="0" w:line="189" w:lineRule="exact"/>
              <w:rPr>
                <w:sz w:val="20"/>
                <w:szCs w:val="20"/>
                <w:color w:val="auto"/>
              </w:rPr>
            </w:pPr>
            <w:r>
              <w:rPr>
                <w:rFonts w:ascii="Arial" w:cs="Arial" w:eastAsia="Arial" w:hAnsi="Arial"/>
                <w:sz w:val="20"/>
                <w:szCs w:val="20"/>
                <w:color w:val="auto"/>
              </w:rPr>
              <w:t>—   Form of Compliance Certificate</w:t>
            </w:r>
          </w:p>
        </w:tc>
        <w:tc>
          <w:tcPr>
            <w:tcW w:w="0" w:type="dxa"/>
            <w:vAlign w:val="bottom"/>
          </w:tcPr>
          <w:p>
            <w:pPr>
              <w:spacing w:after="0"/>
              <w:rPr>
                <w:sz w:val="1"/>
                <w:szCs w:val="1"/>
                <w:color w:val="auto"/>
              </w:rPr>
            </w:pP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20"/>
                <w:szCs w:val="20"/>
                <w:color w:val="auto"/>
              </w:rPr>
              <w:t>EXHIBIT D</w:t>
            </w:r>
          </w:p>
        </w:tc>
        <w:tc>
          <w:tcPr>
            <w:tcW w:w="6920" w:type="dxa"/>
            <w:vAlign w:val="bottom"/>
            <w:gridSpan w:val="2"/>
          </w:tcPr>
          <w:p>
            <w:pPr>
              <w:ind w:left="140"/>
              <w:spacing w:after="0" w:line="189" w:lineRule="exact"/>
              <w:rPr>
                <w:sz w:val="20"/>
                <w:szCs w:val="20"/>
                <w:color w:val="auto"/>
              </w:rPr>
            </w:pPr>
            <w:r>
              <w:rPr>
                <w:rFonts w:ascii="Arial" w:cs="Arial" w:eastAsia="Arial" w:hAnsi="Arial"/>
                <w:sz w:val="20"/>
                <w:szCs w:val="20"/>
                <w:color w:val="auto"/>
              </w:rPr>
              <w:t>—   Form of Interest Election Request</w:t>
            </w:r>
          </w:p>
        </w:tc>
        <w:tc>
          <w:tcPr>
            <w:tcW w:w="0" w:type="dxa"/>
            <w:vAlign w:val="bottom"/>
          </w:tcPr>
          <w:p>
            <w:pPr>
              <w:spacing w:after="0"/>
              <w:rPr>
                <w:sz w:val="1"/>
                <w:szCs w:val="1"/>
                <w:color w:val="auto"/>
              </w:rPr>
            </w:pP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20"/>
                <w:szCs w:val="20"/>
                <w:color w:val="auto"/>
              </w:rPr>
              <w:t>EXHIBIT E</w:t>
            </w:r>
          </w:p>
        </w:tc>
        <w:tc>
          <w:tcPr>
            <w:tcW w:w="6920" w:type="dxa"/>
            <w:vAlign w:val="bottom"/>
            <w:gridSpan w:val="2"/>
          </w:tcPr>
          <w:p>
            <w:pPr>
              <w:ind w:left="140"/>
              <w:spacing w:after="0" w:line="189" w:lineRule="exact"/>
              <w:rPr>
                <w:sz w:val="20"/>
                <w:szCs w:val="20"/>
                <w:color w:val="auto"/>
              </w:rPr>
            </w:pPr>
            <w:r>
              <w:rPr>
                <w:rFonts w:ascii="Arial" w:cs="Arial" w:eastAsia="Arial" w:hAnsi="Arial"/>
                <w:sz w:val="20"/>
                <w:szCs w:val="20"/>
                <w:color w:val="auto"/>
              </w:rPr>
              <w:t>—   Form of Swingline Borrowing Request</w:t>
            </w:r>
          </w:p>
        </w:tc>
        <w:tc>
          <w:tcPr>
            <w:tcW w:w="0" w:type="dxa"/>
            <w:vAlign w:val="bottom"/>
          </w:tcPr>
          <w:p>
            <w:pPr>
              <w:spacing w:after="0"/>
              <w:rPr>
                <w:sz w:val="1"/>
                <w:szCs w:val="1"/>
                <w:color w:val="auto"/>
              </w:rPr>
            </w:pPr>
          </w:p>
        </w:tc>
      </w:tr>
      <w:tr>
        <w:trPr>
          <w:trHeight w:val="189"/>
        </w:trPr>
        <w:tc>
          <w:tcPr>
            <w:tcW w:w="1500" w:type="dxa"/>
            <w:vAlign w:val="bottom"/>
            <w:gridSpan w:val="2"/>
            <w:vMerge w:val="restart"/>
          </w:tcPr>
          <w:p>
            <w:pPr>
              <w:spacing w:after="0"/>
              <w:rPr>
                <w:sz w:val="20"/>
                <w:szCs w:val="20"/>
                <w:color w:val="auto"/>
              </w:rPr>
            </w:pPr>
            <w:r>
              <w:rPr>
                <w:rFonts w:ascii="Arial" w:cs="Arial" w:eastAsia="Arial" w:hAnsi="Arial"/>
                <w:sz w:val="20"/>
                <w:szCs w:val="20"/>
                <w:color w:val="auto"/>
              </w:rPr>
              <w:t>EXHIBIT F-1</w:t>
            </w:r>
          </w:p>
        </w:tc>
        <w:tc>
          <w:tcPr>
            <w:tcW w:w="480" w:type="dxa"/>
            <w:vAlign w:val="bottom"/>
          </w:tcPr>
          <w:p>
            <w:pPr>
              <w:spacing w:after="0"/>
              <w:rPr>
                <w:sz w:val="16"/>
                <w:szCs w:val="16"/>
                <w:color w:val="auto"/>
              </w:rPr>
            </w:pPr>
          </w:p>
        </w:tc>
        <w:tc>
          <w:tcPr>
            <w:tcW w:w="6440" w:type="dxa"/>
            <w:vAlign w:val="bottom"/>
          </w:tcPr>
          <w:p>
            <w:pPr>
              <w:ind w:left="160"/>
              <w:spacing w:after="0" w:line="189" w:lineRule="exact"/>
              <w:rPr>
                <w:sz w:val="20"/>
                <w:szCs w:val="20"/>
                <w:color w:val="auto"/>
              </w:rPr>
            </w:pPr>
            <w:r>
              <w:rPr>
                <w:rFonts w:ascii="Arial" w:cs="Arial" w:eastAsia="Arial" w:hAnsi="Arial"/>
                <w:sz w:val="20"/>
                <w:szCs w:val="20"/>
                <w:color w:val="auto"/>
                <w:w w:val="96"/>
              </w:rPr>
              <w:t>Form of U.S. Tax Compliance Certificate for Foreign Lenders that are not</w:t>
            </w:r>
          </w:p>
        </w:tc>
        <w:tc>
          <w:tcPr>
            <w:tcW w:w="0" w:type="dxa"/>
            <w:vAlign w:val="bottom"/>
          </w:tcPr>
          <w:p>
            <w:pPr>
              <w:spacing w:after="0"/>
              <w:rPr>
                <w:sz w:val="1"/>
                <w:szCs w:val="1"/>
                <w:color w:val="auto"/>
              </w:rPr>
            </w:pPr>
          </w:p>
        </w:tc>
      </w:tr>
      <w:tr>
        <w:trPr>
          <w:trHeight w:val="189"/>
        </w:trPr>
        <w:tc>
          <w:tcPr>
            <w:tcW w:w="1500" w:type="dxa"/>
            <w:vAlign w:val="bottom"/>
            <w:gridSpan w:val="2"/>
            <w:vMerge w:val="continue"/>
          </w:tcPr>
          <w:p>
            <w:pPr>
              <w:spacing w:after="0"/>
              <w:rPr>
                <w:sz w:val="16"/>
                <w:szCs w:val="16"/>
                <w:color w:val="auto"/>
              </w:rPr>
            </w:pPr>
          </w:p>
        </w:tc>
        <w:tc>
          <w:tcPr>
            <w:tcW w:w="6920" w:type="dxa"/>
            <w:vAlign w:val="bottom"/>
            <w:gridSpan w:val="2"/>
          </w:tcPr>
          <w:p>
            <w:pPr>
              <w:ind w:left="140"/>
              <w:spacing w:after="0" w:line="189" w:lineRule="exact"/>
              <w:rPr>
                <w:sz w:val="20"/>
                <w:szCs w:val="20"/>
                <w:color w:val="auto"/>
              </w:rPr>
            </w:pPr>
            <w:r>
              <w:rPr>
                <w:rFonts w:ascii="Arial" w:cs="Arial" w:eastAsia="Arial" w:hAnsi="Arial"/>
                <w:sz w:val="20"/>
                <w:szCs w:val="20"/>
                <w:color w:val="auto"/>
              </w:rPr>
              <w:t>—   Partnerships for U.S. Federal Income Tax Purposes</w:t>
            </w:r>
          </w:p>
        </w:tc>
        <w:tc>
          <w:tcPr>
            <w:tcW w:w="0" w:type="dxa"/>
            <w:vAlign w:val="bottom"/>
          </w:tcPr>
          <w:p>
            <w:pPr>
              <w:spacing w:after="0"/>
              <w:rPr>
                <w:sz w:val="1"/>
                <w:szCs w:val="1"/>
                <w:color w:val="auto"/>
              </w:rPr>
            </w:pPr>
          </w:p>
        </w:tc>
      </w:tr>
      <w:tr>
        <w:trPr>
          <w:trHeight w:val="189"/>
        </w:trPr>
        <w:tc>
          <w:tcPr>
            <w:tcW w:w="1500" w:type="dxa"/>
            <w:vAlign w:val="bottom"/>
            <w:gridSpan w:val="2"/>
            <w:vMerge w:val="restart"/>
          </w:tcPr>
          <w:p>
            <w:pPr>
              <w:spacing w:after="0"/>
              <w:rPr>
                <w:sz w:val="20"/>
                <w:szCs w:val="20"/>
                <w:color w:val="auto"/>
              </w:rPr>
            </w:pPr>
            <w:r>
              <w:rPr>
                <w:rFonts w:ascii="Arial" w:cs="Arial" w:eastAsia="Arial" w:hAnsi="Arial"/>
                <w:sz w:val="20"/>
                <w:szCs w:val="20"/>
                <w:color w:val="auto"/>
              </w:rPr>
              <w:t>EXHIBIT F-2</w:t>
            </w:r>
          </w:p>
        </w:tc>
        <w:tc>
          <w:tcPr>
            <w:tcW w:w="480" w:type="dxa"/>
            <w:vAlign w:val="bottom"/>
          </w:tcPr>
          <w:p>
            <w:pPr>
              <w:spacing w:after="0"/>
              <w:rPr>
                <w:sz w:val="16"/>
                <w:szCs w:val="16"/>
                <w:color w:val="auto"/>
              </w:rPr>
            </w:pPr>
          </w:p>
        </w:tc>
        <w:tc>
          <w:tcPr>
            <w:tcW w:w="6440" w:type="dxa"/>
            <w:vAlign w:val="bottom"/>
          </w:tcPr>
          <w:p>
            <w:pPr>
              <w:ind w:left="160"/>
              <w:spacing w:after="0" w:line="189" w:lineRule="exact"/>
              <w:rPr>
                <w:sz w:val="20"/>
                <w:szCs w:val="20"/>
                <w:color w:val="auto"/>
              </w:rPr>
            </w:pPr>
            <w:r>
              <w:rPr>
                <w:rFonts w:ascii="Arial" w:cs="Arial" w:eastAsia="Arial" w:hAnsi="Arial"/>
                <w:sz w:val="20"/>
                <w:szCs w:val="20"/>
                <w:color w:val="auto"/>
                <w:w w:val="90"/>
              </w:rPr>
              <w:t>Form of U.S. Tax Compliance Certificate for Non-U.S. Participants that are not</w:t>
            </w:r>
          </w:p>
        </w:tc>
        <w:tc>
          <w:tcPr>
            <w:tcW w:w="0" w:type="dxa"/>
            <w:vAlign w:val="bottom"/>
          </w:tcPr>
          <w:p>
            <w:pPr>
              <w:spacing w:after="0"/>
              <w:rPr>
                <w:sz w:val="1"/>
                <w:szCs w:val="1"/>
                <w:color w:val="auto"/>
              </w:rPr>
            </w:pPr>
          </w:p>
        </w:tc>
      </w:tr>
      <w:tr>
        <w:trPr>
          <w:trHeight w:val="189"/>
        </w:trPr>
        <w:tc>
          <w:tcPr>
            <w:tcW w:w="1500" w:type="dxa"/>
            <w:vAlign w:val="bottom"/>
            <w:gridSpan w:val="2"/>
            <w:vMerge w:val="continue"/>
          </w:tcPr>
          <w:p>
            <w:pPr>
              <w:spacing w:after="0"/>
              <w:rPr>
                <w:sz w:val="16"/>
                <w:szCs w:val="16"/>
                <w:color w:val="auto"/>
              </w:rPr>
            </w:pPr>
          </w:p>
        </w:tc>
        <w:tc>
          <w:tcPr>
            <w:tcW w:w="6920" w:type="dxa"/>
            <w:vAlign w:val="bottom"/>
            <w:gridSpan w:val="2"/>
          </w:tcPr>
          <w:p>
            <w:pPr>
              <w:ind w:left="140"/>
              <w:spacing w:after="0" w:line="189" w:lineRule="exact"/>
              <w:rPr>
                <w:sz w:val="20"/>
                <w:szCs w:val="20"/>
                <w:color w:val="auto"/>
              </w:rPr>
            </w:pPr>
            <w:r>
              <w:rPr>
                <w:rFonts w:ascii="Arial" w:cs="Arial" w:eastAsia="Arial" w:hAnsi="Arial"/>
                <w:sz w:val="20"/>
                <w:szCs w:val="20"/>
                <w:color w:val="auto"/>
              </w:rPr>
              <w:t>—   Partnerships for U.S. Federal Income Tax Purposes</w:t>
            </w:r>
          </w:p>
        </w:tc>
        <w:tc>
          <w:tcPr>
            <w:tcW w:w="0" w:type="dxa"/>
            <w:vAlign w:val="bottom"/>
          </w:tcPr>
          <w:p>
            <w:pPr>
              <w:spacing w:after="0"/>
              <w:rPr>
                <w:sz w:val="1"/>
                <w:szCs w:val="1"/>
                <w:color w:val="auto"/>
              </w:rPr>
            </w:pPr>
          </w:p>
        </w:tc>
      </w:tr>
      <w:tr>
        <w:trPr>
          <w:trHeight w:val="189"/>
        </w:trPr>
        <w:tc>
          <w:tcPr>
            <w:tcW w:w="1500" w:type="dxa"/>
            <w:vAlign w:val="bottom"/>
            <w:gridSpan w:val="2"/>
            <w:vMerge w:val="restart"/>
          </w:tcPr>
          <w:p>
            <w:pPr>
              <w:spacing w:after="0"/>
              <w:rPr>
                <w:sz w:val="20"/>
                <w:szCs w:val="20"/>
                <w:color w:val="auto"/>
              </w:rPr>
            </w:pPr>
            <w:r>
              <w:rPr>
                <w:rFonts w:ascii="Arial" w:cs="Arial" w:eastAsia="Arial" w:hAnsi="Arial"/>
                <w:sz w:val="20"/>
                <w:szCs w:val="20"/>
                <w:color w:val="auto"/>
              </w:rPr>
              <w:t>EXHIBIT F-3</w:t>
            </w:r>
          </w:p>
        </w:tc>
        <w:tc>
          <w:tcPr>
            <w:tcW w:w="480" w:type="dxa"/>
            <w:vAlign w:val="bottom"/>
          </w:tcPr>
          <w:p>
            <w:pPr>
              <w:spacing w:after="0"/>
              <w:rPr>
                <w:sz w:val="16"/>
                <w:szCs w:val="16"/>
                <w:color w:val="auto"/>
              </w:rPr>
            </w:pPr>
          </w:p>
        </w:tc>
        <w:tc>
          <w:tcPr>
            <w:tcW w:w="6440" w:type="dxa"/>
            <w:vAlign w:val="bottom"/>
          </w:tcPr>
          <w:p>
            <w:pPr>
              <w:ind w:left="160"/>
              <w:spacing w:after="0" w:line="189" w:lineRule="exact"/>
              <w:rPr>
                <w:sz w:val="20"/>
                <w:szCs w:val="20"/>
                <w:color w:val="auto"/>
              </w:rPr>
            </w:pPr>
            <w:r>
              <w:rPr>
                <w:rFonts w:ascii="Arial" w:cs="Arial" w:eastAsia="Arial" w:hAnsi="Arial"/>
                <w:sz w:val="20"/>
                <w:szCs w:val="20"/>
                <w:color w:val="auto"/>
                <w:w w:val="94"/>
              </w:rPr>
              <w:t>Form of U.S. Tax Compliance Certificate for Non-U.S. Participants that are</w:t>
            </w:r>
          </w:p>
        </w:tc>
        <w:tc>
          <w:tcPr>
            <w:tcW w:w="0" w:type="dxa"/>
            <w:vAlign w:val="bottom"/>
          </w:tcPr>
          <w:p>
            <w:pPr>
              <w:spacing w:after="0"/>
              <w:rPr>
                <w:sz w:val="1"/>
                <w:szCs w:val="1"/>
                <w:color w:val="auto"/>
              </w:rPr>
            </w:pPr>
          </w:p>
        </w:tc>
      </w:tr>
      <w:tr>
        <w:trPr>
          <w:trHeight w:val="189"/>
        </w:trPr>
        <w:tc>
          <w:tcPr>
            <w:tcW w:w="1500" w:type="dxa"/>
            <w:vAlign w:val="bottom"/>
            <w:gridSpan w:val="2"/>
            <w:vMerge w:val="continue"/>
          </w:tcPr>
          <w:p>
            <w:pPr>
              <w:spacing w:after="0"/>
              <w:rPr>
                <w:sz w:val="16"/>
                <w:szCs w:val="16"/>
                <w:color w:val="auto"/>
              </w:rPr>
            </w:pPr>
          </w:p>
        </w:tc>
        <w:tc>
          <w:tcPr>
            <w:tcW w:w="6920" w:type="dxa"/>
            <w:vAlign w:val="bottom"/>
            <w:gridSpan w:val="2"/>
          </w:tcPr>
          <w:p>
            <w:pPr>
              <w:ind w:left="140"/>
              <w:spacing w:after="0" w:line="189" w:lineRule="exact"/>
              <w:rPr>
                <w:sz w:val="20"/>
                <w:szCs w:val="20"/>
                <w:color w:val="auto"/>
              </w:rPr>
            </w:pPr>
            <w:r>
              <w:rPr>
                <w:rFonts w:ascii="Arial" w:cs="Arial" w:eastAsia="Arial" w:hAnsi="Arial"/>
                <w:sz w:val="20"/>
                <w:szCs w:val="20"/>
                <w:color w:val="auto"/>
              </w:rPr>
              <w:t>—   Partnerships for U.S. Federal Income Tax Purposes</w:t>
            </w:r>
          </w:p>
        </w:tc>
        <w:tc>
          <w:tcPr>
            <w:tcW w:w="0" w:type="dxa"/>
            <w:vAlign w:val="bottom"/>
          </w:tcPr>
          <w:p>
            <w:pPr>
              <w:spacing w:after="0"/>
              <w:rPr>
                <w:sz w:val="1"/>
                <w:szCs w:val="1"/>
                <w:color w:val="auto"/>
              </w:rPr>
            </w:pPr>
          </w:p>
        </w:tc>
      </w:tr>
      <w:tr>
        <w:trPr>
          <w:trHeight w:val="189"/>
        </w:trPr>
        <w:tc>
          <w:tcPr>
            <w:tcW w:w="1500" w:type="dxa"/>
            <w:vAlign w:val="bottom"/>
            <w:gridSpan w:val="2"/>
            <w:vMerge w:val="restart"/>
          </w:tcPr>
          <w:p>
            <w:pPr>
              <w:spacing w:after="0"/>
              <w:rPr>
                <w:sz w:val="20"/>
                <w:szCs w:val="20"/>
                <w:color w:val="auto"/>
              </w:rPr>
            </w:pPr>
            <w:r>
              <w:rPr>
                <w:rFonts w:ascii="Arial" w:cs="Arial" w:eastAsia="Arial" w:hAnsi="Arial"/>
                <w:sz w:val="20"/>
                <w:szCs w:val="20"/>
                <w:color w:val="auto"/>
              </w:rPr>
              <w:t>EXHIBIT F-4</w:t>
            </w:r>
          </w:p>
        </w:tc>
        <w:tc>
          <w:tcPr>
            <w:tcW w:w="480" w:type="dxa"/>
            <w:vAlign w:val="bottom"/>
          </w:tcPr>
          <w:p>
            <w:pPr>
              <w:spacing w:after="0"/>
              <w:rPr>
                <w:sz w:val="16"/>
                <w:szCs w:val="16"/>
                <w:color w:val="auto"/>
              </w:rPr>
            </w:pPr>
          </w:p>
        </w:tc>
        <w:tc>
          <w:tcPr>
            <w:tcW w:w="6440" w:type="dxa"/>
            <w:vAlign w:val="bottom"/>
          </w:tcPr>
          <w:p>
            <w:pPr>
              <w:ind w:left="160"/>
              <w:spacing w:after="0" w:line="189" w:lineRule="exact"/>
              <w:rPr>
                <w:sz w:val="20"/>
                <w:szCs w:val="20"/>
                <w:color w:val="auto"/>
              </w:rPr>
            </w:pPr>
            <w:r>
              <w:rPr>
                <w:rFonts w:ascii="Arial" w:cs="Arial" w:eastAsia="Arial" w:hAnsi="Arial"/>
                <w:sz w:val="20"/>
                <w:szCs w:val="20"/>
                <w:color w:val="auto"/>
              </w:rPr>
              <w:t>Form of U.S. Tax Compliance Certificate for Foreign Lenders that are</w:t>
            </w:r>
          </w:p>
        </w:tc>
        <w:tc>
          <w:tcPr>
            <w:tcW w:w="0" w:type="dxa"/>
            <w:vAlign w:val="bottom"/>
          </w:tcPr>
          <w:p>
            <w:pPr>
              <w:spacing w:after="0"/>
              <w:rPr>
                <w:sz w:val="1"/>
                <w:szCs w:val="1"/>
                <w:color w:val="auto"/>
              </w:rPr>
            </w:pPr>
          </w:p>
        </w:tc>
      </w:tr>
      <w:tr>
        <w:trPr>
          <w:trHeight w:val="189"/>
        </w:trPr>
        <w:tc>
          <w:tcPr>
            <w:tcW w:w="1500" w:type="dxa"/>
            <w:vAlign w:val="bottom"/>
            <w:gridSpan w:val="2"/>
            <w:vMerge w:val="continue"/>
          </w:tcPr>
          <w:p>
            <w:pPr>
              <w:spacing w:after="0"/>
              <w:rPr>
                <w:sz w:val="16"/>
                <w:szCs w:val="16"/>
                <w:color w:val="auto"/>
              </w:rPr>
            </w:pPr>
          </w:p>
        </w:tc>
        <w:tc>
          <w:tcPr>
            <w:tcW w:w="6920" w:type="dxa"/>
            <w:vAlign w:val="bottom"/>
            <w:gridSpan w:val="2"/>
          </w:tcPr>
          <w:p>
            <w:pPr>
              <w:ind w:left="140"/>
              <w:spacing w:after="0" w:line="189" w:lineRule="exact"/>
              <w:rPr>
                <w:sz w:val="20"/>
                <w:szCs w:val="20"/>
                <w:color w:val="auto"/>
              </w:rPr>
            </w:pPr>
            <w:r>
              <w:rPr>
                <w:rFonts w:ascii="Arial" w:cs="Arial" w:eastAsia="Arial" w:hAnsi="Arial"/>
                <w:sz w:val="20"/>
                <w:szCs w:val="20"/>
                <w:color w:val="auto"/>
              </w:rPr>
              <w:t>—   Partnerships for U.S. Federal Income Tax Purposes</w:t>
            </w:r>
          </w:p>
        </w:tc>
        <w:tc>
          <w:tcPr>
            <w:tcW w:w="0" w:type="dxa"/>
            <w:vAlign w:val="bottom"/>
          </w:tcPr>
          <w:p>
            <w:pPr>
              <w:spacing w:after="0"/>
              <w:rPr>
                <w:sz w:val="1"/>
                <w:szCs w:val="1"/>
                <w:color w:val="auto"/>
              </w:rPr>
            </w:pPr>
          </w:p>
        </w:tc>
      </w:tr>
      <w:tr>
        <w:trPr>
          <w:trHeight w:val="250"/>
        </w:trPr>
        <w:tc>
          <w:tcPr>
            <w:tcW w:w="1500" w:type="dxa"/>
            <w:vAlign w:val="bottom"/>
            <w:gridSpan w:val="2"/>
          </w:tcPr>
          <w:p>
            <w:pPr>
              <w:spacing w:after="0"/>
              <w:rPr>
                <w:sz w:val="20"/>
                <w:szCs w:val="20"/>
                <w:color w:val="auto"/>
              </w:rPr>
            </w:pPr>
            <w:r>
              <w:rPr>
                <w:rFonts w:ascii="Arial" w:cs="Arial" w:eastAsia="Arial" w:hAnsi="Arial"/>
                <w:sz w:val="20"/>
                <w:szCs w:val="20"/>
                <w:color w:val="auto"/>
              </w:rPr>
              <w:t>EXHIBIT G</w:t>
            </w:r>
          </w:p>
        </w:tc>
        <w:tc>
          <w:tcPr>
            <w:tcW w:w="6920" w:type="dxa"/>
            <w:vAlign w:val="bottom"/>
            <w:gridSpan w:val="2"/>
          </w:tcPr>
          <w:p>
            <w:pPr>
              <w:ind w:left="140"/>
              <w:spacing w:after="0"/>
              <w:rPr>
                <w:sz w:val="20"/>
                <w:szCs w:val="20"/>
                <w:color w:val="auto"/>
              </w:rPr>
            </w:pPr>
            <w:r>
              <w:rPr>
                <w:rFonts w:ascii="Arial" w:cs="Arial" w:eastAsia="Arial" w:hAnsi="Arial"/>
                <w:sz w:val="20"/>
                <w:szCs w:val="20"/>
                <w:color w:val="auto"/>
              </w:rPr>
              <w:t>—   Form of Solvency Certificate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397510</wp:posOffset>
            </wp:positionV>
            <wp:extent cx="5642610" cy="514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7" w:name="page188"/>
    <w:bookmarkEnd w:id="187"/>
    <w:p>
      <w:pPr>
        <w:jc w:val="both"/>
        <w:ind w:left="100" w:right="99" w:firstLine="648"/>
        <w:spacing w:after="0" w:line="223" w:lineRule="auto"/>
        <w:rPr>
          <w:sz w:val="20"/>
          <w:szCs w:val="20"/>
          <w:color w:val="auto"/>
        </w:rPr>
      </w:pPr>
      <w:r>
        <w:rPr>
          <w:rFonts w:ascii="Arial" w:cs="Arial" w:eastAsia="Arial" w:hAnsi="Arial"/>
          <w:sz w:val="22"/>
          <w:szCs w:val="22"/>
          <w:color w:val="auto"/>
        </w:rPr>
        <w:t>CREDIT AGREEMENT dated as of December 5, 2018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AQUA AMERICA, INC., a Pennsylvania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the LENDERS party hereto and PNC BANK, NATIONAL ASSOCIATION, as the Administrative Agent.</w:t>
      </w:r>
    </w:p>
    <w:p>
      <w:pPr>
        <w:spacing w:after="0" w:line="159" w:lineRule="exact"/>
        <w:rPr>
          <w:sz w:val="20"/>
          <w:szCs w:val="20"/>
          <w:color w:val="auto"/>
        </w:rPr>
      </w:pPr>
    </w:p>
    <w:p>
      <w:pPr>
        <w:jc w:val="both"/>
        <w:ind w:left="100" w:right="99" w:firstLine="648"/>
        <w:spacing w:after="0" w:line="223" w:lineRule="auto"/>
        <w:rPr>
          <w:sz w:val="20"/>
          <w:szCs w:val="20"/>
          <w:color w:val="auto"/>
        </w:rPr>
      </w:pPr>
      <w:r>
        <w:rPr>
          <w:rFonts w:ascii="Arial" w:cs="Arial" w:eastAsia="Arial" w:hAnsi="Arial"/>
          <w:sz w:val="22"/>
          <w:szCs w:val="22"/>
          <w:color w:val="auto"/>
        </w:rPr>
        <w:t>WHEREAS, the Company is party to that certain Amended and Restated Credit Agreement dated as of June 7, 2018, among the Company, the lenders party thereto and PNC Bank, National Association, as agent (the “</w:t>
      </w:r>
      <w:r>
        <w:rPr>
          <w:rFonts w:ascii="Arial" w:cs="Arial" w:eastAsia="Arial" w:hAnsi="Arial"/>
          <w:sz w:val="22"/>
          <w:szCs w:val="22"/>
          <w:u w:val="single" w:color="auto"/>
          <w:color w:val="auto"/>
        </w:rPr>
        <w:t>Company Existing Credit Agreement</w:t>
      </w:r>
      <w:r>
        <w:rPr>
          <w:rFonts w:ascii="Arial" w:cs="Arial" w:eastAsia="Arial" w:hAnsi="Arial"/>
          <w:sz w:val="22"/>
          <w:szCs w:val="22"/>
          <w:color w:val="auto"/>
        </w:rPr>
        <w:t>”);</w:t>
      </w:r>
    </w:p>
    <w:p>
      <w:pPr>
        <w:spacing w:after="0" w:line="159" w:lineRule="exact"/>
        <w:rPr>
          <w:sz w:val="20"/>
          <w:szCs w:val="20"/>
          <w:color w:val="auto"/>
        </w:rPr>
      </w:pPr>
    </w:p>
    <w:p>
      <w:pPr>
        <w:jc w:val="both"/>
        <w:ind w:left="100" w:right="99" w:firstLine="648"/>
        <w:spacing w:after="0" w:line="224" w:lineRule="auto"/>
        <w:rPr>
          <w:sz w:val="20"/>
          <w:szCs w:val="20"/>
          <w:color w:val="auto"/>
        </w:rPr>
      </w:pPr>
      <w:r>
        <w:rPr>
          <w:rFonts w:ascii="Arial" w:cs="Arial" w:eastAsia="Arial" w:hAnsi="Arial"/>
          <w:sz w:val="21"/>
          <w:szCs w:val="21"/>
          <w:color w:val="auto"/>
        </w:rPr>
        <w:t>WHEREAS, the Company intends to pay in full all principal, interest, fees and other amounts outstanding or due in respect of the Company Existing Credit Agreement and to terminate all commitments to extend credit thereunder and cancel all letters of credit issued and outstanding thereunder (other than any such letter of credit designated hereunder as an Existing Letter of Credit or cash collateralized or backstopped in a manner satisfactory to the issuing bank in respect thereof) (the “</w:t>
      </w:r>
      <w:r>
        <w:rPr>
          <w:rFonts w:ascii="Arial" w:cs="Arial" w:eastAsia="Arial" w:hAnsi="Arial"/>
          <w:sz w:val="21"/>
          <w:szCs w:val="21"/>
          <w:u w:val="single" w:color="auto"/>
          <w:color w:val="auto"/>
        </w:rPr>
        <w:t>Company Existing Credit Agreement Refinancing</w:t>
      </w:r>
      <w:r>
        <w:rPr>
          <w:rFonts w:ascii="Arial" w:cs="Arial" w:eastAsia="Arial" w:hAnsi="Arial"/>
          <w:sz w:val="21"/>
          <w:szCs w:val="21"/>
          <w:color w:val="auto"/>
        </w:rPr>
        <w:t>”); and</w:t>
      </w:r>
    </w:p>
    <w:p>
      <w:pPr>
        <w:spacing w:after="0" w:line="160" w:lineRule="exact"/>
        <w:rPr>
          <w:sz w:val="20"/>
          <w:szCs w:val="20"/>
          <w:color w:val="auto"/>
        </w:rPr>
      </w:pPr>
    </w:p>
    <w:p>
      <w:pPr>
        <w:jc w:val="both"/>
        <w:ind w:left="100" w:right="99" w:firstLine="648"/>
        <w:spacing w:after="0" w:line="218" w:lineRule="auto"/>
        <w:rPr>
          <w:sz w:val="20"/>
          <w:szCs w:val="20"/>
          <w:color w:val="auto"/>
        </w:rPr>
      </w:pPr>
      <w:r>
        <w:rPr>
          <w:rFonts w:ascii="Arial" w:cs="Arial" w:eastAsia="Arial" w:hAnsi="Arial"/>
          <w:sz w:val="22"/>
          <w:szCs w:val="22"/>
          <w:color w:val="auto"/>
        </w:rPr>
        <w:t>WHEREAS, the Company has requested that the Lenders and the Issuing Banks provide a revolving credit facility to the Company, and the Lenders have indicated their willingness to lend and the Issuing Banks have indicated their willingness to issue Letters of Credit, in each case, on the terms and subject to the conditions set forth herein.</w:t>
      </w:r>
    </w:p>
    <w:p>
      <w:pPr>
        <w:spacing w:after="0" w:line="161" w:lineRule="exact"/>
        <w:rPr>
          <w:sz w:val="20"/>
          <w:szCs w:val="20"/>
          <w:color w:val="auto"/>
        </w:rPr>
      </w:pPr>
    </w:p>
    <w:p>
      <w:pPr>
        <w:jc w:val="both"/>
        <w:ind w:left="100" w:right="99" w:firstLine="648"/>
        <w:spacing w:after="0" w:line="232" w:lineRule="auto"/>
        <w:rPr>
          <w:sz w:val="20"/>
          <w:szCs w:val="20"/>
          <w:color w:val="auto"/>
        </w:rPr>
      </w:pPr>
      <w:r>
        <w:rPr>
          <w:rFonts w:ascii="Arial" w:cs="Arial" w:eastAsia="Arial" w:hAnsi="Arial"/>
          <w:sz w:val="22"/>
          <w:szCs w:val="22"/>
          <w:color w:val="auto"/>
        </w:rPr>
        <w:t>In consideration of the mutual covenants and agreements herein contained, the parties hereto covenant and agree as follows:</w:t>
      </w:r>
    </w:p>
    <w:p>
      <w:pPr>
        <w:spacing w:after="0" w:line="159" w:lineRule="exact"/>
        <w:rPr>
          <w:sz w:val="20"/>
          <w:szCs w:val="20"/>
          <w:color w:val="auto"/>
        </w:rPr>
      </w:pPr>
    </w:p>
    <w:p>
      <w:pPr>
        <w:ind w:left="4000"/>
        <w:spacing w:after="0"/>
        <w:rPr>
          <w:sz w:val="20"/>
          <w:szCs w:val="20"/>
          <w:color w:val="auto"/>
        </w:rPr>
      </w:pPr>
      <w:r>
        <w:rPr>
          <w:rFonts w:ascii="Arial" w:cs="Arial" w:eastAsia="Arial" w:hAnsi="Arial"/>
          <w:sz w:val="22"/>
          <w:szCs w:val="22"/>
          <w:u w:val="single" w:color="auto"/>
          <w:color w:val="auto"/>
        </w:rPr>
        <w:t>ARTICLE I</w:t>
      </w:r>
    </w:p>
    <w:p>
      <w:pPr>
        <w:spacing w:after="0" w:line="179" w:lineRule="exact"/>
        <w:rPr>
          <w:sz w:val="20"/>
          <w:szCs w:val="20"/>
          <w:color w:val="auto"/>
        </w:rPr>
      </w:pPr>
    </w:p>
    <w:p>
      <w:pPr>
        <w:ind w:left="4020"/>
        <w:spacing w:after="0"/>
        <w:rPr>
          <w:sz w:val="20"/>
          <w:szCs w:val="20"/>
          <w:color w:val="auto"/>
        </w:rPr>
      </w:pPr>
      <w:r>
        <w:rPr>
          <w:rFonts w:ascii="Arial" w:cs="Arial" w:eastAsia="Arial" w:hAnsi="Arial"/>
          <w:sz w:val="22"/>
          <w:szCs w:val="22"/>
          <w:u w:val="single" w:color="auto"/>
          <w:color w:val="auto"/>
        </w:rPr>
        <w:t>Definitions</w:t>
      </w:r>
    </w:p>
    <w:p>
      <w:pPr>
        <w:spacing w:after="0" w:line="17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Agreement (including the recitals hereto), the following terms have the meanings specified below:</w:t>
      </w:r>
    </w:p>
    <w:p>
      <w:pPr>
        <w:spacing w:after="0" w:line="15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bear interest at a rate determined by reference to the Alternate Base Rate.</w:t>
      </w:r>
    </w:p>
    <w:p>
      <w:pPr>
        <w:spacing w:after="0" w:line="15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any acquisition, or series of related acquisitions (including pursuant to any amalgamation, merger or consolidation), of property (including Equity Interests in a Person), in each case other than in the ordinary course of business.</w:t>
      </w:r>
    </w:p>
    <w:p>
      <w:pPr>
        <w:spacing w:after="0" w:line="159" w:lineRule="exact"/>
        <w:rPr>
          <w:sz w:val="20"/>
          <w:szCs w:val="20"/>
          <w:color w:val="auto"/>
        </w:rPr>
      </w:pPr>
    </w:p>
    <w:p>
      <w:pPr>
        <w:jc w:val="both"/>
        <w:ind w:left="100" w:right="99"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 Indebtedness</w:t>
      </w:r>
      <w:r>
        <w:rPr>
          <w:rFonts w:ascii="Arial" w:cs="Arial" w:eastAsia="Arial" w:hAnsi="Arial"/>
          <w:sz w:val="19"/>
          <w:szCs w:val="19"/>
          <w:color w:val="auto"/>
        </w:rPr>
        <w:t xml:space="preserve">” means any Indebtedness of the Company or any Subsidiary that has been incurred for the purpose of financing, in whole or in part, an Acquisition (including the PNG Acquisition) and any related transactions (including for the purpose of refinancing or replacing all or a portion of any related bridge facilities or any pre-existing Indebtedness of the Persons or assets to be acquired);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either (a) the release of the proceeds thereof to the Company and the Subsidiaries is contingent upon the substantially simultaneous consummation of such Acquisition (and, if the definitive agreement for such Acquisition is terminated prior to the consummation of such Acquisition, or if such Acquisition is otherwise not consummated by the date specified in the definitive documentation evidencing, governing the rights of the holders of or otherwise relating to such Indebtedness, then,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314325</wp:posOffset>
            </wp:positionV>
            <wp:extent cx="5642610" cy="514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88" w:name="page189"/>
    <w:bookmarkEnd w:id="188"/>
    <w:p>
      <w:pPr>
        <w:ind w:left="8820"/>
        <w:spacing w:after="0"/>
        <w:rPr>
          <w:sz w:val="20"/>
          <w:szCs w:val="20"/>
          <w:color w:val="auto"/>
        </w:rPr>
      </w:pPr>
      <w:r>
        <w:rPr>
          <w:rFonts w:ascii="Arial" w:cs="Arial" w:eastAsia="Arial" w:hAnsi="Arial"/>
          <w:sz w:val="17"/>
          <w:szCs w:val="17"/>
          <w:color w:val="auto"/>
        </w:rPr>
        <w:t>2</w:t>
      </w:r>
    </w:p>
    <w:p>
      <w:pPr>
        <w:spacing w:after="0" w:line="200" w:lineRule="exact"/>
        <w:rPr>
          <w:sz w:val="20"/>
          <w:szCs w:val="20"/>
          <w:color w:val="auto"/>
        </w:rPr>
      </w:pPr>
    </w:p>
    <w:p>
      <w:pPr>
        <w:spacing w:after="0" w:line="254" w:lineRule="exact"/>
        <w:rPr>
          <w:sz w:val="20"/>
          <w:szCs w:val="20"/>
          <w:color w:val="auto"/>
        </w:rPr>
      </w:pPr>
    </w:p>
    <w:p>
      <w:pPr>
        <w:jc w:val="both"/>
        <w:ind w:left="100" w:right="99"/>
        <w:spacing w:after="0" w:line="244" w:lineRule="auto"/>
        <w:rPr>
          <w:sz w:val="20"/>
          <w:szCs w:val="20"/>
          <w:color w:val="auto"/>
        </w:rPr>
      </w:pPr>
      <w:r>
        <w:rPr>
          <w:rFonts w:ascii="Arial" w:cs="Arial" w:eastAsia="Arial" w:hAnsi="Arial"/>
          <w:sz w:val="19"/>
          <w:szCs w:val="19"/>
          <w:color w:val="auto"/>
        </w:rPr>
        <w:t>case, such proceeds are, and pursuant to the terms of such definitive documentation are required to be, promptly applied to satisfy and discharge all obligations of the Company and the Subsidiaries in respect of such Indebtedness) or (b) such Indebtedness contains a “special mandatory redemption” provision (or a similar provision) if such Acquisition is not consummated by the date specified in the definitive documentation evidencing, governing the rights of the holders of or otherwise relating to such Indebtedness (and, if the definitive agreement for such Acquisition is terminated prior to the consummation of such Acquisition or if such Acquisition is otherwise not consummated by the date so specified, such Indebtedness is, and pursuant to such “special mandatory redemption” (or similar) provision is required to be, redeemed or otherwise satisfied and discharged within 90 days of such termination or such specified date, as the case may be).</w:t>
      </w:r>
    </w:p>
    <w:p>
      <w:pPr>
        <w:spacing w:after="0" w:line="156"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LIBO Rate</w:t>
      </w:r>
      <w:r>
        <w:rPr>
          <w:rFonts w:ascii="Arial" w:cs="Arial" w:eastAsia="Arial" w:hAnsi="Arial"/>
          <w:sz w:val="22"/>
          <w:szCs w:val="22"/>
          <w:color w:val="auto"/>
        </w:rPr>
        <w:t>” means, with respect to any LIBOR Borrowing for any Interest Period, an interest rate per annum (rounded upwards, if necessary, to the next 1/100,000 of 1% (i.e., the fifth digit after the decimal)) equal to the product of (a) the LIBO Rate for such Interest Period multiplied by (b) the Statutory Reserve Rate.</w:t>
      </w:r>
    </w:p>
    <w:p>
      <w:pPr>
        <w:spacing w:after="0" w:line="161"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means PNC, in its capacity as the administrative agent hereunder and under the other Loan Documents, and its successors in such capacity as provided in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5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means an Administrative Questionnaire in a form supplied by the Administrative Agent.</w:t>
      </w:r>
    </w:p>
    <w:p>
      <w:pPr>
        <w:spacing w:after="0" w:line="159"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 specified Person, another Person that directly or indirectly Controls, is Controlled by or is under common Control with the Person specified.</w:t>
      </w:r>
    </w:p>
    <w:p>
      <w:pPr>
        <w:spacing w:after="0" w:line="151"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 to this Agreement.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means, for any day, a rate per annum equal to the greatest of</w:t>
      </w:r>
    </w:p>
    <w:p>
      <w:pPr>
        <w:spacing w:after="0" w:line="16" w:lineRule="exact"/>
        <w:rPr>
          <w:sz w:val="20"/>
          <w:szCs w:val="20"/>
          <w:color w:val="auto"/>
        </w:rPr>
      </w:pPr>
    </w:p>
    <w:p>
      <w:pPr>
        <w:jc w:val="both"/>
        <w:ind w:left="100" w:right="99" w:firstLine="5"/>
        <w:spacing w:after="0"/>
        <w:tabs>
          <w:tab w:leader="none" w:pos="409"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the Prime Rate in effect on such day, (b) the Federal Funds Effective Rate in effect on such day plus ½ of 1.00% per annum and (c) the Adjusted LIBO Rate on such day (or if such day is not a Business Day, the immediately preceding Business Day) for a deposit in dollars with a maturity of one month plus 1.00% per annum;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shall be less than 1.00%, such rate shall be deemed to be 1.00%. For purposes of clause (c) above, the Adjusted LIBO Rate on any day shall be based on the LIBO Screen Rate for a deposit in dollars with a maturity of one month (or, if the LIBO Screen Rate on such day for a deposit in dollars is not available for a maturity of one month but is available for periods both longer and shorter than such period, the Interpolated Screen Rate) at approximately 11:00 a.m., London time, on such day. If the Alternate Base Rate is being used as an alternate rate of interest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then the Alternate Base Rate shall be the greater of clause (a) and (b) above and shall be determined without reference to clause (c) above.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spacing w:after="0" w:line="164" w:lineRule="exact"/>
        <w:rPr>
          <w:sz w:val="20"/>
          <w:szCs w:val="20"/>
          <w:color w:val="auto"/>
        </w:rPr>
      </w:pPr>
    </w:p>
    <w:p>
      <w:pPr>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means the United States Foreign Corrupt Practices Act of 1977, as amended, 15 U.S.C. §§ 78dd-1, et seq. and all other laws, rules, and regulations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282575</wp:posOffset>
            </wp:positionV>
            <wp:extent cx="5642610" cy="514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9" w:name="page190"/>
    <w:bookmarkEnd w:id="189"/>
    <w:p>
      <w:pPr>
        <w:ind w:left="8820"/>
        <w:spacing w:after="0"/>
        <w:rPr>
          <w:sz w:val="20"/>
          <w:szCs w:val="20"/>
          <w:color w:val="auto"/>
        </w:rPr>
      </w:pPr>
      <w:r>
        <w:rPr>
          <w:rFonts w:ascii="Arial" w:cs="Arial" w:eastAsia="Arial" w:hAnsi="Arial"/>
          <w:sz w:val="21"/>
          <w:szCs w:val="21"/>
          <w:color w:val="auto"/>
        </w:rPr>
        <w:t>3</w:t>
      </w:r>
    </w:p>
    <w:p>
      <w:pPr>
        <w:spacing w:after="0" w:line="200" w:lineRule="exact"/>
        <w:rPr>
          <w:sz w:val="20"/>
          <w:szCs w:val="20"/>
          <w:color w:val="auto"/>
        </w:rPr>
      </w:pPr>
    </w:p>
    <w:p>
      <w:pPr>
        <w:spacing w:after="0" w:line="208" w:lineRule="exact"/>
        <w:rPr>
          <w:sz w:val="20"/>
          <w:szCs w:val="20"/>
          <w:color w:val="auto"/>
        </w:rPr>
      </w:pPr>
    </w:p>
    <w:p>
      <w:pPr>
        <w:jc w:val="both"/>
        <w:ind w:left="100" w:right="99"/>
        <w:spacing w:after="0" w:line="232" w:lineRule="auto"/>
        <w:rPr>
          <w:sz w:val="20"/>
          <w:szCs w:val="20"/>
          <w:color w:val="auto"/>
        </w:rPr>
      </w:pPr>
      <w:r>
        <w:rPr>
          <w:rFonts w:ascii="Arial" w:cs="Arial" w:eastAsia="Arial" w:hAnsi="Arial"/>
          <w:sz w:val="22"/>
          <w:szCs w:val="22"/>
          <w:color w:val="auto"/>
        </w:rPr>
        <w:t>jurisdiction applicable to the Company or any of its Subsidiaries from time to time concerning or relating to bribery, corruption or money laundering.</w:t>
      </w:r>
    </w:p>
    <w:p>
      <w:pPr>
        <w:spacing w:after="0" w:line="159" w:lineRule="exact"/>
        <w:rPr>
          <w:sz w:val="20"/>
          <w:szCs w:val="20"/>
          <w:color w:val="auto"/>
        </w:rPr>
      </w:pPr>
    </w:p>
    <w:p>
      <w:pPr>
        <w:jc w:val="both"/>
        <w:ind w:left="100" w:right="99"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means at any time, with respect to any Tranche 1 Lender, the percentage of the Total Tranche 1 Commitments represented by such Lender’s Tranche 1 Commitment at such time. If all the Tranche 1 Commitments have terminated or expired, the Applicable Percentages shall be determined based upon the Tranche 1 Commitments most recently in effect, giving effect to any assignments.</w:t>
      </w:r>
    </w:p>
    <w:p>
      <w:pPr>
        <w:spacing w:after="0" w:line="158" w:lineRule="exact"/>
        <w:rPr>
          <w:sz w:val="20"/>
          <w:szCs w:val="20"/>
          <w:color w:val="auto"/>
        </w:rPr>
      </w:pPr>
    </w:p>
    <w:p>
      <w:pPr>
        <w:jc w:val="both"/>
        <w:ind w:left="100" w:right="99"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xml:space="preserve">” means, for any day, with respect to any ABR Loan or LIBOR Loan, or with respect to the Commitment Fees or the Ticking Fees, as the case may be, the applicable rate per annum set forth below under the applicable caption “ABR Spread”, “LIBOR Spread”, “Commitment Fee Rate” or “Ticking Fee Rate”, as the case may be, based upon the Debt Ratings in effect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determining the Applicable Rate:</w:t>
      </w:r>
    </w:p>
    <w:p>
      <w:pPr>
        <w:spacing w:after="0" w:line="149" w:lineRule="exact"/>
        <w:rPr>
          <w:sz w:val="20"/>
          <w:szCs w:val="20"/>
          <w:color w:val="auto"/>
        </w:rPr>
      </w:pPr>
    </w:p>
    <w:p>
      <w:pPr>
        <w:jc w:val="both"/>
        <w:ind w:left="760" w:right="99" w:firstLine="641"/>
        <w:spacing w:after="0" w:line="249" w:lineRule="auto"/>
        <w:tabs>
          <w:tab w:leader="none" w:pos="189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until the earliest to occur of (i) the fifth Business Day after the PNG Acquisition Closing Date, (ii) the fifth Business Day after the termination of the PNG Purchase Agreement in accordance with its terms prior to the consummation of the PNG Acquisition and (iii) the first date on which at least two Rating Agencies shall have in effect a Debt Rating, the Applicable Rate with respect to any ABR Loan or LIBOR Loan, or with respect to the Commitment Fees, shall be determined by reference to Pricing Category 3; and</w:t>
      </w:r>
    </w:p>
    <w:p>
      <w:pPr>
        <w:spacing w:after="0" w:line="152" w:lineRule="exact"/>
        <w:rPr>
          <w:rFonts w:ascii="Arial" w:cs="Arial" w:eastAsia="Arial" w:hAnsi="Arial"/>
          <w:sz w:val="19"/>
          <w:szCs w:val="19"/>
          <w:color w:val="auto"/>
        </w:rPr>
      </w:pPr>
    </w:p>
    <w:p>
      <w:pPr>
        <w:jc w:val="both"/>
        <w:ind w:left="760" w:right="99" w:firstLine="641"/>
        <w:spacing w:after="0" w:line="268" w:lineRule="auto"/>
        <w:tabs>
          <w:tab w:leader="none" w:pos="189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until the earlier to occur of (i) the Ticking Fee Termination Date and (ii) the first date on which at least two Rating Agencies shall have in effect a Debt Rating, the Applicable Rate with respect to the Ticking Fees shall be determined by reference to Pricing Category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123190</wp:posOffset>
            </wp:positionV>
            <wp:extent cx="10890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5" w:lineRule="exact"/>
        <w:rPr>
          <w:sz w:val="20"/>
          <w:szCs w:val="20"/>
          <w:color w:val="auto"/>
        </w:rPr>
      </w:pPr>
    </w:p>
    <w:tbl>
      <w:tblPr>
        <w:tblLayout w:type="fixed"/>
        <w:tblInd w:w="110" w:type="dxa"/>
        <w:tblCellMar>
          <w:top w:w="0" w:type="dxa"/>
          <w:left w:w="0" w:type="dxa"/>
          <w:bottom w:w="0" w:type="dxa"/>
          <w:right w:w="0" w:type="dxa"/>
        </w:tblCellMar>
      </w:tblPr>
      <w:tr>
        <w:trPr>
          <w:trHeight w:val="405"/>
        </w:trPr>
        <w:tc>
          <w:tcPr>
            <w:tcW w:w="100" w:type="dxa"/>
            <w:vAlign w:val="bottom"/>
            <w:tcBorders>
              <w:top w:val="single" w:sz="8" w:color="auto"/>
              <w:lef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spacing w:after="0"/>
              <w:rPr>
                <w:sz w:val="24"/>
                <w:szCs w:val="24"/>
                <w:color w:val="auto"/>
              </w:rPr>
            </w:pPr>
          </w:p>
        </w:tc>
        <w:tc>
          <w:tcPr>
            <w:tcW w:w="170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88"/>
              </w:rPr>
              <w:t>ABR Spread</w:t>
            </w:r>
          </w:p>
        </w:tc>
        <w:tc>
          <w:tcPr>
            <w:tcW w:w="220" w:type="dxa"/>
            <w:vAlign w:val="bottom"/>
            <w:tcBorders>
              <w:top w:val="single" w:sz="8" w:color="auto"/>
              <w:right w:val="single" w:sz="8" w:color="auto"/>
            </w:tcBorders>
            <w:vMerge w:val="restart"/>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right w:val="single" w:sz="8" w:color="auto"/>
            </w:tcBorders>
            <w:gridSpan w:val="6"/>
          </w:tcPr>
          <w:p>
            <w:pPr>
              <w:jc w:val="center"/>
              <w:ind w:right="200"/>
              <w:spacing w:after="0"/>
              <w:rPr>
                <w:sz w:val="20"/>
                <w:szCs w:val="20"/>
                <w:color w:val="auto"/>
              </w:rPr>
            </w:pPr>
            <w:r>
              <w:rPr>
                <w:rFonts w:ascii="Arial" w:cs="Arial" w:eastAsia="Arial" w:hAnsi="Arial"/>
                <w:sz w:val="20"/>
                <w:szCs w:val="20"/>
                <w:color w:val="auto"/>
                <w:w w:val="91"/>
              </w:rPr>
              <w:t>Commitment</w:t>
            </w: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gridSpan w:val="6"/>
          </w:tcPr>
          <w:p>
            <w:pPr>
              <w:jc w:val="right"/>
              <w:ind w:right="400"/>
              <w:spacing w:after="0"/>
              <w:rPr>
                <w:sz w:val="20"/>
                <w:szCs w:val="20"/>
                <w:color w:val="auto"/>
              </w:rPr>
            </w:pPr>
            <w:r>
              <w:rPr>
                <w:rFonts w:ascii="Arial" w:cs="Arial" w:eastAsia="Arial" w:hAnsi="Arial"/>
                <w:sz w:val="20"/>
                <w:szCs w:val="20"/>
                <w:color w:val="auto"/>
                <w:w w:val="91"/>
              </w:rPr>
              <w:t>Ticking</w:t>
            </w:r>
          </w:p>
        </w:tc>
        <w:tc>
          <w:tcPr>
            <w:tcW w:w="0" w:type="dxa"/>
            <w:vAlign w:val="bottom"/>
          </w:tcPr>
          <w:p>
            <w:pPr>
              <w:spacing w:after="0"/>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Debt Ratings</w:t>
            </w:r>
          </w:p>
        </w:tc>
        <w:tc>
          <w:tcPr>
            <w:tcW w:w="220" w:type="dxa"/>
            <w:vAlign w:val="bottom"/>
          </w:tcPr>
          <w:p>
            <w:pPr>
              <w:spacing w:after="0"/>
              <w:rPr>
                <w:sz w:val="14"/>
                <w:szCs w:val="14"/>
                <w:color w:val="auto"/>
              </w:rPr>
            </w:pPr>
          </w:p>
        </w:tc>
        <w:tc>
          <w:tcPr>
            <w:tcW w:w="980" w:type="dxa"/>
            <w:vAlign w:val="bottom"/>
            <w:tcBorders>
              <w:top w:val="single" w:sz="8" w:color="auto"/>
            </w:tcBorders>
            <w:gridSpan w:val="3"/>
            <w:vMerge w:val="continue"/>
          </w:tcPr>
          <w:p>
            <w:pPr>
              <w:spacing w:after="0"/>
              <w:rPr>
                <w:sz w:val="14"/>
                <w:szCs w:val="14"/>
                <w:color w:val="auto"/>
              </w:rPr>
            </w:pPr>
          </w:p>
        </w:tc>
        <w:tc>
          <w:tcPr>
            <w:tcW w:w="220" w:type="dxa"/>
            <w:vAlign w:val="bottom"/>
            <w:tcBorders>
              <w:top w:val="single" w:sz="8" w:color="auto"/>
              <w:right w:val="single" w:sz="8" w:color="auto"/>
            </w:tcBorders>
            <w:vMerge w:val="continue"/>
          </w:tcPr>
          <w:p>
            <w:pPr>
              <w:spacing w:after="0"/>
              <w:rPr>
                <w:sz w:val="14"/>
                <w:szCs w:val="14"/>
                <w:color w:val="auto"/>
              </w:rPr>
            </w:pPr>
          </w:p>
        </w:tc>
        <w:tc>
          <w:tcPr>
            <w:tcW w:w="1380" w:type="dxa"/>
            <w:vAlign w:val="bottom"/>
            <w:tcBorders>
              <w:right w:val="single" w:sz="8" w:color="auto"/>
            </w:tcBorders>
            <w:gridSpan w:val="5"/>
            <w:vMerge w:val="restart"/>
          </w:tcPr>
          <w:p>
            <w:pPr>
              <w:jc w:val="center"/>
              <w:ind w:right="40"/>
              <w:spacing w:after="0"/>
              <w:rPr>
                <w:sz w:val="20"/>
                <w:szCs w:val="20"/>
                <w:color w:val="auto"/>
              </w:rPr>
            </w:pPr>
            <w:r>
              <w:rPr>
                <w:rFonts w:ascii="Arial" w:cs="Arial" w:eastAsia="Arial" w:hAnsi="Arial"/>
                <w:sz w:val="20"/>
                <w:szCs w:val="20"/>
                <w:color w:val="auto"/>
                <w:w w:val="90"/>
              </w:rPr>
              <w:t>LIBOR Spread</w:t>
            </w:r>
          </w:p>
        </w:tc>
        <w:tc>
          <w:tcPr>
            <w:tcW w:w="1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4"/>
          </w:tcPr>
          <w:p>
            <w:pPr>
              <w:jc w:val="center"/>
              <w:ind w:right="20"/>
              <w:spacing w:after="0" w:line="169" w:lineRule="exact"/>
              <w:rPr>
                <w:sz w:val="20"/>
                <w:szCs w:val="20"/>
                <w:color w:val="auto"/>
              </w:rPr>
            </w:pPr>
            <w:r>
              <w:rPr>
                <w:rFonts w:ascii="Arial" w:cs="Arial" w:eastAsia="Arial" w:hAnsi="Arial"/>
                <w:sz w:val="19"/>
                <w:szCs w:val="19"/>
                <w:color w:val="auto"/>
                <w:w w:val="89"/>
              </w:rPr>
              <w:t>Fee Rate</w:t>
            </w:r>
          </w:p>
        </w:tc>
        <w:tc>
          <w:tcPr>
            <w:tcW w:w="2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top w:val="single" w:sz="8" w:color="auto"/>
            </w:tcBorders>
            <w:gridSpan w:val="3"/>
          </w:tcPr>
          <w:p>
            <w:pPr>
              <w:jc w:val="right"/>
              <w:ind w:right="20"/>
              <w:spacing w:after="0" w:line="169" w:lineRule="exact"/>
              <w:rPr>
                <w:sz w:val="20"/>
                <w:szCs w:val="20"/>
                <w:color w:val="auto"/>
              </w:rPr>
            </w:pPr>
            <w:r>
              <w:rPr>
                <w:rFonts w:ascii="Arial" w:cs="Arial" w:eastAsia="Arial" w:hAnsi="Arial"/>
                <w:sz w:val="19"/>
                <w:szCs w:val="19"/>
                <w:color w:val="auto"/>
                <w:w w:val="74"/>
              </w:rPr>
              <w:t>Fee Rate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vMerge w:val="continue"/>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1380" w:type="dxa"/>
            <w:vAlign w:val="bottom"/>
            <w:tcBorders>
              <w:right w:val="single" w:sz="8" w:color="auto"/>
            </w:tcBorders>
            <w:gridSpan w:val="5"/>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right="20"/>
              <w:spacing w:after="0" w:line="156" w:lineRule="exact"/>
              <w:rPr>
                <w:sz w:val="20"/>
                <w:szCs w:val="20"/>
                <w:color w:val="auto"/>
              </w:rPr>
            </w:pPr>
            <w:r>
              <w:rPr>
                <w:rFonts w:ascii="Arial" w:cs="Arial" w:eastAsia="Arial" w:hAnsi="Arial"/>
                <w:sz w:val="18"/>
                <w:szCs w:val="18"/>
                <w:color w:val="auto"/>
                <w:w w:val="98"/>
              </w:rPr>
              <w:t>(percent per</w:t>
            </w:r>
          </w:p>
        </w:tc>
        <w:tc>
          <w:tcPr>
            <w:tcW w:w="22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gridSpan w:val="5"/>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gridSpan w:val="2"/>
          </w:tcPr>
          <w:p>
            <w:pPr>
              <w:spacing w:after="0" w:line="156" w:lineRule="exact"/>
              <w:rPr>
                <w:sz w:val="20"/>
                <w:szCs w:val="20"/>
                <w:color w:val="auto"/>
              </w:rPr>
            </w:pPr>
            <w:r>
              <w:rPr>
                <w:rFonts w:ascii="Arial" w:cs="Arial" w:eastAsia="Arial" w:hAnsi="Arial"/>
                <w:sz w:val="18"/>
                <w:szCs w:val="18"/>
                <w:color w:val="auto"/>
                <w:w w:val="82"/>
              </w:rPr>
              <w:t>(percent per</w:t>
            </w:r>
          </w:p>
        </w:tc>
        <w:tc>
          <w:tcPr>
            <w:tcW w:w="240" w:type="dxa"/>
            <w:vAlign w:val="bottom"/>
            <w:tcBorders>
              <w:right w:val="single" w:sz="8" w:color="auto"/>
            </w:tcBorders>
            <w:gridSpan w:val="2"/>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gridSpan w:val="6"/>
          </w:tcPr>
          <w:p>
            <w:pPr>
              <w:spacing w:after="0" w:line="156" w:lineRule="exact"/>
              <w:rPr>
                <w:sz w:val="20"/>
                <w:szCs w:val="20"/>
                <w:color w:val="auto"/>
              </w:rPr>
            </w:pPr>
            <w:r>
              <w:rPr>
                <w:rFonts w:ascii="Arial" w:cs="Arial" w:eastAsia="Arial" w:hAnsi="Arial"/>
                <w:sz w:val="18"/>
                <w:szCs w:val="18"/>
                <w:color w:val="auto"/>
                <w:w w:val="82"/>
              </w:rPr>
              <w:t>(percent per</w:t>
            </w: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vMerge w:val="restart"/>
          </w:tcPr>
          <w:p>
            <w:pPr>
              <w:jc w:val="center"/>
              <w:spacing w:after="0" w:line="169" w:lineRule="exact"/>
              <w:rPr>
                <w:sz w:val="20"/>
                <w:szCs w:val="20"/>
                <w:color w:val="auto"/>
              </w:rPr>
            </w:pPr>
            <w:r>
              <w:rPr>
                <w:rFonts w:ascii="Arial" w:cs="Arial" w:eastAsia="Arial" w:hAnsi="Arial"/>
                <w:sz w:val="19"/>
                <w:szCs w:val="19"/>
                <w:color w:val="auto"/>
              </w:rPr>
              <w:t>(S&amp;P/Moody’s/</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vMerge w:val="restart"/>
          </w:tcPr>
          <w:p>
            <w:pPr>
              <w:jc w:val="center"/>
              <w:spacing w:after="0" w:line="156" w:lineRule="exact"/>
              <w:rPr>
                <w:sz w:val="20"/>
                <w:szCs w:val="20"/>
                <w:color w:val="auto"/>
              </w:rPr>
            </w:pPr>
            <w:r>
              <w:rPr>
                <w:rFonts w:ascii="Arial" w:cs="Arial" w:eastAsia="Arial" w:hAnsi="Arial"/>
                <w:sz w:val="18"/>
                <w:szCs w:val="18"/>
                <w:color w:val="auto"/>
                <w:w w:val="98"/>
              </w:rPr>
              <w:t>annum)</w:t>
            </w:r>
          </w:p>
        </w:tc>
        <w:tc>
          <w:tcPr>
            <w:tcW w:w="4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vMerge w:val="restart"/>
          </w:tcPr>
          <w:p>
            <w:pPr>
              <w:jc w:val="center"/>
              <w:spacing w:after="0" w:line="156" w:lineRule="exact"/>
              <w:rPr>
                <w:sz w:val="20"/>
                <w:szCs w:val="20"/>
                <w:color w:val="auto"/>
              </w:rPr>
            </w:pPr>
            <w:r>
              <w:rPr>
                <w:rFonts w:ascii="Arial" w:cs="Arial" w:eastAsia="Arial" w:hAnsi="Arial"/>
                <w:sz w:val="18"/>
                <w:szCs w:val="18"/>
                <w:color w:val="auto"/>
                <w:w w:val="98"/>
              </w:rPr>
              <w:t>annum)</w:t>
            </w:r>
          </w:p>
        </w:tc>
        <w:tc>
          <w:tcPr>
            <w:tcW w:w="360" w:type="dxa"/>
            <w:vAlign w:val="bottom"/>
            <w:tcBorders>
              <w:right w:val="single" w:sz="8" w:color="auto"/>
            </w:tcBorders>
            <w:gridSpan w:val="3"/>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jc w:val="right"/>
              <w:spacing w:after="0" w:line="156" w:lineRule="exact"/>
              <w:rPr>
                <w:sz w:val="20"/>
                <w:szCs w:val="20"/>
                <w:color w:val="auto"/>
              </w:rPr>
            </w:pPr>
            <w:r>
              <w:rPr>
                <w:rFonts w:ascii="Arial" w:cs="Arial" w:eastAsia="Arial" w:hAnsi="Arial"/>
                <w:sz w:val="18"/>
                <w:szCs w:val="18"/>
                <w:color w:val="auto"/>
                <w:w w:val="91"/>
              </w:rPr>
              <w:t>annum)</w:t>
            </w:r>
          </w:p>
        </w:tc>
        <w:tc>
          <w:tcPr>
            <w:tcW w:w="400" w:type="dxa"/>
            <w:vAlign w:val="bottom"/>
            <w:tcBorders>
              <w:right w:val="single" w:sz="8" w:color="auto"/>
            </w:tcBorders>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00" w:type="dxa"/>
            <w:vAlign w:val="bottom"/>
            <w:tcBorders>
              <w:lef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20" w:type="dxa"/>
            <w:vAlign w:val="bottom"/>
            <w:tcBorders>
              <w:right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29" w:lineRule="exact"/>
              <w:rPr>
                <w:sz w:val="20"/>
                <w:szCs w:val="20"/>
                <w:color w:val="auto"/>
              </w:rPr>
            </w:pPr>
            <w:r>
              <w:rPr>
                <w:rFonts w:ascii="Arial" w:cs="Arial" w:eastAsia="Arial" w:hAnsi="Arial"/>
                <w:sz w:val="14"/>
                <w:szCs w:val="14"/>
                <w:color w:val="auto"/>
              </w:rPr>
              <w:t>(percent per</w:t>
            </w:r>
          </w:p>
        </w:tc>
        <w:tc>
          <w:tcPr>
            <w:tcW w:w="120" w:type="dxa"/>
            <w:vAlign w:val="bottom"/>
            <w:tcBorders>
              <w:right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360" w:type="dxa"/>
            <w:vAlign w:val="bottom"/>
            <w:tcBorders>
              <w:right w:val="single" w:sz="8" w:color="auto"/>
            </w:tcBorders>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400" w:type="dxa"/>
            <w:vAlign w:val="bottom"/>
            <w:tcBorders>
              <w:right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1460" w:type="dxa"/>
            <w:vAlign w:val="bottom"/>
            <w:tcBorders>
              <w:right w:val="single" w:sz="8" w:color="auto"/>
            </w:tcBorders>
            <w:vMerge w:val="restart"/>
          </w:tcPr>
          <w:p>
            <w:pPr>
              <w:jc w:val="center"/>
              <w:ind w:right="21"/>
              <w:spacing w:after="0" w:line="196" w:lineRule="exact"/>
              <w:rPr>
                <w:sz w:val="20"/>
                <w:szCs w:val="20"/>
                <w:color w:val="auto"/>
              </w:rPr>
            </w:pPr>
            <w:r>
              <w:rPr>
                <w:rFonts w:ascii="Arial" w:cs="Arial" w:eastAsia="Arial" w:hAnsi="Arial"/>
                <w:sz w:val="20"/>
                <w:szCs w:val="20"/>
                <w:color w:val="auto"/>
                <w:w w:val="90"/>
              </w:rPr>
              <w:t>Pricing Category</w:t>
            </w:r>
          </w:p>
        </w:tc>
        <w:tc>
          <w:tcPr>
            <w:tcW w:w="1700" w:type="dxa"/>
            <w:vAlign w:val="bottom"/>
            <w:tcBorders>
              <w:right w:val="single" w:sz="8" w:color="auto"/>
            </w:tcBorders>
            <w:vMerge w:val="restart"/>
          </w:tcPr>
          <w:p>
            <w:pPr>
              <w:jc w:val="center"/>
              <w:spacing w:after="0" w:line="196" w:lineRule="exact"/>
              <w:rPr>
                <w:sz w:val="20"/>
                <w:szCs w:val="20"/>
                <w:color w:val="auto"/>
              </w:rPr>
            </w:pPr>
            <w:r>
              <w:rPr>
                <w:rFonts w:ascii="Arial" w:cs="Arial" w:eastAsia="Arial" w:hAnsi="Arial"/>
                <w:sz w:val="20"/>
                <w:szCs w:val="20"/>
                <w:color w:val="auto"/>
                <w:w w:val="95"/>
              </w:rPr>
              <w:t>Fitch)</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gridSpan w:val="2"/>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0" w:type="dxa"/>
            <w:vAlign w:val="bottom"/>
            <w:tcBorders>
              <w:left w:val="single" w:sz="8" w:color="auto"/>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vMerge w:val="continue"/>
          </w:tcPr>
          <w:p>
            <w:pPr>
              <w:spacing w:after="0"/>
              <w:rPr>
                <w:sz w:val="14"/>
                <w:szCs w:val="14"/>
                <w:color w:val="auto"/>
              </w:rPr>
            </w:pPr>
          </w:p>
        </w:tc>
        <w:tc>
          <w:tcPr>
            <w:tcW w:w="1700" w:type="dxa"/>
            <w:vAlign w:val="bottom"/>
            <w:tcBorders>
              <w:bottom w:val="single" w:sz="8" w:color="auto"/>
              <w:right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8"/>
                <w:szCs w:val="18"/>
                <w:color w:val="auto"/>
                <w:w w:val="98"/>
              </w:rPr>
              <w:t>annum)</w:t>
            </w:r>
          </w:p>
        </w:tc>
        <w:tc>
          <w:tcPr>
            <w:tcW w:w="240" w:type="dxa"/>
            <w:vAlign w:val="bottom"/>
            <w:tcBorders>
              <w:bottom w:val="single" w:sz="8" w:color="auto"/>
              <w:right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Borders>
              <w:lef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ind w:right="1"/>
              <w:spacing w:after="0"/>
              <w:rPr>
                <w:sz w:val="20"/>
                <w:szCs w:val="20"/>
                <w:color w:val="auto"/>
              </w:rPr>
            </w:pPr>
            <w:r>
              <w:rPr>
                <w:rFonts w:ascii="Arial" w:cs="Arial" w:eastAsia="Arial" w:hAnsi="Arial"/>
                <w:sz w:val="20"/>
                <w:szCs w:val="20"/>
                <w:color w:val="auto"/>
                <w:w w:val="89"/>
              </w:rPr>
              <w:t>Category 1</w:t>
            </w:r>
          </w:p>
        </w:tc>
        <w:tc>
          <w:tcPr>
            <w:tcW w:w="170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color w:val="auto"/>
                <w:w w:val="96"/>
              </w:rPr>
              <w:t>Greater than or equal</w:t>
            </w:r>
          </w:p>
        </w:tc>
        <w:tc>
          <w:tcPr>
            <w:tcW w:w="1200" w:type="dxa"/>
            <w:vAlign w:val="bottom"/>
            <w:gridSpan w:val="4"/>
            <w:vMerge w:val="restart"/>
          </w:tcPr>
          <w:p>
            <w:pPr>
              <w:jc w:val="center"/>
              <w:ind w:left="81"/>
              <w:spacing w:after="0"/>
              <w:rPr>
                <w:sz w:val="20"/>
                <w:szCs w:val="20"/>
                <w:color w:val="auto"/>
              </w:rPr>
            </w:pPr>
            <w:r>
              <w:rPr>
                <w:rFonts w:ascii="Arial" w:cs="Arial" w:eastAsia="Arial" w:hAnsi="Arial"/>
                <w:sz w:val="20"/>
                <w:szCs w:val="20"/>
                <w:color w:val="auto"/>
                <w:w w:val="91"/>
              </w:rPr>
              <w:t>0.000%</w:t>
            </w:r>
          </w:p>
        </w:tc>
        <w:tc>
          <w:tcPr>
            <w:tcW w:w="220" w:type="dxa"/>
            <w:vAlign w:val="bottom"/>
            <w:tcBorders>
              <w:right w:val="single" w:sz="8" w:color="auto"/>
            </w:tcBorders>
          </w:tcPr>
          <w:p>
            <w:pPr>
              <w:spacing w:after="0"/>
              <w:rPr>
                <w:sz w:val="14"/>
                <w:szCs w:val="14"/>
                <w:color w:val="auto"/>
              </w:rPr>
            </w:pPr>
          </w:p>
        </w:tc>
        <w:tc>
          <w:tcPr>
            <w:tcW w:w="1140" w:type="dxa"/>
            <w:vAlign w:val="bottom"/>
            <w:gridSpan w:val="3"/>
            <w:vMerge w:val="restart"/>
          </w:tcPr>
          <w:p>
            <w:pPr>
              <w:jc w:val="center"/>
              <w:ind w:left="101"/>
              <w:spacing w:after="0"/>
              <w:rPr>
                <w:sz w:val="20"/>
                <w:szCs w:val="20"/>
                <w:color w:val="auto"/>
              </w:rPr>
            </w:pPr>
            <w:r>
              <w:rPr>
                <w:rFonts w:ascii="Arial" w:cs="Arial" w:eastAsia="Arial" w:hAnsi="Arial"/>
                <w:sz w:val="20"/>
                <w:szCs w:val="20"/>
                <w:color w:val="auto"/>
                <w:w w:val="91"/>
              </w:rPr>
              <w:t>0.875%</w:t>
            </w:r>
          </w:p>
        </w:tc>
        <w:tc>
          <w:tcPr>
            <w:tcW w:w="1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40" w:type="dxa"/>
            <w:vAlign w:val="bottom"/>
            <w:gridSpan w:val="4"/>
            <w:vMerge w:val="restart"/>
          </w:tcPr>
          <w:p>
            <w:pPr>
              <w:jc w:val="center"/>
              <w:ind w:left="221"/>
              <w:spacing w:after="0"/>
              <w:rPr>
                <w:sz w:val="20"/>
                <w:szCs w:val="20"/>
                <w:color w:val="auto"/>
              </w:rPr>
            </w:pPr>
            <w:r>
              <w:rPr>
                <w:rFonts w:ascii="Arial" w:cs="Arial" w:eastAsia="Arial" w:hAnsi="Arial"/>
                <w:sz w:val="20"/>
                <w:szCs w:val="20"/>
                <w:color w:val="auto"/>
                <w:w w:val="88"/>
              </w:rPr>
              <w:t>0.100%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20" w:type="dxa"/>
            <w:vAlign w:val="bottom"/>
            <w:gridSpan w:val="7"/>
            <w:vMerge w:val="restart"/>
          </w:tcPr>
          <w:p>
            <w:pPr>
              <w:jc w:val="right"/>
              <w:ind w:right="40"/>
              <w:spacing w:after="0"/>
              <w:rPr>
                <w:sz w:val="20"/>
                <w:szCs w:val="20"/>
                <w:color w:val="auto"/>
              </w:rPr>
            </w:pPr>
            <w:r>
              <w:rPr>
                <w:rFonts w:ascii="Arial" w:cs="Arial" w:eastAsia="Arial" w:hAnsi="Arial"/>
                <w:sz w:val="20"/>
                <w:szCs w:val="20"/>
                <w:color w:val="auto"/>
              </w:rPr>
              <w:t>0.100%</w:t>
            </w:r>
          </w:p>
        </w:tc>
        <w:tc>
          <w:tcPr>
            <w:tcW w:w="1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00" w:type="dxa"/>
            <w:vAlign w:val="bottom"/>
            <w:tcBorders>
              <w:left w:val="single" w:sz="8" w:color="auto"/>
            </w:tcBorders>
          </w:tcPr>
          <w:p>
            <w:pPr>
              <w:spacing w:after="0"/>
              <w:rPr>
                <w:sz w:val="21"/>
                <w:szCs w:val="21"/>
                <w:color w:val="auto"/>
              </w:rPr>
            </w:pPr>
          </w:p>
        </w:tc>
        <w:tc>
          <w:tcPr>
            <w:tcW w:w="1460" w:type="dxa"/>
            <w:vAlign w:val="bottom"/>
            <w:tcBorders>
              <w:right w:val="single" w:sz="8" w:color="auto"/>
            </w:tcBorders>
            <w:vMerge w:val="continue"/>
          </w:tcPr>
          <w:p>
            <w:pPr>
              <w:spacing w:after="0"/>
              <w:rPr>
                <w:sz w:val="21"/>
                <w:szCs w:val="21"/>
                <w:color w:val="auto"/>
              </w:rPr>
            </w:pP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to A/A2/A</w:t>
            </w:r>
          </w:p>
        </w:tc>
        <w:tc>
          <w:tcPr>
            <w:tcW w:w="1200" w:type="dxa"/>
            <w:vAlign w:val="bottom"/>
            <w:gridSpan w:val="4"/>
            <w:vMerge w:val="continue"/>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1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4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020" w:type="dxa"/>
            <w:vAlign w:val="bottom"/>
            <w:gridSpan w:val="7"/>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100" w:type="dxa"/>
            <w:vAlign w:val="bottom"/>
            <w:tcBorders>
              <w:left w:val="single" w:sz="8" w:color="auto"/>
            </w:tcBorders>
          </w:tcPr>
          <w:p>
            <w:pPr>
              <w:spacing w:after="0"/>
              <w:rPr>
                <w:sz w:val="23"/>
                <w:szCs w:val="23"/>
                <w:color w:val="auto"/>
              </w:rPr>
            </w:pPr>
          </w:p>
        </w:tc>
        <w:tc>
          <w:tcPr>
            <w:tcW w:w="146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color w:val="auto"/>
                <w:w w:val="89"/>
              </w:rPr>
              <w:t>Category 2</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A-/A3/A-</w:t>
            </w:r>
          </w:p>
        </w:tc>
        <w:tc>
          <w:tcPr>
            <w:tcW w:w="1200" w:type="dxa"/>
            <w:vAlign w:val="bottom"/>
            <w:gridSpan w:val="4"/>
          </w:tcPr>
          <w:p>
            <w:pPr>
              <w:jc w:val="center"/>
              <w:ind w:left="81"/>
              <w:spacing w:after="0"/>
              <w:rPr>
                <w:sz w:val="20"/>
                <w:szCs w:val="20"/>
                <w:color w:val="auto"/>
              </w:rPr>
            </w:pPr>
            <w:r>
              <w:rPr>
                <w:rFonts w:ascii="Arial" w:cs="Arial" w:eastAsia="Arial" w:hAnsi="Arial"/>
                <w:sz w:val="20"/>
                <w:szCs w:val="20"/>
                <w:color w:val="auto"/>
                <w:w w:val="91"/>
              </w:rPr>
              <w:t>0.000%</w:t>
            </w:r>
          </w:p>
        </w:tc>
        <w:tc>
          <w:tcPr>
            <w:tcW w:w="220" w:type="dxa"/>
            <w:vAlign w:val="bottom"/>
            <w:tcBorders>
              <w:right w:val="single" w:sz="8" w:color="auto"/>
            </w:tcBorders>
          </w:tcPr>
          <w:p>
            <w:pPr>
              <w:spacing w:after="0"/>
              <w:rPr>
                <w:sz w:val="23"/>
                <w:szCs w:val="23"/>
                <w:color w:val="auto"/>
              </w:rPr>
            </w:pPr>
          </w:p>
        </w:tc>
        <w:tc>
          <w:tcPr>
            <w:tcW w:w="1140" w:type="dxa"/>
            <w:vAlign w:val="bottom"/>
            <w:gridSpan w:val="3"/>
          </w:tcPr>
          <w:p>
            <w:pPr>
              <w:jc w:val="center"/>
              <w:ind w:left="101"/>
              <w:spacing w:after="0"/>
              <w:rPr>
                <w:sz w:val="20"/>
                <w:szCs w:val="20"/>
                <w:color w:val="auto"/>
              </w:rPr>
            </w:pPr>
            <w:r>
              <w:rPr>
                <w:rFonts w:ascii="Arial" w:cs="Arial" w:eastAsia="Arial" w:hAnsi="Arial"/>
                <w:sz w:val="20"/>
                <w:szCs w:val="20"/>
                <w:color w:val="auto"/>
                <w:w w:val="91"/>
              </w:rPr>
              <w:t>1.000%</w:t>
            </w:r>
          </w:p>
        </w:tc>
        <w:tc>
          <w:tcPr>
            <w:tcW w:w="1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40" w:type="dxa"/>
            <w:vAlign w:val="bottom"/>
            <w:gridSpan w:val="4"/>
          </w:tcPr>
          <w:p>
            <w:pPr>
              <w:jc w:val="center"/>
              <w:ind w:left="221"/>
              <w:spacing w:after="0"/>
              <w:rPr>
                <w:sz w:val="20"/>
                <w:szCs w:val="20"/>
                <w:color w:val="auto"/>
              </w:rPr>
            </w:pPr>
            <w:r>
              <w:rPr>
                <w:rFonts w:ascii="Arial" w:cs="Arial" w:eastAsia="Arial" w:hAnsi="Arial"/>
                <w:sz w:val="20"/>
                <w:szCs w:val="20"/>
                <w:color w:val="auto"/>
                <w:w w:val="88"/>
              </w:rPr>
              <w:t>0.125%</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1020" w:type="dxa"/>
            <w:vAlign w:val="bottom"/>
            <w:gridSpan w:val="7"/>
          </w:tcPr>
          <w:p>
            <w:pPr>
              <w:jc w:val="right"/>
              <w:ind w:right="40"/>
              <w:spacing w:after="0"/>
              <w:rPr>
                <w:sz w:val="20"/>
                <w:szCs w:val="20"/>
                <w:color w:val="auto"/>
              </w:rPr>
            </w:pPr>
            <w:r>
              <w:rPr>
                <w:rFonts w:ascii="Arial" w:cs="Arial" w:eastAsia="Arial" w:hAnsi="Arial"/>
                <w:sz w:val="20"/>
                <w:szCs w:val="20"/>
                <w:color w:val="auto"/>
              </w:rPr>
              <w:t>0.125%</w:t>
            </w:r>
          </w:p>
        </w:tc>
        <w:tc>
          <w:tcPr>
            <w:tcW w:w="12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00" w:type="dxa"/>
            <w:vAlign w:val="bottom"/>
            <w:tcBorders>
              <w:left w:val="single" w:sz="8" w:color="auto"/>
            </w:tcBorders>
          </w:tcPr>
          <w:p>
            <w:pPr>
              <w:spacing w:after="0"/>
              <w:rPr>
                <w:sz w:val="23"/>
                <w:szCs w:val="23"/>
                <w:color w:val="auto"/>
              </w:rPr>
            </w:pPr>
          </w:p>
        </w:tc>
        <w:tc>
          <w:tcPr>
            <w:tcW w:w="146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color w:val="auto"/>
                <w:w w:val="89"/>
              </w:rPr>
              <w:t>Category 3</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BBB+/Baa1/BBB+</w:t>
            </w:r>
          </w:p>
        </w:tc>
        <w:tc>
          <w:tcPr>
            <w:tcW w:w="1200" w:type="dxa"/>
            <w:vAlign w:val="bottom"/>
            <w:gridSpan w:val="4"/>
          </w:tcPr>
          <w:p>
            <w:pPr>
              <w:jc w:val="center"/>
              <w:ind w:left="81"/>
              <w:spacing w:after="0"/>
              <w:rPr>
                <w:sz w:val="20"/>
                <w:szCs w:val="20"/>
                <w:color w:val="auto"/>
              </w:rPr>
            </w:pPr>
            <w:r>
              <w:rPr>
                <w:rFonts w:ascii="Arial" w:cs="Arial" w:eastAsia="Arial" w:hAnsi="Arial"/>
                <w:sz w:val="20"/>
                <w:szCs w:val="20"/>
                <w:color w:val="auto"/>
                <w:w w:val="91"/>
              </w:rPr>
              <w:t>0.125%</w:t>
            </w:r>
          </w:p>
        </w:tc>
        <w:tc>
          <w:tcPr>
            <w:tcW w:w="220" w:type="dxa"/>
            <w:vAlign w:val="bottom"/>
            <w:tcBorders>
              <w:right w:val="single" w:sz="8" w:color="auto"/>
            </w:tcBorders>
          </w:tcPr>
          <w:p>
            <w:pPr>
              <w:spacing w:after="0"/>
              <w:rPr>
                <w:sz w:val="23"/>
                <w:szCs w:val="23"/>
                <w:color w:val="auto"/>
              </w:rPr>
            </w:pPr>
          </w:p>
        </w:tc>
        <w:tc>
          <w:tcPr>
            <w:tcW w:w="1140" w:type="dxa"/>
            <w:vAlign w:val="bottom"/>
            <w:gridSpan w:val="3"/>
          </w:tcPr>
          <w:p>
            <w:pPr>
              <w:jc w:val="center"/>
              <w:ind w:left="101"/>
              <w:spacing w:after="0"/>
              <w:rPr>
                <w:sz w:val="20"/>
                <w:szCs w:val="20"/>
                <w:color w:val="auto"/>
              </w:rPr>
            </w:pPr>
            <w:r>
              <w:rPr>
                <w:rFonts w:ascii="Arial" w:cs="Arial" w:eastAsia="Arial" w:hAnsi="Arial"/>
                <w:sz w:val="20"/>
                <w:szCs w:val="20"/>
                <w:color w:val="auto"/>
                <w:w w:val="91"/>
              </w:rPr>
              <w:t>1.125%</w:t>
            </w:r>
          </w:p>
        </w:tc>
        <w:tc>
          <w:tcPr>
            <w:tcW w:w="1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40" w:type="dxa"/>
            <w:vAlign w:val="bottom"/>
            <w:gridSpan w:val="4"/>
          </w:tcPr>
          <w:p>
            <w:pPr>
              <w:jc w:val="center"/>
              <w:ind w:left="221"/>
              <w:spacing w:after="0"/>
              <w:rPr>
                <w:sz w:val="20"/>
                <w:szCs w:val="20"/>
                <w:color w:val="auto"/>
              </w:rPr>
            </w:pPr>
            <w:r>
              <w:rPr>
                <w:rFonts w:ascii="Arial" w:cs="Arial" w:eastAsia="Arial" w:hAnsi="Arial"/>
                <w:sz w:val="20"/>
                <w:szCs w:val="20"/>
                <w:color w:val="auto"/>
                <w:w w:val="88"/>
              </w:rPr>
              <w:t>0.150%</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1020" w:type="dxa"/>
            <w:vAlign w:val="bottom"/>
            <w:gridSpan w:val="7"/>
          </w:tcPr>
          <w:p>
            <w:pPr>
              <w:jc w:val="right"/>
              <w:ind w:right="40"/>
              <w:spacing w:after="0"/>
              <w:rPr>
                <w:sz w:val="20"/>
                <w:szCs w:val="20"/>
                <w:color w:val="auto"/>
              </w:rPr>
            </w:pPr>
            <w:r>
              <w:rPr>
                <w:rFonts w:ascii="Arial" w:cs="Arial" w:eastAsia="Arial" w:hAnsi="Arial"/>
                <w:sz w:val="20"/>
                <w:szCs w:val="20"/>
                <w:color w:val="auto"/>
              </w:rPr>
              <w:t>0.150%</w:t>
            </w:r>
          </w:p>
        </w:tc>
        <w:tc>
          <w:tcPr>
            <w:tcW w:w="12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00" w:type="dxa"/>
            <w:vAlign w:val="bottom"/>
            <w:tcBorders>
              <w:left w:val="single" w:sz="8" w:color="auto"/>
            </w:tcBorders>
          </w:tcPr>
          <w:p>
            <w:pPr>
              <w:spacing w:after="0"/>
              <w:rPr>
                <w:sz w:val="23"/>
                <w:szCs w:val="23"/>
                <w:color w:val="auto"/>
              </w:rPr>
            </w:pPr>
          </w:p>
        </w:tc>
        <w:tc>
          <w:tcPr>
            <w:tcW w:w="146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color w:val="auto"/>
                <w:w w:val="89"/>
              </w:rPr>
              <w:t>Category 4</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BBB/Baa2/BBB</w:t>
            </w:r>
          </w:p>
        </w:tc>
        <w:tc>
          <w:tcPr>
            <w:tcW w:w="1200" w:type="dxa"/>
            <w:vAlign w:val="bottom"/>
            <w:gridSpan w:val="4"/>
          </w:tcPr>
          <w:p>
            <w:pPr>
              <w:jc w:val="center"/>
              <w:ind w:left="81"/>
              <w:spacing w:after="0"/>
              <w:rPr>
                <w:sz w:val="20"/>
                <w:szCs w:val="20"/>
                <w:color w:val="auto"/>
              </w:rPr>
            </w:pPr>
            <w:r>
              <w:rPr>
                <w:rFonts w:ascii="Arial" w:cs="Arial" w:eastAsia="Arial" w:hAnsi="Arial"/>
                <w:sz w:val="20"/>
                <w:szCs w:val="20"/>
                <w:color w:val="auto"/>
                <w:w w:val="91"/>
              </w:rPr>
              <w:t>0.250%</w:t>
            </w:r>
          </w:p>
        </w:tc>
        <w:tc>
          <w:tcPr>
            <w:tcW w:w="220" w:type="dxa"/>
            <w:vAlign w:val="bottom"/>
            <w:tcBorders>
              <w:right w:val="single" w:sz="8" w:color="auto"/>
            </w:tcBorders>
          </w:tcPr>
          <w:p>
            <w:pPr>
              <w:spacing w:after="0"/>
              <w:rPr>
                <w:sz w:val="23"/>
                <w:szCs w:val="23"/>
                <w:color w:val="auto"/>
              </w:rPr>
            </w:pPr>
          </w:p>
        </w:tc>
        <w:tc>
          <w:tcPr>
            <w:tcW w:w="1140" w:type="dxa"/>
            <w:vAlign w:val="bottom"/>
            <w:gridSpan w:val="3"/>
          </w:tcPr>
          <w:p>
            <w:pPr>
              <w:jc w:val="center"/>
              <w:ind w:left="101"/>
              <w:spacing w:after="0"/>
              <w:rPr>
                <w:sz w:val="20"/>
                <w:szCs w:val="20"/>
                <w:color w:val="auto"/>
              </w:rPr>
            </w:pPr>
            <w:r>
              <w:rPr>
                <w:rFonts w:ascii="Arial" w:cs="Arial" w:eastAsia="Arial" w:hAnsi="Arial"/>
                <w:sz w:val="20"/>
                <w:szCs w:val="20"/>
                <w:color w:val="auto"/>
                <w:w w:val="91"/>
              </w:rPr>
              <w:t>1.250%</w:t>
            </w:r>
          </w:p>
        </w:tc>
        <w:tc>
          <w:tcPr>
            <w:tcW w:w="1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40" w:type="dxa"/>
            <w:vAlign w:val="bottom"/>
            <w:gridSpan w:val="4"/>
          </w:tcPr>
          <w:p>
            <w:pPr>
              <w:jc w:val="center"/>
              <w:ind w:left="221"/>
              <w:spacing w:after="0"/>
              <w:rPr>
                <w:sz w:val="20"/>
                <w:szCs w:val="20"/>
                <w:color w:val="auto"/>
              </w:rPr>
            </w:pPr>
            <w:r>
              <w:rPr>
                <w:rFonts w:ascii="Arial" w:cs="Arial" w:eastAsia="Arial" w:hAnsi="Arial"/>
                <w:sz w:val="20"/>
                <w:szCs w:val="20"/>
                <w:color w:val="auto"/>
                <w:w w:val="88"/>
              </w:rPr>
              <w:t>0.200%</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1020" w:type="dxa"/>
            <w:vAlign w:val="bottom"/>
            <w:gridSpan w:val="7"/>
          </w:tcPr>
          <w:p>
            <w:pPr>
              <w:jc w:val="right"/>
              <w:ind w:right="40"/>
              <w:spacing w:after="0"/>
              <w:rPr>
                <w:sz w:val="20"/>
                <w:szCs w:val="20"/>
                <w:color w:val="auto"/>
              </w:rPr>
            </w:pPr>
            <w:r>
              <w:rPr>
                <w:rFonts w:ascii="Arial" w:cs="Arial" w:eastAsia="Arial" w:hAnsi="Arial"/>
                <w:sz w:val="20"/>
                <w:szCs w:val="20"/>
                <w:color w:val="auto"/>
              </w:rPr>
              <w:t>0.200%</w:t>
            </w:r>
          </w:p>
        </w:tc>
        <w:tc>
          <w:tcPr>
            <w:tcW w:w="12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00" w:type="dxa"/>
            <w:vAlign w:val="bottom"/>
            <w:tcBorders>
              <w:left w:val="single" w:sz="8" w:color="auto"/>
            </w:tcBorders>
          </w:tcPr>
          <w:p>
            <w:pPr>
              <w:spacing w:after="0"/>
              <w:rPr>
                <w:sz w:val="13"/>
                <w:szCs w:val="13"/>
                <w:color w:val="auto"/>
              </w:rPr>
            </w:pPr>
          </w:p>
        </w:tc>
        <w:tc>
          <w:tcPr>
            <w:tcW w:w="1460" w:type="dxa"/>
            <w:vAlign w:val="bottom"/>
            <w:tcBorders>
              <w:right w:val="single" w:sz="8" w:color="auto"/>
            </w:tcBorders>
            <w:vMerge w:val="restart"/>
          </w:tcPr>
          <w:p>
            <w:pPr>
              <w:jc w:val="center"/>
              <w:ind w:right="1"/>
              <w:spacing w:after="0"/>
              <w:rPr>
                <w:sz w:val="20"/>
                <w:szCs w:val="20"/>
                <w:color w:val="auto"/>
              </w:rPr>
            </w:pPr>
            <w:r>
              <w:rPr>
                <w:rFonts w:ascii="Arial" w:cs="Arial" w:eastAsia="Arial" w:hAnsi="Arial"/>
                <w:sz w:val="20"/>
                <w:szCs w:val="20"/>
                <w:color w:val="auto"/>
                <w:w w:val="89"/>
              </w:rPr>
              <w:t>Category 5</w:t>
            </w:r>
          </w:p>
        </w:tc>
        <w:tc>
          <w:tcPr>
            <w:tcW w:w="1700" w:type="dxa"/>
            <w:vAlign w:val="bottom"/>
            <w:tcBorders>
              <w:right w:val="single" w:sz="8" w:color="auto"/>
            </w:tcBorders>
          </w:tcPr>
          <w:p>
            <w:pPr>
              <w:spacing w:after="0" w:line="156" w:lineRule="exact"/>
              <w:rPr>
                <w:sz w:val="20"/>
                <w:szCs w:val="20"/>
                <w:color w:val="auto"/>
              </w:rPr>
            </w:pPr>
            <w:r>
              <w:rPr>
                <w:rFonts w:ascii="Arial" w:cs="Arial" w:eastAsia="Arial" w:hAnsi="Arial"/>
                <w:sz w:val="18"/>
                <w:szCs w:val="18"/>
                <w:color w:val="auto"/>
              </w:rPr>
              <w:t>BBB-/Baa3/BBB- or</w:t>
            </w:r>
          </w:p>
        </w:tc>
        <w:tc>
          <w:tcPr>
            <w:tcW w:w="1200" w:type="dxa"/>
            <w:vAlign w:val="bottom"/>
            <w:gridSpan w:val="4"/>
            <w:vMerge w:val="restart"/>
          </w:tcPr>
          <w:p>
            <w:pPr>
              <w:jc w:val="center"/>
              <w:ind w:left="81"/>
              <w:spacing w:after="0"/>
              <w:rPr>
                <w:sz w:val="20"/>
                <w:szCs w:val="20"/>
                <w:color w:val="auto"/>
              </w:rPr>
            </w:pPr>
            <w:r>
              <w:rPr>
                <w:rFonts w:ascii="Arial" w:cs="Arial" w:eastAsia="Arial" w:hAnsi="Arial"/>
                <w:sz w:val="20"/>
                <w:szCs w:val="20"/>
                <w:color w:val="auto"/>
                <w:w w:val="91"/>
              </w:rPr>
              <w:t>0.500%</w:t>
            </w:r>
          </w:p>
        </w:tc>
        <w:tc>
          <w:tcPr>
            <w:tcW w:w="220" w:type="dxa"/>
            <w:vAlign w:val="bottom"/>
            <w:tcBorders>
              <w:right w:val="single" w:sz="8" w:color="auto"/>
            </w:tcBorders>
          </w:tcPr>
          <w:p>
            <w:pPr>
              <w:spacing w:after="0"/>
              <w:rPr>
                <w:sz w:val="13"/>
                <w:szCs w:val="13"/>
                <w:color w:val="auto"/>
              </w:rPr>
            </w:pPr>
          </w:p>
        </w:tc>
        <w:tc>
          <w:tcPr>
            <w:tcW w:w="1140" w:type="dxa"/>
            <w:vAlign w:val="bottom"/>
            <w:gridSpan w:val="3"/>
            <w:vMerge w:val="restart"/>
          </w:tcPr>
          <w:p>
            <w:pPr>
              <w:jc w:val="center"/>
              <w:ind w:left="101"/>
              <w:spacing w:after="0"/>
              <w:rPr>
                <w:sz w:val="20"/>
                <w:szCs w:val="20"/>
                <w:color w:val="auto"/>
              </w:rPr>
            </w:pPr>
            <w:r>
              <w:rPr>
                <w:rFonts w:ascii="Arial" w:cs="Arial" w:eastAsia="Arial" w:hAnsi="Arial"/>
                <w:sz w:val="20"/>
                <w:szCs w:val="20"/>
                <w:color w:val="auto"/>
                <w:w w:val="91"/>
              </w:rPr>
              <w:t>1.500%</w:t>
            </w:r>
          </w:p>
        </w:tc>
        <w:tc>
          <w:tcPr>
            <w:tcW w:w="1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40" w:type="dxa"/>
            <w:vAlign w:val="bottom"/>
            <w:gridSpan w:val="4"/>
            <w:vMerge w:val="restart"/>
          </w:tcPr>
          <w:p>
            <w:pPr>
              <w:jc w:val="center"/>
              <w:ind w:left="221"/>
              <w:spacing w:after="0"/>
              <w:rPr>
                <w:sz w:val="20"/>
                <w:szCs w:val="20"/>
                <w:color w:val="auto"/>
              </w:rPr>
            </w:pPr>
            <w:r>
              <w:rPr>
                <w:rFonts w:ascii="Arial" w:cs="Arial" w:eastAsia="Arial" w:hAnsi="Arial"/>
                <w:sz w:val="20"/>
                <w:szCs w:val="20"/>
                <w:color w:val="auto"/>
                <w:w w:val="88"/>
              </w:rPr>
              <w:t>0.250%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20" w:type="dxa"/>
            <w:vAlign w:val="bottom"/>
            <w:gridSpan w:val="7"/>
            <w:vMerge w:val="restart"/>
          </w:tcPr>
          <w:p>
            <w:pPr>
              <w:jc w:val="right"/>
              <w:ind w:right="40"/>
              <w:spacing w:after="0"/>
              <w:rPr>
                <w:sz w:val="20"/>
                <w:szCs w:val="20"/>
                <w:color w:val="auto"/>
              </w:rPr>
            </w:pPr>
            <w:r>
              <w:rPr>
                <w:rFonts w:ascii="Arial" w:cs="Arial" w:eastAsia="Arial" w:hAnsi="Arial"/>
                <w:sz w:val="20"/>
                <w:szCs w:val="20"/>
                <w:color w:val="auto"/>
              </w:rPr>
              <w:t>0.250%</w:t>
            </w:r>
          </w:p>
        </w:tc>
        <w:tc>
          <w:tcPr>
            <w:tcW w:w="1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0" w:type="dxa"/>
            <w:vAlign w:val="bottom"/>
            <w:tcBorders>
              <w:left w:val="single" w:sz="8" w:color="auto"/>
            </w:tcBorders>
          </w:tcPr>
          <w:p>
            <w:pPr>
              <w:spacing w:after="0"/>
              <w:rPr>
                <w:sz w:val="21"/>
                <w:szCs w:val="21"/>
                <w:color w:val="auto"/>
              </w:rPr>
            </w:pPr>
          </w:p>
        </w:tc>
        <w:tc>
          <w:tcPr>
            <w:tcW w:w="1460" w:type="dxa"/>
            <w:vAlign w:val="bottom"/>
            <w:tcBorders>
              <w:right w:val="single" w:sz="8" w:color="auto"/>
            </w:tcBorders>
            <w:vMerge w:val="continue"/>
          </w:tcPr>
          <w:p>
            <w:pPr>
              <w:spacing w:after="0"/>
              <w:rPr>
                <w:sz w:val="21"/>
                <w:szCs w:val="21"/>
                <w:color w:val="auto"/>
              </w:rPr>
            </w:pP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lower or unrated</w:t>
            </w:r>
          </w:p>
        </w:tc>
        <w:tc>
          <w:tcPr>
            <w:tcW w:w="1200" w:type="dxa"/>
            <w:vAlign w:val="bottom"/>
            <w:gridSpan w:val="4"/>
            <w:vMerge w:val="continue"/>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1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4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020" w:type="dxa"/>
            <w:vAlign w:val="bottom"/>
            <w:gridSpan w:val="7"/>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100" w:right="99" w:firstLine="1296"/>
        <w:spacing w:after="0" w:line="257" w:lineRule="auto"/>
        <w:rPr>
          <w:sz w:val="20"/>
          <w:szCs w:val="20"/>
          <w:color w:val="auto"/>
        </w:rPr>
      </w:pPr>
      <w:r>
        <w:rPr>
          <w:rFonts w:ascii="Arial" w:cs="Arial" w:eastAsia="Arial" w:hAnsi="Arial"/>
          <w:sz w:val="19"/>
          <w:szCs w:val="19"/>
          <w:color w:val="auto"/>
        </w:rPr>
        <w:t>For purposes of the foregoing, (a) if any of S&amp;P, Moody’s or Fitch shall not have in effect a Debt Rating (other than by reason of any of the circumstances referred to in the last sentence of this paragraph), then (i) if only one Rating Agency shall not have in effect a Debt Rating, the Pricing Category shall be based on the Debt Ratings of the other two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307340</wp:posOffset>
            </wp:positionV>
            <wp:extent cx="5642610" cy="514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0" w:name="page191"/>
    <w:bookmarkEnd w:id="190"/>
    <w:p>
      <w:pPr>
        <w:jc w:val="right"/>
        <w:ind w:right="99"/>
        <w:spacing w:after="0"/>
        <w:rPr>
          <w:sz w:val="20"/>
          <w:szCs w:val="20"/>
          <w:color w:val="auto"/>
        </w:rPr>
      </w:pPr>
      <w:r>
        <w:rPr>
          <w:rFonts w:ascii="Arial" w:cs="Arial" w:eastAsia="Arial" w:hAnsi="Arial"/>
          <w:sz w:val="22"/>
          <w:szCs w:val="22"/>
          <w:color w:val="auto"/>
        </w:rPr>
        <w:t>4</w:t>
      </w:r>
    </w:p>
    <w:p>
      <w:pPr>
        <w:spacing w:after="0" w:line="396" w:lineRule="exact"/>
        <w:rPr>
          <w:sz w:val="20"/>
          <w:szCs w:val="20"/>
          <w:color w:val="auto"/>
        </w:rPr>
      </w:pPr>
    </w:p>
    <w:p>
      <w:pPr>
        <w:jc w:val="both"/>
        <w:ind w:left="100" w:right="99" w:firstLine="5"/>
        <w:spacing w:after="0"/>
        <w:tabs>
          <w:tab w:leader="none" w:pos="42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if two Rating Agencies shall not have in effect a Debt Rating, one of such Rating Agencies shall be deemed to have established a Debt Rating in Category 5 and the Pricing Category shall be based on such deemed Debt Rating and the remaining effective Debt Rating, and (iii) if no Rating Agency shall have in effect a Debt Rating, the Pricing Category shall be Category 5, (b) if Debt Ratings are in effect or deemed to have been established from only two Rating Agencies, and such Debt Ratings fall into different Categories, the Pricing Category shall be based on the higher of such Debt Ratings unless such Debt Ratings differ by two or more Categories, in which case the applicable Pricing Category shall be based on the Category one Category below the Pricing Category corresponding to the higher of such Debt Ratings and (c) if Debt Ratings are in effect from all three Rating Agencies and (i) all three Debt Ratings fall into different Categories, the applicable Pricing Category shall be based on the Category indicated by the Debt Rating that is neither the highest nor the lowest of the three Debt Ratings or (ii) two of the three Debt Ratings fall into one Category (the “</w:t>
      </w:r>
      <w:r>
        <w:rPr>
          <w:rFonts w:ascii="Arial" w:cs="Arial" w:eastAsia="Arial" w:hAnsi="Arial"/>
          <w:sz w:val="19"/>
          <w:szCs w:val="19"/>
          <w:u w:val="single" w:color="auto"/>
          <w:color w:val="auto"/>
        </w:rPr>
        <w:t>Majority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Category</w:t>
      </w:r>
      <w:r>
        <w:rPr>
          <w:rFonts w:ascii="Arial" w:cs="Arial" w:eastAsia="Arial" w:hAnsi="Arial"/>
          <w:sz w:val="19"/>
          <w:szCs w:val="19"/>
          <w:color w:val="auto"/>
        </w:rPr>
        <w:t>”) and the third Debt Rating falls into a different Category, the applicable Pricing Category shall be based on the Category indicated by the Majority Category. Each change in the Pricing Category for any Debt Rating shall apply during the period commencing on the effective date of such change and ending on the date immediately preceding the effective date of the next such change. If the rating system of any Rating Agency shall change, or if any Rating Agency shall cease to be in the business of rating corporate debt obligations, the Company and the Lenders shall negotiate in good faith to amend this definition to reflect such changed rating system or the unavailability of a Debt Rating from such Rating Agency and, pending the effectiveness of any such amendment, for purposes of determining the applicable Pricing Category such Rating Agency shall be deemed to have in effect the Debt Rating from such Rating Agency most recently in effect prior to such change or cessation.</w:t>
      </w:r>
    </w:p>
    <w:p>
      <w:pPr>
        <w:spacing w:after="0" w:line="163" w:lineRule="exact"/>
        <w:rPr>
          <w:sz w:val="20"/>
          <w:szCs w:val="20"/>
          <w:color w:val="auto"/>
        </w:rPr>
      </w:pPr>
    </w:p>
    <w:p>
      <w:pPr>
        <w:jc w:val="both"/>
        <w:ind w:left="100" w:right="99"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45" w:lineRule="exact"/>
        <w:rPr>
          <w:sz w:val="20"/>
          <w:szCs w:val="20"/>
          <w:color w:val="auto"/>
        </w:rPr>
      </w:pPr>
    </w:p>
    <w:p>
      <w:pPr>
        <w:jc w:val="both"/>
        <w:ind w:left="100" w:right="99"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Eligible Assignee, with the consent of any Person whose consent is required by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and accepted by the Administrative Agent,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any other form (including electronic records generated by the use of an electronic platform) approved by the Administrative Agent.</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Assumption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w:t>
      </w:r>
    </w:p>
    <w:p>
      <w:pPr>
        <w:spacing w:after="0" w:line="179"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means the period from and including the Effective Date to but excluding the earlier of the Maturity Date and the date of termination of the Tranche 1 Commitments.</w:t>
      </w:r>
    </w:p>
    <w:p>
      <w:pPr>
        <w:spacing w:after="0" w:line="106"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means the exercise of any Write-Down and Conversion Powers by the applicable EEA Resolution Authority in respect of any liability of an EEA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282575</wp:posOffset>
            </wp:positionV>
            <wp:extent cx="5642610" cy="514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1" w:name="page192"/>
    <w:bookmarkEnd w:id="191"/>
    <w:p>
      <w:pPr>
        <w:jc w:val="right"/>
        <w:ind w:right="99"/>
        <w:spacing w:after="0"/>
        <w:rPr>
          <w:sz w:val="20"/>
          <w:szCs w:val="20"/>
          <w:color w:val="auto"/>
        </w:rPr>
      </w:pPr>
      <w:r>
        <w:rPr>
          <w:rFonts w:ascii="Arial" w:cs="Arial" w:eastAsia="Arial" w:hAnsi="Arial"/>
          <w:sz w:val="22"/>
          <w:szCs w:val="22"/>
          <w:color w:val="auto"/>
        </w:rPr>
        <w:t>5</w:t>
      </w:r>
    </w:p>
    <w:p>
      <w:pPr>
        <w:spacing w:after="0" w:line="396"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that is described in the EU Bail-In Legislation Schedule.</w:t>
      </w:r>
    </w:p>
    <w:p>
      <w:pPr>
        <w:spacing w:after="0" w:line="161" w:lineRule="exact"/>
        <w:rPr>
          <w:sz w:val="20"/>
          <w:szCs w:val="20"/>
          <w:color w:val="auto"/>
        </w:rPr>
      </w:pPr>
    </w:p>
    <w:p>
      <w:pPr>
        <w:jc w:val="both"/>
        <w:ind w:left="100" w:right="99"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that such Person has become the subject of a voluntary or involuntary bankruptcy or insolvency proceeding, or has had a receiver, liquidator,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contracts or agreements made by such Person.</w:t>
      </w:r>
    </w:p>
    <w:p>
      <w:pPr>
        <w:spacing w:after="0" w:line="165"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179" w:lineRule="exact"/>
        <w:rPr>
          <w:sz w:val="20"/>
          <w:szCs w:val="20"/>
          <w:color w:val="auto"/>
        </w:rPr>
      </w:pPr>
    </w:p>
    <w:p>
      <w:pPr>
        <w:jc w:val="both"/>
        <w:ind w:left="100" w:right="99"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8"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Governors</w:t>
      </w:r>
      <w:r>
        <w:rPr>
          <w:rFonts w:ascii="Arial" w:cs="Arial" w:eastAsia="Arial" w:hAnsi="Arial"/>
          <w:sz w:val="22"/>
          <w:szCs w:val="22"/>
          <w:color w:val="auto"/>
        </w:rPr>
        <w:t>” means the Board of Governors of the Federal Reserve System of the United States of America.</w:t>
      </w:r>
    </w:p>
    <w:p>
      <w:pPr>
        <w:spacing w:after="0" w:line="15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(a) Loans of the same Class and Type made, converted or continued on the same date and, in the case of LIBOR Loans, as to which a single Interest Period is in effect or (b) a Swingline Loan.</w:t>
      </w:r>
    </w:p>
    <w:p>
      <w:pPr>
        <w:spacing w:after="0" w:line="159" w:lineRule="exact"/>
        <w:rPr>
          <w:sz w:val="20"/>
          <w:szCs w:val="20"/>
          <w:color w:val="auto"/>
        </w:rPr>
      </w:pPr>
    </w:p>
    <w:p>
      <w:pPr>
        <w:jc w:val="both"/>
        <w:ind w:left="100" w:right="99"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Request</w:t>
      </w:r>
      <w:r>
        <w:rPr>
          <w:rFonts w:ascii="Arial" w:cs="Arial" w:eastAsia="Arial" w:hAnsi="Arial"/>
          <w:sz w:val="21"/>
          <w:szCs w:val="21"/>
          <w:color w:val="auto"/>
        </w:rPr>
        <w:t xml:space="preserve">” means a request by the Company for a Borrowing in accordance with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which shall be, in the case of any such written request,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or any other form approved by the Administrative Agent.</w:t>
      </w:r>
    </w:p>
    <w:p>
      <w:pPr>
        <w:spacing w:after="0" w:line="158"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Bridge Commitment</w:t>
      </w:r>
      <w:r>
        <w:rPr>
          <w:rFonts w:ascii="Arial" w:cs="Arial" w:eastAsia="Arial" w:hAnsi="Arial"/>
          <w:sz w:val="22"/>
          <w:szCs w:val="22"/>
          <w:color w:val="auto"/>
        </w:rPr>
        <w:t xml:space="preserve">” means, with respect to any Lender, the commitment, if any, of such Lender, established pursuant to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and the Bridge Facility Agreement, to make a Bridge Loan hereunder, expressed as an amount representing the maximum principal amount of the Bridge Loan to be made by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317500</wp:posOffset>
            </wp:positionV>
            <wp:extent cx="5642610" cy="51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2" w:name="page193"/>
    <w:bookmarkEnd w:id="192"/>
    <w:p>
      <w:pPr>
        <w:ind w:left="8820"/>
        <w:spacing w:after="0"/>
        <w:rPr>
          <w:sz w:val="20"/>
          <w:szCs w:val="20"/>
          <w:color w:val="auto"/>
        </w:rPr>
      </w:pPr>
      <w:r>
        <w:rPr>
          <w:rFonts w:ascii="Arial" w:cs="Arial" w:eastAsia="Arial" w:hAnsi="Arial"/>
          <w:sz w:val="17"/>
          <w:szCs w:val="17"/>
          <w:color w:val="auto"/>
        </w:rPr>
        <w:t>6</w:t>
      </w:r>
    </w:p>
    <w:p>
      <w:pPr>
        <w:spacing w:after="0" w:line="200" w:lineRule="exact"/>
        <w:rPr>
          <w:sz w:val="20"/>
          <w:szCs w:val="20"/>
          <w:color w:val="auto"/>
        </w:rPr>
      </w:pPr>
    </w:p>
    <w:p>
      <w:pPr>
        <w:spacing w:after="0" w:line="254"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Bridge Commitment Letter</w:t>
      </w:r>
      <w:r>
        <w:rPr>
          <w:rFonts w:ascii="Arial" w:cs="Arial" w:eastAsia="Arial" w:hAnsi="Arial"/>
          <w:sz w:val="22"/>
          <w:szCs w:val="22"/>
          <w:color w:val="auto"/>
        </w:rPr>
        <w:t>” means the Commitment Letter dated October 22, 2018, among the Company, Goldman Sachs Bank USA and Royal Bank of Canada, as supplemented by the Joinder to Commitment Letter dated November 6, 2018.</w:t>
      </w:r>
    </w:p>
    <w:p>
      <w:pPr>
        <w:spacing w:after="0" w:line="15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Bridge Facility</w:t>
      </w:r>
      <w:r>
        <w:rPr>
          <w:rFonts w:ascii="Arial" w:cs="Arial" w:eastAsia="Arial" w:hAnsi="Arial"/>
          <w:sz w:val="22"/>
          <w:szCs w:val="22"/>
          <w:color w:val="auto"/>
        </w:rPr>
        <w:t xml:space="preserve">” means the bridge loan facility, if any, established hereunder pursuant to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and the Bridge Facility Agreement, including the Bridge Commitments and the Bridge Loans.</w:t>
      </w:r>
    </w:p>
    <w:p>
      <w:pPr>
        <w:spacing w:after="0" w:line="15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Bridge Facility Agent</w:t>
      </w:r>
      <w:r>
        <w:rPr>
          <w:rFonts w:ascii="Arial" w:cs="Arial" w:eastAsia="Arial" w:hAnsi="Arial"/>
          <w:sz w:val="22"/>
          <w:szCs w:val="22"/>
          <w:color w:val="auto"/>
        </w:rPr>
        <w:t xml:space="preserve">” means Goldman Sachs Bank USA, in its capacity as the administrative agent hereunder and under the other Loan Documents with respect to the Bridge Facility, if established hereunder pursuant to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159" w:lineRule="exact"/>
        <w:rPr>
          <w:sz w:val="20"/>
          <w:szCs w:val="20"/>
          <w:color w:val="auto"/>
        </w:rPr>
      </w:pPr>
    </w:p>
    <w:p>
      <w:pPr>
        <w:jc w:val="both"/>
        <w:ind w:left="100" w:right="99"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Bridge Facility Agreement</w:t>
      </w:r>
      <w:r>
        <w:rPr>
          <w:rFonts w:ascii="Arial" w:cs="Arial" w:eastAsia="Arial" w:hAnsi="Arial"/>
          <w:sz w:val="22"/>
          <w:szCs w:val="22"/>
          <w:color w:val="auto"/>
        </w:rPr>
        <w:t xml:space="preserve">” means a Bridge Facility Agreement, in form and substance reasonably satisfactory to the Company and the Bridge Facility Agent, among the Company, the Bridge Facility Agent and the Bridge Lenders, establishing the Bridge Commitments and effecting such other amendments hereto and to the other Loan Documents as are contemplated by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158"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Bridge Facility Amount</w:t>
      </w:r>
      <w:r>
        <w:rPr>
          <w:rFonts w:ascii="Arial" w:cs="Arial" w:eastAsia="Arial" w:hAnsi="Arial"/>
          <w:sz w:val="22"/>
          <w:szCs w:val="22"/>
          <w:color w:val="auto"/>
        </w:rPr>
        <w:t>” means, at any time, the lesser of (a) $5,100,000,000 and (b) the maximum principal amount of the bridge loan facility referred to in, and as determined at such time under, the Bridge Commitment Letter.</w:t>
      </w:r>
    </w:p>
    <w:p>
      <w:pPr>
        <w:spacing w:after="0" w:line="159"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Bridge Facility Arrangers</w:t>
      </w:r>
      <w:r>
        <w:rPr>
          <w:rFonts w:ascii="Arial" w:cs="Arial" w:eastAsia="Arial" w:hAnsi="Arial"/>
          <w:sz w:val="19"/>
          <w:szCs w:val="19"/>
          <w:color w:val="auto"/>
        </w:rPr>
        <w:t>” means Goldman Sachs Bank USA and RBC Capital Markets, in their capacities as the joint lead arrangers and joint bookrunners for the Bridge Facility.</w:t>
      </w:r>
    </w:p>
    <w:p>
      <w:pPr>
        <w:spacing w:after="0" w:line="106"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Bridge Lender</w:t>
      </w:r>
      <w:r>
        <w:rPr>
          <w:rFonts w:ascii="Arial" w:cs="Arial" w:eastAsia="Arial" w:hAnsi="Arial"/>
          <w:sz w:val="19"/>
          <w:szCs w:val="19"/>
          <w:color w:val="auto"/>
        </w:rPr>
        <w:t>” means a Lender with a Bridge Commitment or an outstanding Bridge</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Loan.</w:t>
      </w:r>
    </w:p>
    <w:p>
      <w:pPr>
        <w:spacing w:after="0" w:line="161"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Bridge Loan</w:t>
      </w:r>
      <w:r>
        <w:rPr>
          <w:rFonts w:ascii="Arial" w:cs="Arial" w:eastAsia="Arial" w:hAnsi="Arial"/>
          <w:sz w:val="22"/>
          <w:szCs w:val="22"/>
          <w:color w:val="auto"/>
        </w:rPr>
        <w:t xml:space="preserve">” means a Loan made by a Lender to the Company pursuant to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and the Bridge Facility Agreement.</w:t>
      </w:r>
    </w:p>
    <w:p>
      <w:pPr>
        <w:spacing w:after="0" w:line="159" w:lineRule="exact"/>
        <w:rPr>
          <w:sz w:val="20"/>
          <w:szCs w:val="20"/>
          <w:color w:val="auto"/>
        </w:rPr>
      </w:pPr>
    </w:p>
    <w:p>
      <w:pPr>
        <w:jc w:val="both"/>
        <w:ind w:left="100" w:right="99"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that is not a Saturday, Sunday or other day on which commercial banks in New York City are authorized or required by law to remain 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when used in connection with a LIBOR Loan, the term “Business Day” shall also exclude any day on which banks are not open for dealings in dollar deposits in the London interbank market.</w:t>
      </w:r>
    </w:p>
    <w:p>
      <w:pPr>
        <w:spacing w:after="0" w:line="145"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xml:space="preserve">” means, with respect to any Person, the obligations of such Person to pay rent or other amounts under any lease of (or other arrangement conveying the right to use) any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For purposes of </w:t>
      </w:r>
      <w:r>
        <w:rPr>
          <w:rFonts w:ascii="Arial" w:cs="Arial" w:eastAsia="Arial" w:hAnsi="Arial"/>
          <w:sz w:val="19"/>
          <w:szCs w:val="19"/>
          <w:u w:val="single" w:color="auto"/>
          <w:color w:val="auto"/>
        </w:rPr>
        <w:t>Section 6.01</w:t>
      </w:r>
      <w:r>
        <w:rPr>
          <w:rFonts w:ascii="Arial" w:cs="Arial" w:eastAsia="Arial" w:hAnsi="Arial"/>
          <w:sz w:val="19"/>
          <w:szCs w:val="19"/>
          <w:color w:val="auto"/>
        </w:rPr>
        <w:t>, a Capital Lease Obligation shall be deemed to be secured by a Lien on the property being leased and such property shall be deemed to be owned by the lessee.</w:t>
      </w:r>
    </w:p>
    <w:p>
      <w:pPr>
        <w:spacing w:after="0" w:line="15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Agreements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2.04(d)</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336550</wp:posOffset>
            </wp:positionV>
            <wp:extent cx="5642610" cy="514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3" w:name="page194"/>
    <w:bookmarkEnd w:id="193"/>
    <w:p>
      <w:pPr>
        <w:jc w:val="right"/>
        <w:ind w:right="99"/>
        <w:spacing w:after="0"/>
        <w:rPr>
          <w:sz w:val="20"/>
          <w:szCs w:val="20"/>
          <w:color w:val="auto"/>
        </w:rPr>
      </w:pPr>
      <w:r>
        <w:rPr>
          <w:rFonts w:ascii="Arial" w:cs="Arial" w:eastAsia="Arial" w:hAnsi="Arial"/>
          <w:sz w:val="22"/>
          <w:szCs w:val="22"/>
          <w:color w:val="auto"/>
        </w:rPr>
        <w:t>7</w:t>
      </w:r>
    </w:p>
    <w:p>
      <w:pPr>
        <w:spacing w:after="0" w:line="396" w:lineRule="exact"/>
        <w:rPr>
          <w:sz w:val="20"/>
          <w:szCs w:val="20"/>
          <w:color w:val="auto"/>
        </w:rPr>
      </w:pPr>
    </w:p>
    <w:p>
      <w:pPr>
        <w:jc w:val="both"/>
        <w:ind w:left="100" w:right="99" w:firstLine="1296"/>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any transaction or occurrence or series of transactions or occurrences that results at any time in (a) any Person or group of Persons (within the meaning of Sections 13(d) or 14(a) of the Exchange Act) having acquired, after the Effective Date, beneficial ownership (within the meaning of Rule 13d-3 promulgated by the SEC under the Exchange Act) of 50% or more of the Voting Stock of the Company or (b) during any period of 12 consecutive months, commencing before or after the Effective Date, individuals who on the first day of such period were directors of the Company (together with any replacement or additional directors who were nominated, approved or elected by a majority of directors then in office) ceasing to constitute a majority of the board of directors of the Company.</w:t>
      </w:r>
    </w:p>
    <w:p>
      <w:pPr>
        <w:spacing w:after="0" w:line="153" w:lineRule="exact"/>
        <w:rPr>
          <w:sz w:val="20"/>
          <w:szCs w:val="20"/>
          <w:color w:val="auto"/>
        </w:rPr>
      </w:pPr>
    </w:p>
    <w:p>
      <w:pPr>
        <w:jc w:val="both"/>
        <w:ind w:left="100" w:right="99"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promulgated or issued.</w:t>
      </w:r>
    </w:p>
    <w:p>
      <w:pPr>
        <w:spacing w:after="0" w:line="386" w:lineRule="exact"/>
        <w:rPr>
          <w:sz w:val="20"/>
          <w:szCs w:val="20"/>
          <w:color w:val="auto"/>
        </w:rPr>
      </w:pPr>
    </w:p>
    <w:p>
      <w:pPr>
        <w:jc w:val="both"/>
        <w:ind w:left="100" w:right="99"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when used in reference to (a) any Loan or Borrowing, refers to whether such Loan, or the Loans comprising such Borrowing, are Tranche 1 Loans, Tranche 2 Loans, Swingline Loans or Bridge Loans, (b) any Commitment, refers to whether such Commitment is a Tranche 1 Commitment, a Tranche 2 Commitment, a Swingline Commitment or a Bridge Commitment and (c) any Lender, refers to whether such Lender has a Loan or Commitment of a particular Class. It is acknowledged and agreed that, from and after the occurrence of the Conversion, Tranche 2 Loans and Tranche 2 Commitments shall cease to be a separate Class of Loans or Commitments, as the case may be, and shall be Tranche 1 Loans and Tranche 1 Commitments, respectively.</w:t>
      </w:r>
    </w:p>
    <w:p>
      <w:pPr>
        <w:spacing w:after="0" w:line="153"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Clean-up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179" w:lineRule="exact"/>
        <w:rPr>
          <w:sz w:val="20"/>
          <w:szCs w:val="20"/>
          <w:color w:val="auto"/>
        </w:rPr>
      </w:pPr>
    </w:p>
    <w:p>
      <w:pPr>
        <w:jc w:val="both"/>
        <w:ind w:left="100" w:right="99"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(a) at any time prior to the Conversion, a Tranche 1 Commitment, a Tranche 2 Commitment, a Swingline Commitment or a Bridge Commitment and (b) at any other time, a Tranche 1 Commitment, a Swingline Commitment or a Bridge Commitment.</w:t>
      </w:r>
    </w:p>
    <w:p>
      <w:pPr>
        <w:spacing w:after="0" w:line="132"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2.11(a)</w:t>
      </w:r>
      <w:r>
        <w:rPr>
          <w:rFonts w:ascii="Arial" w:cs="Arial" w:eastAsia="Arial" w:hAnsi="Arial"/>
          <w:sz w:val="22"/>
          <w:szCs w:val="22"/>
          <w:color w:val="auto"/>
        </w:rPr>
        <w:t>.</w:t>
      </w:r>
    </w:p>
    <w:p>
      <w:pPr>
        <w:spacing w:after="0" w:line="179" w:lineRule="exact"/>
        <w:rPr>
          <w:sz w:val="20"/>
          <w:szCs w:val="20"/>
          <w:color w:val="auto"/>
        </w:rPr>
      </w:pPr>
    </w:p>
    <w:p>
      <w:pPr>
        <w:jc w:val="both"/>
        <w:ind w:left="100" w:right="99"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collectively, any notice, demand, communication, information, document or other material provided by or on behalf of the Company pursuant to any Loan Document or the transactions contemplated therein that is distributed to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299085</wp:posOffset>
            </wp:positionV>
            <wp:extent cx="5642610" cy="514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4" w:name="page195"/>
    <w:bookmarkEnd w:id="194"/>
    <w:p>
      <w:pPr>
        <w:jc w:val="right"/>
        <w:ind w:right="99"/>
        <w:spacing w:after="0"/>
        <w:rPr>
          <w:sz w:val="20"/>
          <w:szCs w:val="20"/>
          <w:color w:val="auto"/>
        </w:rPr>
      </w:pPr>
      <w:r>
        <w:rPr>
          <w:rFonts w:ascii="Arial" w:cs="Arial" w:eastAsia="Arial" w:hAnsi="Arial"/>
          <w:sz w:val="22"/>
          <w:szCs w:val="22"/>
          <w:color w:val="auto"/>
        </w:rPr>
        <w:t>8</w:t>
      </w:r>
    </w:p>
    <w:p>
      <w:pPr>
        <w:spacing w:after="0" w:line="396"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 xml:space="preserve">Agent or any Lender by means of electronic communications pursuant to </w:t>
      </w:r>
      <w:r>
        <w:rPr>
          <w:rFonts w:ascii="Arial" w:cs="Arial" w:eastAsia="Arial" w:hAnsi="Arial"/>
          <w:sz w:val="22"/>
          <w:szCs w:val="22"/>
          <w:u w:val="single" w:color="auto"/>
          <w:color w:val="auto"/>
        </w:rPr>
        <w:t>Section 9.01</w:t>
      </w:r>
      <w:r>
        <w:rPr>
          <w:rFonts w:ascii="Arial" w:cs="Arial" w:eastAsia="Arial" w:hAnsi="Arial"/>
          <w:sz w:val="22"/>
          <w:szCs w:val="22"/>
          <w:color w:val="auto"/>
        </w:rPr>
        <w:t>, including through the Platform.</w:t>
      </w:r>
    </w:p>
    <w:p>
      <w:pPr>
        <w:spacing w:after="0" w:line="15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 to this Agreement, or any successor “Company” as permitted pursuant to the terms of this Agreement.</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Existing Credit Agreement</w:t>
      </w:r>
      <w:r>
        <w:rPr>
          <w:rFonts w:ascii="Arial" w:cs="Arial" w:eastAsia="Arial" w:hAnsi="Arial"/>
          <w:sz w:val="19"/>
          <w:szCs w:val="19"/>
          <w:color w:val="auto"/>
        </w:rPr>
        <w:t>” has the meaning set forth in the recitals to this</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Agreement.</w:t>
      </w:r>
    </w:p>
    <w:p>
      <w:pPr>
        <w:spacing w:after="0" w:line="161"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Existing Credit Agreement Refinancing</w:t>
      </w:r>
      <w:r>
        <w:rPr>
          <w:rFonts w:ascii="Arial" w:cs="Arial" w:eastAsia="Arial" w:hAnsi="Arial"/>
          <w:sz w:val="22"/>
          <w:szCs w:val="22"/>
          <w:color w:val="auto"/>
        </w:rPr>
        <w:t>” has the meaning set forth in the recitals to this Agreement.</w:t>
      </w:r>
    </w:p>
    <w:p>
      <w:pPr>
        <w:spacing w:after="0" w:line="159" w:lineRule="exact"/>
        <w:rPr>
          <w:sz w:val="20"/>
          <w:szCs w:val="20"/>
          <w:color w:val="auto"/>
        </w:rPr>
      </w:pPr>
    </w:p>
    <w:p>
      <w:pPr>
        <w:jc w:val="both"/>
        <w:ind w:left="100" w:right="99"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Existing Private Placement Notes</w:t>
      </w:r>
      <w:r>
        <w:rPr>
          <w:rFonts w:ascii="Arial" w:cs="Arial" w:eastAsia="Arial" w:hAnsi="Arial"/>
          <w:sz w:val="19"/>
          <w:szCs w:val="19"/>
          <w:color w:val="auto"/>
        </w:rPr>
        <w:t>” means (a) the 4.87% Senior Notes due July 31, 2023 issued pursuant to that certain Note Purchase Agreement dated as of July 31, 2003, (b) the 5.20% Senior Notes, Series B, due February 3, 2020 issued pursuant to that certain Note Purchase Agreement dated as of February 3, 2005, (c) the 5.54% Senior Notes due December 31, 2018 issued pursuant to that certain Note Purchase Agreement dated as of December 28, 2006, (d) the 5.63% Senior Notes, Series A, due February 28, 2022 and 5.83% Senior Notes, Series B, due February 28, 2037 issued pursuant to that certain Note Purchase Agreement dated as of February 28, 2007, (e) the 5.40% Senior Notes due May 20, 2022 issued pursuant to that certain Note Purchase Agreement dated as of May 20, 2008, (f) the 4.72% Senior Notes due December 17, 2019 issued pursuant to that certain Note Purchase Agreement dated as of December 17, 2009, (g) the 4.62% Senior Notes, Series A, due June 24, 2021, 4.83% Senior Notes, Series B, due June 24, 2024 and 5.22% Senior Notes, Series C, due June 24, 2028 issued pursuant to that certain Note Purchase Agreement dated as of June 24, 2010, (h) the 3.57% Senior Notes, Series 2012A, due June 14, 2027 issued pursuant to that certain Note Purchase Agreement dated as of June 14, 2012 and (i) the 3.59% Senior Notes, Series 2015A, due May 20, 2030 issued pursuant to that certain Note Purchase Agreement dated as of May 20, 2015, in each case, among the Company and the purchasers party thereto.</w:t>
      </w:r>
    </w:p>
    <w:p>
      <w:pPr>
        <w:spacing w:after="0" w:line="163"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Existing Private Placement Notes Refinancing</w:t>
      </w:r>
      <w:r>
        <w:rPr>
          <w:rFonts w:ascii="Arial" w:cs="Arial" w:eastAsia="Arial" w:hAnsi="Arial"/>
          <w:sz w:val="22"/>
          <w:szCs w:val="22"/>
          <w:color w:val="auto"/>
        </w:rPr>
        <w:t>” means the payment in full of all principal, interest (including any make-whole interest) and other amounts outstanding or due in respect of the Company Existing Private Placement Notes.</w:t>
      </w:r>
    </w:p>
    <w:p>
      <w:pPr>
        <w:spacing w:after="0" w:line="159"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a Compliance Certificate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or any other form approved by the Administrative Agent in its reasonable discretion.</w:t>
      </w:r>
    </w:p>
    <w:p>
      <w:pPr>
        <w:spacing w:after="0" w:line="106"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 Memorandum</w:t>
      </w:r>
      <w:r>
        <w:rPr>
          <w:rFonts w:ascii="Arial" w:cs="Arial" w:eastAsia="Arial" w:hAnsi="Arial"/>
          <w:sz w:val="22"/>
          <w:szCs w:val="22"/>
          <w:color w:val="auto"/>
        </w:rPr>
        <w:t>” means the Confidential Information Memorandum dated October 2018 relating to the credit facilities provided for herein.</w:t>
      </w:r>
    </w:p>
    <w:p>
      <w:pPr>
        <w:spacing w:after="0" w:line="159"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Connection Income Taxes</w:t>
      </w:r>
      <w:r>
        <w:rPr>
          <w:rFonts w:ascii="Arial" w:cs="Arial" w:eastAsia="Arial" w:hAnsi="Arial"/>
          <w:sz w:val="19"/>
          <w:szCs w:val="19"/>
          <w:color w:val="auto"/>
        </w:rPr>
        <w:t>” means Other Connection Taxes that are imposed on or measured by net income (however denominated) or that are franchise Taxes or branch profits Taxes.</w:t>
      </w:r>
    </w:p>
    <w:p>
      <w:pPr>
        <w:spacing w:after="0" w:line="106" w:lineRule="exact"/>
        <w:rPr>
          <w:sz w:val="20"/>
          <w:szCs w:val="20"/>
          <w:color w:val="auto"/>
        </w:rPr>
      </w:pPr>
    </w:p>
    <w:p>
      <w:pPr>
        <w:jc w:val="both"/>
        <w:ind w:left="100" w:right="99"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Assets</w:t>
      </w:r>
      <w:r>
        <w:rPr>
          <w:rFonts w:ascii="Arial" w:cs="Arial" w:eastAsia="Arial" w:hAnsi="Arial"/>
          <w:sz w:val="19"/>
          <w:szCs w:val="19"/>
          <w:color w:val="auto"/>
        </w:rPr>
        <w:t xml:space="preserve">” means, at any date, the total assets of the Company and the Subsidiaries determined on a consolidated basis in accordance with GAAP, as reflected on the consolidated balance sheet of the Company included in the financial statements of the Company most recently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(or, prior to the first delivery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307340</wp:posOffset>
            </wp:positionV>
            <wp:extent cx="5642610" cy="514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5" w:name="page196"/>
    <w:bookmarkEnd w:id="195"/>
    <w:p>
      <w:pPr>
        <w:ind w:left="8820"/>
        <w:spacing w:after="0"/>
        <w:rPr>
          <w:sz w:val="20"/>
          <w:szCs w:val="20"/>
          <w:color w:val="auto"/>
        </w:rPr>
      </w:pPr>
      <w:r>
        <w:rPr>
          <w:rFonts w:ascii="Arial" w:cs="Arial" w:eastAsia="Arial" w:hAnsi="Arial"/>
          <w:sz w:val="17"/>
          <w:szCs w:val="17"/>
          <w:color w:val="auto"/>
        </w:rPr>
        <w:t>9</w:t>
      </w:r>
    </w:p>
    <w:p>
      <w:pPr>
        <w:spacing w:after="0" w:line="200" w:lineRule="exact"/>
        <w:rPr>
          <w:sz w:val="20"/>
          <w:szCs w:val="20"/>
          <w:color w:val="auto"/>
        </w:rPr>
      </w:pPr>
    </w:p>
    <w:p>
      <w:pPr>
        <w:spacing w:after="0" w:line="254" w:lineRule="exact"/>
        <w:rPr>
          <w:sz w:val="20"/>
          <w:szCs w:val="20"/>
          <w:color w:val="auto"/>
        </w:rPr>
      </w:pPr>
    </w:p>
    <w:p>
      <w:pPr>
        <w:jc w:val="both"/>
        <w:ind w:left="100" w:right="99"/>
        <w:spacing w:after="0" w:line="216" w:lineRule="auto"/>
        <w:rPr>
          <w:sz w:val="20"/>
          <w:szCs w:val="20"/>
          <w:color w:val="auto"/>
        </w:rPr>
      </w:pPr>
      <w:r>
        <w:rPr>
          <w:rFonts w:ascii="Arial" w:cs="Arial" w:eastAsia="Arial" w:hAnsi="Arial"/>
          <w:sz w:val="22"/>
          <w:szCs w:val="22"/>
          <w:color w:val="auto"/>
        </w:rPr>
        <w:t xml:space="preserve">financial statements, the most recent consolidated financial statements of the Company referred to in </w:t>
      </w:r>
      <w:r>
        <w:rPr>
          <w:rFonts w:ascii="Arial" w:cs="Arial" w:eastAsia="Arial" w:hAnsi="Arial"/>
          <w:sz w:val="22"/>
          <w:szCs w:val="22"/>
          <w:u w:val="single" w:color="auto"/>
          <w:color w:val="auto"/>
        </w:rPr>
        <w:t>Section 3.04(a)</w:t>
      </w:r>
      <w:r>
        <w:rPr>
          <w:rFonts w:ascii="Arial" w:cs="Arial" w:eastAsia="Arial" w:hAnsi="Arial"/>
          <w:sz w:val="22"/>
          <w:szCs w:val="22"/>
          <w:color w:val="auto"/>
        </w:rPr>
        <w:t>). From and after the PNG Acquisition Closing Date, the Consolidated Assets as of any date prior to the PNG Acquisition Closing Date shall be determined on a Pro Forma Basis to give Pro Forma Effect to the PNG Acquisition and the other Transactions to occur on the PNG Acquisition Closing Date.</w:t>
      </w:r>
    </w:p>
    <w:p>
      <w:pPr>
        <w:spacing w:after="0" w:line="158" w:lineRule="exact"/>
        <w:rPr>
          <w:sz w:val="20"/>
          <w:szCs w:val="20"/>
          <w:color w:val="auto"/>
        </w:rPr>
      </w:pPr>
    </w:p>
    <w:p>
      <w:pPr>
        <w:jc w:val="both"/>
        <w:ind w:left="100" w:right="99"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Debt</w:t>
      </w:r>
      <w:r>
        <w:rPr>
          <w:rFonts w:ascii="Arial" w:cs="Arial" w:eastAsia="Arial" w:hAnsi="Arial"/>
          <w:sz w:val="19"/>
          <w:szCs w:val="19"/>
          <w:color w:val="auto"/>
        </w:rPr>
        <w:t>” means, at any date, all Indebtedness of the Company and the Subsidiaries determined on a consolidated basis in accordance with GAAP as of such date consisting of, without duplication, (a) borrowed money Indebtedness, including Capital Lease Obligations, (b) reimbursement obligations in respect of letters of credit and the like and</w:t>
      </w:r>
    </w:p>
    <w:p>
      <w:pPr>
        <w:spacing w:after="0" w:line="1" w:lineRule="exact"/>
        <w:rPr>
          <w:sz w:val="20"/>
          <w:szCs w:val="20"/>
          <w:color w:val="auto"/>
        </w:rPr>
      </w:pPr>
    </w:p>
    <w:p>
      <w:pPr>
        <w:jc w:val="both"/>
        <w:ind w:left="100" w:right="99" w:firstLine="5"/>
        <w:spacing w:after="0" w:line="217" w:lineRule="auto"/>
        <w:tabs>
          <w:tab w:leader="none" w:pos="40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Indebtedness in the nature of a Guarantee of Indebtedness of other Persons of the type described in clause (a) or (b) above, whether or not required to be reflected on a consolidated balance sheet of the Company in accordance with GAAP.</w:t>
      </w:r>
    </w:p>
    <w:p>
      <w:pPr>
        <w:spacing w:after="0" w:line="160" w:lineRule="exact"/>
        <w:rPr>
          <w:sz w:val="20"/>
          <w:szCs w:val="20"/>
          <w:color w:val="auto"/>
        </w:rPr>
      </w:pPr>
    </w:p>
    <w:p>
      <w:pPr>
        <w:jc w:val="both"/>
        <w:ind w:left="100" w:right="99" w:firstLine="1296"/>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period, net income (or loss) after income and other taxes computed on the basis of income of the Company and the Subsidiaries for such period determined on a consolidated basis in accordance with GAAP, as reflected in the consolidated financial statements of the Company most recently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(or, prior to the first delivery of such financial statements, the most recent consolidated financial statements of the Company referred to in </w:t>
      </w:r>
      <w:r>
        <w:rPr>
          <w:rFonts w:ascii="Arial" w:cs="Arial" w:eastAsia="Arial" w:hAnsi="Arial"/>
          <w:sz w:val="19"/>
          <w:szCs w:val="19"/>
          <w:u w:val="single" w:color="auto"/>
          <w:color w:val="auto"/>
        </w:rPr>
        <w:t>Section 3.04(a)</w:t>
      </w:r>
      <w:r>
        <w:rPr>
          <w:rFonts w:ascii="Arial" w:cs="Arial" w:eastAsia="Arial" w:hAnsi="Arial"/>
          <w:sz w:val="19"/>
          <w:szCs w:val="19"/>
          <w:color w:val="auto"/>
        </w:rPr>
        <w:t>). From and after the PNG Acquisition Closing Date, the Consolidated Net Income for any period ending prior to the PNG Acquisition Closing Date shall be determined on a Pro Forma Basis to give Pro Forma Effect to the PNG Acquisition and the other Transactions to occur on the PNG Acquisition Closing Date.</w:t>
      </w:r>
    </w:p>
    <w:p>
      <w:pPr>
        <w:spacing w:after="0" w:line="153"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Shareholders’ Equity</w:t>
      </w:r>
      <w:r>
        <w:rPr>
          <w:rFonts w:ascii="Arial" w:cs="Arial" w:eastAsia="Arial" w:hAnsi="Arial"/>
          <w:sz w:val="22"/>
          <w:szCs w:val="22"/>
          <w:color w:val="auto"/>
        </w:rPr>
        <w:t>” means, at any date, the net book value of the shareholders’ equity of the Company and the Subsidiaries determined on a consolidated basis in accordance with GAAP as of such date, as reflected on the consolidated balance sheet of the Company prepared in accordance with GAAP.</w:t>
      </w:r>
    </w:p>
    <w:p>
      <w:pPr>
        <w:spacing w:after="0" w:line="161"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Tangible Assets</w:t>
      </w:r>
      <w:r>
        <w:rPr>
          <w:rFonts w:ascii="Arial" w:cs="Arial" w:eastAsia="Arial" w:hAnsi="Arial"/>
          <w:sz w:val="19"/>
          <w:szCs w:val="19"/>
          <w:color w:val="auto"/>
        </w:rPr>
        <w:t xml:space="preserve">” means, at any date, (a) total assets of the Company and the Subsidiaries determined on a consolidated basis in accordance with GAAP </w:t>
      </w:r>
      <w:r>
        <w:rPr>
          <w:rFonts w:ascii="Arial" w:cs="Arial" w:eastAsia="Arial" w:hAnsi="Arial"/>
          <w:sz w:val="19"/>
          <w:szCs w:val="19"/>
          <w:u w:val="single" w:color="auto"/>
          <w:color w:val="auto"/>
        </w:rPr>
        <w:t>minus</w:t>
      </w:r>
    </w:p>
    <w:p>
      <w:pPr>
        <w:jc w:val="both"/>
        <w:ind w:left="100" w:right="99" w:firstLine="5"/>
        <w:spacing w:after="0" w:line="243" w:lineRule="auto"/>
        <w:tabs>
          <w:tab w:leader="none" w:pos="47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goodwill and other intangible assets of the Company and the Subsidiaries, in each case, determined on a consolidated basis in accordance with GAAP, all as reflected in the consolidated financial statements of the Company most recently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(or, prior to the first delivery of such financial statements, the most recent consolidated financial statements of the Company referred to in </w:t>
      </w:r>
      <w:r>
        <w:rPr>
          <w:rFonts w:ascii="Arial" w:cs="Arial" w:eastAsia="Arial" w:hAnsi="Arial"/>
          <w:sz w:val="19"/>
          <w:szCs w:val="19"/>
          <w:u w:val="single" w:color="auto"/>
          <w:color w:val="auto"/>
        </w:rPr>
        <w:t>Section 3.04(a)</w:t>
      </w:r>
      <w:r>
        <w:rPr>
          <w:rFonts w:ascii="Arial" w:cs="Arial" w:eastAsia="Arial" w:hAnsi="Arial"/>
          <w:sz w:val="19"/>
          <w:szCs w:val="19"/>
          <w:color w:val="auto"/>
        </w:rPr>
        <w:t>). From and after the PNG Acquisition Closing Date, the Consolidated Tangible Assets as of any date prior to the PNG Acquisition Closing Date shall be determined on a Pro Forma Basis to give Pro Forma Effect to the PNG Acquisition and the other Transactions to occur on the PNG Acquisition Closing Date.</w:t>
      </w:r>
    </w:p>
    <w:p>
      <w:pPr>
        <w:spacing w:after="0" w:line="157"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317500</wp:posOffset>
            </wp:positionV>
            <wp:extent cx="5642610" cy="514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6" w:name="page197"/>
    <w:bookmarkEnd w:id="196"/>
    <w:p>
      <w:pPr>
        <w:jc w:val="right"/>
        <w:ind w:right="99"/>
        <w:spacing w:after="0"/>
        <w:rPr>
          <w:sz w:val="20"/>
          <w:szCs w:val="20"/>
          <w:color w:val="auto"/>
        </w:rPr>
      </w:pPr>
      <w:r>
        <w:rPr>
          <w:rFonts w:ascii="Arial" w:cs="Arial" w:eastAsia="Arial" w:hAnsi="Arial"/>
          <w:sz w:val="22"/>
          <w:szCs w:val="22"/>
          <w:color w:val="auto"/>
        </w:rPr>
        <w:t>10</w:t>
      </w:r>
    </w:p>
    <w:p>
      <w:pPr>
        <w:spacing w:after="0" w:line="396"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w:t>
      </w:r>
      <w:r>
        <w:rPr>
          <w:rFonts w:ascii="Arial" w:cs="Arial" w:eastAsia="Arial" w:hAnsi="Arial"/>
          <w:sz w:val="22"/>
          <w:szCs w:val="22"/>
          <w:color w:val="auto"/>
        </w:rPr>
        <w:t xml:space="preserve">” means the conversion of Tranche 2 Loans into Tranche 1 Loans and/or the conversion of Tranche 2 Commitments into Tranche 1 Commitments (as the context requires), in each case, pursuant to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2.21(a)</w:t>
      </w:r>
      <w:r>
        <w:rPr>
          <w:rFonts w:ascii="Arial" w:cs="Arial" w:eastAsia="Arial" w:hAnsi="Arial"/>
          <w:sz w:val="22"/>
          <w:szCs w:val="22"/>
          <w:color w:val="auto"/>
        </w:rPr>
        <w:t>.</w:t>
      </w:r>
    </w:p>
    <w:p>
      <w:pPr>
        <w:spacing w:after="0" w:line="179"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Converted Tranche 1 Commitments</w:t>
      </w:r>
      <w:r>
        <w:rPr>
          <w:rFonts w:ascii="Arial" w:cs="Arial" w:eastAsia="Arial" w:hAnsi="Arial"/>
          <w:sz w:val="19"/>
          <w:szCs w:val="19"/>
          <w:color w:val="auto"/>
        </w:rPr>
        <w:t xml:space="preserve">” means Tranche 1 Commitments (or any portion thereof) resulting from the Conversion of Tranche 2 Commitments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w:t>
      </w:r>
    </w:p>
    <w:p>
      <w:pPr>
        <w:spacing w:after="0" w:line="106"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Converted Tranche 1 Loans</w:t>
      </w:r>
      <w:r>
        <w:rPr>
          <w:rFonts w:ascii="Arial" w:cs="Arial" w:eastAsia="Arial" w:hAnsi="Arial"/>
          <w:sz w:val="22"/>
          <w:szCs w:val="22"/>
          <w:color w:val="auto"/>
        </w:rPr>
        <w:t xml:space="preserve">” means Tranche 1 Loans (or any portion thereof) resulting from the Conversion of Tranche 2 Loans made pursuant to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159" w:lineRule="exact"/>
        <w:rPr>
          <w:sz w:val="20"/>
          <w:szCs w:val="20"/>
          <w:color w:val="auto"/>
        </w:rPr>
      </w:pPr>
    </w:p>
    <w:p>
      <w:pPr>
        <w:jc w:val="both"/>
        <w:ind w:left="100" w:right="99"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Exposure</w:t>
      </w:r>
      <w:r>
        <w:rPr>
          <w:rFonts w:ascii="Arial" w:cs="Arial" w:eastAsia="Arial" w:hAnsi="Arial"/>
          <w:sz w:val="19"/>
          <w:szCs w:val="19"/>
          <w:color w:val="auto"/>
        </w:rPr>
        <w:t xml:space="preserve">” means, with respect to any Lender at any time, (a) for purposes of the definition of the term “Required Lenders” and </w:t>
      </w:r>
      <w:r>
        <w:rPr>
          <w:rFonts w:ascii="Arial" w:cs="Arial" w:eastAsia="Arial" w:hAnsi="Arial"/>
          <w:sz w:val="19"/>
          <w:szCs w:val="19"/>
          <w:u w:val="single" w:color="auto"/>
          <w:color w:val="auto"/>
        </w:rPr>
        <w:t>Sections 2.20(b)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9.02(b)</w:t>
      </w:r>
      <w:r>
        <w:rPr>
          <w:rFonts w:ascii="Arial" w:cs="Arial" w:eastAsia="Arial" w:hAnsi="Arial"/>
          <w:sz w:val="19"/>
          <w:szCs w:val="19"/>
          <w:color w:val="auto"/>
        </w:rPr>
        <w:t>, the sum of the outstanding principal amount of such Lender’s Loans and its LC Exposure and Swingline Exposure at such time and (b) for all other purposes, the sum of the aggregate outstanding principal amount of such Lender’s Tranche 1 Loans and its LC Exposure and Swingline Exposure at such time.</w:t>
      </w:r>
    </w:p>
    <w:p>
      <w:pPr>
        <w:spacing w:after="0" w:line="14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means the Administrative Agent, each Issuing Bank, each Swingline Lender and each other Lender.</w:t>
      </w:r>
    </w:p>
    <w:p>
      <w:pPr>
        <w:spacing w:after="0" w:line="159" w:lineRule="exact"/>
        <w:rPr>
          <w:sz w:val="20"/>
          <w:szCs w:val="20"/>
          <w:color w:val="auto"/>
        </w:rPr>
      </w:pPr>
    </w:p>
    <w:p>
      <w:pPr>
        <w:jc w:val="both"/>
        <w:ind w:left="100" w:right="99"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Rating</w:t>
      </w:r>
      <w:r>
        <w:rPr>
          <w:rFonts w:ascii="Arial" w:cs="Arial" w:eastAsia="Arial" w:hAnsi="Arial"/>
          <w:sz w:val="19"/>
          <w:szCs w:val="19"/>
          <w:color w:val="auto"/>
        </w:rPr>
        <w:t>” means, with respect to any Rating Agency as of any date of determination, (a) the rating by such Rating Agency of the senior unsecured long-term Indebtedness of the Company that is not Guaranteed by any Person or subject to any other credit enhancement or</w:t>
      </w:r>
    </w:p>
    <w:p>
      <w:pPr>
        <w:spacing w:after="0" w:line="3" w:lineRule="exact"/>
        <w:rPr>
          <w:sz w:val="20"/>
          <w:szCs w:val="20"/>
          <w:color w:val="auto"/>
        </w:rPr>
      </w:pPr>
    </w:p>
    <w:p>
      <w:pPr>
        <w:ind w:left="100" w:right="99" w:firstLine="5"/>
        <w:spacing w:after="0" w:line="279" w:lineRule="auto"/>
        <w:tabs>
          <w:tab w:leader="none" w:pos="41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and only if, such Rating Agency shall not have in effect the rating referred to in clause (a), the Company’s “corporate credit” (however denominated) rating assigned by such Rating Agency.</w:t>
      </w:r>
    </w:p>
    <w:p>
      <w:pPr>
        <w:spacing w:after="0" w:line="122"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that constitutes, or upon notice, lapse of time or both would constitute, an Event of Default.</w:t>
      </w:r>
    </w:p>
    <w:p>
      <w:pPr>
        <w:spacing w:after="0" w:line="159" w:lineRule="exact"/>
        <w:rPr>
          <w:sz w:val="20"/>
          <w:szCs w:val="20"/>
          <w:color w:val="auto"/>
        </w:rPr>
      </w:pPr>
    </w:p>
    <w:p>
      <w:pPr>
        <w:jc w:val="both"/>
        <w:ind w:left="100" w:right="99"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within two Business Days of the date required to be funded or paid, (i) to fund any portion of its Loans, (ii) to fund any portion of its participations in Letters of Credit or Swingline Loans or (iii)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(not otherwise waived in accordance with the terms hereof) (specifically identified in such writing, including, if applicable, by reference to a specific Default) has not been satisfied, (b) has notified the Company, the Administrative Agent, any Swingline Lender or any Issuing Bank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in such writing, including, in applicable, by reference to a specific Default) to funding a Loan cannot be satisfied) or generally under other agreements in which it commits to extend credit, (c) has failed, within three Business Days after request by the Company,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320675</wp:posOffset>
            </wp:positionV>
            <wp:extent cx="5642610" cy="514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7" w:name="page198"/>
    <w:bookmarkEnd w:id="197"/>
    <w:p>
      <w:pPr>
        <w:ind w:left="8720"/>
        <w:spacing w:after="0"/>
        <w:rPr>
          <w:sz w:val="20"/>
          <w:szCs w:val="20"/>
          <w:color w:val="auto"/>
        </w:rPr>
      </w:pPr>
      <w:r>
        <w:rPr>
          <w:rFonts w:ascii="Arial" w:cs="Arial" w:eastAsia="Arial" w:hAnsi="Arial"/>
          <w:sz w:val="17"/>
          <w:szCs w:val="17"/>
          <w:color w:val="auto"/>
        </w:rPr>
        <w:t>11</w:t>
      </w:r>
    </w:p>
    <w:p>
      <w:pPr>
        <w:spacing w:after="0" w:line="200" w:lineRule="exact"/>
        <w:rPr>
          <w:sz w:val="20"/>
          <w:szCs w:val="20"/>
          <w:color w:val="auto"/>
        </w:rPr>
      </w:pPr>
    </w:p>
    <w:p>
      <w:pPr>
        <w:spacing w:after="0" w:line="254" w:lineRule="exact"/>
        <w:rPr>
          <w:sz w:val="20"/>
          <w:szCs w:val="20"/>
          <w:color w:val="auto"/>
        </w:rPr>
      </w:pPr>
    </w:p>
    <w:p>
      <w:pPr>
        <w:jc w:val="both"/>
        <w:ind w:left="100" w:right="99"/>
        <w:spacing w:after="0" w:line="242" w:lineRule="auto"/>
        <w:rPr>
          <w:sz w:val="20"/>
          <w:szCs w:val="20"/>
          <w:color w:val="auto"/>
        </w:rPr>
      </w:pPr>
      <w:r>
        <w:rPr>
          <w:rFonts w:ascii="Arial" w:cs="Arial" w:eastAsia="Arial" w:hAnsi="Arial"/>
          <w:sz w:val="19"/>
          <w:szCs w:val="19"/>
          <w:color w:val="auto"/>
        </w:rPr>
        <w:t xml:space="preserve">any Swingline Lender or any Issuing Bank made in good faith, to provide a certification in writing from an authorized officer of such Lender that it will comply with its obligations to fund prospective Loans and participations in then outstanding Letters of Credit and Swingline Loans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w:t>
      </w:r>
    </w:p>
    <w:p>
      <w:pPr>
        <w:spacing w:after="0" w:line="1" w:lineRule="exact"/>
        <w:rPr>
          <w:sz w:val="20"/>
          <w:szCs w:val="20"/>
          <w:color w:val="auto"/>
        </w:rPr>
      </w:pPr>
    </w:p>
    <w:p>
      <w:pPr>
        <w:jc w:val="both"/>
        <w:ind w:left="100" w:right="99" w:firstLine="5"/>
        <w:spacing w:after="0" w:line="237" w:lineRule="auto"/>
        <w:tabs>
          <w:tab w:leader="none" w:pos="42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upon such requesting Person’s, the Company’s and the Administrative Agent’s receipt of such certification in form and substance satisfactory to it, the Company and the Administrative Agent, or</w:t>
      </w:r>
    </w:p>
    <w:p>
      <w:pPr>
        <w:ind w:left="100" w:right="99" w:firstLine="5"/>
        <w:spacing w:after="0" w:line="224" w:lineRule="auto"/>
        <w:tabs>
          <w:tab w:leader="none" w:pos="43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has become, or a Lender Parent of which has become, the subject of a Bankruptcy Event or a Bail-In Action.</w:t>
      </w:r>
    </w:p>
    <w:p>
      <w:pPr>
        <w:spacing w:after="0" w:line="158" w:lineRule="exact"/>
        <w:rPr>
          <w:sz w:val="20"/>
          <w:szCs w:val="20"/>
          <w:color w:val="auto"/>
        </w:rPr>
      </w:pPr>
    </w:p>
    <w:p>
      <w:pPr>
        <w:jc w:val="both"/>
        <w:ind w:left="100" w:right="99"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means any sale, transfer or other disposition, or series of related sales, transfers, or dispositions (including pursuant to any merger or consolidation), of property (including Equity Interests in a Person), in each case other than in the ordinary course of business.</w:t>
      </w:r>
    </w:p>
    <w:p>
      <w:pPr>
        <w:spacing w:after="0" w:line="132"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Documentation Agents</w:t>
      </w:r>
      <w:r>
        <w:rPr>
          <w:rFonts w:ascii="Arial" w:cs="Arial" w:eastAsia="Arial" w:hAnsi="Arial"/>
          <w:sz w:val="22"/>
          <w:szCs w:val="22"/>
          <w:color w:val="auto"/>
        </w:rPr>
        <w:t>” means the Persons identified as such on the cover page of this Agreement.</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179" w:lineRule="exact"/>
        <w:rPr>
          <w:sz w:val="20"/>
          <w:szCs w:val="20"/>
          <w:color w:val="auto"/>
        </w:rPr>
      </w:pPr>
    </w:p>
    <w:p>
      <w:pPr>
        <w:jc w:val="both"/>
        <w:ind w:left="100" w:right="99"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that is subject to the supervision of an EEA Resolution Authority, (b) any entity established in an EEA Member Country that is a parent of any Person described in clause (a) above or (c) any entity established in an EEA Member Country that is a subsidiary of any Person described in clause (a) or (b) above and is subject to consolidated supervision with its parent.</w:t>
      </w:r>
    </w:p>
    <w:p>
      <w:pPr>
        <w:spacing w:after="0" w:line="15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means any of the member states of the European Union, Iceland, Liechtenstein and Norway.</w:t>
      </w:r>
    </w:p>
    <w:p>
      <w:pPr>
        <w:spacing w:after="0" w:line="159" w:lineRule="exact"/>
        <w:rPr>
          <w:sz w:val="20"/>
          <w:szCs w:val="20"/>
          <w:color w:val="auto"/>
        </w:rPr>
      </w:pPr>
    </w:p>
    <w:p>
      <w:pPr>
        <w:jc w:val="both"/>
        <w:ind w:left="100" w:right="99"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Resolution Authority</w:t>
      </w:r>
      <w:r>
        <w:rPr>
          <w:rFonts w:ascii="Arial" w:cs="Arial" w:eastAsia="Arial" w:hAnsi="Arial"/>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8"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on which the conditions specified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5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Assignee</w:t>
      </w:r>
      <w:r>
        <w:rPr>
          <w:rFonts w:ascii="Arial" w:cs="Arial" w:eastAsia="Arial" w:hAnsi="Arial"/>
          <w:sz w:val="22"/>
          <w:szCs w:val="22"/>
          <w:color w:val="auto"/>
        </w:rPr>
        <w:t>” means (a) a Lender, (b) an Affiliate of a Lender, (c) an Approved Fund and (d) any other Person, other than, in each case, a natural person, a Defaulting Lender, the Company or any Subsidiary or other Affiliate of the Company.</w:t>
      </w:r>
    </w:p>
    <w:p>
      <w:pPr>
        <w:spacing w:after="0" w:line="15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Engagement Letter</w:t>
      </w:r>
      <w:r>
        <w:rPr>
          <w:rFonts w:ascii="Arial" w:cs="Arial" w:eastAsia="Arial" w:hAnsi="Arial"/>
          <w:sz w:val="22"/>
          <w:szCs w:val="22"/>
          <w:color w:val="auto"/>
        </w:rPr>
        <w:t>” means the Engagement Letter dated November 1, 2018, between the Company and Royal Bank of Canada.</w:t>
      </w:r>
    </w:p>
    <w:p>
      <w:pPr>
        <w:spacing w:after="0" w:line="159" w:lineRule="exact"/>
        <w:rPr>
          <w:sz w:val="20"/>
          <w:szCs w:val="20"/>
          <w:color w:val="auto"/>
        </w:rPr>
      </w:pPr>
    </w:p>
    <w:p>
      <w:pPr>
        <w:jc w:val="both"/>
        <w:ind w:left="100" w:right="99"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all rules, regulations, codes, ordinances, judgments, orders, decrees, laws, injunctions or binding agreements issued, promulgated or entered into by or with any Governmental Authority and relating to the protection of the environment, to preservation or reclamation of natural resources, to the Release, threatened Release or registration of any toxic or hazardous materials, substance or waste or to the extent related to exposure to toxic or hazardous materials, substances or wastes, health or safety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8" w:name="page199"/>
    <w:bookmarkEnd w:id="198"/>
    <w:p>
      <w:pPr>
        <w:ind w:left="8700"/>
        <w:spacing w:after="0"/>
        <w:rPr>
          <w:sz w:val="20"/>
          <w:szCs w:val="20"/>
          <w:color w:val="auto"/>
        </w:rPr>
      </w:pPr>
      <w:r>
        <w:rPr>
          <w:rFonts w:ascii="Arial" w:cs="Arial" w:eastAsia="Arial" w:hAnsi="Arial"/>
          <w:sz w:val="19"/>
          <w:szCs w:val="19"/>
          <w:color w:val="auto"/>
        </w:rPr>
        <w:t>12</w:t>
      </w:r>
    </w:p>
    <w:p>
      <w:pPr>
        <w:spacing w:after="0" w:line="200" w:lineRule="exact"/>
        <w:rPr>
          <w:sz w:val="20"/>
          <w:szCs w:val="20"/>
          <w:color w:val="auto"/>
        </w:rPr>
      </w:pPr>
    </w:p>
    <w:p>
      <w:pPr>
        <w:spacing w:after="0" w:line="231"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obligation, loss, claim, action, order or cost, contingent or otherwise (including any liability for damages, costs of environmental remediation, fines, penalties and indemnities), resulting from or based upon (a) any violation of any Environmental Law, (b) the generation, transportation, storage, treatment or disposal of any Hazardous Material, (c) any exposure to any Hazardous Material, (d) the Release or threatened Release of any Hazardous Material or (e) any contract or other legally binding consensual arrangement pursuant to which liability is assumed or imposed with respect to any of the foregoing.</w:t>
      </w:r>
    </w:p>
    <w:p>
      <w:pPr>
        <w:spacing w:after="0" w:line="155" w:lineRule="exact"/>
        <w:rPr>
          <w:sz w:val="20"/>
          <w:szCs w:val="20"/>
          <w:color w:val="auto"/>
        </w:rPr>
      </w:pPr>
    </w:p>
    <w:p>
      <w:pPr>
        <w:jc w:val="both"/>
        <w:ind w:left="100" w:right="99"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Interests</w:t>
      </w:r>
      <w:r>
        <w:rPr>
          <w:rFonts w:ascii="Arial" w:cs="Arial" w:eastAsia="Arial" w:hAnsi="Arial"/>
          <w:sz w:val="21"/>
          <w:szCs w:val="21"/>
          <w:color w:val="auto"/>
        </w:rPr>
        <w:t>” means shares of capital stock, partnership interests, membership interests, beneficial interests or other ownership interests, whether voting or nonvoting, in, or interests in the income or profits of, a Person, and any warrants, options or other rights entitling the holder thereof to purchase or acquire any of the foregoing (other than, prior to the date of conversion, Indebtedness that is convertible into any such Equity Interests).</w:t>
      </w:r>
    </w:p>
    <w:p>
      <w:pPr>
        <w:spacing w:after="0" w:line="160"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179" w:lineRule="exact"/>
        <w:rPr>
          <w:sz w:val="20"/>
          <w:szCs w:val="20"/>
          <w:color w:val="auto"/>
        </w:rPr>
      </w:pPr>
    </w:p>
    <w:p>
      <w:pPr>
        <w:jc w:val="both"/>
        <w:ind w:left="100" w:right="99"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means any trade or business (whether or not incorporated) that, together with the Company or any Subsidiary, is treated as a single employer under Section 414(b) or 414(c) of the Code or, solely for purposes of Section 302 of ERISA and Section 412 of the Code, is treated as a single employer under Section 414(m) or 414(o) of the Code.</w:t>
      </w:r>
    </w:p>
    <w:p>
      <w:pPr>
        <w:spacing w:after="0" w:line="159" w:lineRule="exact"/>
        <w:rPr>
          <w:sz w:val="20"/>
          <w:szCs w:val="20"/>
          <w:color w:val="auto"/>
        </w:rPr>
      </w:pPr>
    </w:p>
    <w:p>
      <w:pPr>
        <w:jc w:val="both"/>
        <w:ind w:left="100" w:right="99"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 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the Company or any of its ERISA Affiliates of any liability under Title IV of ERISA other than a liability to the PBGC for premiums under Section 4007 of ERISA that are not past due, (f) the receipt by the Company or any of its ERISA Affiliates from the PBGC or a plan administrator of any notice relating to an intention to terminate, or to appoint a trustee to administer, any Plan or Multiemployer Plan, (g) the incurrence by the Company or any of its ERISA Affiliates of any liability with respect to the withdrawal or partial withdrawal from any Plan or Multiemployer Plan, (h) the receipt by the Company or any of its ERISA Affiliates of any notice, or the receipt by any Multiemployer Plan from the Company or any of its ERISA Affiliates of any notice, concerning the imposition of Withdrawal Liability or a determination that a Multiemployer Plan is, or is expected to be, insolvent, within the meaning of Title IV of ERISA or in endangered or critical status, within the meaning of Section 305 of ERISA, (i) any failure by the Company or its ERISA Affiliates to make any contribution or payment to any Plan or Multiemployer Plan, or any amendment to any Plan that has resulted or could result in the imposition of a Lien or the posting of a bond or other security under ERISA or the Code, and (h) the occurrence of any “prohibited transaction” within the meaning of Section 406 of ERISA or Section 4975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455930</wp:posOffset>
            </wp:positionV>
            <wp:extent cx="5642610" cy="514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9" w:name="page200"/>
    <w:bookmarkEnd w:id="199"/>
    <w:p>
      <w:pPr>
        <w:jc w:val="right"/>
        <w:ind w:right="99"/>
        <w:spacing w:after="0"/>
        <w:rPr>
          <w:sz w:val="20"/>
          <w:szCs w:val="20"/>
          <w:color w:val="auto"/>
        </w:rPr>
      </w:pPr>
      <w:r>
        <w:rPr>
          <w:rFonts w:ascii="Arial" w:cs="Arial" w:eastAsia="Arial" w:hAnsi="Arial"/>
          <w:sz w:val="22"/>
          <w:szCs w:val="22"/>
          <w:color w:val="auto"/>
        </w:rPr>
        <w:t>13</w:t>
      </w:r>
    </w:p>
    <w:p>
      <w:pPr>
        <w:spacing w:after="0" w:line="396"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10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Events of Default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United States Securities Exchange Act of 1934.</w:t>
      </w:r>
    </w:p>
    <w:p>
      <w:pPr>
        <w:spacing w:after="0" w:line="179" w:lineRule="exact"/>
        <w:rPr>
          <w:sz w:val="20"/>
          <w:szCs w:val="20"/>
          <w:color w:val="auto"/>
        </w:rPr>
      </w:pPr>
    </w:p>
    <w:p>
      <w:pPr>
        <w:jc w:val="both"/>
        <w:ind w:left="100" w:right="99" w:firstLine="1296"/>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Company under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amounts with respect to such Taxes were payable either to such Lender’s assignor immediately before such Lender acquired the applicable interest in a Loan, Letter of Credit or Commitment or to such Lender immediately before it changed its lending office,</w:t>
      </w:r>
    </w:p>
    <w:p>
      <w:pPr>
        <w:spacing w:after="0" w:line="10" w:lineRule="exact"/>
        <w:rPr>
          <w:sz w:val="20"/>
          <w:szCs w:val="20"/>
          <w:color w:val="auto"/>
        </w:rPr>
      </w:pPr>
    </w:p>
    <w:p>
      <w:pPr>
        <w:ind w:left="100" w:right="99" w:firstLine="5"/>
        <w:spacing w:after="0" w:line="224" w:lineRule="auto"/>
        <w:tabs>
          <w:tab w:leader="none" w:pos="42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Taxes attributable to such Recipient’s failure to comply with </w:t>
      </w:r>
      <w:r>
        <w:rPr>
          <w:rFonts w:ascii="Arial" w:cs="Arial" w:eastAsia="Arial" w:hAnsi="Arial"/>
          <w:sz w:val="22"/>
          <w:szCs w:val="22"/>
          <w:u w:val="single" w:color="auto"/>
          <w:color w:val="auto"/>
        </w:rPr>
        <w:t>Section 2.16(f)</w:t>
      </w:r>
      <w:r>
        <w:rPr>
          <w:rFonts w:ascii="Arial" w:cs="Arial" w:eastAsia="Arial" w:hAnsi="Arial"/>
          <w:sz w:val="22"/>
          <w:szCs w:val="22"/>
          <w:color w:val="auto"/>
        </w:rPr>
        <w:t xml:space="preserve"> and (d) any U.S. Federal withholding Taxes imposed under FATCA.</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Borrowings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2.22(e)</w:t>
      </w:r>
      <w:r>
        <w:rPr>
          <w:rFonts w:ascii="Arial" w:cs="Arial" w:eastAsia="Arial" w:hAnsi="Arial"/>
          <w:sz w:val="22"/>
          <w:szCs w:val="22"/>
          <w:color w:val="auto"/>
        </w:rPr>
        <w:t>.</w:t>
      </w:r>
    </w:p>
    <w:p>
      <w:pPr>
        <w:spacing w:after="0" w:line="179" w:lineRule="exact"/>
        <w:rPr>
          <w:sz w:val="20"/>
          <w:szCs w:val="20"/>
          <w:color w:val="auto"/>
        </w:rPr>
      </w:pPr>
    </w:p>
    <w:p>
      <w:pPr>
        <w:jc w:val="both"/>
        <w:ind w:left="100" w:right="99"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Letters of Credit</w:t>
      </w:r>
      <w:r>
        <w:rPr>
          <w:rFonts w:ascii="Arial" w:cs="Arial" w:eastAsia="Arial" w:hAnsi="Arial"/>
          <w:sz w:val="19"/>
          <w:szCs w:val="19"/>
          <w:color w:val="auto"/>
        </w:rPr>
        <w:t xml:space="preserve">” means (a) any letter of credit issued under the Company Existing Credit Agreement for the account of the Company or any Subsidiary by any Person that is an Issuing Bank hereunder and that is outstanding on the Effective Date and listed on </w:t>
      </w:r>
      <w:r>
        <w:rPr>
          <w:rFonts w:ascii="Arial" w:cs="Arial" w:eastAsia="Arial" w:hAnsi="Arial"/>
          <w:sz w:val="19"/>
          <w:szCs w:val="19"/>
          <w:u w:val="single" w:color="auto"/>
          <w:color w:val="auto"/>
        </w:rPr>
        <w:t>Schedule 2.05</w:t>
      </w:r>
      <w:r>
        <w:rPr>
          <w:rFonts w:ascii="Arial" w:cs="Arial" w:eastAsia="Arial" w:hAnsi="Arial"/>
          <w:sz w:val="19"/>
          <w:szCs w:val="19"/>
          <w:color w:val="auto"/>
        </w:rPr>
        <w:t xml:space="preserve"> or</w:t>
      </w:r>
    </w:p>
    <w:p>
      <w:pPr>
        <w:spacing w:after="0" w:line="3" w:lineRule="exact"/>
        <w:rPr>
          <w:sz w:val="20"/>
          <w:szCs w:val="20"/>
          <w:color w:val="auto"/>
        </w:rPr>
      </w:pPr>
    </w:p>
    <w:p>
      <w:pPr>
        <w:jc w:val="both"/>
        <w:ind w:left="100" w:right="99" w:firstLine="5"/>
        <w:spacing w:after="0" w:line="243" w:lineRule="auto"/>
        <w:tabs>
          <w:tab w:leader="none" w:pos="40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on and after the PNG Acquisition Closing Date, any letter of credit issued under the PNG Existing Revolving Credit Agreement for the account of any Person that, upon the consummation of the PNG Acquisition, will become a Subsidiary on the PNG Acquisition Closing Date by any Person that is an Issuing Bank hereunder and that, subject to compliance with the requirements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as to the maximum LC Exposure and expiration of Letters of Credit and the satisfaction (or waiver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of the conditions specified in </w:t>
      </w:r>
      <w:r>
        <w:rPr>
          <w:rFonts w:ascii="Arial" w:cs="Arial" w:eastAsia="Arial" w:hAnsi="Arial"/>
          <w:sz w:val="19"/>
          <w:szCs w:val="19"/>
          <w:u w:val="single" w:color="auto"/>
          <w:color w:val="auto"/>
        </w:rPr>
        <w:t>Section 4.03</w:t>
      </w:r>
      <w:r>
        <w:rPr>
          <w:rFonts w:ascii="Arial" w:cs="Arial" w:eastAsia="Arial" w:hAnsi="Arial"/>
          <w:sz w:val="19"/>
          <w:szCs w:val="19"/>
          <w:color w:val="auto"/>
        </w:rPr>
        <w:t>, on the PNG Acquisition Closing Date is designated as an “Existing Letter of Credit” by written notice thereof by the Company and such Issuing Bank to the Administrative Agent.</w:t>
      </w:r>
    </w:p>
    <w:p>
      <w:pPr>
        <w:spacing w:after="0" w:line="157" w:lineRule="exact"/>
        <w:rPr>
          <w:sz w:val="20"/>
          <w:szCs w:val="20"/>
          <w:color w:val="auto"/>
        </w:rPr>
      </w:pPr>
    </w:p>
    <w:p>
      <w:pPr>
        <w:jc w:val="both"/>
        <w:ind w:left="100" w:right="99"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 of Credit Issuing Banks</w:t>
      </w:r>
      <w:r>
        <w:rPr>
          <w:rFonts w:ascii="Arial" w:cs="Arial" w:eastAsia="Arial" w:hAnsi="Arial"/>
          <w:sz w:val="22"/>
          <w:szCs w:val="22"/>
          <w:color w:val="auto"/>
        </w:rPr>
        <w:t>” means each Issuing Bank, in its capacity as the issuer of the Existing Letters of Credit listed in the written notice provided to the Administrative Agent by the Company and such Issuing Bank designating the letters of credit referenced therein as Existing Letters of Credit in accordance with clause (b) of the definition of the term “Existing Letters of Credit”, that shall have consented to become an Existing Letter of Credit Issuing Bank pursuant to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316230</wp:posOffset>
            </wp:positionV>
            <wp:extent cx="5642610" cy="514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0" w:name="page201"/>
    <w:bookmarkEnd w:id="200"/>
    <w:p>
      <w:pPr>
        <w:jc w:val="right"/>
        <w:ind w:right="99"/>
        <w:spacing w:after="0"/>
        <w:rPr>
          <w:sz w:val="20"/>
          <w:szCs w:val="20"/>
          <w:color w:val="auto"/>
        </w:rPr>
      </w:pPr>
      <w:r>
        <w:rPr>
          <w:rFonts w:ascii="Arial" w:cs="Arial" w:eastAsia="Arial" w:hAnsi="Arial"/>
          <w:sz w:val="22"/>
          <w:szCs w:val="22"/>
          <w:color w:val="auto"/>
        </w:rPr>
        <w:t>14</w:t>
      </w:r>
    </w:p>
    <w:p>
      <w:pPr>
        <w:spacing w:after="0" w:line="39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Maturity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2.19(a)</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2.19(b)</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Effective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2.19(b)</w:t>
      </w:r>
      <w:r>
        <w:rPr>
          <w:rFonts w:ascii="Arial" w:cs="Arial" w:eastAsia="Arial" w:hAnsi="Arial"/>
          <w:sz w:val="22"/>
          <w:szCs w:val="22"/>
          <w:color w:val="auto"/>
        </w:rPr>
        <w:t>.</w:t>
      </w:r>
    </w:p>
    <w:p>
      <w:pPr>
        <w:spacing w:after="0" w:line="17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Facilities</w:t>
      </w:r>
      <w:r>
        <w:rPr>
          <w:rFonts w:ascii="Arial" w:cs="Arial" w:eastAsia="Arial" w:hAnsi="Arial"/>
          <w:sz w:val="22"/>
          <w:szCs w:val="22"/>
          <w:color w:val="auto"/>
        </w:rPr>
        <w:t>” means the revolving credit facilities provided for herein, including the Tranche 1 Commitments, the Tranche 2 Commitments, the Tranche 1 Loans, the Tranche 2 Loans and the participations in Letters of Credit and Swingline Loans.</w:t>
      </w:r>
    </w:p>
    <w:p>
      <w:pPr>
        <w:spacing w:after="0" w:line="159" w:lineRule="exact"/>
        <w:rPr>
          <w:sz w:val="20"/>
          <w:szCs w:val="20"/>
          <w:color w:val="auto"/>
        </w:rPr>
      </w:pPr>
    </w:p>
    <w:p>
      <w:pPr>
        <w:jc w:val="both"/>
        <w:ind w:left="100" w:right="99"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 of the Code, any intergovernmental agreement entered into in connection with the implementation of such Sections of the Code or any fiscal or regulatory legislation, rules or official practices adopted pursuant to any such intergovernmental agreement.</w:t>
      </w:r>
    </w:p>
    <w:p>
      <w:pPr>
        <w:spacing w:after="0" w:line="164" w:lineRule="exact"/>
        <w:rPr>
          <w:sz w:val="20"/>
          <w:szCs w:val="20"/>
          <w:color w:val="auto"/>
        </w:rPr>
      </w:pPr>
    </w:p>
    <w:p>
      <w:pPr>
        <w:jc w:val="both"/>
        <w:ind w:left="100" w:right="99"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shall be less than zero, the Federal Funds Effective Rate shall be deemed to be zero.</w:t>
      </w:r>
    </w:p>
    <w:p>
      <w:pPr>
        <w:spacing w:after="0" w:line="149" w:lineRule="exact"/>
        <w:rPr>
          <w:sz w:val="20"/>
          <w:szCs w:val="20"/>
          <w:color w:val="auto"/>
        </w:rPr>
      </w:pPr>
    </w:p>
    <w:p>
      <w:pPr>
        <w:jc w:val="both"/>
        <w:ind w:left="100" w:right="99"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Letters</w:t>
      </w:r>
      <w:r>
        <w:rPr>
          <w:rFonts w:ascii="Arial" w:cs="Arial" w:eastAsia="Arial" w:hAnsi="Arial"/>
          <w:sz w:val="22"/>
          <w:szCs w:val="22"/>
          <w:color w:val="auto"/>
        </w:rPr>
        <w:t>” means each of (a) the Administrative Agent Fee Letter dated December 5, 2018, between the Company and PNC, (b) the Fee Letter dated November 1, 2018, between the Company and Royal Bank of Canada, (c) the Administrative Agent Fee Letter dated October 22, 2018, between the Company and Goldman Sachs Bank USA, and (d) the Arranger Fee Letter dated October 22, 2018, among the Company, Goldman Sachs Bank USA and Royal Bank of Canada.</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Covenant</w:t>
      </w:r>
      <w:r>
        <w:rPr>
          <w:rFonts w:ascii="Arial" w:cs="Arial" w:eastAsia="Arial" w:hAnsi="Arial"/>
          <w:sz w:val="22"/>
          <w:szCs w:val="22"/>
          <w:color w:val="auto"/>
        </w:rPr>
        <w:t xml:space="preserve">” means the covenant set forth in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17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w:t>
      </w:r>
      <w:r>
        <w:rPr>
          <w:rFonts w:ascii="Arial" w:cs="Arial" w:eastAsia="Arial" w:hAnsi="Arial"/>
          <w:sz w:val="22"/>
          <w:szCs w:val="22"/>
          <w:color w:val="auto"/>
        </w:rPr>
        <w:t>” means, with respect to any Person, the chief financial officer, principal financial officer, principal accounting officer, vice president-treasury, treasurer or controller of such Person.</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Fitch</w:t>
      </w:r>
      <w:r>
        <w:rPr>
          <w:rFonts w:ascii="Arial" w:cs="Arial" w:eastAsia="Arial" w:hAnsi="Arial"/>
          <w:sz w:val="21"/>
          <w:szCs w:val="21"/>
          <w:color w:val="auto"/>
        </w:rPr>
        <w:t>” means Fitch Ratings, Inc., or any successor to its rating agency business.</w:t>
      </w:r>
    </w:p>
    <w:p>
      <w:pPr>
        <w:spacing w:after="0" w:line="191"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Lender that is not a U.S. Person.</w:t>
      </w:r>
    </w:p>
    <w:p>
      <w:pPr>
        <w:spacing w:after="0" w:line="179"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 means, subject to </w:t>
      </w:r>
      <w:r>
        <w:rPr>
          <w:rFonts w:ascii="Arial" w:cs="Arial" w:eastAsia="Arial" w:hAnsi="Arial"/>
          <w:sz w:val="19"/>
          <w:szCs w:val="19"/>
          <w:u w:val="single" w:color="auto"/>
          <w:color w:val="auto"/>
        </w:rPr>
        <w:t>Section 1.04(a)</w:t>
      </w:r>
      <w:r>
        <w:rPr>
          <w:rFonts w:ascii="Arial" w:cs="Arial" w:eastAsia="Arial" w:hAnsi="Arial"/>
          <w:sz w:val="19"/>
          <w:szCs w:val="19"/>
          <w:color w:val="auto"/>
        </w:rPr>
        <w:t>, generally accepted accounting principles in the United States of America, applied in accordance with the consistency requirements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282575</wp:posOffset>
            </wp:positionV>
            <wp:extent cx="5642610" cy="514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1" w:name="page202"/>
    <w:bookmarkEnd w:id="201"/>
    <w:p>
      <w:pPr>
        <w:ind w:left="8700"/>
        <w:spacing w:after="0"/>
        <w:rPr>
          <w:sz w:val="20"/>
          <w:szCs w:val="20"/>
          <w:color w:val="auto"/>
        </w:rPr>
      </w:pPr>
      <w:r>
        <w:rPr>
          <w:rFonts w:ascii="Arial" w:cs="Arial" w:eastAsia="Arial" w:hAnsi="Arial"/>
          <w:sz w:val="19"/>
          <w:szCs w:val="19"/>
          <w:color w:val="auto"/>
        </w:rPr>
        <w:t>15</w:t>
      </w:r>
    </w:p>
    <w:p>
      <w:pPr>
        <w:spacing w:after="0" w:line="200" w:lineRule="exact"/>
        <w:rPr>
          <w:sz w:val="20"/>
          <w:szCs w:val="20"/>
          <w:color w:val="auto"/>
        </w:rPr>
      </w:pPr>
    </w:p>
    <w:p>
      <w:pPr>
        <w:spacing w:after="0" w:line="231"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Approvals</w:t>
      </w:r>
      <w:r>
        <w:rPr>
          <w:rFonts w:ascii="Arial" w:cs="Arial" w:eastAsia="Arial" w:hAnsi="Arial"/>
          <w:sz w:val="19"/>
          <w:szCs w:val="19"/>
          <w:color w:val="auto"/>
        </w:rPr>
        <w:t>” means all authorizations, consents, approvals, permits, licenses and exemptions of, registrations and filings with, and reports to, Governmental Authorities.</w:t>
      </w:r>
    </w:p>
    <w:p>
      <w:pPr>
        <w:spacing w:after="0" w:line="106" w:lineRule="exact"/>
        <w:rPr>
          <w:sz w:val="20"/>
          <w:szCs w:val="20"/>
          <w:color w:val="auto"/>
        </w:rPr>
      </w:pPr>
    </w:p>
    <w:p>
      <w:pPr>
        <w:jc w:val="both"/>
        <w:ind w:left="100" w:right="99"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of America or any other nation or any political subdivision of any thereof,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59" w:lineRule="exact"/>
        <w:rPr>
          <w:sz w:val="20"/>
          <w:szCs w:val="20"/>
          <w:color w:val="auto"/>
        </w:rPr>
      </w:pPr>
    </w:p>
    <w:p>
      <w:pPr>
        <w:jc w:val="both"/>
        <w:ind w:left="100" w:right="99"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primary purpose of assuring the owner of such Indebtedness or other obligation of the payment thereof, (c) to maintain working capital, equity capital or any other financial statement condition or liquidity of the primary obligor the primary purpose of which is to enable the primary obligor to pay such Indebtedness or other obligation or (d) as an account party in respect of any letter of credit or letter of guaranty issued to support such Indebtedness or other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w:t>
      </w:r>
    </w:p>
    <w:p>
      <w:pPr>
        <w:jc w:val="both"/>
        <w:ind w:left="100" w:right="99" w:firstLine="5"/>
        <w:spacing w:after="0" w:line="241" w:lineRule="auto"/>
        <w:tabs>
          <w:tab w:leader="none" w:pos="37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endorsements for collection or deposit in the ordinary course of business and (ii) any obligations to repay Indebtedness or other obligations of another Person in connection with the consummation of an Acquisition or other investment related to such Person. The amount, as of any date of determination, of any Guarantee shall be the principal amount outstanding on such date of the Indebtedness or other obligation guaranteed by the guarantor (or, in the case of (A) any Guarantee the terms of which limit the monetary exposure of, or other recourse to, the guarantor or (B) any Guarantee of an obligation that does not have a principal amount, the maximum monetary exposure (or maximum exposure associated with the exercise of such other recourse) as of such date of the guarantor under such Guarantee (as determined, in the case of clause (A), pursuant to such terms or, in the case of clause (B), reasonably and in good faith by a Financial Officer of the Company) and in all events not to exceed the principal amount outstanding on such date of the Indebtedness or other obligation for which the primary obligor is liable).</w:t>
      </w:r>
    </w:p>
    <w:p>
      <w:pPr>
        <w:spacing w:after="0" w:line="158" w:lineRule="exact"/>
        <w:rPr>
          <w:sz w:val="20"/>
          <w:szCs w:val="20"/>
          <w:color w:val="auto"/>
        </w:rPr>
      </w:pPr>
    </w:p>
    <w:p>
      <w:pPr>
        <w:jc w:val="both"/>
        <w:ind w:left="100" w:right="99"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all explosive, radioactive,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or for which liability may be imposed under any Environmental Law by reason of their harmful or deleterious nature or any similar basis.</w:t>
      </w:r>
    </w:p>
    <w:p>
      <w:pPr>
        <w:spacing w:after="0" w:line="159" w:lineRule="exact"/>
        <w:rPr>
          <w:sz w:val="20"/>
          <w:szCs w:val="20"/>
          <w:color w:val="auto"/>
        </w:rPr>
      </w:pPr>
    </w:p>
    <w:p>
      <w:pPr>
        <w:jc w:val="both"/>
        <w:ind w:left="100" w:right="99"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Hedging Agreement</w:t>
      </w:r>
      <w:r>
        <w:rPr>
          <w:rFonts w:ascii="Arial" w:cs="Arial" w:eastAsia="Arial" w:hAnsi="Arial"/>
          <w:sz w:val="21"/>
          <w:szCs w:val="21"/>
          <w:color w:val="auto"/>
        </w:rPr>
        <w:t>” means any agreement with respect to any swap, forward, future or derivative transaction, or any option or similar agreement, involving, or settled by reference to, one or more rates, currencies, commodities, prices of equity or debt securities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315595</wp:posOffset>
            </wp:positionV>
            <wp:extent cx="5642610" cy="514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2" w:name="page203"/>
    <w:bookmarkEnd w:id="202"/>
    <w:p>
      <w:pPr>
        <w:jc w:val="right"/>
        <w:ind w:right="99"/>
        <w:spacing w:after="0"/>
        <w:rPr>
          <w:sz w:val="20"/>
          <w:szCs w:val="20"/>
          <w:color w:val="auto"/>
        </w:rPr>
      </w:pPr>
      <w:r>
        <w:rPr>
          <w:rFonts w:ascii="Arial" w:cs="Arial" w:eastAsia="Arial" w:hAnsi="Arial"/>
          <w:sz w:val="22"/>
          <w:szCs w:val="22"/>
          <w:color w:val="auto"/>
        </w:rPr>
        <w:t>16</w:t>
      </w:r>
    </w:p>
    <w:p>
      <w:pPr>
        <w:spacing w:after="0" w:line="39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21"/>
          <w:szCs w:val="21"/>
          <w:color w:val="auto"/>
        </w:rPr>
        <w:t xml:space="preserve">instruments, or economic, financial or pricing indices or measures of economic, financial or pricing risk or value, or any similar transaction or combination of the foregoing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it is understood that no phantom stock or similar plan providing for payments only on account of services provided by current or former directors, officers, employees or consultants of the Company or the Subsidiaries or right of a Person to ‘put’ an asset to another Person that arises in connection with any Acquisition or Disposition shall be a Hedging Agreement. The amount of the obligations of the Company or any Subsidiary in respect of any Hedging Agreement at any time shall be the amount (giving effect to any netting agreements and, except for purposes of </w:t>
      </w:r>
      <w:r>
        <w:rPr>
          <w:rFonts w:ascii="Arial" w:cs="Arial" w:eastAsia="Arial" w:hAnsi="Arial"/>
          <w:sz w:val="21"/>
          <w:szCs w:val="21"/>
          <w:u w:val="single" w:color="auto"/>
          <w:color w:val="auto"/>
        </w:rPr>
        <w:t>Section 6.01</w:t>
      </w:r>
      <w:r>
        <w:rPr>
          <w:rFonts w:ascii="Arial" w:cs="Arial" w:eastAsia="Arial" w:hAnsi="Arial"/>
          <w:sz w:val="21"/>
          <w:szCs w:val="21"/>
          <w:color w:val="auto"/>
        </w:rPr>
        <w:t>, cash collateral arrangements) that the Company or such Subsidiary would be required to pay if such Hedging Agreement were early terminated at such time based on a mid-market quotation or is required to pay as a close-out amount if such Hedging Agreement has been terminated.</w:t>
      </w:r>
    </w:p>
    <w:p>
      <w:pPr>
        <w:spacing w:after="0" w:line="165" w:lineRule="exact"/>
        <w:rPr>
          <w:sz w:val="20"/>
          <w:szCs w:val="20"/>
          <w:color w:val="auto"/>
        </w:rPr>
      </w:pPr>
    </w:p>
    <w:p>
      <w:pPr>
        <w:jc w:val="both"/>
        <w:ind w:left="100" w:right="99"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Facility Agreement</w:t>
      </w:r>
      <w:r>
        <w:rPr>
          <w:rFonts w:ascii="Arial" w:cs="Arial" w:eastAsia="Arial" w:hAnsi="Arial"/>
          <w:sz w:val="21"/>
          <w:szCs w:val="21"/>
          <w:color w:val="auto"/>
        </w:rPr>
        <w:t xml:space="preserve">” means an Incremental Facility Agreement, in form and substance reasonably satisfactory to the Company and the Administrative Agent, among the Company, the Administrative Agent and one or more Incremental Tranche 1 Lenders, establishing Incremental Tranche 1 Commitments and effecting such other amendments hereto and to the other Loan Documents as are contemplated by </w:t>
      </w:r>
      <w:r>
        <w:rPr>
          <w:rFonts w:ascii="Arial" w:cs="Arial" w:eastAsia="Arial" w:hAnsi="Arial"/>
          <w:sz w:val="21"/>
          <w:szCs w:val="21"/>
          <w:u w:val="single" w:color="auto"/>
          <w:color w:val="auto"/>
        </w:rPr>
        <w:t>Section 2.22</w:t>
      </w:r>
      <w:r>
        <w:rPr>
          <w:rFonts w:ascii="Arial" w:cs="Arial" w:eastAsia="Arial" w:hAnsi="Arial"/>
          <w:sz w:val="21"/>
          <w:szCs w:val="21"/>
          <w:color w:val="auto"/>
        </w:rPr>
        <w:t>.</w:t>
      </w:r>
    </w:p>
    <w:p>
      <w:pPr>
        <w:spacing w:after="0" w:line="160"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Facility Cap</w:t>
      </w:r>
      <w:r>
        <w:rPr>
          <w:rFonts w:ascii="Arial" w:cs="Arial" w:eastAsia="Arial" w:hAnsi="Arial"/>
          <w:sz w:val="22"/>
          <w:szCs w:val="22"/>
          <w:color w:val="auto"/>
        </w:rPr>
        <w:t xml:space="preserve">” means $300,000,000;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occurrence of the PNG Acquisition Closing Date, the Incremental Facility Cap shall automatically be increased by $150,000,000 to a total of $450,000,000.</w:t>
      </w:r>
    </w:p>
    <w:p>
      <w:pPr>
        <w:spacing w:after="0" w:line="159"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Tranche 1 Commitment</w:t>
      </w:r>
      <w:r>
        <w:rPr>
          <w:rFonts w:ascii="Arial" w:cs="Arial" w:eastAsia="Arial" w:hAnsi="Arial"/>
          <w:sz w:val="22"/>
          <w:szCs w:val="22"/>
          <w:color w:val="auto"/>
        </w:rPr>
        <w:t xml:space="preserve">” means, with respect to any Lender, the commitment, if any, of such Lender, established pursuant to an Incremental Facility Agreement and </w:t>
      </w:r>
      <w:r>
        <w:rPr>
          <w:rFonts w:ascii="Arial" w:cs="Arial" w:eastAsia="Arial" w:hAnsi="Arial"/>
          <w:sz w:val="22"/>
          <w:szCs w:val="22"/>
          <w:u w:val="single" w:color="auto"/>
          <w:color w:val="auto"/>
        </w:rPr>
        <w:t>Section 2.22</w:t>
      </w:r>
      <w:r>
        <w:rPr>
          <w:rFonts w:ascii="Arial" w:cs="Arial" w:eastAsia="Arial" w:hAnsi="Arial"/>
          <w:sz w:val="22"/>
          <w:szCs w:val="22"/>
          <w:color w:val="auto"/>
        </w:rPr>
        <w:t>, to make Tranche 1 Loans and to acquire participations in Letters of Credit and Swingline Loans hereunder.</w:t>
      </w:r>
    </w:p>
    <w:p>
      <w:pPr>
        <w:spacing w:after="0" w:line="154"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Tranche 1 Lender</w:t>
      </w:r>
      <w:r>
        <w:rPr>
          <w:rFonts w:ascii="Arial" w:cs="Arial" w:eastAsia="Arial" w:hAnsi="Arial"/>
          <w:sz w:val="21"/>
          <w:szCs w:val="21"/>
          <w:color w:val="auto"/>
        </w:rPr>
        <w:t>” means a Lender with an Incremental Tranche 1</w:t>
      </w:r>
    </w:p>
    <w:p>
      <w:pPr>
        <w:ind w:left="100"/>
        <w:spacing w:after="0"/>
        <w:rPr>
          <w:sz w:val="20"/>
          <w:szCs w:val="20"/>
          <w:color w:val="auto"/>
        </w:rPr>
      </w:pPr>
      <w:r>
        <w:rPr>
          <w:rFonts w:ascii="Arial" w:cs="Arial" w:eastAsia="Arial" w:hAnsi="Arial"/>
          <w:sz w:val="22"/>
          <w:szCs w:val="22"/>
          <w:color w:val="auto"/>
        </w:rPr>
        <w:t>Commitment.</w:t>
      </w:r>
    </w:p>
    <w:p>
      <w:pPr>
        <w:spacing w:after="0" w:line="161" w:lineRule="exact"/>
        <w:rPr>
          <w:sz w:val="20"/>
          <w:szCs w:val="20"/>
          <w:color w:val="auto"/>
        </w:rPr>
      </w:pPr>
    </w:p>
    <w:p>
      <w:pPr>
        <w:jc w:val="both"/>
        <w:ind w:left="100" w:right="99"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(excluding trade accounts payable incurred in the ordinary course of business), (d) all obligations of such Person in respect of the deferred purchase price of property or services (excluding (i) current accounts payable incurred in the ordinary course of business, (ii) deferred compensation payable to directors, officers, employees or consultants and (iii) any purchase price adjustment or earnout), (e) all Capital Lease Obligations of such Person,</w:t>
      </w:r>
    </w:p>
    <w:p>
      <w:pPr>
        <w:spacing w:after="0" w:line="6" w:lineRule="exact"/>
        <w:rPr>
          <w:sz w:val="20"/>
          <w:szCs w:val="20"/>
          <w:color w:val="auto"/>
        </w:rPr>
      </w:pPr>
    </w:p>
    <w:p>
      <w:pPr>
        <w:jc w:val="both"/>
        <w:ind w:left="100" w:right="99" w:firstLine="5"/>
        <w:spacing w:after="0" w:line="219" w:lineRule="auto"/>
        <w:tabs>
          <w:tab w:leader="none" w:pos="381" w:val="left"/>
        </w:tabs>
        <w:numPr>
          <w:ilvl w:val="0"/>
          <w:numId w:val="119"/>
        </w:numPr>
        <w:rPr>
          <w:rFonts w:ascii="Arial" w:cs="Arial" w:eastAsia="Arial" w:hAnsi="Arial"/>
          <w:sz w:val="21"/>
          <w:szCs w:val="21"/>
          <w:color w:val="auto"/>
        </w:rPr>
      </w:pPr>
      <w:r>
        <w:rPr>
          <w:rFonts w:ascii="Arial" w:cs="Arial" w:eastAsia="Arial" w:hAnsi="Arial"/>
          <w:sz w:val="21"/>
          <w:szCs w:val="21"/>
          <w:color w:val="auto"/>
        </w:rPr>
        <w:t xml:space="preserve">the maximum aggregate amount of all letters of credit and letters of guaranty in respect of which such Person is an account party, (g) all obligations, contingent or otherwise, of such Person in respect of bankers’ acceptances, (h) all Indebtedness of others to the extent secured by any Lien on property of such Person, whether or not the Indebtedness secured thereby has been assumed by such Person, where the amount of such Indebtedness shall be deemed to be the lesser of (i) the fair market value of the property securing such Indebtedness and (ii) the maximum amount of such Indebtedness for which such Person is liable and (i) all Guarantees by such Person of Indebtedness of others;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319405</wp:posOffset>
            </wp:positionV>
            <wp:extent cx="5642610" cy="514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3" w:name="page204"/>
    <w:bookmarkEnd w:id="203"/>
    <w:p>
      <w:pPr>
        <w:ind w:left="8700"/>
        <w:spacing w:after="0"/>
        <w:rPr>
          <w:sz w:val="20"/>
          <w:szCs w:val="20"/>
          <w:color w:val="auto"/>
        </w:rPr>
      </w:pPr>
      <w:r>
        <w:rPr>
          <w:rFonts w:ascii="Arial" w:cs="Arial" w:eastAsia="Arial" w:hAnsi="Arial"/>
          <w:sz w:val="19"/>
          <w:szCs w:val="19"/>
          <w:color w:val="auto"/>
        </w:rPr>
        <w:t>17</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22"/>
          <w:szCs w:val="22"/>
          <w:color w:val="auto"/>
        </w:rPr>
        <w:t>“Indebtedness” shall not include (i) deferred or prepaid revenue, (ii) purchase price holdbacks in respect of a portion of the purchase price of an asset to satisfy warranty or other unperformed obligations of the seller and (iii) intercompany Indebtedness of the Company and the Subsidiaries.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provide that such Person is not liable therefor.</w:t>
      </w:r>
    </w:p>
    <w:p>
      <w:pPr>
        <w:spacing w:after="0" w:line="16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Losses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9.03(b)</w:t>
      </w:r>
      <w:r>
        <w:rPr>
          <w:rFonts w:ascii="Arial" w:cs="Arial" w:eastAsia="Arial" w:hAnsi="Arial"/>
          <w:sz w:val="22"/>
          <w:szCs w:val="22"/>
          <w:color w:val="auto"/>
        </w:rPr>
        <w:t>.</w:t>
      </w:r>
    </w:p>
    <w:p>
      <w:pPr>
        <w:spacing w:after="0" w:line="179" w:lineRule="exact"/>
        <w:rPr>
          <w:sz w:val="20"/>
          <w:szCs w:val="20"/>
          <w:color w:val="auto"/>
        </w:rPr>
      </w:pPr>
    </w:p>
    <w:p>
      <w:pPr>
        <w:jc w:val="both"/>
        <w:ind w:left="100" w:right="99"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Taxes</w:t>
      </w:r>
      <w:r>
        <w:rPr>
          <w:rFonts w:ascii="Arial" w:cs="Arial" w:eastAsia="Arial" w:hAnsi="Arial"/>
          <w:sz w:val="21"/>
          <w:szCs w:val="21"/>
          <w:color w:val="auto"/>
        </w:rPr>
        <w:t>” means (a) Taxes, other than Excluded Taxes, imposed on or with respect to any payment made by or on account of any obligation of the Company under any Loan Document and (b) to the extent not otherwise described in clause (a), Other Taxes.</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9.03(b)</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Maturity Date</w:t>
      </w:r>
      <w:r>
        <w:rPr>
          <w:rFonts w:ascii="Arial" w:cs="Arial" w:eastAsia="Arial" w:hAnsi="Arial"/>
          <w:sz w:val="22"/>
          <w:szCs w:val="22"/>
          <w:color w:val="auto"/>
        </w:rPr>
        <w:t>” means the fifth anniversary of the Effective Date.</w:t>
      </w:r>
    </w:p>
    <w:p>
      <w:pPr>
        <w:spacing w:after="0" w:line="179" w:lineRule="exact"/>
        <w:rPr>
          <w:sz w:val="20"/>
          <w:szCs w:val="20"/>
          <w:color w:val="auto"/>
        </w:rPr>
      </w:pPr>
    </w:p>
    <w:p>
      <w:pPr>
        <w:jc w:val="both"/>
        <w:ind w:left="100" w:right="99"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Election Request</w:t>
      </w:r>
      <w:r>
        <w:rPr>
          <w:rFonts w:ascii="Arial" w:cs="Arial" w:eastAsia="Arial" w:hAnsi="Arial"/>
          <w:sz w:val="19"/>
          <w:szCs w:val="19"/>
          <w:color w:val="auto"/>
        </w:rPr>
        <w:t xml:space="preserve">” means a request by the Company to convert or continue a Borrowing in accordance with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which shall be, in the case of any such written request,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or any other form approved by the Administrative Agent.</w:t>
      </w:r>
    </w:p>
    <w:p>
      <w:pPr>
        <w:spacing w:after="0" w:line="132"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means (a) with respect to any ABR Loan or any Swingline Loan, the first Business Day following the last day of each March, June, September and December,</w:t>
      </w:r>
    </w:p>
    <w:p>
      <w:pPr>
        <w:jc w:val="both"/>
        <w:ind w:left="100" w:right="99" w:firstLine="5"/>
        <w:spacing w:after="0" w:line="247" w:lineRule="auto"/>
        <w:tabs>
          <w:tab w:leader="none" w:pos="40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with respect to any LIBOR Loan, the last day of the Interest Period applicable to the Borrowing of which such Loan is a part (and, in the case of a LIBOR Borrowing with an Interest Period of more than three months’ duration, such day or days prior to the last day of such Interest Period as shall occur at intervals of three months’ duration after the first day of such Interest Period) and (c) with respect to any Swingline Loan, the day that such Swingline Loan is required to be repaid.</w:t>
      </w:r>
    </w:p>
    <w:p>
      <w:pPr>
        <w:spacing w:after="0" w:line="154" w:lineRule="exact"/>
        <w:rPr>
          <w:sz w:val="20"/>
          <w:szCs w:val="20"/>
          <w:color w:val="auto"/>
        </w:rPr>
      </w:pPr>
    </w:p>
    <w:p>
      <w:pPr>
        <w:jc w:val="both"/>
        <w:ind w:left="100" w:right="99"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any LIBOR Borrowing, the period commencing on the date of such Borrowing and ending on the numerically corresponding day in the calendar month that is one week or one, two, three or six months thereafter (or such shorter or longer period as shall have been consented to by each Lender participating in such Borrowing), as the Company may 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any Interest Period would end on a day other than a Business Day, such Interest Period shall be extended to the next succeeding Business Day unless, in the case of any Interest Period of one month or longer, such next succeeding Business Day would fall in the next calendar month, in which case such Interest Period shall end on the next preceding Business Day and</w:t>
      </w:r>
    </w:p>
    <w:p>
      <w:pPr>
        <w:spacing w:after="0" w:line="6" w:lineRule="exact"/>
        <w:rPr>
          <w:sz w:val="20"/>
          <w:szCs w:val="20"/>
          <w:color w:val="auto"/>
        </w:rPr>
      </w:pPr>
    </w:p>
    <w:p>
      <w:pPr>
        <w:jc w:val="both"/>
        <w:ind w:left="100" w:right="99" w:firstLine="5"/>
        <w:spacing w:after="0" w:line="211" w:lineRule="auto"/>
        <w:tabs>
          <w:tab w:leader="none" w:pos="40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Interest Period of one month or longer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0" w:lineRule="exact"/>
        <w:rPr>
          <w:sz w:val="20"/>
          <w:szCs w:val="20"/>
          <w:color w:val="auto"/>
        </w:rPr>
      </w:pPr>
    </w:p>
    <w:p>
      <w:pPr>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Screen Rate</w:t>
      </w:r>
      <w:r>
        <w:rPr>
          <w:rFonts w:ascii="Arial" w:cs="Arial" w:eastAsia="Arial" w:hAnsi="Arial"/>
          <w:sz w:val="19"/>
          <w:szCs w:val="19"/>
          <w:color w:val="auto"/>
        </w:rPr>
        <w:t>” means, for any period, a rate per annum that results from interpolating on a linear basis between (a) the applicable LIBO Screen Rate for the longest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282575</wp:posOffset>
            </wp:positionV>
            <wp:extent cx="5642610" cy="514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4" w:name="page205"/>
    <w:bookmarkEnd w:id="204"/>
    <w:p>
      <w:pPr>
        <w:ind w:left="8700"/>
        <w:spacing w:after="0"/>
        <w:rPr>
          <w:sz w:val="20"/>
          <w:szCs w:val="20"/>
          <w:color w:val="auto"/>
        </w:rPr>
      </w:pPr>
      <w:r>
        <w:rPr>
          <w:rFonts w:ascii="Arial" w:cs="Arial" w:eastAsia="Arial" w:hAnsi="Arial"/>
          <w:sz w:val="19"/>
          <w:szCs w:val="19"/>
          <w:color w:val="auto"/>
        </w:rPr>
        <w:t>18</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line="216" w:lineRule="auto"/>
        <w:rPr>
          <w:sz w:val="20"/>
          <w:szCs w:val="20"/>
          <w:color w:val="auto"/>
        </w:rPr>
      </w:pPr>
      <w:r>
        <w:rPr>
          <w:rFonts w:ascii="Arial" w:cs="Arial" w:eastAsia="Arial" w:hAnsi="Arial"/>
          <w:sz w:val="22"/>
          <w:szCs w:val="22"/>
          <w:color w:val="auto"/>
        </w:rPr>
        <w:t xml:space="preserve">maturity for which a LIBO Screen Rate is available that is shorter than such period and (b) the applicable LIBO Screen Rate for the shortest maturity for which a LIBO Screen Rate is available that is longer than such period, in each case, as of the time the Interpolated Screen Rate is required to be determined in accordance with the other provisions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Interpolated Screen Rate shall in no event be less than zero.</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179" w:lineRule="exact"/>
        <w:rPr>
          <w:sz w:val="20"/>
          <w:szCs w:val="20"/>
          <w:color w:val="auto"/>
        </w:rPr>
      </w:pPr>
    </w:p>
    <w:p>
      <w:pPr>
        <w:jc w:val="both"/>
        <w:ind w:left="100" w:right="99"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w:t>
      </w:r>
      <w:r>
        <w:rPr>
          <w:rFonts w:ascii="Arial" w:cs="Arial" w:eastAsia="Arial" w:hAnsi="Arial"/>
          <w:sz w:val="19"/>
          <w:szCs w:val="19"/>
          <w:color w:val="auto"/>
        </w:rPr>
        <w:t xml:space="preserve">” means (a) PNC, (b) each Existing Letter of Credit Issuing Bank (solely with respect to its Existing Letters of Credit) and (c) each Lender that shall have become an Issuing Bank hereunder as provided in </w:t>
      </w:r>
      <w:r>
        <w:rPr>
          <w:rFonts w:ascii="Arial" w:cs="Arial" w:eastAsia="Arial" w:hAnsi="Arial"/>
          <w:sz w:val="19"/>
          <w:szCs w:val="19"/>
          <w:u w:val="single" w:color="auto"/>
          <w:color w:val="auto"/>
        </w:rPr>
        <w:t>Section 2.05(i)</w:t>
      </w:r>
      <w:r>
        <w:rPr>
          <w:rFonts w:ascii="Arial" w:cs="Arial" w:eastAsia="Arial" w:hAnsi="Arial"/>
          <w:sz w:val="19"/>
          <w:szCs w:val="19"/>
          <w:color w:val="auto"/>
        </w:rPr>
        <w:t xml:space="preserve"> (in each case, other than any Person that shall have ceased to be an Issuing Bank as provided in </w:t>
      </w:r>
      <w:r>
        <w:rPr>
          <w:rFonts w:ascii="Arial" w:cs="Arial" w:eastAsia="Arial" w:hAnsi="Arial"/>
          <w:sz w:val="19"/>
          <w:szCs w:val="19"/>
          <w:u w:val="single" w:color="auto"/>
          <w:color w:val="auto"/>
        </w:rPr>
        <w:t>Section 2.05(j)</w:t>
      </w:r>
      <w:r>
        <w:rPr>
          <w:rFonts w:ascii="Arial" w:cs="Arial" w:eastAsia="Arial" w:hAnsi="Arial"/>
          <w:sz w:val="19"/>
          <w:szCs w:val="19"/>
          <w:color w:val="auto"/>
        </w:rPr>
        <w:t xml:space="preserve">), each in its capacity as an issuer of Letters of Credit hereunder. Any Issuing Bank may, in its discretion, arrange for one or more Letters of Credit to be issued by an Affiliate of such Issuing Bank of the same or better creditworthiness (or other creditworthiness acceptable to the Company), in which case the term “Issuing Bank” shall include any such Affiliate with respect to Letters of Credit issued by such Affiliate (it being agreed that such Issuing Bank shall, or shall cause such Affiliate to, comply with the requirements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with respect to such Letters of Credit).</w:t>
      </w:r>
    </w:p>
    <w:p>
      <w:pPr>
        <w:spacing w:after="0" w:line="156" w:lineRule="exact"/>
        <w:rPr>
          <w:sz w:val="20"/>
          <w:szCs w:val="20"/>
          <w:color w:val="auto"/>
        </w:rPr>
      </w:pPr>
    </w:p>
    <w:p>
      <w:pPr>
        <w:jc w:val="both"/>
        <w:ind w:left="100" w:right="99"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Commitment</w:t>
      </w:r>
      <w:r>
        <w:rPr>
          <w:rFonts w:ascii="Arial" w:cs="Arial" w:eastAsia="Arial" w:hAnsi="Arial"/>
          <w:sz w:val="19"/>
          <w:szCs w:val="19"/>
          <w:color w:val="auto"/>
        </w:rPr>
        <w:t xml:space="preserve">” means, with respect to each Issuing Bank, the maximum permitted amount of the LC Exposure that may be attributable to Letters of Credit issued by such Issuing Bank. The initial amount of the LC Commitment (a) for PNC is $100,000,000, and (b) for any Issuing Bank that becomes such pursuant to </w:t>
      </w:r>
      <w:r>
        <w:rPr>
          <w:rFonts w:ascii="Arial" w:cs="Arial" w:eastAsia="Arial" w:hAnsi="Arial"/>
          <w:sz w:val="19"/>
          <w:szCs w:val="19"/>
          <w:u w:val="single" w:color="auto"/>
          <w:color w:val="auto"/>
        </w:rPr>
        <w:t>Section 2.05(i)</w:t>
      </w:r>
      <w:r>
        <w:rPr>
          <w:rFonts w:ascii="Arial" w:cs="Arial" w:eastAsia="Arial" w:hAnsi="Arial"/>
          <w:sz w:val="19"/>
          <w:szCs w:val="19"/>
          <w:color w:val="auto"/>
        </w:rPr>
        <w:t xml:space="preserve">, shall be as set forth in the written agreement referred to in such Section pursuant to which such Issuing Bank has been designated as such, and if any Issuing Bank shall have agreed with the Company to modify the amount of its LC Commitment, the amount of such Issuing Bank’s LC Commitment shall, effective upon the date the Administrative Agent shall have received written notice of such modification, be the modified amount agreed to in writing by such Issuing Bank as its LC Commitment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total LC Commitments shall not exceed the LC Sublimit.</w:t>
      </w:r>
    </w:p>
    <w:p>
      <w:pPr>
        <w:spacing w:after="0" w:line="156"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Disbursement</w:t>
      </w:r>
      <w:r>
        <w:rPr>
          <w:rFonts w:ascii="Arial" w:cs="Arial" w:eastAsia="Arial" w:hAnsi="Arial"/>
          <w:sz w:val="19"/>
          <w:szCs w:val="19"/>
          <w:color w:val="auto"/>
        </w:rPr>
        <w:t>” means a payment made by any Issuing Bank pursuant to a Letter</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of Credit.</w:t>
      </w:r>
    </w:p>
    <w:p>
      <w:pPr>
        <w:spacing w:after="0" w:line="161" w:lineRule="exact"/>
        <w:rPr>
          <w:sz w:val="20"/>
          <w:szCs w:val="20"/>
          <w:color w:val="auto"/>
        </w:rPr>
      </w:pPr>
    </w:p>
    <w:p>
      <w:pPr>
        <w:jc w:val="both"/>
        <w:ind w:left="100" w:right="99"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Exposure</w:t>
      </w:r>
      <w:r>
        <w:rPr>
          <w:rFonts w:ascii="Arial" w:cs="Arial" w:eastAsia="Arial" w:hAnsi="Arial"/>
          <w:sz w:val="21"/>
          <w:szCs w:val="21"/>
          <w:color w:val="auto"/>
        </w:rPr>
        <w:t xml:space="preserve">” means, at any time, the sum of (a) the aggregate amount of all Letters of Credit that remains available for drawing at such time and (b) the aggregate amount of all LC Disbursements that have not yet been reimbursed by or on behalf of the Company at such time. The LC Exposure of any Tranche 1 Lender at any time shall be its Applicable Percentage of the total LC Exposure at such time, adjusted to give effect to any reallocation under </w:t>
      </w:r>
      <w:r>
        <w:rPr>
          <w:rFonts w:ascii="Arial" w:cs="Arial" w:eastAsia="Arial" w:hAnsi="Arial"/>
          <w:sz w:val="21"/>
          <w:szCs w:val="21"/>
          <w:u w:val="single" w:color="auto"/>
          <w:color w:val="auto"/>
        </w:rPr>
        <w:t>Section 2.20(c)</w:t>
      </w:r>
      <w:r>
        <w:rPr>
          <w:rFonts w:ascii="Arial" w:cs="Arial" w:eastAsia="Arial" w:hAnsi="Arial"/>
          <w:sz w:val="21"/>
          <w:szCs w:val="21"/>
          <w:color w:val="auto"/>
        </w:rPr>
        <w:t xml:space="preserve"> of the LC Exposure of Defaulting Lenders in effect at such time.</w:t>
      </w:r>
    </w:p>
    <w:p>
      <w:pPr>
        <w:spacing w:after="0" w:line="160"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Participation Fee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2.11(c)</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Sublimit</w:t>
      </w:r>
      <w:r>
        <w:rPr>
          <w:rFonts w:ascii="Arial" w:cs="Arial" w:eastAsia="Arial" w:hAnsi="Arial"/>
          <w:sz w:val="22"/>
          <w:szCs w:val="22"/>
          <w:color w:val="auto"/>
        </w:rPr>
        <w:t>” means $100,000,000.</w:t>
      </w:r>
    </w:p>
    <w:p>
      <w:pPr>
        <w:spacing w:after="0" w:line="17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Parent</w:t>
      </w:r>
      <w:r>
        <w:rPr>
          <w:rFonts w:ascii="Arial" w:cs="Arial" w:eastAsia="Arial" w:hAnsi="Arial"/>
          <w:sz w:val="22"/>
          <w:szCs w:val="22"/>
          <w:color w:val="auto"/>
        </w:rPr>
        <w:t>” means, with respect to any Lender, any Person as to which such Lender is, directly or indirectly,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316230</wp:posOffset>
            </wp:positionV>
            <wp:extent cx="5642610" cy="514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5" w:name="page206"/>
    <w:bookmarkEnd w:id="205"/>
    <w:p>
      <w:pPr>
        <w:jc w:val="right"/>
        <w:ind w:right="99"/>
        <w:spacing w:after="0"/>
        <w:rPr>
          <w:sz w:val="20"/>
          <w:szCs w:val="20"/>
          <w:color w:val="auto"/>
        </w:rPr>
      </w:pPr>
      <w:r>
        <w:rPr>
          <w:rFonts w:ascii="Arial" w:cs="Arial" w:eastAsia="Arial" w:hAnsi="Arial"/>
          <w:sz w:val="22"/>
          <w:szCs w:val="22"/>
          <w:color w:val="auto"/>
        </w:rPr>
        <w:t>19</w:t>
      </w:r>
    </w:p>
    <w:p>
      <w:pPr>
        <w:spacing w:after="0" w:line="396" w:lineRule="exact"/>
        <w:rPr>
          <w:sz w:val="20"/>
          <w:szCs w:val="20"/>
          <w:color w:val="auto"/>
        </w:rPr>
      </w:pPr>
    </w:p>
    <w:p>
      <w:pPr>
        <w:jc w:val="both"/>
        <w:ind w:left="100" w:right="99"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2.01</w:t>
      </w:r>
      <w:r>
        <w:rPr>
          <w:rFonts w:ascii="Arial" w:cs="Arial" w:eastAsia="Arial" w:hAnsi="Arial"/>
          <w:sz w:val="22"/>
          <w:szCs w:val="22"/>
          <w:color w:val="auto"/>
        </w:rPr>
        <w:t>, any Incremental Tranche 1 Lender that shall have become a party hereto pursuant to an Incremental Facility Agreement, any Bridge Lender that shall have become a party hereto pursuant to the Bridge Facility Agreement and any other Person that shall have become a party hereto pursuant to an Assignment and Assumption, other than any such Person that shall have ceased to be a party hereto pursuant to an Assignment and Assumption. Unless the context otherwise requires, the term “Lenders” includes each Swingline Lender.</w:t>
      </w:r>
    </w:p>
    <w:p>
      <w:pPr>
        <w:spacing w:after="0" w:line="164"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xml:space="preserve">” means each Existing Letter of Credit and any letter of credit issued pursuant to this Agreement, other than any such letter of credit that shall have ceased to be a “Letter of Credit” outstanding hereunder pursuant to </w:t>
      </w:r>
      <w:r>
        <w:rPr>
          <w:rFonts w:ascii="Arial" w:cs="Arial" w:eastAsia="Arial" w:hAnsi="Arial"/>
          <w:sz w:val="22"/>
          <w:szCs w:val="22"/>
          <w:u w:val="single" w:color="auto"/>
          <w:color w:val="auto"/>
        </w:rPr>
        <w:t>Section 9.05</w:t>
      </w:r>
      <w:r>
        <w:rPr>
          <w:rFonts w:ascii="Arial" w:cs="Arial" w:eastAsia="Arial" w:hAnsi="Arial"/>
          <w:sz w:val="22"/>
          <w:szCs w:val="22"/>
          <w:color w:val="auto"/>
        </w:rPr>
        <w:t>.</w:t>
      </w:r>
    </w:p>
    <w:p>
      <w:pPr>
        <w:spacing w:after="0" w:line="159"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w:t>
      </w:r>
      <w:r>
        <w:rPr>
          <w:rFonts w:ascii="Arial" w:cs="Arial" w:eastAsia="Arial" w:hAnsi="Arial"/>
          <w:sz w:val="22"/>
          <w:szCs w:val="22"/>
          <w:color w:val="auto"/>
        </w:rPr>
        <w:t xml:space="preserve">”, when used in reference to any Loan or Borrowing, refers to whether such Loan, or the Loans comprising such Borrowing, bear interest at a rate determined by reference to the Adjusted LIBO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no Swingline Loan shall be a LIBOR Loan.</w:t>
      </w:r>
    </w:p>
    <w:p>
      <w:pPr>
        <w:spacing w:after="0" w:line="161" w:lineRule="exact"/>
        <w:rPr>
          <w:sz w:val="20"/>
          <w:szCs w:val="20"/>
          <w:color w:val="auto"/>
        </w:rPr>
      </w:pPr>
    </w:p>
    <w:p>
      <w:pPr>
        <w:jc w:val="both"/>
        <w:ind w:left="100" w:right="99"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Rate</w:t>
      </w:r>
      <w:r>
        <w:rPr>
          <w:rFonts w:ascii="Arial" w:cs="Arial" w:eastAsia="Arial" w:hAnsi="Arial"/>
          <w:sz w:val="22"/>
          <w:szCs w:val="22"/>
          <w:color w:val="auto"/>
        </w:rPr>
        <w:t xml:space="preserve">” means, with respect to any LIBOR Borrowing for any Interest Period, the applicable LIBO Screen Rate at approximately 11:00 a.m., London time, two Business Days prior to the commencement of such Interest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no LIBO Screen Rate shall be available for a particular Interest Period but LIBO Screen Rates shall be available for maturities both longer and shorter than such Interest Period, than the LIBO Screen Rate for such Interest Period shall be the Interpolated Screen Rate.</w:t>
      </w:r>
    </w:p>
    <w:p>
      <w:pPr>
        <w:spacing w:after="0" w:line="159" w:lineRule="exact"/>
        <w:rPr>
          <w:sz w:val="20"/>
          <w:szCs w:val="20"/>
          <w:color w:val="auto"/>
        </w:rPr>
      </w:pPr>
    </w:p>
    <w:p>
      <w:pPr>
        <w:jc w:val="both"/>
        <w:ind w:left="100" w:right="99"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Screen Rate</w:t>
      </w:r>
      <w:r>
        <w:rPr>
          <w:rFonts w:ascii="Arial" w:cs="Arial" w:eastAsia="Arial" w:hAnsi="Arial"/>
          <w:sz w:val="19"/>
          <w:szCs w:val="19"/>
          <w:color w:val="auto"/>
        </w:rPr>
        <w:t xml:space="preserve">” means, with respect to the LIBO Rate for any Interest Period, or with respect to any determination of the Alternate Base Rate pursuant to clause (c) of the definition thereof, a rate per annum equal to the London interbank offered rate as administered by the ICE Benchmark Administration (or any other Person that takes over the administration of such rate) for deposits in dollars (for delivery on the first day of such Interest Period) with a term equivalent to such Interest Period as displayed on the applicable Bloomberg page (currently BBAM1) (or, in the event such rate does not appear on a Bloomberg page, on the appropriate page of such other information service that publishes such rate as shall be selected by the Administrative Agent from time to time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LIBO Screen Rate, determined as provided above, would be less than zero, such LIBO Screen Rate shall for all purposes of this Agreement be zero.</w:t>
      </w:r>
    </w:p>
    <w:p>
      <w:pPr>
        <w:spacing w:after="0" w:line="156" w:lineRule="exact"/>
        <w:rPr>
          <w:sz w:val="20"/>
          <w:szCs w:val="20"/>
          <w:color w:val="auto"/>
        </w:rPr>
      </w:pPr>
    </w:p>
    <w:p>
      <w:pPr>
        <w:jc w:val="both"/>
        <w:ind w:left="100" w:right="99"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 any mortgage, deed of trust, lien, pledge, hypothecation, charge, security interest or other encumbrance on, in or of such asset, and (b) the interest of a vendor or a lessor under any conditional sale agreement or title retention agreement (or any financing lease having substantially the same economic effect as any of the foregoing) relating to such asset.</w:t>
      </w:r>
    </w:p>
    <w:p>
      <w:pPr>
        <w:spacing w:after="0" w:line="158"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means this Agreement, any Incremental Facility Agreement, any Assumption Agreement, the Bridge Facility Agreement (if any) and, except for purposes of </w:t>
      </w:r>
      <w:r>
        <w:rPr>
          <w:rFonts w:ascii="Arial" w:cs="Arial" w:eastAsia="Arial" w:hAnsi="Arial"/>
          <w:sz w:val="22"/>
          <w:szCs w:val="22"/>
          <w:u w:val="single" w:color="auto"/>
          <w:color w:val="auto"/>
        </w:rPr>
        <w:t>Section 9.02</w:t>
      </w:r>
      <w:r>
        <w:rPr>
          <w:rFonts w:ascii="Arial" w:cs="Arial" w:eastAsia="Arial" w:hAnsi="Arial"/>
          <w:sz w:val="22"/>
          <w:szCs w:val="22"/>
          <w:color w:val="auto"/>
        </w:rPr>
        <w:t xml:space="preserve">, any promissory notes delivered pursuant to </w:t>
      </w:r>
      <w:r>
        <w:rPr>
          <w:rFonts w:ascii="Arial" w:cs="Arial" w:eastAsia="Arial" w:hAnsi="Arial"/>
          <w:sz w:val="22"/>
          <w:szCs w:val="22"/>
          <w:u w:val="single" w:color="auto"/>
          <w:color w:val="auto"/>
        </w:rPr>
        <w:t>Section 2.09(c)</w:t>
      </w:r>
      <w:r>
        <w:rPr>
          <w:rFonts w:ascii="Arial" w:cs="Arial" w:eastAsia="Arial" w:hAnsi="Arial"/>
          <w:sz w:val="22"/>
          <w:szCs w:val="22"/>
          <w:color w:val="auto"/>
        </w:rPr>
        <w:t xml:space="preserve"> and any written agreements entered into pursuant to </w:t>
      </w:r>
      <w:r>
        <w:rPr>
          <w:rFonts w:ascii="Arial" w:cs="Arial" w:eastAsia="Arial" w:hAnsi="Arial"/>
          <w:sz w:val="22"/>
          <w:szCs w:val="22"/>
          <w:u w:val="single" w:color="auto"/>
          <w:color w:val="auto"/>
        </w:rPr>
        <w:t>Section 2.04(e)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2.05(i)</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317500</wp:posOffset>
            </wp:positionV>
            <wp:extent cx="5642610" cy="514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6" w:name="page207"/>
    <w:bookmarkEnd w:id="206"/>
    <w:p>
      <w:pPr>
        <w:jc w:val="right"/>
        <w:ind w:right="99"/>
        <w:spacing w:after="0"/>
        <w:rPr>
          <w:sz w:val="20"/>
          <w:szCs w:val="20"/>
          <w:color w:val="auto"/>
        </w:rPr>
      </w:pPr>
      <w:r>
        <w:rPr>
          <w:rFonts w:ascii="Arial" w:cs="Arial" w:eastAsia="Arial" w:hAnsi="Arial"/>
          <w:sz w:val="22"/>
          <w:szCs w:val="22"/>
          <w:color w:val="auto"/>
        </w:rPr>
        <w:t>20</w:t>
      </w:r>
    </w:p>
    <w:p>
      <w:pPr>
        <w:spacing w:after="0" w:line="396"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Company pursuant to this Agreement, including Swingline Loans.</w:t>
      </w:r>
    </w:p>
    <w:p>
      <w:pPr>
        <w:spacing w:after="0" w:line="159" w:lineRule="exact"/>
        <w:rPr>
          <w:sz w:val="20"/>
          <w:szCs w:val="20"/>
          <w:color w:val="auto"/>
        </w:rPr>
      </w:pPr>
    </w:p>
    <w:p>
      <w:pPr>
        <w:jc w:val="both"/>
        <w:ind w:left="100" w:right="99"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in Interest</w:t>
      </w:r>
      <w:r>
        <w:rPr>
          <w:rFonts w:ascii="Arial" w:cs="Arial" w:eastAsia="Arial" w:hAnsi="Arial"/>
          <w:sz w:val="19"/>
          <w:szCs w:val="19"/>
          <w:color w:val="auto"/>
        </w:rPr>
        <w:t>”, when used in reference to Lenders of any Class, means, at any time, (a) in the case of the Tranche 1 Lenders, Lenders having Credit Exposures and unused Tranche 1 Commitments representing more than 50% of the sum of the Total Tranche 1 Credit Exposure and the unused Tranche 1 Commitments at such time and (b) in the case of the Tranche 2 Lenders, Lenders holding outstanding Tranche 2 Loans and unused Tranche 2 Commitments representing more than 50% of all Tranche 2 Loans and unused Tranche 2 Commitments outstanding at such time.</w:t>
      </w:r>
    </w:p>
    <w:p>
      <w:pPr>
        <w:spacing w:after="0" w:line="153"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Acquisition</w:t>
      </w:r>
      <w:r>
        <w:rPr>
          <w:rFonts w:ascii="Arial" w:cs="Arial" w:eastAsia="Arial" w:hAnsi="Arial"/>
          <w:sz w:val="22"/>
          <w:szCs w:val="22"/>
          <w:color w:val="auto"/>
        </w:rPr>
        <w:t>” means any Acquisition by the Company or any Subsidiary involving payment of consideration of $150,000,000 or more.</w:t>
      </w:r>
    </w:p>
    <w:p>
      <w:pPr>
        <w:spacing w:after="0" w:line="159"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business, assets, liabilities, operations or financial condition of the Company and the Subsidiaries, taken as a whole,</w:t>
      </w:r>
    </w:p>
    <w:p>
      <w:pPr>
        <w:ind w:left="440" w:hanging="335"/>
        <w:spacing w:after="0" w:line="215" w:lineRule="auto"/>
        <w:tabs>
          <w:tab w:leader="none" w:pos="44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ability of the Company to perform its payment obligations under the Loan Documents or</w:t>
      </w:r>
    </w:p>
    <w:p>
      <w:pPr>
        <w:ind w:left="400" w:hanging="295"/>
        <w:spacing w:after="0"/>
        <w:tabs>
          <w:tab w:leader="none" w:pos="4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rights and remedies available to the Lenders under the Loan Documents.</w:t>
      </w:r>
    </w:p>
    <w:p>
      <w:pPr>
        <w:spacing w:after="0" w:line="161"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Disposition</w:t>
      </w:r>
      <w:r>
        <w:rPr>
          <w:rFonts w:ascii="Arial" w:cs="Arial" w:eastAsia="Arial" w:hAnsi="Arial"/>
          <w:sz w:val="22"/>
          <w:szCs w:val="22"/>
          <w:color w:val="auto"/>
        </w:rPr>
        <w:t>” means any Disposition by the Company or any Subsidiary involving receipt of consideration of $150,000,000 or more.</w:t>
      </w:r>
    </w:p>
    <w:p>
      <w:pPr>
        <w:spacing w:after="0" w:line="159" w:lineRule="exact"/>
        <w:rPr>
          <w:sz w:val="20"/>
          <w:szCs w:val="20"/>
          <w:color w:val="auto"/>
        </w:rPr>
      </w:pPr>
    </w:p>
    <w:p>
      <w:pPr>
        <w:jc w:val="both"/>
        <w:ind w:left="100" w:right="99" w:firstLine="1296"/>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means an issuance of Indebtedness (other than the Obligations under the Loan Documents), or the net obligations in respect of Hedging Agreements, of any one or more of the Company, any Restricted Subsidiary or any Significant Subsidiary, in an aggregate outstanding principal amount of $100,000,000 or more. For purposes of determining Material Indebtedness, the “principal amount” of the obligations of the Company, any Restricted Subsidiary or any Significant Subsidiary in respect of Hedging Agreements shall be the amount of obligations determined according to the last sentence of the definition of the term “Hedging Agreements”.</w:t>
      </w:r>
    </w:p>
    <w:p>
      <w:pPr>
        <w:spacing w:after="0" w:line="166" w:lineRule="exact"/>
        <w:rPr>
          <w:sz w:val="20"/>
          <w:szCs w:val="20"/>
          <w:color w:val="auto"/>
        </w:rPr>
      </w:pPr>
    </w:p>
    <w:p>
      <w:pPr>
        <w:jc w:val="both"/>
        <w:ind w:left="100" w:right="99"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Transaction</w:t>
      </w:r>
      <w:r>
        <w:rPr>
          <w:rFonts w:ascii="Arial" w:cs="Arial" w:eastAsia="Arial" w:hAnsi="Arial"/>
          <w:sz w:val="21"/>
          <w:szCs w:val="21"/>
          <w:color w:val="auto"/>
        </w:rPr>
        <w:t>” means any Material Acquisition, Material Disposition, incurrence or repayment of a material amount of Indebtedness by the Company and its Subsidiaries, any receipt of material cash proceeds from an equity issuance by the Company and its Subsidiaries, designation a material Restricted Subsidiary as an Unrestricted Subsidiary and any redesignation of an Unrestricted Subsidiary as a Restricted Subsidiary.</w:t>
      </w:r>
    </w:p>
    <w:p>
      <w:pPr>
        <w:spacing w:after="0" w:line="160" w:lineRule="exact"/>
        <w:rPr>
          <w:sz w:val="20"/>
          <w:szCs w:val="20"/>
          <w:color w:val="auto"/>
        </w:rPr>
      </w:pPr>
    </w:p>
    <w:p>
      <w:pPr>
        <w:jc w:val="both"/>
        <w:ind w:left="100" w:right="99"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means the Initial Maturity Date, as such date may be extended pursuant to </w:t>
      </w:r>
      <w:r>
        <w:rPr>
          <w:rFonts w:ascii="Arial" w:cs="Arial" w:eastAsia="Arial" w:hAnsi="Arial"/>
          <w:sz w:val="22"/>
          <w:szCs w:val="22"/>
          <w:u w:val="single" w:color="auto"/>
          <w:color w:val="auto"/>
        </w:rPr>
        <w:t>Section 2.19</w:t>
      </w:r>
      <w:r>
        <w:rPr>
          <w:rFonts w:ascii="Arial" w:cs="Arial" w:eastAsia="Arial" w:hAnsi="Arial"/>
          <w:sz w:val="22"/>
          <w:szCs w:val="22"/>
          <w:color w:val="auto"/>
        </w:rPr>
        <w:t xml:space="preserve"> to the corresponding day in each year thereafter;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any Non-Extending Lender, the Maturity Date shall not be so extended;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if such date is not a Business Day, the “Maturity Date” shall be the Business Day immediately preceding such date.</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 Extension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2.19(a)</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9.13</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328930</wp:posOffset>
            </wp:positionV>
            <wp:extent cx="5642610" cy="514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7" w:name="page208"/>
    <w:bookmarkEnd w:id="207"/>
    <w:p>
      <w:pPr>
        <w:jc w:val="right"/>
        <w:ind w:right="99"/>
        <w:spacing w:after="0"/>
        <w:rPr>
          <w:sz w:val="20"/>
          <w:szCs w:val="20"/>
          <w:color w:val="auto"/>
        </w:rPr>
      </w:pPr>
      <w:r>
        <w:rPr>
          <w:rFonts w:ascii="Arial" w:cs="Arial" w:eastAsia="Arial" w:hAnsi="Arial"/>
          <w:sz w:val="22"/>
          <w:szCs w:val="22"/>
          <w:color w:val="auto"/>
        </w:rPr>
        <w:t>21</w:t>
      </w:r>
    </w:p>
    <w:p>
      <w:pPr>
        <w:spacing w:after="0" w:line="396"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MNPI</w:t>
      </w:r>
      <w:r>
        <w:rPr>
          <w:rFonts w:ascii="Arial" w:cs="Arial" w:eastAsia="Arial" w:hAnsi="Arial"/>
          <w:sz w:val="19"/>
          <w:szCs w:val="19"/>
          <w:color w:val="auto"/>
        </w:rPr>
        <w:t>” means material information concerning the Company, any Subsidiary or any Affiliate of any of the foregoing, or any of their securities, that has not been disseminated in a manner making it available to investors generally, within the meaning of Regulation FD under the Exchange Act. For purposes of this definition, “material information” means information concerning the Company, any Subsidiary or other Affiliate of the Company, the PNG Acquired Company, any Subsidiary or any Affiliate of any of the foregoing, or any of their securities, that could reasonably be expected to be material for purposes of the United States Federal and state securities laws.</w:t>
      </w:r>
    </w:p>
    <w:p>
      <w:pPr>
        <w:spacing w:after="0" w:line="155"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successor to its rating agency business.</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 multiemployer plan as defined in Section 4001(a)(3) of</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ERISA.</w:t>
      </w:r>
    </w:p>
    <w:p>
      <w:pPr>
        <w:spacing w:after="0" w:line="161"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any Lender that is not a Defaulting Lender at such time.</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Non-Extending Lenders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2.19(b)</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179" w:lineRule="exact"/>
        <w:rPr>
          <w:sz w:val="20"/>
          <w:szCs w:val="20"/>
          <w:color w:val="auto"/>
        </w:rPr>
      </w:pPr>
    </w:p>
    <w:p>
      <w:pPr>
        <w:jc w:val="both"/>
        <w:ind w:left="100" w:right="99"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 the due and punctual payment by the Company of the principal of and premium, if any, and interest (including interest accruing, at the rate specified herein, during the pendency of any bankruptcy, insolvency, receivership or other similar proceeding, regardless of whether allowed or allowable in such proceeding) on all Loans, when and as due, whether at maturity, by acceleration, upon one or more dates set for prepayment or otherwise, (b) the due and punctual payment by the Company of each payment required to be made by the Company under this Agreement in respect of any Letter of Credit, when and as due, including payments in respect of reimbursement of LC Disbursements, interest thereon (including interest accruing, at the rate specified herein, during the pendency of any bankruptcy, insolvency, receivership or other similar proceeding, regardless of whether allowed or allowable in such proceeding) and obligations to provide cash collateral, and (c) the due and punctual payment or performance by the Company of all other monetary obligations under this Agreement or any other Loan Document, including fees, costs, expenses and indemnities, whether primary, secondary, direct, contingent, fixed or otherwise (including monetary obligations accruing, at the rate specified herein or therein, or incurred during the pendency of any bankruptcy, insolvency, receivership or other similar proceeding, regardless of whether allowed or allowable in such proceeding).</w:t>
      </w:r>
    </w:p>
    <w:p>
      <w:pPr>
        <w:spacing w:after="0" w:line="37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means the United States Treasury Department Office of Foreign Assets</w:t>
      </w:r>
    </w:p>
    <w:p>
      <w:pPr>
        <w:ind w:left="100"/>
        <w:spacing w:after="0"/>
        <w:rPr>
          <w:sz w:val="20"/>
          <w:szCs w:val="20"/>
          <w:color w:val="auto"/>
        </w:rPr>
      </w:pPr>
      <w:r>
        <w:rPr>
          <w:rFonts w:ascii="Arial" w:cs="Arial" w:eastAsia="Arial" w:hAnsi="Arial"/>
          <w:sz w:val="22"/>
          <w:szCs w:val="22"/>
          <w:color w:val="auto"/>
        </w:rPr>
        <w:t>Control.</w:t>
      </w:r>
    </w:p>
    <w:p>
      <w:pPr>
        <w:spacing w:after="0" w:line="161" w:lineRule="exact"/>
        <w:rPr>
          <w:sz w:val="20"/>
          <w:szCs w:val="20"/>
          <w:color w:val="auto"/>
        </w:rPr>
      </w:pPr>
    </w:p>
    <w:p>
      <w:pPr>
        <w:jc w:val="both"/>
        <w:ind w:left="100" w:right="99"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Connection Taxes</w:t>
      </w:r>
      <w:r>
        <w:rPr>
          <w:rFonts w:ascii="Arial" w:cs="Arial" w:eastAsia="Arial" w:hAnsi="Arial"/>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307340</wp:posOffset>
            </wp:positionV>
            <wp:extent cx="5642610" cy="514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8" w:name="page209"/>
    <w:bookmarkEnd w:id="208"/>
    <w:p>
      <w:pPr>
        <w:jc w:val="right"/>
        <w:ind w:right="99"/>
        <w:spacing w:after="0"/>
        <w:rPr>
          <w:sz w:val="20"/>
          <w:szCs w:val="20"/>
          <w:color w:val="auto"/>
        </w:rPr>
      </w:pPr>
      <w:r>
        <w:rPr>
          <w:rFonts w:ascii="Arial" w:cs="Arial" w:eastAsia="Arial" w:hAnsi="Arial"/>
          <w:sz w:val="22"/>
          <w:szCs w:val="22"/>
          <w:color w:val="auto"/>
        </w:rPr>
        <w:t>22</w:t>
      </w:r>
    </w:p>
    <w:p>
      <w:pPr>
        <w:spacing w:after="0" w:line="396" w:lineRule="exact"/>
        <w:rPr>
          <w:sz w:val="20"/>
          <w:szCs w:val="20"/>
          <w:color w:val="auto"/>
        </w:rPr>
      </w:pPr>
    </w:p>
    <w:p>
      <w:pPr>
        <w:jc w:val="both"/>
        <w:ind w:left="100" w:right="99"/>
        <w:spacing w:after="0" w:line="247" w:lineRule="auto"/>
        <w:rPr>
          <w:sz w:val="20"/>
          <w:szCs w:val="20"/>
          <w:color w:val="auto"/>
        </w:rPr>
      </w:pPr>
      <w:r>
        <w:rPr>
          <w:rFonts w:ascii="Arial" w:cs="Arial" w:eastAsia="Arial" w:hAnsi="Arial"/>
          <w:sz w:val="21"/>
          <w:szCs w:val="21"/>
          <w:color w:val="auto"/>
        </w:rPr>
        <w:t>security interest under, engaged in any other transaction pursuant to or enforced any Loan Document, or sold or assigned an interest in any Loan, Letter of Credit or Loan Document).</w:t>
      </w:r>
    </w:p>
    <w:p>
      <w:pPr>
        <w:spacing w:after="0" w:line="151" w:lineRule="exact"/>
        <w:rPr>
          <w:sz w:val="20"/>
          <w:szCs w:val="20"/>
          <w:color w:val="auto"/>
        </w:rPr>
      </w:pPr>
    </w:p>
    <w:p>
      <w:pPr>
        <w:jc w:val="both"/>
        <w:ind w:left="100" w:right="99"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9.04(c)(ii)</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9.04(c)(i)</w:t>
      </w:r>
      <w:r>
        <w:rPr>
          <w:rFonts w:ascii="Arial" w:cs="Arial" w:eastAsia="Arial" w:hAnsi="Arial"/>
          <w:sz w:val="22"/>
          <w:szCs w:val="22"/>
          <w:color w:val="auto"/>
        </w:rPr>
        <w:t>.</w:t>
      </w:r>
    </w:p>
    <w:p>
      <w:pPr>
        <w:spacing w:after="0" w:line="179" w:lineRule="exact"/>
        <w:rPr>
          <w:sz w:val="20"/>
          <w:szCs w:val="20"/>
          <w:color w:val="auto"/>
        </w:rPr>
      </w:pPr>
    </w:p>
    <w:p>
      <w:pPr>
        <w:jc w:val="both"/>
        <w:ind w:left="100" w:right="99"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Payment in Full</w:t>
      </w:r>
      <w:r>
        <w:rPr>
          <w:rFonts w:ascii="Arial" w:cs="Arial" w:eastAsia="Arial" w:hAnsi="Arial"/>
          <w:sz w:val="21"/>
          <w:szCs w:val="21"/>
          <w:color w:val="auto"/>
        </w:rPr>
        <w:t xml:space="preserve">” means that (a) the Commitments shall have expired or been terminated, (b) the principal of and interest on each Loan and all fees, LC Disbursements and other amounts payable hereunder (other than contingent obligations not then due) shall have been paid in full and all Letters of Credit shall have expired or been terminated (or shall have ceased to be “Letters of Credit” outstanding hereunder pursuant to </w:t>
      </w:r>
      <w:r>
        <w:rPr>
          <w:rFonts w:ascii="Arial" w:cs="Arial" w:eastAsia="Arial" w:hAnsi="Arial"/>
          <w:sz w:val="21"/>
          <w:szCs w:val="21"/>
          <w:u w:val="single" w:color="auto"/>
          <w:color w:val="auto"/>
        </w:rPr>
        <w:t>Section 9.05</w:t>
      </w:r>
      <w:r>
        <w:rPr>
          <w:rFonts w:ascii="Arial" w:cs="Arial" w:eastAsia="Arial" w:hAnsi="Arial"/>
          <w:sz w:val="21"/>
          <w:szCs w:val="21"/>
          <w:color w:val="auto"/>
        </w:rPr>
        <w:t>).</w:t>
      </w:r>
    </w:p>
    <w:p>
      <w:pPr>
        <w:spacing w:after="0" w:line="160"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or Bankruptcy Event of Default</w:t>
      </w:r>
      <w:r>
        <w:rPr>
          <w:rFonts w:ascii="Arial" w:cs="Arial" w:eastAsia="Arial" w:hAnsi="Arial"/>
          <w:sz w:val="22"/>
          <w:szCs w:val="22"/>
          <w:color w:val="auto"/>
        </w:rPr>
        <w:t xml:space="preserve">” means an Event of Default under paragraph (a), (b), (h) or (i) of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5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w:t>
      </w:r>
    </w:p>
    <w:p>
      <w:pPr>
        <w:spacing w:after="0" w:line="179" w:lineRule="exact"/>
        <w:rPr>
          <w:sz w:val="20"/>
          <w:szCs w:val="20"/>
          <w:color w:val="auto"/>
        </w:rPr>
      </w:pPr>
    </w:p>
    <w:p>
      <w:pPr>
        <w:ind w:left="760" w:right="99" w:firstLine="641"/>
        <w:spacing w:after="0" w:line="232" w:lineRule="auto"/>
        <w:tabs>
          <w:tab w:leader="none" w:pos="1711"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Liens imposed by law for Taxes that are not yet overdue for a period of more than 30 days or are being contested in compliance with </w:t>
      </w:r>
      <w:r>
        <w:rPr>
          <w:rFonts w:ascii="Arial" w:cs="Arial" w:eastAsia="Arial" w:hAnsi="Arial"/>
          <w:sz w:val="22"/>
          <w:szCs w:val="22"/>
          <w:u w:val="single" w:color="auto"/>
          <w:color w:val="auto"/>
        </w:rPr>
        <w:t>Section 5.04</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jc w:val="both"/>
        <w:ind w:left="760" w:right="99" w:firstLine="641"/>
        <w:spacing w:after="0" w:line="216" w:lineRule="auto"/>
        <w:tabs>
          <w:tab w:leader="none" w:pos="173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and other like Liens imposed by law (other than any Lien imposed pursuant to Section 430(k) of the Code or Section 303(k) of ERISA or a violation of Section 436 of the Code), securing obligations that are not overdue by more than 90 days or are being contested in good faith by appropriate proceedings;</w:t>
      </w:r>
    </w:p>
    <w:p>
      <w:pPr>
        <w:spacing w:after="0" w:line="158" w:lineRule="exact"/>
        <w:rPr>
          <w:rFonts w:ascii="Arial" w:cs="Arial" w:eastAsia="Arial" w:hAnsi="Arial"/>
          <w:sz w:val="22"/>
          <w:szCs w:val="22"/>
          <w:color w:val="auto"/>
        </w:rPr>
      </w:pPr>
    </w:p>
    <w:p>
      <w:pPr>
        <w:jc w:val="both"/>
        <w:ind w:left="760" w:right="99" w:firstLine="641"/>
        <w:spacing w:after="0" w:line="249" w:lineRule="auto"/>
        <w:tabs>
          <w:tab w:leader="none" w:pos="173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pledges and deposits made (i) in the ordinary course of business in compliance with workers’ compensation, unemployment insurance and other social security laws (other than any Lien imposed pursuant to Section 430(k) of the Code or Section 303(k) of ERISA or a violation of Section 436 of the Code) and (ii) in respect of letters of credit, bank guarantees or similar instruments issued for the account of the Company or any Subsidiary in the ordinary course of business supporting obligations of the type set forth in clause (i) above;</w:t>
      </w:r>
    </w:p>
    <w:p>
      <w:pPr>
        <w:spacing w:after="0" w:line="152" w:lineRule="exact"/>
        <w:rPr>
          <w:rFonts w:ascii="Arial" w:cs="Arial" w:eastAsia="Arial" w:hAnsi="Arial"/>
          <w:sz w:val="19"/>
          <w:szCs w:val="19"/>
          <w:color w:val="auto"/>
        </w:rPr>
      </w:pPr>
    </w:p>
    <w:p>
      <w:pPr>
        <w:jc w:val="both"/>
        <w:ind w:left="760" w:right="99" w:firstLine="641"/>
        <w:spacing w:after="0" w:line="268" w:lineRule="auto"/>
        <w:tabs>
          <w:tab w:leader="none" w:pos="173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pledges and deposits made (i) to secure the performance of bids, trade contracts (other than for payment of Indebtedness), leases (other than Capital Lease Obligations), statutory obligations (other than any Lien imposed pursuant to Section 430(k)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299085</wp:posOffset>
            </wp:positionV>
            <wp:extent cx="5642610" cy="514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9" w:name="page210"/>
    <w:bookmarkEnd w:id="209"/>
    <w:p>
      <w:pPr>
        <w:jc w:val="right"/>
        <w:ind w:right="99"/>
        <w:spacing w:after="0"/>
        <w:rPr>
          <w:sz w:val="20"/>
          <w:szCs w:val="20"/>
          <w:color w:val="auto"/>
        </w:rPr>
      </w:pPr>
      <w:r>
        <w:rPr>
          <w:rFonts w:ascii="Arial" w:cs="Arial" w:eastAsia="Arial" w:hAnsi="Arial"/>
          <w:sz w:val="22"/>
          <w:szCs w:val="22"/>
          <w:color w:val="auto"/>
        </w:rPr>
        <w:t>23</w:t>
      </w:r>
    </w:p>
    <w:p>
      <w:pPr>
        <w:spacing w:after="0" w:line="396" w:lineRule="exact"/>
        <w:rPr>
          <w:sz w:val="20"/>
          <w:szCs w:val="20"/>
          <w:color w:val="auto"/>
        </w:rPr>
      </w:pPr>
    </w:p>
    <w:p>
      <w:pPr>
        <w:jc w:val="both"/>
        <w:ind w:left="760" w:right="99"/>
        <w:spacing w:after="0" w:line="252" w:lineRule="auto"/>
        <w:rPr>
          <w:sz w:val="20"/>
          <w:szCs w:val="20"/>
          <w:color w:val="auto"/>
        </w:rPr>
      </w:pPr>
      <w:r>
        <w:rPr>
          <w:rFonts w:ascii="Arial" w:cs="Arial" w:eastAsia="Arial" w:hAnsi="Arial"/>
          <w:sz w:val="19"/>
          <w:szCs w:val="19"/>
          <w:color w:val="auto"/>
        </w:rPr>
        <w:t>or Section 303(k) of ERISA or a violation of Section 436 of the Code), surety and appeal bonds, performance bonds and other obligations of a like nature, in each case in the ordinary course of business and (ii) in respect of letters of credit, bank guarantees or similar instruments issued for the account of the Company or any Subsidiary in the ordinary course of business supporting obligations of the type set forth in clause (i) above;</w:t>
      </w:r>
    </w:p>
    <w:p>
      <w:pPr>
        <w:spacing w:after="0" w:line="149" w:lineRule="exact"/>
        <w:rPr>
          <w:sz w:val="20"/>
          <w:szCs w:val="20"/>
          <w:color w:val="auto"/>
        </w:rPr>
      </w:pPr>
    </w:p>
    <w:p>
      <w:pPr>
        <w:ind w:left="760" w:right="99" w:firstLine="641"/>
        <w:spacing w:after="0" w:line="232" w:lineRule="auto"/>
        <w:tabs>
          <w:tab w:leader="none" w:pos="171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judgment liens in respect of judgments that do not constitute an Event of Default under clause (k) of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jc w:val="both"/>
        <w:ind w:left="760" w:right="99" w:firstLine="641"/>
        <w:spacing w:after="0" w:line="216" w:lineRule="auto"/>
        <w:tabs>
          <w:tab w:leader="none" w:pos="172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Company and the Subsidiaries, taken as a whole;</w:t>
      </w:r>
    </w:p>
    <w:p>
      <w:pPr>
        <w:spacing w:after="0" w:line="158" w:lineRule="exact"/>
        <w:rPr>
          <w:rFonts w:ascii="Arial" w:cs="Arial" w:eastAsia="Arial" w:hAnsi="Arial"/>
          <w:sz w:val="22"/>
          <w:szCs w:val="22"/>
          <w:color w:val="auto"/>
        </w:rPr>
      </w:pPr>
    </w:p>
    <w:p>
      <w:pPr>
        <w:jc w:val="both"/>
        <w:ind w:left="760" w:right="99" w:firstLine="641"/>
        <w:spacing w:after="0" w:line="223" w:lineRule="auto"/>
        <w:tabs>
          <w:tab w:leader="none" w:pos="1718"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banker’s liens, rights of setoff or similar rights and remedies as to deposit accounts or other funds maintained with depository institutions and securities accounts and other financial assets maintained with securities intermediaries;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deposit accounts or funds and securities accounts or other financial assets are not established or deposited for the purpose of providing collateral for any Indebtedness and are not subject to restrictions on access by the Company or any Subsidiary in excess of those required by applicable banking regulations;</w:t>
      </w:r>
    </w:p>
    <w:p>
      <w:pPr>
        <w:spacing w:after="0" w:line="158" w:lineRule="exact"/>
        <w:rPr>
          <w:rFonts w:ascii="Arial" w:cs="Arial" w:eastAsia="Arial" w:hAnsi="Arial"/>
          <w:sz w:val="21"/>
          <w:szCs w:val="21"/>
          <w:color w:val="auto"/>
        </w:rPr>
      </w:pPr>
    </w:p>
    <w:p>
      <w:pPr>
        <w:jc w:val="both"/>
        <w:ind w:left="760" w:right="99" w:firstLine="641"/>
        <w:spacing w:after="0" w:line="223" w:lineRule="auto"/>
        <w:tabs>
          <w:tab w:leader="none" w:pos="173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Liens arising by virtue of Uniform Commercial Code financing statement filings (or similar filings under applicable law) regarding operating leases entered into by the Company in the ordinary course of business;</w:t>
      </w:r>
    </w:p>
    <w:p>
      <w:pPr>
        <w:spacing w:after="0" w:line="159" w:lineRule="exact"/>
        <w:rPr>
          <w:rFonts w:ascii="Arial" w:cs="Arial" w:eastAsia="Arial" w:hAnsi="Arial"/>
          <w:sz w:val="22"/>
          <w:szCs w:val="22"/>
          <w:color w:val="auto"/>
        </w:rPr>
      </w:pPr>
    </w:p>
    <w:p>
      <w:pPr>
        <w:jc w:val="both"/>
        <w:ind w:left="760" w:right="99" w:firstLine="641"/>
        <w:spacing w:after="0" w:line="218" w:lineRule="auto"/>
        <w:tabs>
          <w:tab w:leader="none" w:pos="172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Liens representing any interest or title of a licensor, lessor or sublicensor or sublessor, or a licensee, lessee or sublicensee or sublessee, in the property subject to any lease (other than Capital Lease Obligations), license or sublicense or concession agreement permitted by this Agreement;</w:t>
      </w:r>
    </w:p>
    <w:p>
      <w:pPr>
        <w:spacing w:after="0" w:line="161" w:lineRule="exact"/>
        <w:rPr>
          <w:rFonts w:ascii="Arial" w:cs="Arial" w:eastAsia="Arial" w:hAnsi="Arial"/>
          <w:sz w:val="22"/>
          <w:szCs w:val="22"/>
          <w:color w:val="auto"/>
        </w:rPr>
      </w:pPr>
    </w:p>
    <w:p>
      <w:pPr>
        <w:ind w:left="760" w:right="99" w:firstLine="641"/>
        <w:spacing w:after="0" w:line="247" w:lineRule="auto"/>
        <w:tabs>
          <w:tab w:leader="none" w:pos="170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to secure payment of customs duties in connection with the importation of goods;</w:t>
      </w:r>
    </w:p>
    <w:p>
      <w:pPr>
        <w:spacing w:after="0" w:line="151" w:lineRule="exact"/>
        <w:rPr>
          <w:rFonts w:ascii="Arial" w:cs="Arial" w:eastAsia="Arial" w:hAnsi="Arial"/>
          <w:sz w:val="21"/>
          <w:szCs w:val="21"/>
          <w:color w:val="auto"/>
        </w:rPr>
      </w:pPr>
    </w:p>
    <w:p>
      <w:pPr>
        <w:jc w:val="both"/>
        <w:ind w:left="760" w:right="99" w:firstLine="641"/>
        <w:spacing w:after="0" w:line="257" w:lineRule="auto"/>
        <w:tabs>
          <w:tab w:leader="none" w:pos="173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44" w:lineRule="exact"/>
        <w:rPr>
          <w:rFonts w:ascii="Arial" w:cs="Arial" w:eastAsia="Arial" w:hAnsi="Arial"/>
          <w:sz w:val="19"/>
          <w:szCs w:val="19"/>
          <w:color w:val="auto"/>
        </w:rPr>
      </w:pPr>
    </w:p>
    <w:p>
      <w:pPr>
        <w:jc w:val="both"/>
        <w:ind w:left="760" w:right="99" w:firstLine="641"/>
        <w:spacing w:after="0" w:line="234" w:lineRule="auto"/>
        <w:tabs>
          <w:tab w:leader="none" w:pos="1689" w:val="left"/>
        </w:tabs>
        <w:numPr>
          <w:ilvl w:val="0"/>
          <w:numId w:val="124"/>
        </w:numPr>
        <w:rPr>
          <w:rFonts w:ascii="Arial" w:cs="Arial" w:eastAsia="Arial" w:hAnsi="Arial"/>
          <w:sz w:val="21"/>
          <w:szCs w:val="21"/>
          <w:color w:val="auto"/>
        </w:rPr>
      </w:pPr>
      <w:r>
        <w:rPr>
          <w:rFonts w:ascii="Arial" w:cs="Arial" w:eastAsia="Arial" w:hAnsi="Arial"/>
          <w:sz w:val="21"/>
          <w:szCs w:val="21"/>
          <w:color w:val="auto"/>
        </w:rPr>
        <w:t>deposits of cash with the owner or lessor of premises leased and operated by the Company or any Subsidiary to secure the performance of its obligations under the lease for such premises, in each case in the ordinary course of business;</w:t>
      </w:r>
    </w:p>
    <w:p>
      <w:pPr>
        <w:spacing w:after="0" w:line="158" w:lineRule="exact"/>
        <w:rPr>
          <w:rFonts w:ascii="Arial" w:cs="Arial" w:eastAsia="Arial" w:hAnsi="Arial"/>
          <w:sz w:val="21"/>
          <w:szCs w:val="21"/>
          <w:color w:val="auto"/>
        </w:rPr>
      </w:pPr>
    </w:p>
    <w:p>
      <w:pPr>
        <w:jc w:val="both"/>
        <w:ind w:left="760" w:right="99" w:firstLine="641"/>
        <w:spacing w:after="0" w:line="223" w:lineRule="auto"/>
        <w:tabs>
          <w:tab w:leader="none" w:pos="178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Liens on cash and cash equivalents deposited with a trustee or a similar Person to defease or to satisfy and discharge any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defeasance or satisfaction and discharge is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316230</wp:posOffset>
            </wp:positionV>
            <wp:extent cx="5642610" cy="514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0" w:name="page211"/>
    <w:bookmarkEnd w:id="210"/>
    <w:p>
      <w:pPr>
        <w:jc w:val="right"/>
        <w:ind w:right="99"/>
        <w:spacing w:after="0"/>
        <w:rPr>
          <w:sz w:val="20"/>
          <w:szCs w:val="20"/>
          <w:color w:val="auto"/>
        </w:rPr>
      </w:pPr>
      <w:r>
        <w:rPr>
          <w:rFonts w:ascii="Arial" w:cs="Arial" w:eastAsia="Arial" w:hAnsi="Arial"/>
          <w:sz w:val="22"/>
          <w:szCs w:val="22"/>
          <w:color w:val="auto"/>
        </w:rPr>
        <w:t>24</w:t>
      </w:r>
    </w:p>
    <w:p>
      <w:pPr>
        <w:spacing w:after="0" w:line="396" w:lineRule="exact"/>
        <w:rPr>
          <w:sz w:val="20"/>
          <w:szCs w:val="20"/>
          <w:color w:val="auto"/>
        </w:rPr>
      </w:pPr>
    </w:p>
    <w:p>
      <w:pPr>
        <w:ind w:left="1760" w:hanging="359"/>
        <w:spacing w:after="0"/>
        <w:tabs>
          <w:tab w:leader="none" w:pos="17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Liens that are contractual rights of set-off; and</w:t>
      </w:r>
    </w:p>
    <w:p>
      <w:pPr>
        <w:spacing w:after="0" w:line="179" w:lineRule="exact"/>
        <w:rPr>
          <w:rFonts w:ascii="Arial" w:cs="Arial" w:eastAsia="Arial" w:hAnsi="Arial"/>
          <w:sz w:val="22"/>
          <w:szCs w:val="22"/>
          <w:color w:val="auto"/>
        </w:rPr>
      </w:pPr>
    </w:p>
    <w:p>
      <w:pPr>
        <w:ind w:left="760" w:right="99" w:firstLine="641"/>
        <w:spacing w:after="0" w:line="232" w:lineRule="auto"/>
        <w:tabs>
          <w:tab w:leader="none" w:pos="182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Liens arising out of consignment or similar arrangements for the sale of goods entered into by the Company in the ordinary course of business.</w:t>
      </w:r>
    </w:p>
    <w:p>
      <w:pPr>
        <w:spacing w:after="0" w:line="159"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natural person, corporation, limited liability company, trust, joint venture, association, company, partnership, Governmental Authority or other entity.</w:t>
      </w:r>
    </w:p>
    <w:p>
      <w:pPr>
        <w:spacing w:after="0" w:line="151" w:lineRule="exact"/>
        <w:rPr>
          <w:sz w:val="20"/>
          <w:szCs w:val="20"/>
          <w:color w:val="auto"/>
        </w:rPr>
      </w:pPr>
    </w:p>
    <w:p>
      <w:pPr>
        <w:jc w:val="both"/>
        <w:ind w:left="100" w:right="99"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of its ERISA Affiliates is (or, if such plan were terminated, would under Section 4069 of ERISA be deemed to be) an “employer” as defined in Section 3(5) of ERISA.</w:t>
      </w:r>
    </w:p>
    <w:p>
      <w:pPr>
        <w:spacing w:after="0" w:line="160"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9.01(d)</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PNC</w:t>
      </w:r>
      <w:r>
        <w:rPr>
          <w:rFonts w:ascii="Arial" w:cs="Arial" w:eastAsia="Arial" w:hAnsi="Arial"/>
          <w:sz w:val="22"/>
          <w:szCs w:val="22"/>
          <w:color w:val="auto"/>
        </w:rPr>
        <w:t>” means PNC Bank, National Association.</w:t>
      </w:r>
    </w:p>
    <w:p>
      <w:pPr>
        <w:spacing w:after="0" w:line="172"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PNG Acquired Company</w:t>
      </w:r>
      <w:r>
        <w:rPr>
          <w:rFonts w:ascii="Arial" w:cs="Arial" w:eastAsia="Arial" w:hAnsi="Arial"/>
          <w:sz w:val="21"/>
          <w:szCs w:val="21"/>
          <w:color w:val="auto"/>
        </w:rPr>
        <w:t>” means LDC Funding LLC, a Delaware limited liability</w:t>
      </w:r>
    </w:p>
    <w:p>
      <w:pPr>
        <w:ind w:left="100"/>
        <w:spacing w:after="0"/>
        <w:rPr>
          <w:sz w:val="20"/>
          <w:szCs w:val="20"/>
          <w:color w:val="auto"/>
        </w:rPr>
      </w:pPr>
      <w:r>
        <w:rPr>
          <w:rFonts w:ascii="Arial" w:cs="Arial" w:eastAsia="Arial" w:hAnsi="Arial"/>
          <w:sz w:val="22"/>
          <w:szCs w:val="22"/>
          <w:color w:val="auto"/>
        </w:rPr>
        <w:t>company.</w:t>
      </w:r>
    </w:p>
    <w:p>
      <w:pPr>
        <w:spacing w:after="0" w:line="161"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PNG Acquisition</w:t>
      </w:r>
      <w:r>
        <w:rPr>
          <w:rFonts w:ascii="Arial" w:cs="Arial" w:eastAsia="Arial" w:hAnsi="Arial"/>
          <w:sz w:val="22"/>
          <w:szCs w:val="22"/>
          <w:color w:val="auto"/>
        </w:rPr>
        <w:t>” means the acquisition by the Company of the PNG Acquired Company pursuant to the PNG Purchase Agreement, in accordance with which the Company will acquire of all of the issued and outstanding limited liability company membership interests of the PNG Acquired Company.</w:t>
      </w:r>
    </w:p>
    <w:p>
      <w:pPr>
        <w:spacing w:after="0" w:line="154"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PNG Acquisition Closing Date</w:t>
      </w:r>
      <w:r>
        <w:rPr>
          <w:rFonts w:ascii="Arial" w:cs="Arial" w:eastAsia="Arial" w:hAnsi="Arial"/>
          <w:sz w:val="21"/>
          <w:szCs w:val="21"/>
          <w:color w:val="auto"/>
        </w:rPr>
        <w:t>” means the date on which the PNG Acquisition is</w:t>
      </w:r>
    </w:p>
    <w:p>
      <w:pPr>
        <w:ind w:left="100"/>
        <w:spacing w:after="0"/>
        <w:rPr>
          <w:sz w:val="20"/>
          <w:szCs w:val="20"/>
          <w:color w:val="auto"/>
        </w:rPr>
      </w:pPr>
      <w:r>
        <w:rPr>
          <w:rFonts w:ascii="Arial" w:cs="Arial" w:eastAsia="Arial" w:hAnsi="Arial"/>
          <w:sz w:val="22"/>
          <w:szCs w:val="22"/>
          <w:color w:val="auto"/>
        </w:rPr>
        <w:t>consummated.</w:t>
      </w:r>
    </w:p>
    <w:p>
      <w:pPr>
        <w:spacing w:after="0" w:line="161" w:lineRule="exact"/>
        <w:rPr>
          <w:sz w:val="20"/>
          <w:szCs w:val="20"/>
          <w:color w:val="auto"/>
        </w:rPr>
      </w:pPr>
    </w:p>
    <w:p>
      <w:pPr>
        <w:jc w:val="both"/>
        <w:ind w:left="100" w:right="99"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PNG Acquisition Outside Date</w:t>
      </w:r>
      <w:r>
        <w:rPr>
          <w:rFonts w:ascii="Arial" w:cs="Arial" w:eastAsia="Arial" w:hAnsi="Arial"/>
          <w:sz w:val="19"/>
          <w:szCs w:val="19"/>
          <w:color w:val="auto"/>
        </w:rPr>
        <w:t>” means 11:59 p.m., New York City time, on October 22, 2019 (the “</w:t>
      </w:r>
      <w:r>
        <w:rPr>
          <w:rFonts w:ascii="Arial" w:cs="Arial" w:eastAsia="Arial" w:hAnsi="Arial"/>
          <w:sz w:val="19"/>
          <w:szCs w:val="19"/>
          <w:u w:val="single" w:color="auto"/>
          <w:color w:val="auto"/>
        </w:rPr>
        <w:t>Initial Outside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Outside Date (as defined in the PNG Purchase Agreement as in effect on the Signing Date) is extended beyond the Initial Outside Date solely in accordance with the first proviso to Section 9.1(b) of the PNG Purchase Agreement (as such proviso permits the extension of the Outside Date under the PNG Purchase Agreement as in effect on the Signing Date), the PNG Acquisition Outside Date shall, upon notice to the Administrative Agent from the Company, be automatically extended (but not beyond 11:59 p.m., New York City time, on April 22, 2020) to be the Outside Date as so extended.</w:t>
      </w:r>
    </w:p>
    <w:p>
      <w:pPr>
        <w:spacing w:after="0" w:line="153" w:lineRule="exact"/>
        <w:rPr>
          <w:sz w:val="20"/>
          <w:szCs w:val="20"/>
          <w:color w:val="auto"/>
        </w:rPr>
      </w:pPr>
    </w:p>
    <w:p>
      <w:pPr>
        <w:jc w:val="both"/>
        <w:ind w:left="100" w:right="99"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PNG Acquisition Transactions</w:t>
      </w:r>
      <w:r>
        <w:rPr>
          <w:rFonts w:ascii="Arial" w:cs="Arial" w:eastAsia="Arial" w:hAnsi="Arial"/>
          <w:sz w:val="21"/>
          <w:szCs w:val="21"/>
          <w:color w:val="auto"/>
        </w:rPr>
        <w:t>” means the PNG Acquisition, the financing transactions relating thereto, including the Company Existing Credit Agreement Refinancing, the Company Existing Private Placement Notes Refinancing, the PNG Existing Revolving Facility Refinancing, PNG Existing Term Facility Refinancing and the Securities Transactions and/or the Bridge Loans (if any) made pursuant to the Bridge Facility Agreement, and the payment of fees and expenses in connection with the foregoing.</w:t>
      </w:r>
    </w:p>
    <w:p>
      <w:pPr>
        <w:spacing w:after="0" w:line="160"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PNG Existing Revolving Credit Agreement</w:t>
      </w:r>
      <w:r>
        <w:rPr>
          <w:rFonts w:ascii="Arial" w:cs="Arial" w:eastAsia="Arial" w:hAnsi="Arial"/>
          <w:sz w:val="19"/>
          <w:szCs w:val="19"/>
          <w:color w:val="auto"/>
        </w:rPr>
        <w:t>” means the Second Amended and Restated Credit Agreement dated as of June 8, 2017, among PNG Companies LLC, the several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282575</wp:posOffset>
            </wp:positionV>
            <wp:extent cx="5642610" cy="514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1" w:name="page212"/>
    <w:bookmarkEnd w:id="211"/>
    <w:p>
      <w:pPr>
        <w:jc w:val="right"/>
        <w:ind w:right="99"/>
        <w:spacing w:after="0"/>
        <w:rPr>
          <w:sz w:val="20"/>
          <w:szCs w:val="20"/>
          <w:color w:val="auto"/>
        </w:rPr>
      </w:pPr>
      <w:r>
        <w:rPr>
          <w:rFonts w:ascii="Arial" w:cs="Arial" w:eastAsia="Arial" w:hAnsi="Arial"/>
          <w:sz w:val="22"/>
          <w:szCs w:val="22"/>
          <w:color w:val="auto"/>
        </w:rPr>
        <w:t>25</w:t>
      </w:r>
    </w:p>
    <w:p>
      <w:pPr>
        <w:spacing w:after="0" w:line="396" w:lineRule="exact"/>
        <w:rPr>
          <w:sz w:val="20"/>
          <w:szCs w:val="20"/>
          <w:color w:val="auto"/>
        </w:rPr>
      </w:pPr>
    </w:p>
    <w:p>
      <w:pPr>
        <w:jc w:val="both"/>
        <w:ind w:left="100" w:right="99"/>
        <w:spacing w:after="0" w:line="232" w:lineRule="auto"/>
        <w:rPr>
          <w:sz w:val="20"/>
          <w:szCs w:val="20"/>
          <w:color w:val="auto"/>
        </w:rPr>
      </w:pPr>
      <w:r>
        <w:rPr>
          <w:rFonts w:ascii="Arial" w:cs="Arial" w:eastAsia="Arial" w:hAnsi="Arial"/>
          <w:sz w:val="22"/>
          <w:szCs w:val="22"/>
          <w:color w:val="auto"/>
        </w:rPr>
        <w:t>banks and other financial institutions or entities from time to time party thereto and JPMorgan Chase Bank, N.A., as administrative agent.</w:t>
      </w:r>
    </w:p>
    <w:p>
      <w:pPr>
        <w:spacing w:after="0" w:line="159" w:lineRule="exact"/>
        <w:rPr>
          <w:sz w:val="20"/>
          <w:szCs w:val="20"/>
          <w:color w:val="auto"/>
        </w:rPr>
      </w:pPr>
    </w:p>
    <w:p>
      <w:pPr>
        <w:jc w:val="both"/>
        <w:ind w:left="100" w:right="99"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PNG Existing Revolving Facility Refinancing</w:t>
      </w:r>
      <w:r>
        <w:rPr>
          <w:rFonts w:ascii="Arial" w:cs="Arial" w:eastAsia="Arial" w:hAnsi="Arial"/>
          <w:sz w:val="21"/>
          <w:szCs w:val="21"/>
          <w:color w:val="auto"/>
        </w:rPr>
        <w:t>” means the payment in full of all principal, interest, fees and other amounts outstanding or due in respect of the PNG Existing Revolving Credit Agreement, the termination of all commitments to extend credit thereunder and the discharge and release of all guarantees and security granted in connection therewith.</w:t>
      </w:r>
    </w:p>
    <w:p>
      <w:pPr>
        <w:spacing w:after="0" w:line="159" w:lineRule="exact"/>
        <w:rPr>
          <w:sz w:val="20"/>
          <w:szCs w:val="20"/>
          <w:color w:val="auto"/>
        </w:rPr>
      </w:pPr>
    </w:p>
    <w:p>
      <w:pPr>
        <w:jc w:val="both"/>
        <w:ind w:left="100" w:right="99"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PNG Existing Term Credit Agreement</w:t>
      </w:r>
      <w:r>
        <w:rPr>
          <w:rFonts w:ascii="Arial" w:cs="Arial" w:eastAsia="Arial" w:hAnsi="Arial"/>
          <w:sz w:val="21"/>
          <w:szCs w:val="21"/>
          <w:color w:val="auto"/>
        </w:rPr>
        <w:t>” means the Third Amended and Restated Credit Agreement dated as of December 20, 2017, among LDC Holdings LLC, the lenders from time to time party thereto and JPMorgan Chase Bank, N.A., as administrative agent.</w:t>
      </w:r>
    </w:p>
    <w:p>
      <w:pPr>
        <w:spacing w:after="0" w:line="158" w:lineRule="exact"/>
        <w:rPr>
          <w:sz w:val="20"/>
          <w:szCs w:val="20"/>
          <w:color w:val="auto"/>
        </w:rPr>
      </w:pPr>
    </w:p>
    <w:p>
      <w:pPr>
        <w:jc w:val="both"/>
        <w:ind w:left="100" w:right="99"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PNG Existing Term Facility Refinancing</w:t>
      </w:r>
      <w:r>
        <w:rPr>
          <w:rFonts w:ascii="Arial" w:cs="Arial" w:eastAsia="Arial" w:hAnsi="Arial"/>
          <w:sz w:val="19"/>
          <w:szCs w:val="19"/>
          <w:color w:val="auto"/>
        </w:rPr>
        <w:t>” means the payment in full of all principal, interest, premium, if any, and other amounts outstanding or due in respect of the PNG Existing Term Credit Agreement, the termination of all commitments, if any, to extend credit thereunder and the discharge and release of all guarantees and security, if any, granted in connection therewith.</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PNG Limited Conditionality Outside Date</w:t>
      </w:r>
      <w:r>
        <w:rPr>
          <w:rFonts w:ascii="Arial" w:cs="Arial" w:eastAsia="Arial" w:hAnsi="Arial"/>
          <w:sz w:val="19"/>
          <w:szCs w:val="19"/>
          <w:color w:val="auto"/>
        </w:rPr>
        <w:t>” means the date that is the first to occur of</w:t>
      </w:r>
    </w:p>
    <w:p>
      <w:pPr>
        <w:spacing w:after="0" w:line="16" w:lineRule="exact"/>
        <w:rPr>
          <w:sz w:val="20"/>
          <w:szCs w:val="20"/>
          <w:color w:val="auto"/>
        </w:rPr>
      </w:pPr>
    </w:p>
    <w:p>
      <w:pPr>
        <w:jc w:val="both"/>
        <w:ind w:left="100" w:right="99" w:firstLine="5"/>
        <w:spacing w:after="0" w:line="251" w:lineRule="auto"/>
        <w:tabs>
          <w:tab w:leader="none" w:pos="44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termination of the PNG Purchase Agreement in accordance with its terms prior to the consummation of the PNG Acquisition, (b) the consummation of the PNG Acquisition without the substantially contemporaneous use of a Tranche 2 Borrowing and (c) if the Tranche 2 Availability Date shall not otherwise have occurred on or prior to such time, the PNG Acquisition Outside Date.</w:t>
      </w:r>
    </w:p>
    <w:p>
      <w:pPr>
        <w:spacing w:after="0" w:line="148"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PNG Purchase Agreement</w:t>
      </w:r>
      <w:r>
        <w:rPr>
          <w:rFonts w:ascii="Arial" w:cs="Arial" w:eastAsia="Arial" w:hAnsi="Arial"/>
          <w:sz w:val="22"/>
          <w:szCs w:val="22"/>
          <w:color w:val="auto"/>
        </w:rPr>
        <w:t>” means the Purchase Agreement dated as of October 22, 2018, between the PNG Seller and the Company (including any schedules, exhibits, annexes or other attachments thereto).</w:t>
      </w:r>
    </w:p>
    <w:p>
      <w:pPr>
        <w:spacing w:after="0" w:line="159" w:lineRule="exact"/>
        <w:rPr>
          <w:sz w:val="20"/>
          <w:szCs w:val="20"/>
          <w:color w:val="auto"/>
        </w:rPr>
      </w:pPr>
    </w:p>
    <w:p>
      <w:pPr>
        <w:jc w:val="both"/>
        <w:ind w:left="100" w:right="99"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PNG Purchase Agreement Representations</w:t>
      </w:r>
      <w:r>
        <w:rPr>
          <w:rFonts w:ascii="Arial" w:cs="Arial" w:eastAsia="Arial" w:hAnsi="Arial"/>
          <w:sz w:val="19"/>
          <w:szCs w:val="19"/>
          <w:color w:val="auto"/>
        </w:rPr>
        <w:t>” means such of the representations and warranties made by the PNG Seller in the PNG Purchase Agreement as are material to the interests of the Lenders (in their capacities as such), but only to the extent that the Company (or any of its Affiliates) has the right (taking into account any applicable cure periods) to terminate its obligations under the PNG Purchase Agreement or the right to elect not to consummate the PNG Acquisition as a result of a breach of such representations and warranties in the PNG Purchase Agreement.</w:t>
      </w:r>
    </w:p>
    <w:p>
      <w:pPr>
        <w:spacing w:after="0" w:line="153"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PNG Seller</w:t>
      </w:r>
      <w:r>
        <w:rPr>
          <w:rFonts w:ascii="Arial" w:cs="Arial" w:eastAsia="Arial" w:hAnsi="Arial"/>
          <w:sz w:val="22"/>
          <w:szCs w:val="22"/>
          <w:color w:val="auto"/>
        </w:rPr>
        <w:t>” means LDC Parent LLC, a Delaware limited liability company.</w:t>
      </w:r>
    </w:p>
    <w:p>
      <w:pPr>
        <w:spacing w:after="0" w:line="179" w:lineRule="exact"/>
        <w:rPr>
          <w:sz w:val="20"/>
          <w:szCs w:val="20"/>
          <w:color w:val="auto"/>
        </w:rPr>
      </w:pPr>
    </w:p>
    <w:p>
      <w:pPr>
        <w:jc w:val="both"/>
        <w:ind w:left="100" w:right="99"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means the rate of interest per annum publicly announced from time to time by PNC as its prime rate in effect at its principal office in Pittsburgh, Pennsylvania, which rate may not necessarily be the lowest or most favorable rate then being charged to commercial borrowers by PNC. Each change in the Prime Rate shall be effective from and including the date such change is publicly announced as being effective.</w:t>
      </w:r>
    </w:p>
    <w:p>
      <w:pPr>
        <w:spacing w:after="0" w:line="160"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Private Side Lender Representatives</w:t>
      </w:r>
      <w:r>
        <w:rPr>
          <w:rFonts w:ascii="Arial" w:cs="Arial" w:eastAsia="Arial" w:hAnsi="Arial"/>
          <w:sz w:val="22"/>
          <w:szCs w:val="22"/>
          <w:color w:val="auto"/>
        </w:rPr>
        <w:t>” means, with respect to any Lender or Issuing Bank, representatives of such Lender or Issuing Bank that are not Public Side Lender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316230</wp:posOffset>
            </wp:positionV>
            <wp:extent cx="5642610" cy="514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2" w:name="page213"/>
    <w:bookmarkEnd w:id="212"/>
    <w:p>
      <w:pPr>
        <w:ind w:left="8700"/>
        <w:spacing w:after="0"/>
        <w:rPr>
          <w:sz w:val="20"/>
          <w:szCs w:val="20"/>
          <w:color w:val="auto"/>
        </w:rPr>
      </w:pPr>
      <w:r>
        <w:rPr>
          <w:rFonts w:ascii="Arial" w:cs="Arial" w:eastAsia="Arial" w:hAnsi="Arial"/>
          <w:sz w:val="19"/>
          <w:szCs w:val="19"/>
          <w:color w:val="auto"/>
        </w:rPr>
        <w:t>26</w:t>
      </w:r>
    </w:p>
    <w:p>
      <w:pPr>
        <w:spacing w:after="0" w:line="200" w:lineRule="exact"/>
        <w:rPr>
          <w:sz w:val="20"/>
          <w:szCs w:val="20"/>
          <w:color w:val="auto"/>
        </w:rPr>
      </w:pPr>
    </w:p>
    <w:p>
      <w:pPr>
        <w:spacing w:after="0" w:line="231" w:lineRule="exact"/>
        <w:rPr>
          <w:sz w:val="20"/>
          <w:szCs w:val="20"/>
          <w:color w:val="auto"/>
        </w:rPr>
      </w:pPr>
    </w:p>
    <w:p>
      <w:pPr>
        <w:jc w:val="both"/>
        <w:ind w:left="100" w:right="99"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and “</w:t>
      </w:r>
      <w:r>
        <w:rPr>
          <w:rFonts w:ascii="Arial" w:cs="Arial" w:eastAsia="Arial" w:hAnsi="Arial"/>
          <w:sz w:val="19"/>
          <w:szCs w:val="19"/>
          <w:u w:val="single" w:color="auto"/>
          <w:color w:val="auto"/>
        </w:rPr>
        <w:t>Pro Forma Effect</w:t>
      </w:r>
      <w:r>
        <w:rPr>
          <w:rFonts w:ascii="Arial" w:cs="Arial" w:eastAsia="Arial" w:hAnsi="Arial"/>
          <w:sz w:val="19"/>
          <w:szCs w:val="19"/>
          <w:color w:val="auto"/>
        </w:rPr>
        <w:t xml:space="preserve">” mean, as to any Person, for any Material Transaction that occurs subsequent to the commencement of a period for which the effect of such Material Transaction is being calculated, such calculation as will give pro forma effect to such Material Transaction as if such Material Transaction had occurred on the first day of the four consecutive fiscal quarter period ended on or before the occurrence of such Material Transaction for which financial statements shall have been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(or, prior to the first delivery of such financial statements, ending with the last fiscal quarter included in the most recent financial statements referred to in </w:t>
      </w:r>
      <w:r>
        <w:rPr>
          <w:rFonts w:ascii="Arial" w:cs="Arial" w:eastAsia="Arial" w:hAnsi="Arial"/>
          <w:sz w:val="19"/>
          <w:szCs w:val="19"/>
          <w:u w:val="single" w:color="auto"/>
          <w:color w:val="auto"/>
        </w:rPr>
        <w:t>Section 3.04(a)</w:t>
      </w:r>
      <w:r>
        <w:rPr>
          <w:rFonts w:ascii="Arial" w:cs="Arial" w:eastAsia="Arial" w:hAnsi="Arial"/>
          <w:sz w:val="19"/>
          <w:szCs w:val="19"/>
          <w:color w:val="auto"/>
        </w:rPr>
        <w:t>), including that (a) in making any determination of Consolidated Assets, Consolidated Net Income or Consolidated Tangible Assets or any other financial ratio or test, effect shall be given to any Material Transaction and (b) in making any determination on a Pro Forma Basis or of Pro Forma Effect, interest expense of such Person attributable to interest on any Indebtedness, for which pro forma effect is being given as provided in clause (a) above, bearing floating interest rates shall be computed on a pro forma basis as if the rates that would have been in effect during the period for which pro forma effect is being given had been actually in effect during such periods (taking into account any Hedging Agreement applicable to such Indebtedness as reasonably determined by the Company).</w:t>
      </w:r>
    </w:p>
    <w:p>
      <w:pPr>
        <w:spacing w:after="0" w:line="163"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Side Lender Representatives</w:t>
      </w:r>
      <w:r>
        <w:rPr>
          <w:rFonts w:ascii="Arial" w:cs="Arial" w:eastAsia="Arial" w:hAnsi="Arial"/>
          <w:sz w:val="19"/>
          <w:szCs w:val="19"/>
          <w:color w:val="auto"/>
        </w:rPr>
        <w:t>” means, with respect to any Lender or Issuing Bank, representatives of such Lender or Issuing Bank that do not wish to receive MNPI.</w:t>
      </w:r>
    </w:p>
    <w:p>
      <w:pPr>
        <w:spacing w:after="0" w:line="10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Agencies</w:t>
      </w:r>
      <w:r>
        <w:rPr>
          <w:rFonts w:ascii="Arial" w:cs="Arial" w:eastAsia="Arial" w:hAnsi="Arial"/>
          <w:sz w:val="22"/>
          <w:szCs w:val="22"/>
          <w:color w:val="auto"/>
        </w:rPr>
        <w:t>” means S&amp;P, Moody’s and Fitch.</w:t>
      </w:r>
    </w:p>
    <w:p>
      <w:pPr>
        <w:spacing w:after="0" w:line="17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the Administrative Agent, any Swingline Lender, any Issuing Bank, any other Lender or any combination thereof (as the context requires).</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9.04(b)(iv)</w:t>
      </w:r>
      <w:r>
        <w:rPr>
          <w:rFonts w:ascii="Arial" w:cs="Arial" w:eastAsia="Arial" w:hAnsi="Arial"/>
          <w:sz w:val="22"/>
          <w:szCs w:val="22"/>
          <w:color w:val="auto"/>
        </w:rPr>
        <w:t>.</w:t>
      </w:r>
    </w:p>
    <w:p>
      <w:pPr>
        <w:spacing w:after="0" w:line="179" w:lineRule="exact"/>
        <w:rPr>
          <w:sz w:val="20"/>
          <w:szCs w:val="20"/>
          <w:color w:val="auto"/>
        </w:rPr>
      </w:pPr>
    </w:p>
    <w:p>
      <w:pPr>
        <w:jc w:val="both"/>
        <w:ind w:left="100" w:right="99"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specified Person, such Person’s Affiliates and the directors, officers, partners, members, trustees, employees, agents, administrators, managers, representatives and advisors of such Person and of such Person’s Affiliates.</w:t>
      </w:r>
    </w:p>
    <w:p>
      <w:pPr>
        <w:spacing w:after="0" w:line="132"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release, spill, emission, leaking, dumping, injection, pouring, deposit, disposal, discharge, dispersal, leaching or migration into or through the environment or within any building, structure, facility or fixture.</w:t>
      </w:r>
    </w:p>
    <w:p>
      <w:pPr>
        <w:spacing w:after="0" w:line="15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means, at any time, Lenders having Credit Exposures and unused Commitments representing more than 50% of the sum of the total Credit Exposures and unused Commitments at such time.</w:t>
      </w:r>
    </w:p>
    <w:p>
      <w:pPr>
        <w:spacing w:after="0" w:line="15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with respect to any Person, a Financial Officer or the chief executive officer, president, chief administrative officer, senior vice president, general counsel or another executive officer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316230</wp:posOffset>
            </wp:positionV>
            <wp:extent cx="5642610" cy="514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3" w:name="page214"/>
    <w:bookmarkEnd w:id="213"/>
    <w:p>
      <w:pPr>
        <w:jc w:val="right"/>
        <w:ind w:right="99"/>
        <w:spacing w:after="0"/>
        <w:rPr>
          <w:sz w:val="20"/>
          <w:szCs w:val="20"/>
          <w:color w:val="auto"/>
        </w:rPr>
      </w:pPr>
      <w:r>
        <w:rPr>
          <w:rFonts w:ascii="Arial" w:cs="Arial" w:eastAsia="Arial" w:hAnsi="Arial"/>
          <w:sz w:val="22"/>
          <w:szCs w:val="22"/>
          <w:color w:val="auto"/>
        </w:rPr>
        <w:t>27</w:t>
      </w:r>
    </w:p>
    <w:p>
      <w:pPr>
        <w:spacing w:after="0" w:line="396"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xml:space="preserve">” means (a) each Subsidiary listed as a Restricted Subsidiary on </w:t>
      </w:r>
      <w:r>
        <w:rPr>
          <w:rFonts w:ascii="Arial" w:cs="Arial" w:eastAsia="Arial" w:hAnsi="Arial"/>
          <w:sz w:val="22"/>
          <w:szCs w:val="22"/>
          <w:u w:val="single" w:color="auto"/>
          <w:color w:val="auto"/>
        </w:rPr>
        <w:t>Schedule 3.14</w:t>
      </w:r>
      <w:r>
        <w:rPr>
          <w:rFonts w:ascii="Arial" w:cs="Arial" w:eastAsia="Arial" w:hAnsi="Arial"/>
          <w:sz w:val="22"/>
          <w:szCs w:val="22"/>
          <w:color w:val="auto"/>
        </w:rPr>
        <w:t xml:space="preserve"> and (b) any other Subsidiary that has not been designated as an Unrestricted Subsidiary (or if previously so designated, has been redesignated as a Restricted Subsidiary) pursuant to </w:t>
      </w:r>
      <w:r>
        <w:rPr>
          <w:rFonts w:ascii="Arial" w:cs="Arial" w:eastAsia="Arial" w:hAnsi="Arial"/>
          <w:sz w:val="22"/>
          <w:szCs w:val="22"/>
          <w:u w:val="single" w:color="auto"/>
          <w:color w:val="auto"/>
        </w:rPr>
        <w:t>Section 5.10</w:t>
      </w:r>
      <w:r>
        <w:rPr>
          <w:rFonts w:ascii="Arial" w:cs="Arial" w:eastAsia="Arial" w:hAnsi="Arial"/>
          <w:sz w:val="22"/>
          <w:szCs w:val="22"/>
          <w:color w:val="auto"/>
        </w:rPr>
        <w:t>.</w:t>
      </w:r>
    </w:p>
    <w:p>
      <w:pPr>
        <w:spacing w:after="0" w:line="161"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Resulting Borrowings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2.22(e)</w:t>
      </w:r>
      <w:r>
        <w:rPr>
          <w:rFonts w:ascii="Arial" w:cs="Arial" w:eastAsia="Arial" w:hAnsi="Arial"/>
          <w:sz w:val="22"/>
          <w:szCs w:val="22"/>
          <w:color w:val="auto"/>
        </w:rPr>
        <w:t>.</w:t>
      </w:r>
    </w:p>
    <w:p>
      <w:pPr>
        <w:spacing w:after="0" w:line="179"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Revolver Facility Arrangers</w:t>
      </w:r>
      <w:r>
        <w:rPr>
          <w:rFonts w:ascii="Arial" w:cs="Arial" w:eastAsia="Arial" w:hAnsi="Arial"/>
          <w:sz w:val="19"/>
          <w:szCs w:val="19"/>
          <w:color w:val="auto"/>
        </w:rPr>
        <w:t>” means RBC Capital Markets</w:t>
      </w:r>
      <w:r>
        <w:rPr>
          <w:rFonts w:ascii="Arial" w:cs="Arial" w:eastAsia="Arial" w:hAnsi="Arial"/>
          <w:sz w:val="9"/>
          <w:szCs w:val="9"/>
          <w:color w:val="auto"/>
        </w:rPr>
        <w:t>1</w:t>
      </w:r>
      <w:r>
        <w:rPr>
          <w:rFonts w:ascii="Arial" w:cs="Arial" w:eastAsia="Arial" w:hAnsi="Arial"/>
          <w:sz w:val="19"/>
          <w:szCs w:val="19"/>
          <w:color w:val="auto"/>
        </w:rPr>
        <w:t xml:space="preserve"> and PNC Capital Markets LLC, in their capacities as the joint lead arrangers and joint bookrunners for the Facilities.</w:t>
      </w:r>
    </w:p>
    <w:p>
      <w:pPr>
        <w:spacing w:after="0" w:line="106"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 a division of S&amp;P Global Inc., or any successor to its rating agency business.</w:t>
      </w:r>
    </w:p>
    <w:p>
      <w:pPr>
        <w:spacing w:after="0" w:line="15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that is itself or whose government is the subject or target of any Sanctions (at the date of this Agreement, Crimea, Cuba, Iran, North Korea and Syria).</w:t>
      </w:r>
    </w:p>
    <w:p>
      <w:pPr>
        <w:spacing w:after="0" w:line="159" w:lineRule="exact"/>
        <w:rPr>
          <w:sz w:val="20"/>
          <w:szCs w:val="20"/>
          <w:color w:val="auto"/>
        </w:rPr>
      </w:pPr>
    </w:p>
    <w:p>
      <w:pPr>
        <w:jc w:val="both"/>
        <w:ind w:left="100" w:right="99"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means, at any time, (a) any Person listed in any Sanctions-related list of designated Persons maintained by OFAC or the U.S. Department of State or by the United Nations Security Council, the European Union, any European Union member state or Her Majesty’s Treasury of the United Kingdom, (b) any Person operating, organized or resident in a Sanctioned Country or (c) any Person owned or controlled by any Person or Persons described in the preceding clauses (a) and (b).</w:t>
      </w:r>
    </w:p>
    <w:p>
      <w:pPr>
        <w:spacing w:after="0" w:line="159" w:lineRule="exact"/>
        <w:rPr>
          <w:sz w:val="20"/>
          <w:szCs w:val="20"/>
          <w:color w:val="auto"/>
        </w:rPr>
      </w:pPr>
    </w:p>
    <w:p>
      <w:pPr>
        <w:jc w:val="both"/>
        <w:ind w:left="100" w:right="99"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Her Majesty’s Treasury of the United Kingdom.</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w:t>
      </w:r>
    </w:p>
    <w:p>
      <w:pPr>
        <w:spacing w:after="0" w:line="179"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 Reports</w:t>
      </w:r>
      <w:r>
        <w:rPr>
          <w:rFonts w:ascii="Arial" w:cs="Arial" w:eastAsia="Arial" w:hAnsi="Arial"/>
          <w:sz w:val="22"/>
          <w:szCs w:val="22"/>
          <w:color w:val="auto"/>
        </w:rPr>
        <w:t>” means the most recent annual, quarterly or periodic reports publicly filed by the Company with the SEC prior to the Effective Date (excluding any portion thereof under the headings “Risk Factors” and “Cautionary Statements Regarding Forward-Looking Information” and any similar forward-looking statements).</w:t>
      </w:r>
    </w:p>
    <w:p>
      <w:pPr>
        <w:spacing w:after="0" w:line="161"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United States Securities Act of 1933.</w:t>
      </w:r>
    </w:p>
    <w:p>
      <w:pPr>
        <w:spacing w:after="0" w:line="179" w:lineRule="exact"/>
        <w:rPr>
          <w:sz w:val="20"/>
          <w:szCs w:val="20"/>
          <w:color w:val="auto"/>
        </w:rPr>
      </w:pPr>
    </w:p>
    <w:p>
      <w:pPr>
        <w:jc w:val="both"/>
        <w:ind w:left="100" w:right="99"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Transactions</w:t>
      </w:r>
      <w:r>
        <w:rPr>
          <w:rFonts w:ascii="Arial" w:cs="Arial" w:eastAsia="Arial" w:hAnsi="Arial"/>
          <w:sz w:val="21"/>
          <w:szCs w:val="21"/>
          <w:color w:val="auto"/>
        </w:rPr>
        <w:t>” means the issuance and sale by the Company of (a) senior unsecured notes in an estimated aggregate principal amount of $967,000,000 and (b) equity securities (including securities convertible or exchangeable into or exercisable for equity securities, other equity-linked securities or hybrid debt-equity securities or similar securities) for estimated gross proceeds of $2,500,000,000, in each case, in a registered public offering or private placement in connection with the financing of the PNG Acquisition.</w:t>
      </w:r>
    </w:p>
    <w:p>
      <w:pPr>
        <w:spacing w:after="0" w:line="167" w:lineRule="exact"/>
        <w:rPr>
          <w:sz w:val="20"/>
          <w:szCs w:val="20"/>
          <w:color w:val="auto"/>
        </w:rPr>
      </w:pPr>
    </w:p>
    <w:p>
      <w:pPr>
        <w:ind w:left="200" w:hanging="95"/>
        <w:spacing w:after="0"/>
        <w:tabs>
          <w:tab w:leader="none" w:pos="200" w:val="left"/>
        </w:tabs>
        <w:numPr>
          <w:ilvl w:val="0"/>
          <w:numId w:val="127"/>
        </w:numPr>
        <w:rPr>
          <w:rFonts w:ascii="Arial" w:cs="Arial" w:eastAsia="Arial" w:hAnsi="Arial"/>
          <w:sz w:val="9"/>
          <w:szCs w:val="9"/>
          <w:color w:val="auto"/>
        </w:rPr>
      </w:pPr>
      <w:r>
        <w:rPr>
          <w:rFonts w:ascii="Arial" w:cs="Arial" w:eastAsia="Arial" w:hAnsi="Arial"/>
          <w:sz w:val="17"/>
          <w:szCs w:val="17"/>
          <w:color w:val="auto"/>
        </w:rPr>
        <w:t>RBC Capital Markets is a brand name for the capital markets activities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4" w:name="page215"/>
    <w:bookmarkEnd w:id="214"/>
    <w:p>
      <w:pPr>
        <w:jc w:val="right"/>
        <w:ind w:right="99"/>
        <w:spacing w:after="0"/>
        <w:rPr>
          <w:sz w:val="20"/>
          <w:szCs w:val="20"/>
          <w:color w:val="auto"/>
        </w:rPr>
      </w:pPr>
      <w:r>
        <w:rPr>
          <w:rFonts w:ascii="Arial" w:cs="Arial" w:eastAsia="Arial" w:hAnsi="Arial"/>
          <w:sz w:val="22"/>
          <w:szCs w:val="22"/>
          <w:color w:val="auto"/>
        </w:rPr>
        <w:t>28</w:t>
      </w:r>
    </w:p>
    <w:p>
      <w:pPr>
        <w:spacing w:after="0" w:line="356" w:lineRule="exact"/>
        <w:rPr>
          <w:sz w:val="20"/>
          <w:szCs w:val="20"/>
          <w:color w:val="auto"/>
        </w:rPr>
      </w:pPr>
    </w:p>
    <w:p>
      <w:pPr>
        <w:jc w:val="both"/>
        <w:ind w:left="100" w:right="99"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Subsidiary</w:t>
      </w:r>
      <w:r>
        <w:rPr>
          <w:rFonts w:ascii="Arial" w:cs="Arial" w:eastAsia="Arial" w:hAnsi="Arial"/>
          <w:sz w:val="19"/>
          <w:szCs w:val="19"/>
          <w:color w:val="auto"/>
        </w:rPr>
        <w:t xml:space="preserve">” means, at any time, any Subsidiary that, together with such Subsidiary’s subsidiaries, determined on a consolidated basis in accordance with GAAP, accounts for more than 10% of (a) the Consolidated Assets as of the last day of the most recent fiscal quarter for which financial statements shall have been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(or, prior to the first delivery of such financial statements, ending with the last quarter included in the most recent financial statements referred to in </w:t>
      </w:r>
      <w:r>
        <w:rPr>
          <w:rFonts w:ascii="Arial" w:cs="Arial" w:eastAsia="Arial" w:hAnsi="Arial"/>
          <w:sz w:val="19"/>
          <w:szCs w:val="19"/>
          <w:u w:val="single" w:color="auto"/>
          <w:color w:val="auto"/>
        </w:rPr>
        <w:t>Section 3.04(a)</w:t>
      </w:r>
      <w:r>
        <w:rPr>
          <w:rFonts w:ascii="Arial" w:cs="Arial" w:eastAsia="Arial" w:hAnsi="Arial"/>
          <w:sz w:val="19"/>
          <w:szCs w:val="19"/>
          <w:color w:val="auto"/>
        </w:rPr>
        <w:t>), (b) the Consolidated Net Income for the most recent four fiscal quarters ending with the most recent fiscal quarter referenced in clause (a) above or (c) the gross revenues of the Company and the Subsidiaries determined on a consolidated basis in accordance with GAAP for the most recent four fiscal quarters ending with the most recent fiscal quarter referenced in clause (a) above.</w:t>
      </w:r>
    </w:p>
    <w:p>
      <w:pPr>
        <w:spacing w:after="0" w:line="15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Signing Date</w:t>
      </w:r>
      <w:r>
        <w:rPr>
          <w:rFonts w:ascii="Arial" w:cs="Arial" w:eastAsia="Arial" w:hAnsi="Arial"/>
          <w:sz w:val="22"/>
          <w:szCs w:val="22"/>
          <w:color w:val="auto"/>
        </w:rPr>
        <w:t>” means October 22, 2018.</w:t>
      </w:r>
    </w:p>
    <w:p>
      <w:pPr>
        <w:spacing w:after="0" w:line="179"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Representations</w:t>
      </w:r>
      <w:r>
        <w:rPr>
          <w:rFonts w:ascii="Arial" w:cs="Arial" w:eastAsia="Arial" w:hAnsi="Arial"/>
          <w:sz w:val="22"/>
          <w:szCs w:val="22"/>
          <w:color w:val="auto"/>
        </w:rPr>
        <w:t xml:space="preserve">” means the representations and warranties set forth in </w:t>
      </w:r>
      <w:r>
        <w:rPr>
          <w:rFonts w:ascii="Arial" w:cs="Arial" w:eastAsia="Arial" w:hAnsi="Arial"/>
          <w:sz w:val="22"/>
          <w:szCs w:val="22"/>
          <w:u w:val="single" w:color="auto"/>
          <w:color w:val="auto"/>
        </w:rPr>
        <w:t>Sections 3.01(a)(i)</w:t>
      </w:r>
      <w:r>
        <w:rPr>
          <w:rFonts w:ascii="Arial" w:cs="Arial" w:eastAsia="Arial" w:hAnsi="Arial"/>
          <w:sz w:val="22"/>
          <w:szCs w:val="22"/>
          <w:color w:val="auto"/>
        </w:rPr>
        <w:t xml:space="preserve">, </w:t>
      </w:r>
      <w:r>
        <w:rPr>
          <w:rFonts w:ascii="Arial" w:cs="Arial" w:eastAsia="Arial" w:hAnsi="Arial"/>
          <w:sz w:val="22"/>
          <w:szCs w:val="22"/>
          <w:u w:val="single" w:color="auto"/>
          <w:color w:val="auto"/>
        </w:rPr>
        <w:t>3.01(a)(ii)</w:t>
      </w:r>
      <w:r>
        <w:rPr>
          <w:rFonts w:ascii="Arial" w:cs="Arial" w:eastAsia="Arial" w:hAnsi="Arial"/>
          <w:sz w:val="22"/>
          <w:szCs w:val="22"/>
          <w:color w:val="auto"/>
        </w:rPr>
        <w:t xml:space="preserve">, </w:t>
      </w:r>
      <w:r>
        <w:rPr>
          <w:rFonts w:ascii="Arial" w:cs="Arial" w:eastAsia="Arial" w:hAnsi="Arial"/>
          <w:sz w:val="22"/>
          <w:szCs w:val="22"/>
          <w:u w:val="single" w:color="auto"/>
          <w:color w:val="auto"/>
        </w:rPr>
        <w:t>3.02</w:t>
      </w:r>
      <w:r>
        <w:rPr>
          <w:rFonts w:ascii="Arial" w:cs="Arial" w:eastAsia="Arial" w:hAnsi="Arial"/>
          <w:sz w:val="22"/>
          <w:szCs w:val="22"/>
          <w:color w:val="auto"/>
        </w:rPr>
        <w:t xml:space="preserve"> (for this purpose, disregarding clause (b) of the definition of the term “Transactions”), </w:t>
      </w:r>
      <w:r>
        <w:rPr>
          <w:rFonts w:ascii="Arial" w:cs="Arial" w:eastAsia="Arial" w:hAnsi="Arial"/>
          <w:sz w:val="22"/>
          <w:szCs w:val="22"/>
          <w:u w:val="single" w:color="auto"/>
          <w:color w:val="auto"/>
        </w:rPr>
        <w:t>3.03(c)</w:t>
      </w:r>
      <w:r>
        <w:rPr>
          <w:rFonts w:ascii="Arial" w:cs="Arial" w:eastAsia="Arial" w:hAnsi="Arial"/>
          <w:sz w:val="22"/>
          <w:szCs w:val="22"/>
          <w:color w:val="auto"/>
        </w:rPr>
        <w:t xml:space="preserve"> (as to clause (a) of the definition of the term “Transactions”), </w:t>
      </w:r>
      <w:r>
        <w:rPr>
          <w:rFonts w:ascii="Arial" w:cs="Arial" w:eastAsia="Arial" w:hAnsi="Arial"/>
          <w:sz w:val="22"/>
          <w:szCs w:val="22"/>
          <w:u w:val="single" w:color="auto"/>
          <w:color w:val="auto"/>
        </w:rPr>
        <w:t>3.07(c)</w:t>
      </w:r>
      <w:r>
        <w:rPr>
          <w:rFonts w:ascii="Arial" w:cs="Arial" w:eastAsia="Arial" w:hAnsi="Arial"/>
          <w:sz w:val="22"/>
          <w:szCs w:val="22"/>
          <w:color w:val="auto"/>
        </w:rPr>
        <w:t xml:space="preserve"> (as to the second sentence thereof), </w:t>
      </w:r>
      <w:r>
        <w:rPr>
          <w:rFonts w:ascii="Arial" w:cs="Arial" w:eastAsia="Arial" w:hAnsi="Arial"/>
          <w:sz w:val="22"/>
          <w:szCs w:val="22"/>
          <w:u w:val="single" w:color="auto"/>
          <w:color w:val="auto"/>
        </w:rPr>
        <w:t>3.08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3.13</w:t>
      </w:r>
      <w:r>
        <w:rPr>
          <w:rFonts w:ascii="Arial" w:cs="Arial" w:eastAsia="Arial" w:hAnsi="Arial"/>
          <w:sz w:val="22"/>
          <w:szCs w:val="22"/>
          <w:color w:val="auto"/>
        </w:rPr>
        <w:t>.</w:t>
      </w:r>
    </w:p>
    <w:p>
      <w:pPr>
        <w:spacing w:after="0" w:line="161" w:lineRule="exact"/>
        <w:rPr>
          <w:sz w:val="20"/>
          <w:szCs w:val="20"/>
          <w:color w:val="auto"/>
        </w:rPr>
      </w:pPr>
    </w:p>
    <w:p>
      <w:pPr>
        <w:jc w:val="both"/>
        <w:ind w:left="100" w:right="99"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of Governors for eurocurrency funding (currently referred to as “Eurocurrency Liabilities” in Regulation D of the Board of Governors). Such reserve percentages shall include those imposed pursuant to such Regulation</w:t>
      </w:r>
    </w:p>
    <w:p>
      <w:pPr>
        <w:spacing w:after="0" w:line="4" w:lineRule="exact"/>
        <w:rPr>
          <w:sz w:val="20"/>
          <w:szCs w:val="20"/>
          <w:color w:val="auto"/>
        </w:rPr>
      </w:pPr>
    </w:p>
    <w:p>
      <w:pPr>
        <w:jc w:val="both"/>
        <w:ind w:left="100" w:right="99" w:firstLine="5"/>
        <w:spacing w:after="0" w:line="212" w:lineRule="auto"/>
        <w:tabs>
          <w:tab w:leader="none" w:pos="49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LIBOR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61" w:lineRule="exact"/>
        <w:rPr>
          <w:sz w:val="20"/>
          <w:szCs w:val="20"/>
          <w:color w:val="auto"/>
        </w:rPr>
      </w:pPr>
    </w:p>
    <w:p>
      <w:pPr>
        <w:jc w:val="both"/>
        <w:ind w:left="100" w:right="99"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u w:val="single" w:color="auto"/>
          <w:color w:val="auto"/>
        </w:rPr>
        <w:t>parent</w:t>
      </w:r>
      <w:r>
        <w:rPr>
          <w:rFonts w:ascii="Arial" w:cs="Arial" w:eastAsia="Arial" w:hAnsi="Arial"/>
          <w:sz w:val="19"/>
          <w:szCs w:val="19"/>
          <w:color w:val="auto"/>
        </w:rPr>
        <w:t>”) at any date, (a) any Person the accounts of which would be consolidated with those of the parent in the parent’s consolidated financial statements if such financial statements were prepared in accordance with GAAP as of such date and (b) any other Person (i) of which Equity Interests representing more than 50% of the equity value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w:t>
      </w:r>
    </w:p>
    <w:p>
      <w:pPr>
        <w:spacing w:after="0" w:line="153"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subsidiary of the Company.</w:t>
      </w:r>
    </w:p>
    <w:p>
      <w:pPr>
        <w:spacing w:after="0" w:line="179"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Borrowing Request</w:t>
      </w:r>
      <w:r>
        <w:rPr>
          <w:rFonts w:ascii="Arial" w:cs="Arial" w:eastAsia="Arial" w:hAnsi="Arial"/>
          <w:sz w:val="22"/>
          <w:szCs w:val="22"/>
          <w:color w:val="auto"/>
        </w:rPr>
        <w:t xml:space="preserve">” means a request by the Company for a Swingline Loan in accordance with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which shall be, in the case of any such written request, substantially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or any other form approved by the applicable Swingline Lender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317500</wp:posOffset>
            </wp:positionV>
            <wp:extent cx="5642610" cy="514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5" w:name="page216"/>
    <w:bookmarkEnd w:id="215"/>
    <w:p>
      <w:pPr>
        <w:ind w:left="8700"/>
        <w:spacing w:after="0"/>
        <w:rPr>
          <w:sz w:val="20"/>
          <w:szCs w:val="20"/>
          <w:color w:val="auto"/>
        </w:rPr>
      </w:pPr>
      <w:r>
        <w:rPr>
          <w:rFonts w:ascii="Arial" w:cs="Arial" w:eastAsia="Arial" w:hAnsi="Arial"/>
          <w:sz w:val="19"/>
          <w:szCs w:val="19"/>
          <w:color w:val="auto"/>
        </w:rPr>
        <w:t>29</w:t>
      </w:r>
    </w:p>
    <w:p>
      <w:pPr>
        <w:spacing w:after="0" w:line="200" w:lineRule="exact"/>
        <w:rPr>
          <w:sz w:val="20"/>
          <w:szCs w:val="20"/>
          <w:color w:val="auto"/>
        </w:rPr>
      </w:pPr>
    </w:p>
    <w:p>
      <w:pPr>
        <w:spacing w:after="0" w:line="231" w:lineRule="exact"/>
        <w:rPr>
          <w:sz w:val="20"/>
          <w:szCs w:val="20"/>
          <w:color w:val="auto"/>
        </w:rPr>
      </w:pPr>
    </w:p>
    <w:p>
      <w:pPr>
        <w:jc w:val="both"/>
        <w:ind w:left="100" w:right="99"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Commitment</w:t>
      </w:r>
      <w:r>
        <w:rPr>
          <w:rFonts w:ascii="Arial" w:cs="Arial" w:eastAsia="Arial" w:hAnsi="Arial"/>
          <w:sz w:val="19"/>
          <w:szCs w:val="19"/>
          <w:color w:val="auto"/>
        </w:rPr>
        <w:t xml:space="preserve">” means, with respect to each Swingline Lender, the commitment of such Swingline Lender to make Swingline Loans hereunder. The initial amount of the Swingline Commitment (a) for PNC is $50,000,000, and (b) for any Swingline Lender that becomes such pursuant to </w:t>
      </w:r>
      <w:r>
        <w:rPr>
          <w:rFonts w:ascii="Arial" w:cs="Arial" w:eastAsia="Arial" w:hAnsi="Arial"/>
          <w:sz w:val="19"/>
          <w:szCs w:val="19"/>
          <w:u w:val="single" w:color="auto"/>
          <w:color w:val="auto"/>
        </w:rPr>
        <w:t>Section 2.04(e)</w:t>
      </w:r>
      <w:r>
        <w:rPr>
          <w:rFonts w:ascii="Arial" w:cs="Arial" w:eastAsia="Arial" w:hAnsi="Arial"/>
          <w:sz w:val="19"/>
          <w:szCs w:val="19"/>
          <w:color w:val="auto"/>
        </w:rPr>
        <w:t xml:space="preserve">, shall be as set forth in the written agreement referred to in such Section pursuant to which such Swingline Lender has been designated as such, and if any Swingline Lender shall have agreed with the Company to modify the amount of its Swingline Commitment, the amount of such Swingline Lender’s Swingline Commitment shall, effective upon the date the Administrative Agent shall have received written notice of such modification, be the modified amount agreed to in writing by such Swingline Lender as its Swingline Commitment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total Swingline Commitments shall not exceed the Swingline Sublimit.</w:t>
      </w:r>
    </w:p>
    <w:p>
      <w:pPr>
        <w:spacing w:after="0" w:line="156" w:lineRule="exact"/>
        <w:rPr>
          <w:sz w:val="20"/>
          <w:szCs w:val="20"/>
          <w:color w:val="auto"/>
        </w:rPr>
      </w:pPr>
    </w:p>
    <w:p>
      <w:pPr>
        <w:jc w:val="both"/>
        <w:ind w:left="100" w:right="99"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Exposure</w:t>
      </w:r>
      <w:r>
        <w:rPr>
          <w:rFonts w:ascii="Arial" w:cs="Arial" w:eastAsia="Arial" w:hAnsi="Arial"/>
          <w:sz w:val="22"/>
          <w:szCs w:val="22"/>
          <w:color w:val="auto"/>
        </w:rPr>
        <w:t xml:space="preserve">” means, at any time, the aggregate principal amount of all Swingline Loans outstanding at such time. The Swingline Exposure of any Tranche 1 Lender at any time shall be its Applicable Percentage of the total Swingline Exposure at such time, adjusted to give effect to any reallocation under </w:t>
      </w:r>
      <w:r>
        <w:rPr>
          <w:rFonts w:ascii="Arial" w:cs="Arial" w:eastAsia="Arial" w:hAnsi="Arial"/>
          <w:sz w:val="22"/>
          <w:szCs w:val="22"/>
          <w:u w:val="single" w:color="auto"/>
          <w:color w:val="auto"/>
        </w:rPr>
        <w:t>Section 2.20(c)</w:t>
      </w:r>
      <w:r>
        <w:rPr>
          <w:rFonts w:ascii="Arial" w:cs="Arial" w:eastAsia="Arial" w:hAnsi="Arial"/>
          <w:sz w:val="22"/>
          <w:szCs w:val="22"/>
          <w:color w:val="auto"/>
        </w:rPr>
        <w:t xml:space="preserve"> of the Swingline Exposures of Defaulting Lenders in effect at such time.</w:t>
      </w:r>
    </w:p>
    <w:p>
      <w:pPr>
        <w:spacing w:after="0" w:line="158" w:lineRule="exact"/>
        <w:rPr>
          <w:sz w:val="20"/>
          <w:szCs w:val="20"/>
          <w:color w:val="auto"/>
        </w:rPr>
      </w:pPr>
    </w:p>
    <w:p>
      <w:pPr>
        <w:jc w:val="both"/>
        <w:ind w:left="100" w:right="99"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xml:space="preserve">” means (a) PNC and (b) any other Lender or Affiliate of a Lender that shall have become a Swingline Lender hereunder as provided in </w:t>
      </w:r>
      <w:r>
        <w:rPr>
          <w:rFonts w:ascii="Arial" w:cs="Arial" w:eastAsia="Arial" w:hAnsi="Arial"/>
          <w:sz w:val="19"/>
          <w:szCs w:val="19"/>
          <w:u w:val="single" w:color="auto"/>
          <w:color w:val="auto"/>
        </w:rPr>
        <w:t>Section 2.04(e)</w:t>
      </w:r>
      <w:r>
        <w:rPr>
          <w:rFonts w:ascii="Arial" w:cs="Arial" w:eastAsia="Arial" w:hAnsi="Arial"/>
          <w:sz w:val="19"/>
          <w:szCs w:val="19"/>
          <w:color w:val="auto"/>
        </w:rPr>
        <w:t xml:space="preserve"> (in each case, other than any Person that shall have ceased to be a Swingline Lender as provided in </w:t>
      </w:r>
      <w:r>
        <w:rPr>
          <w:rFonts w:ascii="Arial" w:cs="Arial" w:eastAsia="Arial" w:hAnsi="Arial"/>
          <w:sz w:val="19"/>
          <w:szCs w:val="19"/>
          <w:u w:val="single" w:color="auto"/>
          <w:color w:val="auto"/>
        </w:rPr>
        <w:t>Section 2.04(f)</w:t>
      </w:r>
      <w:r>
        <w:rPr>
          <w:rFonts w:ascii="Arial" w:cs="Arial" w:eastAsia="Arial" w:hAnsi="Arial"/>
          <w:sz w:val="19"/>
          <w:szCs w:val="19"/>
          <w:color w:val="auto"/>
        </w:rPr>
        <w:t>), in each case, in its capacity as a lender of Swingline Loans hereunder.</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Sublimit</w:t>
      </w:r>
      <w:r>
        <w:rPr>
          <w:rFonts w:ascii="Arial" w:cs="Arial" w:eastAsia="Arial" w:hAnsi="Arial"/>
          <w:sz w:val="22"/>
          <w:szCs w:val="22"/>
          <w:color w:val="auto"/>
        </w:rPr>
        <w:t>” means $50,000,000.</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Syndication Agent</w:t>
      </w:r>
      <w:r>
        <w:rPr>
          <w:rFonts w:ascii="Arial" w:cs="Arial" w:eastAsia="Arial" w:hAnsi="Arial"/>
          <w:sz w:val="19"/>
          <w:szCs w:val="19"/>
          <w:color w:val="auto"/>
        </w:rPr>
        <w:t>” means the Person identified as such on the cover page of this</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Agreement.</w:t>
      </w:r>
    </w:p>
    <w:p>
      <w:pPr>
        <w:spacing w:after="0" w:line="161" w:lineRule="exact"/>
        <w:rPr>
          <w:sz w:val="20"/>
          <w:szCs w:val="20"/>
          <w:color w:val="auto"/>
        </w:rPr>
      </w:pPr>
    </w:p>
    <w:p>
      <w:pPr>
        <w:jc w:val="both"/>
        <w:ind w:left="100" w:right="99"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and penalties applicable thereto.</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Ticking Fee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2.11(b)</w:t>
      </w:r>
      <w:r>
        <w:rPr>
          <w:rFonts w:ascii="Arial" w:cs="Arial" w:eastAsia="Arial" w:hAnsi="Arial"/>
          <w:sz w:val="22"/>
          <w:szCs w:val="22"/>
          <w:color w:val="auto"/>
        </w:rPr>
        <w:t>.</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Ticking Fee Commencement Date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2.11(b)</w:t>
      </w:r>
      <w:r>
        <w:rPr>
          <w:rFonts w:ascii="Arial" w:cs="Arial" w:eastAsia="Arial" w:hAnsi="Arial"/>
          <w:sz w:val="21"/>
          <w:szCs w:val="21"/>
          <w:color w:val="auto"/>
        </w:rPr>
        <w:t>.</w:t>
      </w:r>
    </w:p>
    <w:p>
      <w:pPr>
        <w:spacing w:after="0" w:line="191"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Ticking Fee Termination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2.11(b)</w:t>
      </w:r>
      <w:r>
        <w:rPr>
          <w:rFonts w:ascii="Arial" w:cs="Arial" w:eastAsia="Arial" w:hAnsi="Arial"/>
          <w:sz w:val="22"/>
          <w:szCs w:val="22"/>
          <w:color w:val="auto"/>
        </w:rPr>
        <w:t>.</w:t>
      </w:r>
    </w:p>
    <w:p>
      <w:pPr>
        <w:spacing w:after="0" w:line="179"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Tranche 1 Commitments</w:t>
      </w:r>
      <w:r>
        <w:rPr>
          <w:rFonts w:ascii="Arial" w:cs="Arial" w:eastAsia="Arial" w:hAnsi="Arial"/>
          <w:sz w:val="21"/>
          <w:szCs w:val="21"/>
          <w:color w:val="auto"/>
        </w:rPr>
        <w:t>” means the sum of the Tranche 1 Commitments of all Lenders. The Total Tranche 1 Commitments on the Effective Date are $550,000,000.</w:t>
      </w:r>
    </w:p>
    <w:p>
      <w:pPr>
        <w:spacing w:after="0" w:line="151"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Tranche 1 Credit Exposure</w:t>
      </w:r>
      <w:r>
        <w:rPr>
          <w:rFonts w:ascii="Arial" w:cs="Arial" w:eastAsia="Arial" w:hAnsi="Arial"/>
          <w:sz w:val="22"/>
          <w:szCs w:val="22"/>
          <w:color w:val="auto"/>
        </w:rPr>
        <w:t>” means, at any time, the sum of the aggregate outstanding principal amount of all Tranche 1 Loans and the aggregate LC Exposure and Swingline Exposure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316230</wp:posOffset>
            </wp:positionV>
            <wp:extent cx="5642610" cy="514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6" w:name="page217"/>
    <w:bookmarkEnd w:id="216"/>
    <w:p>
      <w:pPr>
        <w:jc w:val="right"/>
        <w:ind w:right="99"/>
        <w:spacing w:after="0"/>
        <w:rPr>
          <w:sz w:val="20"/>
          <w:szCs w:val="20"/>
          <w:color w:val="auto"/>
        </w:rPr>
      </w:pPr>
      <w:r>
        <w:rPr>
          <w:rFonts w:ascii="Arial" w:cs="Arial" w:eastAsia="Arial" w:hAnsi="Arial"/>
          <w:sz w:val="22"/>
          <w:szCs w:val="22"/>
          <w:color w:val="auto"/>
        </w:rPr>
        <w:t>30</w:t>
      </w:r>
    </w:p>
    <w:p>
      <w:pPr>
        <w:spacing w:after="0" w:line="396" w:lineRule="exact"/>
        <w:rPr>
          <w:sz w:val="20"/>
          <w:szCs w:val="20"/>
          <w:color w:val="auto"/>
        </w:rPr>
      </w:pPr>
    </w:p>
    <w:p>
      <w:pPr>
        <w:jc w:val="both"/>
        <w:ind w:left="100" w:right="99"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 1 Commitment</w:t>
      </w:r>
      <w:r>
        <w:rPr>
          <w:rFonts w:ascii="Arial" w:cs="Arial" w:eastAsia="Arial" w:hAnsi="Arial"/>
          <w:sz w:val="19"/>
          <w:szCs w:val="19"/>
          <w:color w:val="auto"/>
        </w:rPr>
        <w:t xml:space="preserve">” means, with respect to each Lender, the commitment of such Lender to make Tranche 1 Loans and to acquire participations in Letters of Credit and Swingline Loans hereunder, expressed as an amount representing the maximum aggregate permitted amount of such Lender’s Credit Exposure hereunder, as such commitment may be (a) reduced from time to time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(b) increased as a result of the Conversion of the Tranche 2 Commitment of such Lender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(c) increased from time to time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or (d)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The initial amount of each Lender’s Tranche 1 Commitment is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w:t>
      </w:r>
      <w:r>
        <w:rPr>
          <w:rFonts w:ascii="Arial" w:cs="Arial" w:eastAsia="Arial" w:hAnsi="Arial"/>
          <w:sz w:val="19"/>
          <w:szCs w:val="19"/>
          <w:color w:val="auto"/>
        </w:rPr>
        <w:t xml:space="preserve"> or in the Assignment and Assumption or the Incremental Facility Agreement pursuant to which such Lender shall have assumed or provided its Tranche 1 Commitment or is equal to its Converted Tranche 1 Commitment, as applicable. The aggregate amount of the Lenders’ Tranche 1 Commitments on the Effective Date is $550,000,000.</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1 Lender</w:t>
      </w:r>
      <w:r>
        <w:rPr>
          <w:rFonts w:ascii="Arial" w:cs="Arial" w:eastAsia="Arial" w:hAnsi="Arial"/>
          <w:sz w:val="22"/>
          <w:szCs w:val="22"/>
          <w:color w:val="auto"/>
        </w:rPr>
        <w:t>” means a Lender with a Tranche 1 Commitment or Credit</w:t>
      </w:r>
    </w:p>
    <w:p>
      <w:pPr>
        <w:ind w:left="100"/>
        <w:spacing w:after="0"/>
        <w:rPr>
          <w:sz w:val="20"/>
          <w:szCs w:val="20"/>
          <w:color w:val="auto"/>
        </w:rPr>
      </w:pPr>
      <w:r>
        <w:rPr>
          <w:rFonts w:ascii="Arial" w:cs="Arial" w:eastAsia="Arial" w:hAnsi="Arial"/>
          <w:sz w:val="22"/>
          <w:szCs w:val="22"/>
          <w:color w:val="auto"/>
        </w:rPr>
        <w:t>Exposure.</w:t>
      </w:r>
    </w:p>
    <w:p>
      <w:pPr>
        <w:spacing w:after="0" w:line="161" w:lineRule="exact"/>
        <w:rPr>
          <w:sz w:val="20"/>
          <w:szCs w:val="20"/>
          <w:color w:val="auto"/>
        </w:rPr>
      </w:pPr>
    </w:p>
    <w:p>
      <w:pPr>
        <w:jc w:val="both"/>
        <w:ind w:left="100" w:right="99"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 1 Loan</w:t>
      </w:r>
      <w:r>
        <w:rPr>
          <w:rFonts w:ascii="Arial" w:cs="Arial" w:eastAsia="Arial" w:hAnsi="Arial"/>
          <w:sz w:val="19"/>
          <w:szCs w:val="19"/>
          <w:color w:val="auto"/>
        </w:rPr>
        <w:t xml:space="preserve">” means a Loan (a) made pursuant to clause (a) of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or (b) resulting from the Conversion of a Tranche 2 Loan into a Tranche 1 Loan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w:t>
      </w:r>
    </w:p>
    <w:p>
      <w:pPr>
        <w:spacing w:after="0" w:line="106"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2 Availability Date</w:t>
      </w:r>
      <w:r>
        <w:rPr>
          <w:rFonts w:ascii="Arial" w:cs="Arial" w:eastAsia="Arial" w:hAnsi="Arial"/>
          <w:sz w:val="22"/>
          <w:szCs w:val="22"/>
          <w:color w:val="auto"/>
        </w:rPr>
        <w:t xml:space="preserve">” means the earlier of (a) the date on which the conditions specified in </w:t>
      </w:r>
      <w:r>
        <w:rPr>
          <w:rFonts w:ascii="Arial" w:cs="Arial" w:eastAsia="Arial" w:hAnsi="Arial"/>
          <w:sz w:val="22"/>
          <w:szCs w:val="22"/>
          <w:u w:val="single" w:color="auto"/>
          <w:color w:val="auto"/>
        </w:rPr>
        <w:t>Section 4.03</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 and (b) the PNG Limited Conditionality Outside Date.</w:t>
      </w:r>
    </w:p>
    <w:p>
      <w:pPr>
        <w:spacing w:after="0" w:line="159" w:lineRule="exact"/>
        <w:rPr>
          <w:sz w:val="20"/>
          <w:szCs w:val="20"/>
          <w:color w:val="auto"/>
        </w:rPr>
      </w:pPr>
    </w:p>
    <w:p>
      <w:pPr>
        <w:jc w:val="both"/>
        <w:ind w:left="100" w:right="99"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Tranche 2 Commitment</w:t>
      </w:r>
      <w:r>
        <w:rPr>
          <w:rFonts w:ascii="Arial" w:cs="Arial" w:eastAsia="Arial" w:hAnsi="Arial"/>
          <w:sz w:val="21"/>
          <w:szCs w:val="21"/>
          <w:color w:val="auto"/>
        </w:rPr>
        <w:t xml:space="preserve">” means, with respect to each Lender, the commitment of such Lender to make a Tranche 2 Loan on the PNG Acquisition Closing Date, expressed as an amount representing the maximum principal amount of the Tranche 2 Loan to be made by such Lender, as such commitment may be (a) reduced from time to time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or (b) reduced or increased from time to time pursuant to assignments by or to such Lender pursuant to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The initial amount of each Lender’s Tranche 2 Commitment is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2.01</w:t>
      </w:r>
      <w:r>
        <w:rPr>
          <w:rFonts w:ascii="Arial" w:cs="Arial" w:eastAsia="Arial" w:hAnsi="Arial"/>
          <w:sz w:val="21"/>
          <w:szCs w:val="21"/>
          <w:color w:val="auto"/>
        </w:rPr>
        <w:t>, or in the Assignment and Assumption pursuant to which such Lender shall have assumed its Tranche 2 Commitment, as applicable. The aggregate amount of the Lenders’ Tranche 2 Commitments on the Effective Date is $150,000,000.</w:t>
      </w:r>
    </w:p>
    <w:p>
      <w:pPr>
        <w:spacing w:after="0" w:line="160"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 2 Lender</w:t>
      </w:r>
      <w:r>
        <w:rPr>
          <w:rFonts w:ascii="Arial" w:cs="Arial" w:eastAsia="Arial" w:hAnsi="Arial"/>
          <w:sz w:val="19"/>
          <w:szCs w:val="19"/>
          <w:color w:val="auto"/>
        </w:rPr>
        <w:t>” means a Lender with a Tranche 2 Commitment or a Tranche 2</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Loan.</w:t>
      </w:r>
    </w:p>
    <w:p>
      <w:pPr>
        <w:spacing w:after="0" w:line="161"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Tranche 2 Loan</w:t>
      </w:r>
      <w:r>
        <w:rPr>
          <w:rFonts w:ascii="Arial" w:cs="Arial" w:eastAsia="Arial" w:hAnsi="Arial"/>
          <w:sz w:val="21"/>
          <w:szCs w:val="21"/>
          <w:color w:val="auto"/>
        </w:rPr>
        <w:t xml:space="preserve">” means a Loan made pursuant to clause (b) of </w:t>
      </w:r>
      <w:r>
        <w:rPr>
          <w:rFonts w:ascii="Arial" w:cs="Arial" w:eastAsia="Arial" w:hAnsi="Arial"/>
          <w:sz w:val="21"/>
          <w:szCs w:val="21"/>
          <w:u w:val="single" w:color="auto"/>
          <w:color w:val="auto"/>
        </w:rPr>
        <w:t>Section 2.01</w:t>
      </w:r>
      <w:r>
        <w:rPr>
          <w:rFonts w:ascii="Arial" w:cs="Arial" w:eastAsia="Arial" w:hAnsi="Arial"/>
          <w:sz w:val="21"/>
          <w:szCs w:val="21"/>
          <w:color w:val="auto"/>
        </w:rPr>
        <w:t>.</w:t>
      </w:r>
    </w:p>
    <w:p>
      <w:pPr>
        <w:spacing w:after="0" w:line="191" w:lineRule="exact"/>
        <w:rPr>
          <w:sz w:val="20"/>
          <w:szCs w:val="20"/>
          <w:color w:val="auto"/>
        </w:rPr>
      </w:pPr>
    </w:p>
    <w:p>
      <w:pPr>
        <w:jc w:val="both"/>
        <w:ind w:left="100" w:right="99"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(a) the execution, delivery and performance by the Company of the Loan Documents, the borrowing of Loans, the use of the proceeds thereof and the issuance of Letters of Credit and (b) on the PNG Acquisition Closing Date, the PNG Acquisition Transactions.</w:t>
      </w:r>
    </w:p>
    <w:p>
      <w:pPr>
        <w:spacing w:after="0" w:line="132"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True-Up Borrowing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2.21(b)</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328930</wp:posOffset>
            </wp:positionV>
            <wp:extent cx="5642610" cy="514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7" w:name="page218"/>
    <w:bookmarkEnd w:id="217"/>
    <w:p>
      <w:pPr>
        <w:ind w:left="8700"/>
        <w:spacing w:after="0"/>
        <w:rPr>
          <w:sz w:val="20"/>
          <w:szCs w:val="20"/>
          <w:color w:val="auto"/>
        </w:rPr>
      </w:pPr>
      <w:r>
        <w:rPr>
          <w:rFonts w:ascii="Arial" w:cs="Arial" w:eastAsia="Arial" w:hAnsi="Arial"/>
          <w:sz w:val="19"/>
          <w:szCs w:val="19"/>
          <w:color w:val="auto"/>
        </w:rPr>
        <w:t>31</w:t>
      </w:r>
    </w:p>
    <w:p>
      <w:pPr>
        <w:spacing w:after="0" w:line="200" w:lineRule="exact"/>
        <w:rPr>
          <w:sz w:val="20"/>
          <w:szCs w:val="20"/>
          <w:color w:val="auto"/>
        </w:rPr>
      </w:pPr>
    </w:p>
    <w:p>
      <w:pPr>
        <w:spacing w:after="0" w:line="231"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5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means any Subsidiary which is so designated by the Company pursuant to </w:t>
      </w:r>
      <w:r>
        <w:rPr>
          <w:rFonts w:ascii="Arial" w:cs="Arial" w:eastAsia="Arial" w:hAnsi="Arial"/>
          <w:sz w:val="22"/>
          <w:szCs w:val="22"/>
          <w:u w:val="single" w:color="auto"/>
          <w:color w:val="auto"/>
        </w:rPr>
        <w:t>Section 5.10</w:t>
      </w:r>
      <w:r>
        <w:rPr>
          <w:rFonts w:ascii="Arial" w:cs="Arial" w:eastAsia="Arial" w:hAnsi="Arial"/>
          <w:sz w:val="22"/>
          <w:szCs w:val="22"/>
          <w:color w:val="auto"/>
        </w:rPr>
        <w:t>.</w:t>
      </w:r>
    </w:p>
    <w:p>
      <w:pPr>
        <w:spacing w:after="0" w:line="15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means the Uniting and Strengthening America by Providing Appropriate Tools Required to Intercept and Obstruct Terrorism Act of 2001.</w:t>
      </w:r>
    </w:p>
    <w:p>
      <w:pPr>
        <w:spacing w:after="0" w:line="15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 “United States person” within the meaning of Section 7701(a) (30) of the Code.</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2.16(f)(ii)(B)</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(3)</w:t>
      </w:r>
      <w:r>
        <w:rPr>
          <w:rFonts w:ascii="Arial" w:cs="Arial" w:eastAsia="Arial" w:hAnsi="Arial"/>
          <w:sz w:val="22"/>
          <w:szCs w:val="22"/>
          <w:color w:val="auto"/>
        </w:rPr>
        <w:t>.</w:t>
      </w:r>
    </w:p>
    <w:p>
      <w:pPr>
        <w:spacing w:after="0" w:line="161" w:lineRule="exact"/>
        <w:rPr>
          <w:sz w:val="20"/>
          <w:szCs w:val="20"/>
          <w:color w:val="auto"/>
        </w:rPr>
      </w:pPr>
    </w:p>
    <w:p>
      <w:pPr>
        <w:jc w:val="both"/>
        <w:ind w:left="100" w:right="99"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means, with respect to any Person, outstanding shares of capital stock or other Equity Interests of any class of such Person entitled to vote in the election of directors, or otherwise to participate in the direction of the management and policies, of such Person, excluding shares or other Equity Interests entitled so to vote or participate only upon the happening of some contingency.</w:t>
      </w:r>
    </w:p>
    <w:p>
      <w:pPr>
        <w:spacing w:after="0" w:line="158" w:lineRule="exact"/>
        <w:rPr>
          <w:sz w:val="20"/>
          <w:szCs w:val="20"/>
          <w:color w:val="auto"/>
        </w:rPr>
      </w:pPr>
    </w:p>
    <w:p>
      <w:pPr>
        <w:jc w:val="both"/>
        <w:ind w:left="100" w:right="99"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w:t>
      </w:r>
      <w:r>
        <w:rPr>
          <w:rFonts w:ascii="Arial" w:cs="Arial" w:eastAsia="Arial" w:hAnsi="Arial"/>
          <w:sz w:val="22"/>
          <w:szCs w:val="22"/>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 owned subsidiary of such Person or any combination thereof.</w:t>
      </w:r>
    </w:p>
    <w:p>
      <w:pPr>
        <w:spacing w:after="0" w:line="158"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 is defined in Part I of Subtitle E of Title IV of ERISA.</w:t>
      </w:r>
    </w:p>
    <w:p>
      <w:pPr>
        <w:spacing w:after="0" w:line="159" w:lineRule="exact"/>
        <w:rPr>
          <w:sz w:val="20"/>
          <w:szCs w:val="20"/>
          <w:color w:val="auto"/>
        </w:rPr>
      </w:pPr>
    </w:p>
    <w:p>
      <w:pPr>
        <w:jc w:val="both"/>
        <w:ind w:left="100" w:right="99"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59" w:lineRule="exact"/>
        <w:rPr>
          <w:sz w:val="20"/>
          <w:szCs w:val="20"/>
          <w:color w:val="auto"/>
        </w:rPr>
      </w:pPr>
    </w:p>
    <w:p>
      <w:pPr>
        <w:jc w:val="both"/>
        <w:ind w:left="100" w:right="99" w:firstLine="1296"/>
        <w:spacing w:after="0" w:line="229"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Classification of Loans and Borrowings</w:t>
      </w:r>
      <w:r>
        <w:rPr>
          <w:rFonts w:ascii="Arial" w:cs="Arial" w:eastAsia="Arial" w:hAnsi="Arial"/>
          <w:sz w:val="21"/>
          <w:szCs w:val="21"/>
          <w:color w:val="auto"/>
        </w:rPr>
        <w:t>. For purposes of this Agreement, Loans and Borrowings may be classified and referred to by Class (</w:t>
      </w:r>
      <w:r>
        <w:rPr>
          <w:rFonts w:ascii="Arial" w:cs="Arial" w:eastAsia="Arial" w:hAnsi="Arial"/>
          <w:sz w:val="21"/>
          <w:szCs w:val="21"/>
          <w:i w:val="1"/>
          <w:iCs w:val="1"/>
          <w:color w:val="auto"/>
        </w:rPr>
        <w:t>e.g.</w:t>
      </w:r>
      <w:r>
        <w:rPr>
          <w:rFonts w:ascii="Arial" w:cs="Arial" w:eastAsia="Arial" w:hAnsi="Arial"/>
          <w:sz w:val="21"/>
          <w:szCs w:val="21"/>
          <w:color w:val="auto"/>
        </w:rPr>
        <w:t xml:space="preserve">, a “Tranche 1 Loan” or “Tranche 1 Borrowing”) or by Type </w:t>
      </w:r>
      <w:r>
        <w:rPr>
          <w:rFonts w:ascii="Arial" w:cs="Arial" w:eastAsia="Arial" w:hAnsi="Arial"/>
          <w:sz w:val="21"/>
          <w:szCs w:val="21"/>
          <w:i w:val="1"/>
          <w:iCs w:val="1"/>
          <w:color w:val="auto"/>
        </w:rPr>
        <w:t>(e.g.,</w:t>
      </w:r>
      <w:r>
        <w:rPr>
          <w:rFonts w:ascii="Arial" w:cs="Arial" w:eastAsia="Arial" w:hAnsi="Arial"/>
          <w:sz w:val="21"/>
          <w:szCs w:val="21"/>
          <w:color w:val="auto"/>
        </w:rPr>
        <w:t xml:space="preserve"> a “LIBOR Loan” or “LIBOR Borrowing”) or by Class and Type (</w:t>
      </w:r>
      <w:r>
        <w:rPr>
          <w:rFonts w:ascii="Arial" w:cs="Arial" w:eastAsia="Arial" w:hAnsi="Arial"/>
          <w:sz w:val="21"/>
          <w:szCs w:val="21"/>
          <w:i w:val="1"/>
          <w:iCs w:val="1"/>
          <w:color w:val="auto"/>
        </w:rPr>
        <w:t>e.g.</w:t>
      </w:r>
      <w:r>
        <w:rPr>
          <w:rFonts w:ascii="Arial" w:cs="Arial" w:eastAsia="Arial" w:hAnsi="Arial"/>
          <w:sz w:val="21"/>
          <w:szCs w:val="21"/>
          <w:color w:val="auto"/>
        </w:rPr>
        <w:t>, a “Tranche 1 LIBOR Loan” or “Tranche 1 LIBOR Borrowing”).</w:t>
      </w:r>
    </w:p>
    <w:p>
      <w:pPr>
        <w:spacing w:after="0" w:line="159" w:lineRule="exact"/>
        <w:rPr>
          <w:sz w:val="20"/>
          <w:szCs w:val="20"/>
          <w:color w:val="auto"/>
        </w:rPr>
      </w:pPr>
    </w:p>
    <w:p>
      <w:pPr>
        <w:jc w:val="both"/>
        <w:ind w:left="100" w:right="99" w:firstLine="1296"/>
        <w:spacing w:after="0" w:line="249"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8" w:name="page219"/>
    <w:bookmarkEnd w:id="218"/>
    <w:p>
      <w:pPr>
        <w:ind w:left="8700"/>
        <w:spacing w:after="0"/>
        <w:rPr>
          <w:sz w:val="20"/>
          <w:szCs w:val="20"/>
          <w:color w:val="auto"/>
        </w:rPr>
      </w:pPr>
      <w:r>
        <w:rPr>
          <w:rFonts w:ascii="Arial" w:cs="Arial" w:eastAsia="Arial" w:hAnsi="Arial"/>
          <w:sz w:val="19"/>
          <w:szCs w:val="19"/>
          <w:color w:val="auto"/>
        </w:rPr>
        <w:t>32</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rPr>
          <w:sz w:val="20"/>
          <w:szCs w:val="20"/>
          <w:color w:val="auto"/>
        </w:rPr>
      </w:pPr>
      <w:r>
        <w:rPr>
          <w:rFonts w:ascii="Arial" w:cs="Arial" w:eastAsia="Arial" w:hAnsi="Arial"/>
          <w:sz w:val="19"/>
          <w:szCs w:val="19"/>
          <w:color w:val="auto"/>
        </w:rPr>
        <w:t>and to refer to any and all real and personal, tangible and intangible assets and properties, and all references to “knowledge” or “awareness” of the Company or any Subsidiary means the actual knowledge of a Responsible Officer of the Company. The word “law” shall be construed as referring to all statutes, rules, regulations, codes and other laws (including official rulings and interpretations thereunder having the force of law or with which affected Persons customarily comply), and all judgments, orders, writs and decrees, of all Governmental Authorities. Except as otherwise provided herein and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and all references to any statute shall be construed as referring to all rules, regulations, rulings and official interpretations promulgated or issued thereunder,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w:t>
      </w:r>
    </w:p>
    <w:p>
      <w:pPr>
        <w:spacing w:after="0" w:line="384" w:lineRule="exact"/>
        <w:rPr>
          <w:sz w:val="20"/>
          <w:szCs w:val="20"/>
          <w:color w:val="auto"/>
        </w:rPr>
      </w:pPr>
    </w:p>
    <w:p>
      <w:pPr>
        <w:jc w:val="center"/>
        <w:ind w:right="139"/>
        <w:spacing w:after="0"/>
        <w:tabs>
          <w:tab w:leader="none" w:pos="20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Accounting Terms; GAAP; Pro Forma Calculations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tabs>
          <w:tab w:leader="none" w:pos="197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herein, all terms of an accounting or financial nature used herein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the Company, by notice to the Administrative Agent, shall request an amendment to any provision hereof to eliminate the effect of any change occurring after the Effective Date in GAAP or in the application thereof on the operation of such provision (or if the Administrative Agent or the Required Lenders, by notice to the Company, shall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 other provision contained herein, all terms of an accounting or financial nature used herein shall be construed (other than for purposes of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5.01(a)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5.01(b)</w:t>
      </w:r>
      <w:r>
        <w:rPr>
          <w:rFonts w:ascii="Arial" w:cs="Arial" w:eastAsia="Arial" w:hAnsi="Arial"/>
          <w:sz w:val="19"/>
          <w:szCs w:val="19"/>
          <w:color w:val="auto"/>
        </w:rPr>
        <w:t>), and all computations of amounts and ratios referred to herein shall be made, (A) without giving effect to (x) any election under Financial Accounting Standards Board Accounting Standards Codification 825 (or any other Accounting Standards Codification having a similar result or effect) (and related interpretations) to value any Indebtedness at “fair value”, as defined therein, or (y) any other accounting principle that results in any Indebtedness being reflected on a balance sheet at an amount less than the stated principal amount thereof, (B) without giving effect to any treatment of Indebtedness in respect of convertible debt instruments under Accounting Standards Codification 470-20 (or any other Accounting Standards Codification having a similar result or effect) (and related interpretations) to value any such Indebtedness in a reduced or bifurcated manner as described therein, and such Indebtedness shall at all times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457835</wp:posOffset>
            </wp:positionV>
            <wp:extent cx="5642610" cy="514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9" w:name="page220"/>
    <w:bookmarkEnd w:id="219"/>
    <w:p>
      <w:pPr>
        <w:jc w:val="right"/>
        <w:ind w:right="99"/>
        <w:spacing w:after="0"/>
        <w:rPr>
          <w:sz w:val="20"/>
          <w:szCs w:val="20"/>
          <w:color w:val="auto"/>
        </w:rPr>
      </w:pPr>
      <w:r>
        <w:rPr>
          <w:rFonts w:ascii="Arial" w:cs="Arial" w:eastAsia="Arial" w:hAnsi="Arial"/>
          <w:sz w:val="22"/>
          <w:szCs w:val="22"/>
          <w:color w:val="auto"/>
        </w:rPr>
        <w:t>33</w:t>
      </w:r>
    </w:p>
    <w:p>
      <w:pPr>
        <w:spacing w:after="0" w:line="396"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22"/>
          <w:szCs w:val="22"/>
          <w:color w:val="auto"/>
        </w:rPr>
        <w:t>valued at the full stated principal amount thereof, and (C) without giving effect to any change in accounting for leases resulting from the implementation of Financial Accounting Standards Board ASU No. 2016-02, Leases (Topic 842), to the extent any lease (or similar arrangement conveying the right to use) would be required to be treated as a capital lease where such lease (or similar arrangement) would not have been required to be so treated under GAAP as in effect on December 31, 2016.</w:t>
      </w:r>
    </w:p>
    <w:p>
      <w:pPr>
        <w:spacing w:after="0" w:line="159" w:lineRule="exact"/>
        <w:rPr>
          <w:sz w:val="20"/>
          <w:szCs w:val="20"/>
          <w:color w:val="auto"/>
        </w:rPr>
      </w:pPr>
    </w:p>
    <w:p>
      <w:pPr>
        <w:jc w:val="both"/>
        <w:ind w:left="100" w:right="99" w:firstLine="1301"/>
        <w:spacing w:after="0" w:line="246" w:lineRule="auto"/>
        <w:tabs>
          <w:tab w:leader="none" w:pos="2013"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The parties hereto acknowledge and agree that calculations of Consolidated Assets, Consolidated Net Income or Consolidated Tangible Assets or any other financial ratio or test shall be calculated on a Pro Forma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for purposes of determining compliance with the Financial Covenant, no Material Transaction that occurs subsequent to the last day of the applicable fiscal quarter for which compliance with the Financial Covenant is being determined shall be included on a Pro Forma Basis or be given Pro Forma Effect in making such determination. In making any determination on a Pro Forma Basis or of Pro Forma Effect, calculations shall be made in good faith by a Financial Officer of the Company.</w:t>
      </w:r>
    </w:p>
    <w:p>
      <w:pPr>
        <w:spacing w:after="0" w:line="153" w:lineRule="exact"/>
        <w:rPr>
          <w:sz w:val="20"/>
          <w:szCs w:val="20"/>
          <w:color w:val="auto"/>
        </w:rPr>
      </w:pPr>
    </w:p>
    <w:p>
      <w:pPr>
        <w:jc w:val="both"/>
        <w:ind w:left="100" w:right="99" w:firstLine="1296"/>
        <w:spacing w:after="0" w:line="249"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Effectuation of the Transactions</w:t>
      </w:r>
      <w:r>
        <w:rPr>
          <w:rFonts w:ascii="Arial" w:cs="Arial" w:eastAsia="Arial" w:hAnsi="Arial"/>
          <w:sz w:val="19"/>
          <w:szCs w:val="19"/>
          <w:color w:val="auto"/>
        </w:rPr>
        <w:t>. All references herein to the Company and the Subsidiaries on the PNG Acquisition Closing Date shall be deemed to be references to such Persons, and all the representations and warranties of the Company contained in this Agreement or any other Loan Document shall be deemed, on the PNG Acquisition Closing Date to be made, in each case, after giving effect to the PNG Acquisition and the other Transactions to occur on the PNG Acquisition Closing Date, unless the context otherwise expressly requires.</w:t>
      </w:r>
    </w:p>
    <w:p>
      <w:pPr>
        <w:spacing w:after="0" w:line="153" w:lineRule="exact"/>
        <w:rPr>
          <w:sz w:val="20"/>
          <w:szCs w:val="20"/>
          <w:color w:val="auto"/>
        </w:rPr>
      </w:pPr>
    </w:p>
    <w:p>
      <w:pPr>
        <w:jc w:val="both"/>
        <w:ind w:left="100" w:right="99" w:firstLine="1296"/>
        <w:spacing w:after="0" w:line="242"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Negative Covenant Compliance</w:t>
      </w:r>
      <w:r>
        <w:rPr>
          <w:rFonts w:ascii="Arial" w:cs="Arial" w:eastAsia="Arial" w:hAnsi="Arial"/>
          <w:sz w:val="19"/>
          <w:szCs w:val="19"/>
          <w:color w:val="auto"/>
        </w:rPr>
        <w:t xml:space="preserve">. For purposes of determining whether the Company complies with any exception to Article VI (other than the Financial Covenant), it is understood that (a) compliance shall be measured at the time when the relevant event is undertaken, and, for the avoidance of doubt, any financial ratios and metrics therein are intended to be “incurrence” tests and not “maintenance” tests and (b) correspondingly, no change in any financial ratio or metric occurring after the date such compliance is measured shall result in any previously permitted transaction ceasing to be permitted hereunder. For the avoidance of doubt, with respect to determining whether the Company and the Subsidiaries comply with any covenant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(other than the Financial Covenant), to the extent that any obligation, transaction or action could be attributable to more than one exception to any such covenant, the Company may categorize or re-categorize all or any portion of such obligation, transaction or action to any one or more exceptions to such covenant that permit such obligation, transaction or action.</w:t>
      </w:r>
    </w:p>
    <w:p>
      <w:pPr>
        <w:spacing w:after="0" w:line="165" w:lineRule="exact"/>
        <w:rPr>
          <w:sz w:val="20"/>
          <w:szCs w:val="20"/>
          <w:color w:val="auto"/>
        </w:rPr>
      </w:pPr>
    </w:p>
    <w:p>
      <w:pPr>
        <w:jc w:val="both"/>
        <w:ind w:left="100" w:right="99" w:firstLine="1296"/>
        <w:spacing w:after="0" w:line="246"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Timing of Payment or Performance</w:t>
      </w:r>
      <w:r>
        <w:rPr>
          <w:rFonts w:ascii="Arial" w:cs="Arial" w:eastAsia="Arial" w:hAnsi="Arial"/>
          <w:sz w:val="19"/>
          <w:szCs w:val="19"/>
          <w:color w:val="auto"/>
        </w:rPr>
        <w:t>. When the payment of any obligation or the performance of any covenant, duty or obligation is stated to be due or performance required on a day which is not a Business Day, the date of such payment (other than as specifically provided in the definition of the term “Interest Period”) or performance shall extend to the immediately succeeding Business Day (it being understood that the foregoing shall cause any grace period associated with any such payment obligation or performance of any covenant, duty or obligation to extend to the immediately succeeding Business Day as well) and, in the case of any payment accruing interest, interest thereon shall be payable for the period of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0" w:name="page221"/>
    <w:bookmarkEnd w:id="220"/>
    <w:p>
      <w:pPr>
        <w:jc w:val="right"/>
        <w:ind w:right="99"/>
        <w:spacing w:after="0"/>
        <w:rPr>
          <w:sz w:val="20"/>
          <w:szCs w:val="20"/>
          <w:color w:val="auto"/>
        </w:rPr>
      </w:pPr>
      <w:r>
        <w:rPr>
          <w:rFonts w:ascii="Arial" w:cs="Arial" w:eastAsia="Arial" w:hAnsi="Arial"/>
          <w:sz w:val="22"/>
          <w:szCs w:val="22"/>
          <w:color w:val="auto"/>
        </w:rPr>
        <w:t>34</w:t>
      </w:r>
    </w:p>
    <w:p>
      <w:pPr>
        <w:spacing w:after="0" w:line="396" w:lineRule="exact"/>
        <w:rPr>
          <w:sz w:val="20"/>
          <w:szCs w:val="20"/>
          <w:color w:val="auto"/>
        </w:rPr>
      </w:pPr>
    </w:p>
    <w:p>
      <w:pPr>
        <w:jc w:val="both"/>
        <w:ind w:left="100" w:right="99" w:firstLine="1296"/>
        <w:spacing w:after="0" w:line="252"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Rounding</w:t>
      </w:r>
      <w:r>
        <w:rPr>
          <w:rFonts w:ascii="Arial" w:cs="Arial" w:eastAsia="Arial" w:hAnsi="Arial"/>
          <w:sz w:val="19"/>
          <w:szCs w:val="19"/>
          <w:color w:val="auto"/>
        </w:rPr>
        <w:t>. Any financial ratios required to be maintained by the Company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49" w:lineRule="exact"/>
        <w:rPr>
          <w:sz w:val="20"/>
          <w:szCs w:val="20"/>
          <w:color w:val="auto"/>
        </w:rPr>
      </w:pPr>
    </w:p>
    <w:p>
      <w:pPr>
        <w:jc w:val="both"/>
        <w:ind w:left="100" w:right="99" w:firstLine="1296"/>
        <w:spacing w:after="0" w:line="268"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Certifications</w:t>
      </w:r>
      <w:r>
        <w:rPr>
          <w:rFonts w:ascii="Arial" w:cs="Arial" w:eastAsia="Arial" w:hAnsi="Arial"/>
          <w:sz w:val="19"/>
          <w:szCs w:val="19"/>
          <w:color w:val="auto"/>
        </w:rPr>
        <w:t>. All certifications to be made hereunder by a Responsible Officer shall be made by such Person in his or her capacity solely as an officer or a representative of the Company, on the Company’s behalf and not in such Person’s individual capacity.</w:t>
      </w:r>
    </w:p>
    <w:p>
      <w:pPr>
        <w:spacing w:after="0" w:line="132" w:lineRule="exact"/>
        <w:rPr>
          <w:sz w:val="20"/>
          <w:szCs w:val="20"/>
          <w:color w:val="auto"/>
        </w:rPr>
      </w:pPr>
    </w:p>
    <w:p>
      <w:pPr>
        <w:ind w:left="3960"/>
        <w:spacing w:after="0"/>
        <w:rPr>
          <w:sz w:val="20"/>
          <w:szCs w:val="20"/>
          <w:color w:val="auto"/>
        </w:rPr>
      </w:pPr>
      <w:r>
        <w:rPr>
          <w:rFonts w:ascii="Arial" w:cs="Arial" w:eastAsia="Arial" w:hAnsi="Arial"/>
          <w:sz w:val="22"/>
          <w:szCs w:val="22"/>
          <w:u w:val="single" w:color="auto"/>
          <w:color w:val="auto"/>
        </w:rPr>
        <w:t>ARTICLE II</w:t>
      </w:r>
    </w:p>
    <w:p>
      <w:pPr>
        <w:spacing w:after="0" w:line="179" w:lineRule="exact"/>
        <w:rPr>
          <w:sz w:val="20"/>
          <w:szCs w:val="20"/>
          <w:color w:val="auto"/>
        </w:rPr>
      </w:pPr>
    </w:p>
    <w:p>
      <w:pPr>
        <w:ind w:left="4000"/>
        <w:spacing w:after="0"/>
        <w:rPr>
          <w:sz w:val="20"/>
          <w:szCs w:val="20"/>
          <w:color w:val="auto"/>
        </w:rPr>
      </w:pPr>
      <w:r>
        <w:rPr>
          <w:rFonts w:ascii="Arial" w:cs="Arial" w:eastAsia="Arial" w:hAnsi="Arial"/>
          <w:sz w:val="22"/>
          <w:szCs w:val="22"/>
          <w:u w:val="single" w:color="auto"/>
          <w:color w:val="auto"/>
        </w:rPr>
        <w:t>The Credits</w:t>
      </w:r>
    </w:p>
    <w:p>
      <w:pPr>
        <w:spacing w:after="0" w:line="179" w:lineRule="exact"/>
        <w:rPr>
          <w:sz w:val="20"/>
          <w:szCs w:val="20"/>
          <w:color w:val="auto"/>
        </w:rPr>
      </w:pPr>
    </w:p>
    <w:p>
      <w:pPr>
        <w:jc w:val="both"/>
        <w:ind w:left="100" w:right="99" w:firstLine="1296"/>
        <w:spacing w:after="0" w:line="242"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Commitments</w:t>
      </w:r>
      <w:r>
        <w:rPr>
          <w:rFonts w:ascii="Arial" w:cs="Arial" w:eastAsia="Arial" w:hAnsi="Arial"/>
          <w:sz w:val="19"/>
          <w:szCs w:val="19"/>
          <w:color w:val="auto"/>
        </w:rPr>
        <w:t xml:space="preserve">. Subject to the terms and conditions set forth herein, each Lender agrees (a) to make Tranche 1 Loans to the Company from time to time during the Availability Period in an aggregate principal amount that will not result (after giving effect to any application of proceeds of such Tranche 1 Loans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in (i) any Lender’s Credit Exposure exceeding such Lender’s Tranche 1 Commitment or (ii) the Total Tranche 1 Credit Exposure exceeding the Total Tranche 1 Commitments and (b) to make Tranche 2 Loans to the Company on the PNG Acquisition Closing Date in an aggregate principal amount that will not result in (i) the aggregate outstanding principal amount of any Lender’s Tranche 2 Loans exceeding such Lender’s Tranche 2 Commitment or (ii) the sum of the aggregate outstanding principal amount of all Tranche 2 Loans and the aggregate LC Exposure in respect of Existing Letters of Credit designated as such in accordance with clause (b) of the definition of such term exceeding the sum of the Tranche 2 Commitments of all Lenders. Within the foregoing limits and subject to the terms and conditions set forth herein, the Company may borrow, prepay and reborrow Tranche 1 Loans.</w:t>
      </w:r>
    </w:p>
    <w:p>
      <w:pPr>
        <w:spacing w:after="0" w:line="161"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Loans and Borrowings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line="223" w:lineRule="auto"/>
        <w:tabs>
          <w:tab w:leader="none" w:pos="1906"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Each Loan (other than a Swingline Loan) shall be made as part of a Borrowing consisting of Loans of the same Class and Type made by the Lenders ratably in accordance with their respective Commitments of the applicable Class. Each Swingline Loan shall be made in accordance with the procedures set forth in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The failure of any Lender to make any Loan required to be made by it shall not relieve any other Lender of its obligations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Commitments of the Lenders are several and no Lender shall be responsible for any other Lender’s failure to make Loans as required.</w:t>
      </w:r>
    </w:p>
    <w:p>
      <w:pPr>
        <w:spacing w:after="0" w:line="158" w:lineRule="exact"/>
        <w:rPr>
          <w:rFonts w:ascii="Arial" w:cs="Arial" w:eastAsia="Arial" w:hAnsi="Arial"/>
          <w:sz w:val="21"/>
          <w:szCs w:val="21"/>
          <w:color w:val="auto"/>
        </w:rPr>
      </w:pPr>
    </w:p>
    <w:p>
      <w:pPr>
        <w:jc w:val="both"/>
        <w:ind w:left="100" w:right="99" w:firstLine="1301"/>
        <w:spacing w:after="0" w:line="212" w:lineRule="auto"/>
        <w:tabs>
          <w:tab w:leader="none" w:pos="190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each Borrowing (other than a Swingline Loan) shall be comprised entirely of ABR Loans or LIBOR Loans as the Company may request in accordance herewith, and shall be denominated in dollars. Each Swingline Loan shall be denominated in dollars. Each Lender at its option may make any LIBOR Loan by causing any domestic or foreign branch or Affiliate of such Lender to make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exercise of such option shall not affect the obligation of the Company to repay such Loan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320040</wp:posOffset>
            </wp:positionV>
            <wp:extent cx="5642610" cy="514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1" w:name="page222"/>
    <w:bookmarkEnd w:id="221"/>
    <w:p>
      <w:pPr>
        <w:jc w:val="right"/>
        <w:ind w:right="99"/>
        <w:spacing w:after="0"/>
        <w:rPr>
          <w:sz w:val="20"/>
          <w:szCs w:val="20"/>
          <w:color w:val="auto"/>
        </w:rPr>
      </w:pPr>
      <w:r>
        <w:rPr>
          <w:rFonts w:ascii="Arial" w:cs="Arial" w:eastAsia="Arial" w:hAnsi="Arial"/>
          <w:sz w:val="22"/>
          <w:szCs w:val="22"/>
          <w:color w:val="auto"/>
        </w:rPr>
        <w:t>35</w:t>
      </w:r>
    </w:p>
    <w:p>
      <w:pPr>
        <w:spacing w:after="0" w:line="396" w:lineRule="exact"/>
        <w:rPr>
          <w:sz w:val="20"/>
          <w:szCs w:val="20"/>
          <w:color w:val="auto"/>
        </w:rPr>
      </w:pPr>
    </w:p>
    <w:p>
      <w:pPr>
        <w:jc w:val="both"/>
        <w:ind w:left="100" w:right="99" w:firstLine="1301"/>
        <w:spacing w:after="0" w:line="241" w:lineRule="auto"/>
        <w:tabs>
          <w:tab w:leader="none" w:pos="190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LIBOR Borrowing, such Borrowing shall be in an aggregate amount that is an integral multiple of $100,000 and not less than $1,000,000;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LIBOR Borrowing that results from a continuation of an outstanding LIBOR Borrowing may be in an aggregate amount that is equal to such outstanding Borrowing. At the time that each ABR Borrowing (other than a Swingline Loan) is made, such Borrowing shall be in an aggregate amount that is an integral multiple of $50,000 and not less than $250,000;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Borrowing (i) of any Class may be in an aggregate amount that is equal to the entire unused balance of the total Commitments of such Class or (ii) of Tranche 1 Loans may be in an aggregate amount that is required to finance the reimbursement of an LC Disbursement as contemplated by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Each Swingline Loan shall be in an aggregate amount that is an integral multiple of $50,000 and not less than $100,000;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Swingline Loan may be in an aggregate amount that is required to finance the reimbursement of an LC Disbursement as contemplated by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Borrowings of more than one Type and Class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not at any time be more than a total of 15 (or such greater number as may be agreed by the Administrative Agent) LIBOR Borrowings outstanding.</w:t>
      </w:r>
    </w:p>
    <w:p>
      <w:pPr>
        <w:spacing w:after="0" w:line="166" w:lineRule="exact"/>
        <w:rPr>
          <w:rFonts w:ascii="Arial" w:cs="Arial" w:eastAsia="Arial" w:hAnsi="Arial"/>
          <w:sz w:val="19"/>
          <w:szCs w:val="19"/>
          <w:color w:val="auto"/>
        </w:rPr>
      </w:pPr>
    </w:p>
    <w:p>
      <w:pPr>
        <w:jc w:val="both"/>
        <w:ind w:left="100" w:right="99" w:firstLine="1301"/>
        <w:spacing w:after="0" w:line="268" w:lineRule="auto"/>
        <w:tabs>
          <w:tab w:leader="none" w:pos="191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Company shall not be entitled to request, or to elect to convert to or continue, any LIBOR Borrowing if the Interest Period requested with respect thereto would end after the Maturity Date applicable thereto.</w:t>
      </w:r>
    </w:p>
    <w:p>
      <w:pPr>
        <w:spacing w:after="0" w:line="132" w:lineRule="exact"/>
        <w:rPr>
          <w:sz w:val="20"/>
          <w:szCs w:val="20"/>
          <w:color w:val="auto"/>
        </w:rPr>
      </w:pPr>
    </w:p>
    <w:p>
      <w:pPr>
        <w:jc w:val="both"/>
        <w:ind w:left="100" w:right="99" w:firstLine="1296"/>
        <w:spacing w:after="0" w:line="219"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u w:val="single" w:color="auto"/>
          <w:color w:val="auto"/>
        </w:rPr>
        <w:t>Requests for Borrowings</w:t>
      </w:r>
      <w:r>
        <w:rPr>
          <w:rFonts w:ascii="Arial" w:cs="Arial" w:eastAsia="Arial" w:hAnsi="Arial"/>
          <w:sz w:val="21"/>
          <w:szCs w:val="21"/>
          <w:color w:val="auto"/>
        </w:rPr>
        <w:t xml:space="preserve">. To request a Borrowing (other than a Swingline Loan), the Company shall notify the Administrative Agent of such request by telephone or in writing (a) in the case of a LIBOR Borrowing, not later than 11:00 a.m., New York City time, three Business Days before the date of the proposed Borrowing or (b) in the case of an ABR Borrowing, not later than 11:00 a.m., New York City time, on the day of the proposed Borrowing. Each such telephonic and written Borrowing Request shall be irrevocable (except that the Borrowing Request for a Tranche 2 Borrowing may be conditioned on the consummation of the PNG Acquisition and may be revoked, prior to 1:00 p.m. New York City time, on the date of the proposed Borrowing, if such condition is not satisfied) and shall be made (or, if telephonic, confirmed promptly) by hand delivery or fax to the Administrative Agent of an executed written Borrowing Request. Each such telephonic and written Borrowing Request shall specify the following information in compliance with </w:t>
      </w:r>
      <w:r>
        <w:rPr>
          <w:rFonts w:ascii="Arial" w:cs="Arial" w:eastAsia="Arial" w:hAnsi="Arial"/>
          <w:sz w:val="21"/>
          <w:szCs w:val="21"/>
          <w:u w:val="single" w:color="auto"/>
          <w:color w:val="auto"/>
        </w:rPr>
        <w:t>Section 2.02</w:t>
      </w:r>
      <w:r>
        <w:rPr>
          <w:rFonts w:ascii="Arial" w:cs="Arial" w:eastAsia="Arial" w:hAnsi="Arial"/>
          <w:sz w:val="21"/>
          <w:szCs w:val="21"/>
          <w:color w:val="auto"/>
        </w:rPr>
        <w:t>:</w:t>
      </w:r>
    </w:p>
    <w:p>
      <w:pPr>
        <w:spacing w:after="0" w:line="165" w:lineRule="exact"/>
        <w:rPr>
          <w:sz w:val="20"/>
          <w:szCs w:val="20"/>
          <w:color w:val="auto"/>
        </w:rPr>
      </w:pPr>
    </w:p>
    <w:p>
      <w:pPr>
        <w:ind w:left="1840" w:hanging="439"/>
        <w:spacing w:after="0"/>
        <w:tabs>
          <w:tab w:leader="none" w:pos="18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whether the requested Borrowing is to be a Tranche 1 Borrowing or a Tranche 2</w:t>
      </w:r>
    </w:p>
    <w:p>
      <w:pPr>
        <w:spacing w:after="0" w:line="15"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Borrowing;</w:t>
      </w:r>
    </w:p>
    <w:p>
      <w:pPr>
        <w:spacing w:after="0" w:line="161" w:lineRule="exact"/>
        <w:rPr>
          <w:rFonts w:ascii="Arial" w:cs="Arial" w:eastAsia="Arial" w:hAnsi="Arial"/>
          <w:sz w:val="19"/>
          <w:szCs w:val="19"/>
          <w:color w:val="auto"/>
        </w:rPr>
      </w:pPr>
    </w:p>
    <w:p>
      <w:pPr>
        <w:ind w:left="1880" w:hanging="479"/>
        <w:spacing w:after="0"/>
        <w:tabs>
          <w:tab w:leader="none" w:pos="188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aggregate amount of such Borrowing;</w:t>
      </w:r>
    </w:p>
    <w:p>
      <w:pPr>
        <w:spacing w:after="0" w:line="179" w:lineRule="exact"/>
        <w:rPr>
          <w:rFonts w:ascii="Arial" w:cs="Arial" w:eastAsia="Arial" w:hAnsi="Arial"/>
          <w:sz w:val="22"/>
          <w:szCs w:val="22"/>
          <w:color w:val="auto"/>
        </w:rPr>
      </w:pPr>
    </w:p>
    <w:p>
      <w:pPr>
        <w:ind w:left="1940" w:hanging="539"/>
        <w:spacing w:after="0"/>
        <w:tabs>
          <w:tab w:leader="none" w:pos="194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179" w:lineRule="exact"/>
        <w:rPr>
          <w:rFonts w:ascii="Arial" w:cs="Arial" w:eastAsia="Arial" w:hAnsi="Arial"/>
          <w:sz w:val="22"/>
          <w:szCs w:val="22"/>
          <w:color w:val="auto"/>
        </w:rPr>
      </w:pPr>
    </w:p>
    <w:p>
      <w:pPr>
        <w:ind w:left="760" w:right="99" w:firstLine="641"/>
        <w:spacing w:after="0" w:line="232" w:lineRule="auto"/>
        <w:tabs>
          <w:tab w:leader="none" w:pos="195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in the case of a Tranche 1 Borrowing, whether such Borrowing is to be an ABR Borrowing or a LIBOR Borrowing;</w:t>
      </w:r>
    </w:p>
    <w:p>
      <w:pPr>
        <w:spacing w:after="0" w:line="159" w:lineRule="exact"/>
        <w:rPr>
          <w:rFonts w:ascii="Arial" w:cs="Arial" w:eastAsia="Arial" w:hAnsi="Arial"/>
          <w:sz w:val="22"/>
          <w:szCs w:val="22"/>
          <w:color w:val="auto"/>
        </w:rPr>
      </w:pPr>
    </w:p>
    <w:p>
      <w:pPr>
        <w:jc w:val="both"/>
        <w:ind w:left="760" w:right="99" w:firstLine="641"/>
        <w:spacing w:after="0" w:line="223" w:lineRule="auto"/>
        <w:tabs>
          <w:tab w:leader="none" w:pos="187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in the case of a Tranche 1 Borrowing that is to be a LIBOR Borrowing, the initial Interest Period to be applicable thereto, which shall be a period contemplated by the definition of the term “Interest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316230</wp:posOffset>
            </wp:positionV>
            <wp:extent cx="5642610" cy="514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2" w:name="page223"/>
    <w:bookmarkEnd w:id="222"/>
    <w:p>
      <w:pPr>
        <w:ind w:left="8700"/>
        <w:spacing w:after="0"/>
        <w:rPr>
          <w:sz w:val="20"/>
          <w:szCs w:val="20"/>
          <w:color w:val="auto"/>
        </w:rPr>
      </w:pPr>
      <w:r>
        <w:rPr>
          <w:rFonts w:ascii="Arial" w:cs="Arial" w:eastAsia="Arial" w:hAnsi="Arial"/>
          <w:sz w:val="19"/>
          <w:szCs w:val="19"/>
          <w:color w:val="auto"/>
        </w:rPr>
        <w:t>36</w:t>
      </w:r>
    </w:p>
    <w:p>
      <w:pPr>
        <w:spacing w:after="0" w:line="200" w:lineRule="exact"/>
        <w:rPr>
          <w:sz w:val="20"/>
          <w:szCs w:val="20"/>
          <w:color w:val="auto"/>
        </w:rPr>
      </w:pPr>
    </w:p>
    <w:p>
      <w:pPr>
        <w:spacing w:after="0" w:line="231" w:lineRule="exact"/>
        <w:rPr>
          <w:sz w:val="20"/>
          <w:szCs w:val="20"/>
          <w:color w:val="auto"/>
        </w:rPr>
      </w:pPr>
    </w:p>
    <w:p>
      <w:pPr>
        <w:jc w:val="both"/>
        <w:ind w:left="760" w:right="99" w:firstLine="641"/>
        <w:spacing w:after="0" w:line="218" w:lineRule="auto"/>
        <w:tabs>
          <w:tab w:leader="none" w:pos="193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the location and number of the account of the Company to which funds are to be disbursed or, in the case of any ABR Borrowing requested to finance the reimbursement of an LC Disbursement as provided in </w:t>
      </w:r>
      <w:r>
        <w:rPr>
          <w:rFonts w:ascii="Arial" w:cs="Arial" w:eastAsia="Arial" w:hAnsi="Arial"/>
          <w:sz w:val="22"/>
          <w:szCs w:val="22"/>
          <w:u w:val="single" w:color="auto"/>
          <w:color w:val="auto"/>
        </w:rPr>
        <w:t>Section 2.05(f)</w:t>
      </w:r>
      <w:r>
        <w:rPr>
          <w:rFonts w:ascii="Arial" w:cs="Arial" w:eastAsia="Arial" w:hAnsi="Arial"/>
          <w:sz w:val="22"/>
          <w:szCs w:val="22"/>
          <w:color w:val="auto"/>
        </w:rPr>
        <w:t>, the identity of the Issuing Bank that made such LC Disbursement.</w:t>
      </w:r>
    </w:p>
    <w:p>
      <w:pPr>
        <w:spacing w:after="0" w:line="161" w:lineRule="exact"/>
        <w:rPr>
          <w:sz w:val="20"/>
          <w:szCs w:val="20"/>
          <w:color w:val="auto"/>
        </w:rPr>
      </w:pPr>
    </w:p>
    <w:p>
      <w:pPr>
        <w:jc w:val="both"/>
        <w:ind w:left="100" w:right="99"/>
        <w:spacing w:after="0" w:line="223" w:lineRule="auto"/>
        <w:rPr>
          <w:sz w:val="20"/>
          <w:szCs w:val="20"/>
          <w:color w:val="auto"/>
        </w:rPr>
      </w:pPr>
      <w:r>
        <w:rPr>
          <w:rFonts w:ascii="Arial" w:cs="Arial" w:eastAsia="Arial" w:hAnsi="Arial"/>
          <w:sz w:val="21"/>
          <w:szCs w:val="21"/>
          <w:color w:val="auto"/>
        </w:rPr>
        <w:t xml:space="preserve">If no election as to the Type of Borrowing is specified, then, subject to </w:t>
      </w:r>
      <w:r>
        <w:rPr>
          <w:rFonts w:ascii="Arial" w:cs="Arial" w:eastAsia="Arial" w:hAnsi="Arial"/>
          <w:sz w:val="21"/>
          <w:szCs w:val="21"/>
          <w:u w:val="single" w:color="auto"/>
          <w:color w:val="auto"/>
        </w:rPr>
        <w:t>Section 2.21</w:t>
      </w:r>
      <w:r>
        <w:rPr>
          <w:rFonts w:ascii="Arial" w:cs="Arial" w:eastAsia="Arial" w:hAnsi="Arial"/>
          <w:sz w:val="21"/>
          <w:szCs w:val="21"/>
          <w:color w:val="auto"/>
        </w:rPr>
        <w:t xml:space="preserve"> in the case of a Tranche 2 Borrowing, the requested Borrowing shall be an ABR Borrowing. If no Interest Period is specified with respect to any requested LIBOR Borrowing, then the Company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158"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Swingline Loans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tabs>
          <w:tab w:leader="none" w:pos="186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each Swingline Lender may, in its sole discretion, make Swingline Loans to the Company from time to time during the Availability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thereto, (i) the aggregate principal amount of the Swingline Loans of any Swingline Lender will not exceed its Swingline Commitment, (ii) the Swingline Exposure will not exceed the Swingline Sublimit, (iii) no Lender’s Credit Exposure will exceed its Tranche 1 Commitment, (iv) the Total Tranche 1 Credit Exposure will not exceed the Total Tranche 1 Commitments and (v) in the event the Maturity Date shall have been extended as provided in </w:t>
      </w:r>
      <w:r>
        <w:rPr>
          <w:rFonts w:ascii="Arial" w:cs="Arial" w:eastAsia="Arial" w:hAnsi="Arial"/>
          <w:sz w:val="19"/>
          <w:szCs w:val="19"/>
          <w:u w:val="single" w:color="auto"/>
          <w:color w:val="auto"/>
        </w:rPr>
        <w:t>Section 2.19</w:t>
      </w:r>
      <w:r>
        <w:rPr>
          <w:rFonts w:ascii="Arial" w:cs="Arial" w:eastAsia="Arial" w:hAnsi="Arial"/>
          <w:sz w:val="19"/>
          <w:szCs w:val="19"/>
          <w:color w:val="auto"/>
        </w:rPr>
        <w:t>, the sum of the Swingline Exposure attributable to Swingline Loans maturing after any Existing Maturity Date and the LC Exposure attributable to Letters of Credit expiring after such Existing Maturity Date will not exceed the sum of the Tranche 1 Commitments that shall have been extended to a date after the latest maturity date of such Swingline Loans and the latest expiration date of such Letters of Credit. Within the foregoing limits and subject to the terms and conditions set forth herein, the Company may borrow, prepay and reborrow Swingline Loans. For the avoidance of doubt, any reference in this Agreement to a Swingline Lender’s “Swingline Commitment”, the obligation of any Swingline Lender to make a Swingline Loan being subject to the satisfaction of certain conditions or to a Swingline Lender not being required to fund any Swingline Loan absent the occurrence of certain events (or words of similar import) shall not be deemed to create any obligation of any Swingline Lender to make or fund any Swingline Loan other than in its sole discretion.</w:t>
      </w:r>
    </w:p>
    <w:p>
      <w:pPr>
        <w:spacing w:after="0" w:line="172" w:lineRule="exact"/>
        <w:rPr>
          <w:rFonts w:ascii="Arial" w:cs="Arial" w:eastAsia="Arial" w:hAnsi="Arial"/>
          <w:sz w:val="19"/>
          <w:szCs w:val="19"/>
          <w:color w:val="auto"/>
        </w:rPr>
      </w:pPr>
    </w:p>
    <w:p>
      <w:pPr>
        <w:jc w:val="both"/>
        <w:ind w:left="100" w:right="99" w:firstLine="1301"/>
        <w:spacing w:after="0" w:line="242" w:lineRule="auto"/>
        <w:tabs>
          <w:tab w:leader="none" w:pos="197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To request a Swingline Loan from any Swingline Lender, the Company shall notify the Administrative Agent and such Swingline Lender of such request by telephone or in writing not later than 1:00 p.m., New York City time, on the day of the proposed Swingline Loan. Each such telephonic and written Swingline Borrowing Request shall be irrevocable and shall be made (or, if telephonic, confirmed promptly) by hand delivery or fax to the Administrative Agent and the applicable Swingline Lender of an executed written Swingline Borrowing Request. Each such telephonic and written Swingline Borrowing Request shall specify the Swingline Lender that is requested to provide the requested Swingline Loan, the requested date (which shall be a Business Day) and the amount of the requested Swingline Loan to be made by such Swingline Lender and the location and number of the account of the Company to which funds are to be disbursed or, in the case of any Swingline Loan requested to finance the reimbursement of an LC Disbursement as provided in </w:t>
      </w:r>
      <w:r>
        <w:rPr>
          <w:rFonts w:ascii="Arial" w:cs="Arial" w:eastAsia="Arial" w:hAnsi="Arial"/>
          <w:sz w:val="19"/>
          <w:szCs w:val="19"/>
          <w:u w:val="single" w:color="auto"/>
          <w:color w:val="auto"/>
        </w:rPr>
        <w:t>Section 2.05(f)</w:t>
      </w:r>
      <w:r>
        <w:rPr>
          <w:rFonts w:ascii="Arial" w:cs="Arial" w:eastAsia="Arial" w:hAnsi="Arial"/>
          <w:sz w:val="19"/>
          <w:szCs w:val="19"/>
          <w:color w:val="auto"/>
        </w:rPr>
        <w:t>, the identity of the Issuing Bank that has made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320040</wp:posOffset>
            </wp:positionV>
            <wp:extent cx="5642610" cy="514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3" w:name="page224"/>
    <w:bookmarkEnd w:id="223"/>
    <w:p>
      <w:pPr>
        <w:jc w:val="right"/>
        <w:ind w:right="99"/>
        <w:spacing w:after="0"/>
        <w:rPr>
          <w:sz w:val="20"/>
          <w:szCs w:val="20"/>
          <w:color w:val="auto"/>
        </w:rPr>
      </w:pPr>
      <w:r>
        <w:rPr>
          <w:rFonts w:ascii="Arial" w:cs="Arial" w:eastAsia="Arial" w:hAnsi="Arial"/>
          <w:sz w:val="22"/>
          <w:szCs w:val="22"/>
          <w:color w:val="auto"/>
        </w:rPr>
        <w:t>37</w:t>
      </w:r>
    </w:p>
    <w:p>
      <w:pPr>
        <w:spacing w:after="0" w:line="396" w:lineRule="exact"/>
        <w:rPr>
          <w:sz w:val="20"/>
          <w:szCs w:val="20"/>
          <w:color w:val="auto"/>
        </w:rPr>
      </w:pPr>
    </w:p>
    <w:p>
      <w:pPr>
        <w:jc w:val="both"/>
        <w:ind w:left="100" w:right="99"/>
        <w:spacing w:after="0" w:line="223" w:lineRule="auto"/>
        <w:rPr>
          <w:sz w:val="20"/>
          <w:szCs w:val="20"/>
          <w:color w:val="auto"/>
        </w:rPr>
      </w:pPr>
      <w:r>
        <w:rPr>
          <w:rFonts w:ascii="Arial" w:cs="Arial" w:eastAsia="Arial" w:hAnsi="Arial"/>
          <w:sz w:val="21"/>
          <w:szCs w:val="21"/>
          <w:color w:val="auto"/>
        </w:rPr>
        <w:t>LC Disbursement. Promptly following the receipt of a Swingline Borrowing Request in accordance with this Section, the Administrative Agent shall advise the applicable Swingline Lender of the details thereof. If a Swingline Lender shall have determined, in its sole discretion, to make the Swingline Loan so requested of it, then such Swingline Lender shall make such Swingline Loan available to the Company by means of a wire transfer to the account specified in such Swingline Borrowing Request or to the applicable Issuing Bank, as the case may be, by 4:00 p.m., New York City time, on the requested date of such Swingline Loan.</w:t>
      </w:r>
    </w:p>
    <w:p>
      <w:pPr>
        <w:spacing w:after="0" w:line="158" w:lineRule="exact"/>
        <w:rPr>
          <w:sz w:val="20"/>
          <w:szCs w:val="20"/>
          <w:color w:val="auto"/>
        </w:rPr>
      </w:pPr>
    </w:p>
    <w:p>
      <w:pPr>
        <w:jc w:val="both"/>
        <w:ind w:left="100" w:right="99" w:firstLine="1301"/>
        <w:spacing w:after="0"/>
        <w:tabs>
          <w:tab w:leader="none" w:pos="187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Any Swingline Lender may by written notice given to the Administrative Agent not later than 11:00 a.m., New York City time, on any Business Day require the Tranche 1 Lenders to acquire participations on such Business Day in all or a portion of the outstanding Swingline Loans made by such Swingline Lender. Such notice shall specify the aggregate amount of the Swingline Loans made by such Swingline Lender in which the Tranche 1 Lenders will be required to participate. Promptly upon receipt of such notice, the Administrative Agent will give notice thereof to each Tranche 1 Lender, specifying in such notice such Tranche 1 Lender’s Applicable Percentage of such Swingline Loan or Loans. Each Tranche 1 Lender hereby absolutely and unconditionally agrees to pay, promptly upon receipt of notice as provided above, to the Administrative Agent, for the account of the applicable Swingline Lender, such Tranche 1 Lender’s Applicable Percentage of such Swingline Loan or Loans. Each Tranche 1 Lender acknowledges and agrees that, in making any Swingline Loan, each Swingline Lender shall be entitled to rely, and shall not incur any liability for relying, upon the representation and warranty of the Company deemed made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unless, at least two Business Days prior to the time such Swingline Loan is made, the Required Lenders shall have notified the applicable Swingline Lender (with a copy to the Administrative Agent) in writing that, as a result of one or more events or circumstances described in such notice, one or more of the conditions precedent set forth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4.02(b)</w:t>
      </w:r>
      <w:r>
        <w:rPr>
          <w:rFonts w:ascii="Arial" w:cs="Arial" w:eastAsia="Arial" w:hAnsi="Arial"/>
          <w:sz w:val="19"/>
          <w:szCs w:val="19"/>
          <w:color w:val="auto"/>
        </w:rPr>
        <w:t xml:space="preserve"> would not be satisfied if such Swingline Loan were then made (it being understood and agreed that, in the event any Swingline Lender shall have received any such notice, no Swingline Lender shall have any obligation to make any Swingline Loan until and unless it shall be satisfied that the events and circumstances described in such notice shall have been cured or otherwise shall have ceased to exist). Each Tranche 1 Lender further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Tranche 1 Commitments, and that each such payment shall be made without any offset, abatement, withholding or reduction whatsoever. Each Tranche 1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Loans made by such Tranche 1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Tranche 1 Lenders pursuant to this paragraph), and the Administrative Agent shall promptly remit to the applicable Swingline Lender the amounts so received by it from the Tranche 1 Lenders. The Administrative Agent shall notify the Company of any participations in any Swingline Loan acquired pursuant to this paragraph, and thereafter payments in respect of such Swingline Loan shall be made to the Administrative Agent and not to the applicable Swingline Lender. Any amounts received by any Swingline Lender from the Company (or other Persons on behalf of the Company)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Tranche 1 Lenders that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570230</wp:posOffset>
            </wp:positionV>
            <wp:extent cx="5642610" cy="514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4" w:name="page225"/>
    <w:bookmarkEnd w:id="224"/>
    <w:p>
      <w:pPr>
        <w:jc w:val="right"/>
        <w:ind w:right="99"/>
        <w:spacing w:after="0"/>
        <w:rPr>
          <w:sz w:val="20"/>
          <w:szCs w:val="20"/>
          <w:color w:val="auto"/>
        </w:rPr>
      </w:pPr>
      <w:r>
        <w:rPr>
          <w:rFonts w:ascii="Arial" w:cs="Arial" w:eastAsia="Arial" w:hAnsi="Arial"/>
          <w:sz w:val="22"/>
          <w:szCs w:val="22"/>
          <w:color w:val="auto"/>
        </w:rPr>
        <w:t>38</w:t>
      </w:r>
    </w:p>
    <w:p>
      <w:pPr>
        <w:spacing w:after="0" w:line="396"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22"/>
          <w:szCs w:val="22"/>
          <w:color w:val="auto"/>
        </w:rPr>
        <w:t xml:space="preserve">have made their payments pursuant to this paragraph and to such Swingline Lender, as their interests may appear;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payment so remitted shall be repaid to such Swingline Lender or to the Administrative Agent, as applicable, if and to the extent such payment is required to be refunded to the Company for any reason. The purchase of participations in a Swingline Loan pursuant to this paragraph shall not constitute a Loan and shall not relieve the Company of its obligations to repay such Swingline Loan.</w:t>
      </w:r>
    </w:p>
    <w:p>
      <w:pPr>
        <w:spacing w:after="0" w:line="159" w:lineRule="exact"/>
        <w:rPr>
          <w:sz w:val="20"/>
          <w:szCs w:val="20"/>
          <w:color w:val="auto"/>
        </w:rPr>
      </w:pPr>
    </w:p>
    <w:p>
      <w:pPr>
        <w:jc w:val="both"/>
        <w:ind w:left="100" w:right="99" w:firstLine="1301"/>
        <w:spacing w:after="0" w:line="238" w:lineRule="auto"/>
        <w:tabs>
          <w:tab w:leader="none" w:pos="1932"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In addition to making Swingline Loans pursuant to the foregoing provisions of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without the requirement for a specific request from the Company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 a Swingline Lender may make Swingline Loans to the Company in accordance with the provisions of any agreements between the Company and such Swingline Lender relating to the Company’s deposit, sweep and other accounts at such Swingline Lender and related arrangements and agreements regarding the management and investment of the Company’s cash assets as in effect from time to time (the “</w:t>
      </w:r>
      <w:r>
        <w:rPr>
          <w:rFonts w:ascii="Arial" w:cs="Arial" w:eastAsia="Arial" w:hAnsi="Arial"/>
          <w:sz w:val="19"/>
          <w:szCs w:val="19"/>
          <w:u w:val="single" w:color="auto"/>
          <w:color w:val="auto"/>
        </w:rPr>
        <w:t>Cash Management Agreements</w:t>
      </w:r>
      <w:r>
        <w:rPr>
          <w:rFonts w:ascii="Arial" w:cs="Arial" w:eastAsia="Arial" w:hAnsi="Arial"/>
          <w:sz w:val="19"/>
          <w:szCs w:val="19"/>
          <w:color w:val="auto"/>
        </w:rPr>
        <w:t xml:space="preserve">”) to the extent of the daily aggregate net negative balance in the Company’s accounts which are subject to the provisions of the applicable Cash Management Agreements. Swingline Loans made pursuant to this </w:t>
      </w:r>
      <w:r>
        <w:rPr>
          <w:rFonts w:ascii="Arial" w:cs="Arial" w:eastAsia="Arial" w:hAnsi="Arial"/>
          <w:sz w:val="19"/>
          <w:szCs w:val="19"/>
          <w:u w:val="single" w:color="auto"/>
          <w:color w:val="auto"/>
        </w:rPr>
        <w:t>Section 2.04(d)</w:t>
      </w:r>
      <w:r>
        <w:rPr>
          <w:rFonts w:ascii="Arial" w:cs="Arial" w:eastAsia="Arial" w:hAnsi="Arial"/>
          <w:sz w:val="19"/>
          <w:szCs w:val="19"/>
          <w:color w:val="auto"/>
        </w:rPr>
        <w:t xml:space="preserve"> in accordance with the provisions of the applicable Cash Management Agreements shall (i) be subject to the limitations as to maximum amount set forth in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(ii) not be subject to the limitations as to minimum amount and integral multiples set forth in </w:t>
      </w:r>
      <w:r>
        <w:rPr>
          <w:rFonts w:ascii="Arial" w:cs="Arial" w:eastAsia="Arial" w:hAnsi="Arial"/>
          <w:sz w:val="19"/>
          <w:szCs w:val="19"/>
          <w:u w:val="single" w:color="auto"/>
          <w:color w:val="auto"/>
        </w:rPr>
        <w:t>Section 2.02(c)</w:t>
      </w:r>
      <w:r>
        <w:rPr>
          <w:rFonts w:ascii="Arial" w:cs="Arial" w:eastAsia="Arial" w:hAnsi="Arial"/>
          <w:sz w:val="19"/>
          <w:szCs w:val="19"/>
          <w:color w:val="auto"/>
        </w:rPr>
        <w:t xml:space="preserve">, (iii) be payable by the Company, both as to principal and interest, at the times set forth in the applicable Cash Management Agreements (but in no event later than the Maturity Date), (iv) not be made at any time if the Required Lenders shall have notified the applicable Swingline Lender (with a copy to the Administrative Agent) in writing that, as a result of one or more events or circumstances described in such notice, one or more of the conditions precedent set forth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4.02(b)</w:t>
      </w:r>
      <w:r>
        <w:rPr>
          <w:rFonts w:ascii="Arial" w:cs="Arial" w:eastAsia="Arial" w:hAnsi="Arial"/>
          <w:sz w:val="19"/>
          <w:szCs w:val="19"/>
          <w:color w:val="auto"/>
        </w:rPr>
        <w:t xml:space="preserve"> would not be satisfied if such Swingline Loan were then made (it being understood and agreed that, in the event any Swingline Lender shall have received any such notice, no Swingline Lender shall have any obligation to make any Swingline Loan until and unless it shall be satisfied that the events and circumstances described in such notice shall have been cured or otherwise shall have ceased to exist),</w:t>
      </w:r>
    </w:p>
    <w:p>
      <w:pPr>
        <w:spacing w:after="0" w:line="5" w:lineRule="exact"/>
        <w:rPr>
          <w:rFonts w:ascii="Arial" w:cs="Arial" w:eastAsia="Arial" w:hAnsi="Arial"/>
          <w:sz w:val="19"/>
          <w:szCs w:val="19"/>
          <w:color w:val="auto"/>
        </w:rPr>
      </w:pPr>
    </w:p>
    <w:p>
      <w:pPr>
        <w:jc w:val="both"/>
        <w:ind w:left="100" w:right="99" w:firstLine="5"/>
        <w:spacing w:after="0" w:line="243" w:lineRule="auto"/>
        <w:tabs>
          <w:tab w:leader="none" w:pos="47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if not repaid by the Company in accordance with the provisions of the applicable Cash Management Agreements, be subject to each Tranche 1 Lender’s obligation to purchase participating interests therein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and (vi) except as provided in the foregoing clauses (i) through (v), be subject to all of the terms and conditions of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Each Swingline Lender shall report in writing to the Administrative Agent on the Business Day following the date any Swingline Loan is made pursuant to this </w:t>
      </w:r>
      <w:r>
        <w:rPr>
          <w:rFonts w:ascii="Arial" w:cs="Arial" w:eastAsia="Arial" w:hAnsi="Arial"/>
          <w:sz w:val="19"/>
          <w:szCs w:val="19"/>
          <w:u w:val="single" w:color="auto"/>
          <w:color w:val="auto"/>
        </w:rPr>
        <w:t>Section 2.04(d)</w:t>
      </w:r>
      <w:r>
        <w:rPr>
          <w:rFonts w:ascii="Arial" w:cs="Arial" w:eastAsia="Arial" w:hAnsi="Arial"/>
          <w:sz w:val="19"/>
          <w:szCs w:val="19"/>
          <w:color w:val="auto"/>
        </w:rPr>
        <w:t>, the date and principal amount of such Swingline Loan, the interest rate applicable thereto and such other information as the Administrative Agent shall reasonably request as to such Swingline Loan.</w:t>
      </w:r>
    </w:p>
    <w:p>
      <w:pPr>
        <w:spacing w:after="0" w:line="157" w:lineRule="exact"/>
        <w:rPr>
          <w:rFonts w:ascii="Arial" w:cs="Arial" w:eastAsia="Arial" w:hAnsi="Arial"/>
          <w:sz w:val="19"/>
          <w:szCs w:val="19"/>
          <w:color w:val="auto"/>
        </w:rPr>
      </w:pPr>
    </w:p>
    <w:p>
      <w:pPr>
        <w:jc w:val="both"/>
        <w:ind w:left="100" w:right="99" w:firstLine="1301"/>
        <w:spacing w:after="0" w:line="245" w:lineRule="auto"/>
        <w:tabs>
          <w:tab w:leader="none" w:pos="1879"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From time to time, the Company may by notice to the Administrative Agent and the Lenders designate as additional or replacement Swingline Lenders one or more Lenders or Affiliates of a Lender or Lenders that agree to serve in such capacity as provided below. The acceptance by a Lender or such Affiliate of any appointment as a Swingline Lender hereunder shall be evidenced by a written agreement among the Company, the Administrative Agent, such accepting Lender or Affiliate and, in the case of the replacement of any Swingline Lender (except in the case of a resignation by the replaced Swingline Lender pursuant to </w:t>
      </w:r>
      <w:r>
        <w:rPr>
          <w:rFonts w:ascii="Arial" w:cs="Arial" w:eastAsia="Arial" w:hAnsi="Arial"/>
          <w:sz w:val="19"/>
          <w:szCs w:val="19"/>
          <w:u w:val="single" w:color="auto"/>
          <w:color w:val="auto"/>
        </w:rPr>
        <w:t>Section 2.04(f)</w:t>
      </w:r>
      <w:r>
        <w:rPr>
          <w:rFonts w:ascii="Arial" w:cs="Arial" w:eastAsia="Arial" w:hAnsi="Arial"/>
          <w:sz w:val="19"/>
          <w:szCs w:val="19"/>
          <w:color w:val="auto"/>
        </w:rPr>
        <w:t>), the replaced Swingline Lender, which agreement shall set forth the Swingline Commitment of such Lender or Affiliate, and, from and after the effective date of such agreement, (i) such Lender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313055</wp:posOffset>
            </wp:positionV>
            <wp:extent cx="5642610" cy="514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5" w:name="page226"/>
    <w:bookmarkEnd w:id="225"/>
    <w:p>
      <w:pPr>
        <w:ind w:left="8700"/>
        <w:spacing w:after="0"/>
        <w:rPr>
          <w:sz w:val="20"/>
          <w:szCs w:val="20"/>
          <w:color w:val="auto"/>
        </w:rPr>
      </w:pPr>
      <w:r>
        <w:rPr>
          <w:rFonts w:ascii="Arial" w:cs="Arial" w:eastAsia="Arial" w:hAnsi="Arial"/>
          <w:sz w:val="19"/>
          <w:szCs w:val="19"/>
          <w:color w:val="auto"/>
        </w:rPr>
        <w:t>39</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21"/>
          <w:szCs w:val="21"/>
          <w:color w:val="auto"/>
        </w:rPr>
        <w:t xml:space="preserve">Affiliate shall have all the rights and obligations of a Swingline Lender under this Agreement and the other Loan Documents and (ii) references herein and in the other Loan Documents to the term “Swingline Lender” shall be deemed to include such Lender or Affiliate in its capacity as a Swingline Lender. At the time any replacement of a Swingline Lender shall become effective, the Company shall prepay any outstanding Swingline Loans of the replaced Swingline Lender and pay all unpaid interest accrued for the account of the replaced Swingline Lender pursuant to </w:t>
      </w:r>
      <w:r>
        <w:rPr>
          <w:rFonts w:ascii="Arial" w:cs="Arial" w:eastAsia="Arial" w:hAnsi="Arial"/>
          <w:sz w:val="21"/>
          <w:szCs w:val="21"/>
          <w:u w:val="single" w:color="auto"/>
          <w:color w:val="auto"/>
        </w:rPr>
        <w:t>Section 2.12(c)</w:t>
      </w:r>
      <w:r>
        <w:rPr>
          <w:rFonts w:ascii="Arial" w:cs="Arial" w:eastAsia="Arial" w:hAnsi="Arial"/>
          <w:sz w:val="21"/>
          <w:szCs w:val="21"/>
          <w:color w:val="auto"/>
        </w:rPr>
        <w:t>. After the replacement of any Swingline Lender hereunder, the replaced Swingline Lender shall remain a party hereto and shall continue to have all the rights and obligations of a Swingline Lender under this Agreement with respect to Swingline Loans made by it prior to its replacement, but shall not make additional Swingline Loans.</w:t>
      </w:r>
    </w:p>
    <w:p>
      <w:pPr>
        <w:spacing w:after="0" w:line="163" w:lineRule="exact"/>
        <w:rPr>
          <w:sz w:val="20"/>
          <w:szCs w:val="20"/>
          <w:color w:val="auto"/>
        </w:rPr>
      </w:pPr>
    </w:p>
    <w:p>
      <w:pPr>
        <w:jc w:val="both"/>
        <w:ind w:left="100" w:right="99" w:firstLine="1301"/>
        <w:spacing w:after="0" w:line="257" w:lineRule="auto"/>
        <w:tabs>
          <w:tab w:leader="none" w:pos="190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Subject to the appointment and acceptance of a successor Swingline Lender in accordance with </w:t>
      </w:r>
      <w:r>
        <w:rPr>
          <w:rFonts w:ascii="Arial" w:cs="Arial" w:eastAsia="Arial" w:hAnsi="Arial"/>
          <w:sz w:val="19"/>
          <w:szCs w:val="19"/>
          <w:u w:val="single" w:color="auto"/>
          <w:color w:val="auto"/>
        </w:rPr>
        <w:t>Section 2.04(e)</w:t>
      </w:r>
      <w:r>
        <w:rPr>
          <w:rFonts w:ascii="Arial" w:cs="Arial" w:eastAsia="Arial" w:hAnsi="Arial"/>
          <w:sz w:val="19"/>
          <w:szCs w:val="19"/>
          <w:color w:val="auto"/>
        </w:rPr>
        <w:t xml:space="preserve">, any Swingline Lender may resign as Swingline Lender at any time upon 30 days’ prior written notice to the Administrative Agent, the Company and the Lenders, in which case, such Swingline Lender shall be replaced in accordance with </w:t>
      </w:r>
      <w:r>
        <w:rPr>
          <w:rFonts w:ascii="Arial" w:cs="Arial" w:eastAsia="Arial" w:hAnsi="Arial"/>
          <w:sz w:val="19"/>
          <w:szCs w:val="19"/>
          <w:u w:val="single" w:color="auto"/>
          <w:color w:val="auto"/>
        </w:rPr>
        <w:t>Section 2.04(e)</w:t>
      </w:r>
      <w:r>
        <w:rPr>
          <w:rFonts w:ascii="Arial" w:cs="Arial" w:eastAsia="Arial" w:hAnsi="Arial"/>
          <w:sz w:val="19"/>
          <w:szCs w:val="19"/>
          <w:color w:val="auto"/>
        </w:rPr>
        <w:t>.</w:t>
      </w:r>
    </w:p>
    <w:p>
      <w:pPr>
        <w:spacing w:after="0" w:line="145"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tabs>
          <w:tab w:leader="none" w:pos="1879"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Subject to the terms and conditions set forth herein, the Company may request any Issuing Bank to issue Letters of Credit (or to amend, renew or extend outstanding Letters of Credit) denominated in dollars, for its own account or, so long as the Company is a joint and several co-applicant with respect thereto, for the account of any Subsidiary, in a form reasonably acceptable to the Administrative Agent and the applicable Issuing Bank, at any time and from time to time during the Availability Period (but in any event not after the latest expiration date specified in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In the event of any inconsistency between the terms and conditions of this Agreement and the terms and conditions of any form of letter of credit application or other agreement submitted by the Company to, or entered into by the Company with, any Issuing Bank relating to any Letter of Credit, the terms and conditions of this Agreement shall control. The Company unconditionally and irrevocably agrees that, in connection with any Letter of Credit issued for the account of any Subsidiary as provided in the first sentence of this paragraph or any Existing Letter of Credit issued for the account of any Subsidiary, the Company will be fully responsible for the reimbursement of LC Disbursements, the payment of interest thereon and the payment of fees due under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to the same extent as if it were the sole account party in respect of such Letter of Credit (the Company hereby irrevocably waiving, to the extent permitted by applicable law, any defenses that might otherwise be available to it as a guarantor of the obligations of any Subsidiary that shall be an account party in respect of any such Letter of Credit).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shall not be construed to impose an obligation upon any Issuing Bank to issue any Letter of Credit if any order, judgment or decree of any Governmental Authority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The issuance of Letters of Credit by any Issuing Bank shall be subject to the customary procedures of such Issuing Bank. No Issuing Bank shall be required to issue (but if requested as set forth above, may issue) trade or commercial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450215</wp:posOffset>
            </wp:positionV>
            <wp:extent cx="5642610" cy="514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6" w:name="page227"/>
    <w:bookmarkEnd w:id="226"/>
    <w:p>
      <w:pPr>
        <w:jc w:val="right"/>
        <w:ind w:right="99"/>
        <w:spacing w:after="0"/>
        <w:rPr>
          <w:sz w:val="20"/>
          <w:szCs w:val="20"/>
          <w:color w:val="auto"/>
        </w:rPr>
      </w:pPr>
      <w:r>
        <w:rPr>
          <w:rFonts w:ascii="Arial" w:cs="Arial" w:eastAsia="Arial" w:hAnsi="Arial"/>
          <w:sz w:val="22"/>
          <w:szCs w:val="22"/>
          <w:color w:val="auto"/>
        </w:rPr>
        <w:t>40</w:t>
      </w:r>
    </w:p>
    <w:p>
      <w:pPr>
        <w:spacing w:after="0" w:line="396" w:lineRule="exact"/>
        <w:rPr>
          <w:sz w:val="20"/>
          <w:szCs w:val="20"/>
          <w:color w:val="auto"/>
        </w:rPr>
      </w:pPr>
    </w:p>
    <w:p>
      <w:pPr>
        <w:jc w:val="both"/>
        <w:ind w:left="100" w:right="99" w:firstLine="1301"/>
        <w:spacing w:after="0" w:line="239" w:lineRule="auto"/>
        <w:tabs>
          <w:tab w:leader="none" w:pos="1946"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xml:space="preserve">. To request the issuance of a Letter of Credit (or the amendment, renewal or extension of an outstanding Letter of Credit (other than an automatic renewal or extension permitted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2.05(c)</w:t>
      </w:r>
      <w:r>
        <w:rPr>
          <w:rFonts w:ascii="Arial" w:cs="Arial" w:eastAsia="Arial" w:hAnsi="Arial"/>
          <w:sz w:val="19"/>
          <w:szCs w:val="19"/>
          <w:color w:val="auto"/>
        </w:rPr>
        <w:t xml:space="preserve">)), the Company shall hand deliver or fax (or transmit by electronic communication, if arrangements for doing so have been approved by the recipient) to the applicable Issuing Bank and the Administrative Agent at least five Business Days (or such shorter period as may be agreed by such Issuing Bank) in advance of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the amount of such Letter of Credit, the name and address of the beneficiary thereof and such other information as shall be necessary to enable the applicable Issuing Bank to prepare, amend, renew or extend such Letter of Credit. If requested by the applicable Issuing Bank, the Company also shall submit a letter of credit application on such Issuing Bank’s standard form in connection with such request. A Letter of Credit shall be issued, amended to increase the amount thereof, renewed or extended only if (and upon each issuance, amendment, renewal or extension of any Letter of Credit the Company shall be deemed to represent and warrant that), after giving effect thereto, (i) the LC Exposure attributable to Letters of Credit issued by any Issuing Bank will not exceed the LC Commitment of such Issuing Bank, (ii) the LC Exposure will not exceed the LC Sublimit, (iii) no Lender’s Credit Exposure will exceed its Tranche 1 Commitment, (iv) the Total Tranche 1 Credit Exposure will not exceed the Total Tranche 1 Commitments and (v) in the event the Maturity Date shall have been extended as provided in </w:t>
      </w:r>
      <w:r>
        <w:rPr>
          <w:rFonts w:ascii="Arial" w:cs="Arial" w:eastAsia="Arial" w:hAnsi="Arial"/>
          <w:sz w:val="19"/>
          <w:szCs w:val="19"/>
          <w:u w:val="single" w:color="auto"/>
          <w:color w:val="auto"/>
        </w:rPr>
        <w:t>Section 2.19</w:t>
      </w:r>
      <w:r>
        <w:rPr>
          <w:rFonts w:ascii="Arial" w:cs="Arial" w:eastAsia="Arial" w:hAnsi="Arial"/>
          <w:sz w:val="19"/>
          <w:szCs w:val="19"/>
          <w:color w:val="auto"/>
        </w:rPr>
        <w:t>, the sum of the LC Exposure attributable to Letters of Credit expiring after any Existing Maturity Date and the Swingline Exposure attributable to Swingline Loans maturing after such Existing Maturity Date will not exceed the sum of the Tranche 1 Commitments that shall have been extended to a date after the latest expiration date of such Letters of Credit and the latest maturity date of such Swingline Loans.</w:t>
      </w:r>
    </w:p>
    <w:p>
      <w:pPr>
        <w:spacing w:after="0" w:line="177" w:lineRule="exact"/>
        <w:rPr>
          <w:rFonts w:ascii="Arial" w:cs="Arial" w:eastAsia="Arial" w:hAnsi="Arial"/>
          <w:sz w:val="19"/>
          <w:szCs w:val="19"/>
          <w:color w:val="auto"/>
        </w:rPr>
      </w:pPr>
    </w:p>
    <w:p>
      <w:pPr>
        <w:jc w:val="both"/>
        <w:ind w:left="100" w:right="99" w:firstLine="1301"/>
        <w:spacing w:after="0"/>
        <w:tabs>
          <w:tab w:leader="none" w:pos="1879"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Each Letter of Credit shall expire (or be subject to termination by notice from the applicable Issuing Bank to the beneficiary thereof) at or prior to the close of business on the earlier of (i) the date one year after the date of the issuance of such Letter of Credit (or, in the case of any renewal or extension thereof, one year after such renewal or extension),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Letter of Credit may, upon the request of the Company, include a provision whereby such Letter of Credit shall be renewed automatically for additional consecutive periods of one year or less (subject to clause (ii) below) unless the applicable Issuing Bank notifies the Company and the beneficiary thereof at least 30 days prior to the then-applicable expiration date that such Letter of Credit will not be renewed, and (ii) (A) the date that is five Business Days prior to the Maturity Date or (B) such later date as the Issuing Bank that issues such Letter of Credit may agree to the extent that on the date of the issuance, renewal, amendment or extension of such Letter of Credit, as applicable, such Letter of Credit is cash collateralized in a manner (and in an amount not less than 103% of the face amount of such Letter of Credit) acceptable to such Issuing Bank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 Issuing Bank consents to an expiration date for any Letter of Credit that is after the date referred to in clause (ii)(A) above, the Lenders shall cease to have risk participations therein on the date that is five Business Days prior to the Maturity Date (except to the extent of any LC Disbursement made on or prior to such date or, solely in the event any rule of law or uniform practices to which such Letter of Credit is subject (including Section 3.14 of ISP 98 or any successor publication of the International Chamber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462280</wp:posOffset>
            </wp:positionV>
            <wp:extent cx="5642610" cy="514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7" w:name="page228"/>
    <w:bookmarkEnd w:id="227"/>
    <w:p>
      <w:pPr>
        <w:jc w:val="right"/>
        <w:ind w:right="99"/>
        <w:spacing w:after="0"/>
        <w:rPr>
          <w:sz w:val="20"/>
          <w:szCs w:val="20"/>
          <w:color w:val="auto"/>
        </w:rPr>
      </w:pPr>
      <w:r>
        <w:rPr>
          <w:rFonts w:ascii="Arial" w:cs="Arial" w:eastAsia="Arial" w:hAnsi="Arial"/>
          <w:sz w:val="22"/>
          <w:szCs w:val="22"/>
          <w:color w:val="auto"/>
        </w:rPr>
        <w:t>41</w:t>
      </w:r>
    </w:p>
    <w:p>
      <w:pPr>
        <w:spacing w:after="0" w:line="396" w:lineRule="exact"/>
        <w:rPr>
          <w:sz w:val="20"/>
          <w:szCs w:val="20"/>
          <w:color w:val="auto"/>
        </w:rPr>
      </w:pPr>
    </w:p>
    <w:p>
      <w:pPr>
        <w:jc w:val="both"/>
        <w:ind w:left="100" w:right="99"/>
        <w:spacing w:after="0" w:line="232" w:lineRule="auto"/>
        <w:rPr>
          <w:sz w:val="20"/>
          <w:szCs w:val="20"/>
          <w:color w:val="auto"/>
        </w:rPr>
      </w:pPr>
      <w:r>
        <w:rPr>
          <w:rFonts w:ascii="Arial" w:cs="Arial" w:eastAsia="Arial" w:hAnsi="Arial"/>
          <w:sz w:val="22"/>
          <w:szCs w:val="22"/>
          <w:color w:val="auto"/>
        </w:rPr>
        <w:t>Commerce) permits a drawing to be made under such Letter of Credit after the expiration thereof, after such date).</w:t>
      </w:r>
    </w:p>
    <w:p>
      <w:pPr>
        <w:spacing w:after="0" w:line="159" w:lineRule="exact"/>
        <w:rPr>
          <w:sz w:val="20"/>
          <w:szCs w:val="20"/>
          <w:color w:val="auto"/>
        </w:rPr>
      </w:pPr>
    </w:p>
    <w:p>
      <w:pPr>
        <w:jc w:val="both"/>
        <w:ind w:left="100" w:right="99" w:firstLine="1301"/>
        <w:spacing w:after="0"/>
        <w:tabs>
          <w:tab w:leader="none" w:pos="1864"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Subject to the last proviso in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by the issuance of a Letter of Credit (or an amendment to a Letter of Credit increasing the amount thereof) and without any further action on the part of the applicable Issuing Bank or the Tranche 1 Lenders, the Issuing Bank that is the issuer thereof hereby grants to each Tranche 1 Lender, and each Tranche 1 Lender hereby acquires from such Issuing Bank, a participation in such Letter of Credit equal to such Lender’s Applicable Percentage of the aggregate amount available to be drawn under such Letter of Credit. In consideration and in furtherance of the foregoing, each Tranche 1 Lender hereby absolutely and unconditionally agrees to pay to the Administrative Agent, for the account of such Issuing Bank, such Lender’s Applicable Percentage of each LC Disbursement made by such Issuing Bank and not reimbursed by the Company on the date due as provided in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or of any reimbursement payment required to be refunded to the Company for any reason. Each Tranche 1 Lender acknowledges and agrees that, subject to the last proviso in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(i)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any Default, any reduction or termination of the Tranche 1 Commitments or any </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or other event that under any rule of law or uniform practices to which any Letter of Credit is subject (including Section 3.14 of ISP 98 or any successor publication of the International Chamber of Commerce) permits a drawing to be made under such Letter of Credit after the expiration thereof or of the Tranche 1 Commitments, and (ii) each such payment shall be made without any offset, abatement, withholding or reduction whatsoever. Each Lender further acknowledges and agrees that, in issuing any Letter of Credit (or amending any Letter of Credit to increase the amount thereof), the applicable Issuing Bank shall be entitled to rely, and shall not incur any liability for relying, upon the representation and warranty of the Company deemed made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unless, at least two Business Days prior to the time such Letter of Credit is issued or amended to increase the amount thereof, the Required Lenders shall have notified the applicable Issuing Bank (with a copy to the Administrative Agent) in writing that, as a result of one or more events or circumstances described in such notice, one or more of the conditions precedent set forth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4.02(b)</w:t>
      </w:r>
      <w:r>
        <w:rPr>
          <w:rFonts w:ascii="Arial" w:cs="Arial" w:eastAsia="Arial" w:hAnsi="Arial"/>
          <w:sz w:val="19"/>
          <w:szCs w:val="19"/>
          <w:color w:val="auto"/>
        </w:rPr>
        <w:t xml:space="preserve"> would not be satisfied if such Letter of Credit were then issued or so amended (it being understood and agreed that, in the event any Issuing Bank shall have received any such notice, no Issuing Bank shall have any obligation to issue or so amend any Letter of Credit until and unless it shall be satisfied that the events and circumstances described in such notice shall have been cured or otherwise shall have ceased to exist).</w:t>
      </w:r>
    </w:p>
    <w:p>
      <w:pPr>
        <w:spacing w:after="0" w:line="355" w:lineRule="exact"/>
        <w:rPr>
          <w:rFonts w:ascii="Arial" w:cs="Arial" w:eastAsia="Arial" w:hAnsi="Arial"/>
          <w:sz w:val="19"/>
          <w:szCs w:val="19"/>
          <w:color w:val="auto"/>
        </w:rPr>
      </w:pPr>
    </w:p>
    <w:p>
      <w:pPr>
        <w:jc w:val="both"/>
        <w:ind w:left="100" w:right="99" w:firstLine="1301"/>
        <w:spacing w:after="0" w:line="249" w:lineRule="auto"/>
        <w:tabs>
          <w:tab w:leader="none" w:pos="1879"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Disbursements</w:t>
      </w:r>
      <w:r>
        <w:rPr>
          <w:rFonts w:ascii="Arial" w:cs="Arial" w:eastAsia="Arial" w:hAnsi="Arial"/>
          <w:sz w:val="19"/>
          <w:szCs w:val="19"/>
          <w:color w:val="auto"/>
        </w:rPr>
        <w:t xml:space="preserve">. Each Issuing Bank shall, promptly following its receipt thereof, examine all documents purporting to represent a demand for payment under a Letter of Credit issued by it and shall promptly notify the Administrative Agent and the Company by telephone (confirmed by hand delivery or fax) of such demand for payment and whether such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Company of its obligation to reimburse such LC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8" w:name="page229"/>
    <w:bookmarkEnd w:id="228"/>
    <w:p>
      <w:pPr>
        <w:jc w:val="right"/>
        <w:ind w:right="99"/>
        <w:spacing w:after="0"/>
        <w:rPr>
          <w:sz w:val="20"/>
          <w:szCs w:val="20"/>
          <w:color w:val="auto"/>
        </w:rPr>
      </w:pPr>
      <w:r>
        <w:rPr>
          <w:rFonts w:ascii="Arial" w:cs="Arial" w:eastAsia="Arial" w:hAnsi="Arial"/>
          <w:sz w:val="22"/>
          <w:szCs w:val="22"/>
          <w:color w:val="auto"/>
        </w:rPr>
        <w:t>42</w:t>
      </w:r>
    </w:p>
    <w:p>
      <w:pPr>
        <w:spacing w:after="0" w:line="396" w:lineRule="exact"/>
        <w:rPr>
          <w:sz w:val="20"/>
          <w:szCs w:val="20"/>
          <w:color w:val="auto"/>
        </w:rPr>
      </w:pPr>
    </w:p>
    <w:p>
      <w:pPr>
        <w:jc w:val="both"/>
        <w:ind w:left="100" w:right="99" w:firstLine="1301"/>
        <w:spacing w:after="0"/>
        <w:tabs>
          <w:tab w:leader="none" w:pos="1855"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an Issuing Bank shall make any LC Disbursement in respect of a Letter of Credit, the Company shall reimburse such LC Disbursement by paying to the Administrative Agent an amount equal to such LC Disbursement not later than 1:00 p.m., New York City time, on the date that such LC Disbursement is made, if the Company shall have received notice of such LC Disbursement prior to 11:00 a.m., New York City time, on such date, or, if such notice has not been received by the Company prior to such time on such date, then not later than 1:00 p.m., New York City time, on the Business Day immediately following the day that the Company receives notice of such LC Disbursement;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LC Disbursement is not less than $250,000 (or, in the case of an LC Disbursement to be financed with a Swingline Loan, not less than $100,000), the Company may, subject to the conditions to borrowing set forth herein, request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2.04</w:t>
      </w:r>
      <w:r>
        <w:rPr>
          <w:rFonts w:ascii="Arial" w:cs="Arial" w:eastAsia="Arial" w:hAnsi="Arial"/>
          <w:sz w:val="19"/>
          <w:szCs w:val="19"/>
          <w:color w:val="auto"/>
        </w:rPr>
        <w:t xml:space="preserve"> that such payment be financed with a Tranche 1 ABR Borrowing or a Swingline Loan in an equivalent amount and, to the extent so financed, the Company’s obligation to make such payment shall be discharged and replaced by the resulting Tranche 1 ABR Borrowing or Swingline Loan. If the Company fails to make any such reimbursement payment when due, the Administrative Agent shall notify each Tranche 1 Lender of the applicable LC Disbursement, the amount of the payment then due from the Company in respect thereof and such Lender’s Applicable Percentage thereof, and each Tranche 1 Lender shall pay to the Administrative Agent on the date such notice is received its Applicable Percentage of the payment then due from the Company, in the same manner as provided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Tranche 1 Lenders pursuant to this paragraph), and the Administrative Agent shall promptly pay to the applicable Issuing Bank the amounts so received by it from the Tranche 1 Lenders. Promptly following receipt by the Administrative Agent of any payment from the Company pursuant to this paragraph, the Administrative Agent shall distribute such payment to the applicable Issuing Bank or, to the extent that Tranche 1 Lenders have made payments pursuant to this paragraph to reimburse such Issuing Bank, then to such Tranche 1 Lenders and such Issuing Bank as their interests may appear. Any payment made by a Tranche 1 Lender pursuant to this paragraph to reimburse an Issuing Bank for any LC Disbursement (other than the funding of a Tranche 1 ABR Loan or a Swingline Loan as contemplated above) shall not constitute a Loan and shall not relieve the Company of its obligation to reimburse such LC Disbursement.</w:t>
      </w:r>
    </w:p>
    <w:p>
      <w:pPr>
        <w:spacing w:after="0" w:line="362" w:lineRule="exact"/>
        <w:rPr>
          <w:rFonts w:ascii="Arial" w:cs="Arial" w:eastAsia="Arial" w:hAnsi="Arial"/>
          <w:sz w:val="19"/>
          <w:szCs w:val="19"/>
          <w:color w:val="auto"/>
        </w:rPr>
      </w:pPr>
    </w:p>
    <w:p>
      <w:pPr>
        <w:jc w:val="both"/>
        <w:ind w:left="100" w:right="99" w:firstLine="1301"/>
        <w:spacing w:after="0" w:line="241" w:lineRule="auto"/>
        <w:tabs>
          <w:tab w:leader="none" w:pos="2283"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Company’s obligation to reimburse LC Disbursements as provided in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is absolute, unconditional and irrevocable and shall be performed strictly in accordance with the terms of this Agreement under any and all circumstances whatsoever and irrespective of (i) any lack of validity or enforceability of any Letter of Credit or this Agreement or any other Loan Document,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Tranche 1 Commitments or (v) any other event or circumstance whatsoever, whether or not similar to any of the foregoing, that might, but for the provisions of this paragraph, constitute a legal or equitable discharge of, or provide a right of setoff against, the Company’s obligations hereunder. None of the Administrative Agent, the Lenders, the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458470</wp:posOffset>
            </wp:positionV>
            <wp:extent cx="5642610" cy="514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9" w:name="page230"/>
    <w:bookmarkEnd w:id="229"/>
    <w:p>
      <w:pPr>
        <w:jc w:val="right"/>
        <w:ind w:right="99"/>
        <w:spacing w:after="0"/>
        <w:rPr>
          <w:sz w:val="20"/>
          <w:szCs w:val="20"/>
          <w:color w:val="auto"/>
        </w:rPr>
      </w:pPr>
      <w:r>
        <w:rPr>
          <w:rFonts w:ascii="Arial" w:cs="Arial" w:eastAsia="Arial" w:hAnsi="Arial"/>
          <w:sz w:val="22"/>
          <w:szCs w:val="22"/>
          <w:color w:val="auto"/>
        </w:rPr>
        <w:t>43</w:t>
      </w:r>
    </w:p>
    <w:p>
      <w:pPr>
        <w:spacing w:after="0" w:line="396" w:lineRule="exact"/>
        <w:rPr>
          <w:sz w:val="20"/>
          <w:szCs w:val="20"/>
          <w:color w:val="auto"/>
        </w:rPr>
      </w:pPr>
    </w:p>
    <w:p>
      <w:pPr>
        <w:jc w:val="both"/>
        <w:ind w:left="100" w:right="99"/>
        <w:spacing w:after="0"/>
        <w:rPr>
          <w:sz w:val="20"/>
          <w:szCs w:val="20"/>
          <w:color w:val="auto"/>
        </w:rPr>
      </w:pPr>
      <w:r>
        <w:rPr>
          <w:rFonts w:ascii="Arial" w:cs="Arial" w:eastAsia="Arial" w:hAnsi="Arial"/>
          <w:sz w:val="19"/>
          <w:szCs w:val="19"/>
          <w:color w:val="auto"/>
        </w:rPr>
        <w:t xml:space="preserve">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other act, failure to act or other event or circumstance;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unless a court of competent jurisdiction shall have determined in a final and nonappealable judgment that in making any such determination the applicable Issuing Bank acted with gross negligence or willful misconduct, such Issuing Bank shall be deemed to have exercised care in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or refuse to accept and make payment upon such documents if such documents are not in strict compliance with the terms of such Letter of Credit.</w:t>
      </w:r>
    </w:p>
    <w:p>
      <w:pPr>
        <w:spacing w:after="0" w:line="384" w:lineRule="exact"/>
        <w:rPr>
          <w:sz w:val="20"/>
          <w:szCs w:val="20"/>
          <w:color w:val="auto"/>
        </w:rPr>
      </w:pPr>
    </w:p>
    <w:p>
      <w:pPr>
        <w:jc w:val="both"/>
        <w:ind w:left="100" w:right="99" w:firstLine="1301"/>
        <w:spacing w:after="0" w:line="242" w:lineRule="auto"/>
        <w:tabs>
          <w:tab w:leader="none" w:pos="1986"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 Issuing Bank shall make any LC Disbursement, then, unless the Company shall reimburse such LC Disbursement in full on the date such LC Disbursement is made, the unpaid amount thereof shall bear interest, for each day from and including the date such LC Disbursement is made to but excluding the date that the Company reimburses such LC Disbursement, at the rate per annum then applicable to Tranche 1 ABR Loans and such interest shall be due and payable on the date when such reimbursement is payable;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Company fails to reimburse such LC Disbursement when due pursuant to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then </w:t>
      </w:r>
      <w:r>
        <w:rPr>
          <w:rFonts w:ascii="Arial" w:cs="Arial" w:eastAsia="Arial" w:hAnsi="Arial"/>
          <w:sz w:val="19"/>
          <w:szCs w:val="19"/>
          <w:u w:val="single" w:color="auto"/>
          <w:color w:val="auto"/>
        </w:rPr>
        <w:t>Section 2.12(d)</w:t>
      </w:r>
      <w:r>
        <w:rPr>
          <w:rFonts w:ascii="Arial" w:cs="Arial" w:eastAsia="Arial" w:hAnsi="Arial"/>
          <w:sz w:val="19"/>
          <w:szCs w:val="19"/>
          <w:color w:val="auto"/>
        </w:rPr>
        <w:t xml:space="preserve"> shall apply. Interest accrued pursuant to this paragraph shall be paid to the Administrative Agent, for the account of the applicable Issuing Bank, except that interest accrued on and after the date of payment by any Tranche 1 Lender pursuant to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to reimburse such Issuing Bank shall be paid to the Administrative Agent for the account of such Lender to the extent of such payment, and shall be payable on demand or, if no demand has been made, on the date on which the Company reimburses the applicable LC Disbursement in full.</w:t>
      </w:r>
    </w:p>
    <w:p>
      <w:pPr>
        <w:spacing w:after="0" w:line="161" w:lineRule="exact"/>
        <w:rPr>
          <w:rFonts w:ascii="Arial" w:cs="Arial" w:eastAsia="Arial" w:hAnsi="Arial"/>
          <w:sz w:val="19"/>
          <w:szCs w:val="19"/>
          <w:color w:val="auto"/>
        </w:rPr>
      </w:pPr>
    </w:p>
    <w:p>
      <w:pPr>
        <w:jc w:val="both"/>
        <w:ind w:left="100" w:right="99" w:firstLine="1301"/>
        <w:spacing w:after="0" w:line="245" w:lineRule="auto"/>
        <w:tabs>
          <w:tab w:leader="none" w:pos="1897"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Designation of Additional Issuing Banks.</w:t>
      </w:r>
      <w:r>
        <w:rPr>
          <w:rFonts w:ascii="Arial" w:cs="Arial" w:eastAsia="Arial" w:hAnsi="Arial"/>
          <w:sz w:val="19"/>
          <w:szCs w:val="19"/>
          <w:color w:val="auto"/>
        </w:rPr>
        <w:t xml:space="preserve"> The Company may, at any time and from time to time, with the consent of the Administrative Agent (which consent shall not be unreasonably withheld, delayed or conditioned), designate as additional Issuing Banks one or more Lenders that agree to serve in such capacity as provided below. The acceptance by a Lender of an appointment as an Issuing Bank hereunder shall be evidenced by a written agreement, which shall be in form and substance reasonably satisfactory to the Administrative Agent, executed by the Company, the Administrative Agent and such designated Lender and shall set forth the initial LC Commitment of such designated Issuing Bank and, from and after the effective date of such agreement, (i) such Lender shall have all the rights and obligations of an Issuing Bank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313055</wp:posOffset>
            </wp:positionV>
            <wp:extent cx="5642610" cy="514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0" w:name="page231"/>
    <w:bookmarkEnd w:id="230"/>
    <w:p>
      <w:pPr>
        <w:jc w:val="right"/>
        <w:ind w:right="99"/>
        <w:spacing w:after="0"/>
        <w:rPr>
          <w:sz w:val="20"/>
          <w:szCs w:val="20"/>
          <w:color w:val="auto"/>
        </w:rPr>
      </w:pPr>
      <w:r>
        <w:rPr>
          <w:rFonts w:ascii="Arial" w:cs="Arial" w:eastAsia="Arial" w:hAnsi="Arial"/>
          <w:sz w:val="22"/>
          <w:szCs w:val="22"/>
          <w:color w:val="auto"/>
        </w:rPr>
        <w:t>44</w:t>
      </w:r>
    </w:p>
    <w:p>
      <w:pPr>
        <w:spacing w:after="0" w:line="396" w:lineRule="exact"/>
        <w:rPr>
          <w:sz w:val="20"/>
          <w:szCs w:val="20"/>
          <w:color w:val="auto"/>
        </w:rPr>
      </w:pPr>
    </w:p>
    <w:p>
      <w:pPr>
        <w:jc w:val="both"/>
        <w:ind w:left="100" w:right="99"/>
        <w:spacing w:after="0" w:line="298" w:lineRule="auto"/>
        <w:rPr>
          <w:sz w:val="20"/>
          <w:szCs w:val="20"/>
          <w:color w:val="auto"/>
        </w:rPr>
      </w:pPr>
      <w:r>
        <w:rPr>
          <w:rFonts w:ascii="Arial" w:cs="Arial" w:eastAsia="Arial" w:hAnsi="Arial"/>
          <w:sz w:val="19"/>
          <w:szCs w:val="19"/>
          <w:color w:val="auto"/>
        </w:rPr>
        <w:t>Agreement and (ii) references herein and in the other Loan Documents to the term “Issuing Bank” shall be deemed to include such Lender in its capacity as an issuer of Letters of Credit hereunder.</w:t>
      </w:r>
    </w:p>
    <w:p>
      <w:pPr>
        <w:spacing w:after="0" w:line="106" w:lineRule="exact"/>
        <w:rPr>
          <w:sz w:val="20"/>
          <w:szCs w:val="20"/>
          <w:color w:val="auto"/>
        </w:rPr>
      </w:pPr>
    </w:p>
    <w:p>
      <w:pPr>
        <w:jc w:val="both"/>
        <w:ind w:left="100" w:right="99" w:firstLine="1301"/>
        <w:spacing w:after="0" w:line="242" w:lineRule="auto"/>
        <w:tabs>
          <w:tab w:leader="none" w:pos="1870" w:val="left"/>
        </w:tabs>
        <w:numPr>
          <w:ilvl w:val="1"/>
          <w:numId w:val="145"/>
        </w:numPr>
        <w:rPr>
          <w:rFonts w:ascii="Arial" w:cs="Arial" w:eastAsia="Arial" w:hAnsi="Arial"/>
          <w:sz w:val="19"/>
          <w:szCs w:val="19"/>
          <w:color w:val="auto"/>
        </w:rPr>
      </w:pPr>
      <w:r>
        <w:rPr>
          <w:rFonts w:ascii="Arial" w:cs="Arial" w:eastAsia="Arial" w:hAnsi="Arial"/>
          <w:sz w:val="19"/>
          <w:szCs w:val="19"/>
          <w:u w:val="single" w:color="auto"/>
          <w:color w:val="auto"/>
        </w:rPr>
        <w:t>Termination of an Issuing Bank.</w:t>
      </w:r>
      <w:r>
        <w:rPr>
          <w:rFonts w:ascii="Arial" w:cs="Arial" w:eastAsia="Arial" w:hAnsi="Arial"/>
          <w:sz w:val="19"/>
          <w:szCs w:val="19"/>
          <w:color w:val="auto"/>
        </w:rPr>
        <w:t xml:space="preserve"> The Company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10th Business Day following the date of the delivery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Company shall pay all unpaid fees accrued for the account of the terminated Issuing Bank pursuant to </w:t>
      </w:r>
      <w:r>
        <w:rPr>
          <w:rFonts w:ascii="Arial" w:cs="Arial" w:eastAsia="Arial" w:hAnsi="Arial"/>
          <w:sz w:val="19"/>
          <w:szCs w:val="19"/>
          <w:u w:val="single" w:color="auto"/>
          <w:color w:val="auto"/>
        </w:rPr>
        <w:t>Section 2.11(c)</w:t>
      </w:r>
      <w:r>
        <w:rPr>
          <w:rFonts w:ascii="Arial" w:cs="Arial" w:eastAsia="Arial" w:hAnsi="Arial"/>
          <w:sz w:val="19"/>
          <w:szCs w:val="19"/>
          <w:color w:val="auto"/>
        </w:rPr>
        <w:t>.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65" w:lineRule="exact"/>
        <w:rPr>
          <w:rFonts w:ascii="Arial" w:cs="Arial" w:eastAsia="Arial" w:hAnsi="Arial"/>
          <w:sz w:val="19"/>
          <w:szCs w:val="19"/>
          <w:color w:val="auto"/>
        </w:rPr>
      </w:pPr>
    </w:p>
    <w:p>
      <w:pPr>
        <w:jc w:val="both"/>
        <w:ind w:left="100" w:right="99" w:firstLine="1301"/>
        <w:spacing w:after="0" w:line="239" w:lineRule="auto"/>
        <w:tabs>
          <w:tab w:leader="none" w:pos="1905" w:val="left"/>
        </w:tabs>
        <w:numPr>
          <w:ilvl w:val="1"/>
          <w:numId w:val="145"/>
        </w:numPr>
        <w:rPr>
          <w:rFonts w:ascii="Arial" w:cs="Arial" w:eastAsia="Arial" w:hAnsi="Arial"/>
          <w:sz w:val="19"/>
          <w:szCs w:val="19"/>
          <w:color w:val="auto"/>
        </w:rPr>
      </w:pPr>
      <w:r>
        <w:rPr>
          <w:rFonts w:ascii="Arial" w:cs="Arial" w:eastAsia="Arial" w:hAnsi="Arial"/>
          <w:sz w:val="19"/>
          <w:szCs w:val="19"/>
          <w:u w:val="single" w:color="auto"/>
          <w:color w:val="auto"/>
        </w:rPr>
        <w:t>Issuing Bank Reports to the Administrative Agent</w:t>
      </w:r>
      <w:r>
        <w:rPr>
          <w:rFonts w:ascii="Arial" w:cs="Arial" w:eastAsia="Arial" w:hAnsi="Arial"/>
          <w:sz w:val="19"/>
          <w:szCs w:val="19"/>
          <w:color w:val="auto"/>
        </w:rPr>
        <w:t xml:space="preserve">. Unless otherwise agreed by the Administrative Agent, each Issuing Bank shall, in addition to its notification obligations set forth elsewhere in this </w:t>
      </w:r>
      <w:r>
        <w:rPr>
          <w:rFonts w:ascii="Arial" w:cs="Arial" w:eastAsia="Arial" w:hAnsi="Arial"/>
          <w:sz w:val="19"/>
          <w:szCs w:val="19"/>
          <w:u w:val="single" w:color="auto"/>
          <w:color w:val="auto"/>
        </w:rPr>
        <w:t>Section 2.05</w:t>
      </w:r>
      <w:r>
        <w:rPr>
          <w:rFonts w:ascii="Arial" w:cs="Arial" w:eastAsia="Arial" w:hAnsi="Arial"/>
          <w:sz w:val="19"/>
          <w:szCs w:val="19"/>
          <w:color w:val="auto"/>
        </w:rPr>
        <w:t>,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w:t>
      </w:r>
    </w:p>
    <w:p>
      <w:pPr>
        <w:spacing w:after="0" w:line="3" w:lineRule="exact"/>
        <w:rPr>
          <w:rFonts w:ascii="Arial" w:cs="Arial" w:eastAsia="Arial" w:hAnsi="Arial"/>
          <w:sz w:val="19"/>
          <w:szCs w:val="19"/>
          <w:color w:val="auto"/>
        </w:rPr>
      </w:pPr>
    </w:p>
    <w:p>
      <w:pPr>
        <w:jc w:val="both"/>
        <w:ind w:left="100" w:right="99" w:firstLine="5"/>
        <w:spacing w:after="0" w:line="251" w:lineRule="auto"/>
        <w:tabs>
          <w:tab w:leader="none" w:pos="48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on any Business Day on which the Company fails to reimburse an LC Disbursement required to be reimbursed to such Issuing Bank on such day, the date of such failure and the amount of such LC Disbursement and (iv) on any other Business Day, such other information as the Administrative Agent shall reasonably request as to the Letters of Credit issued by such Issuing Bank.</w:t>
      </w:r>
    </w:p>
    <w:p>
      <w:pPr>
        <w:spacing w:after="0" w:line="148" w:lineRule="exact"/>
        <w:rPr>
          <w:rFonts w:ascii="Arial" w:cs="Arial" w:eastAsia="Arial" w:hAnsi="Arial"/>
          <w:sz w:val="19"/>
          <w:szCs w:val="19"/>
          <w:color w:val="auto"/>
        </w:rPr>
      </w:pPr>
    </w:p>
    <w:p>
      <w:pPr>
        <w:jc w:val="both"/>
        <w:ind w:left="100" w:right="99" w:firstLine="1301"/>
        <w:spacing w:after="0" w:line="249" w:lineRule="auto"/>
        <w:tabs>
          <w:tab w:leader="none" w:pos="1816" w:val="left"/>
        </w:tabs>
        <w:numPr>
          <w:ilvl w:val="1"/>
          <w:numId w:val="146"/>
        </w:numPr>
        <w:rPr>
          <w:rFonts w:ascii="Arial" w:cs="Arial" w:eastAsia="Arial" w:hAnsi="Arial"/>
          <w:sz w:val="19"/>
          <w:szCs w:val="19"/>
          <w:color w:val="auto"/>
        </w:rPr>
      </w:pPr>
      <w:r>
        <w:rPr>
          <w:rFonts w:ascii="Arial" w:cs="Arial" w:eastAsia="Arial" w:hAnsi="Arial"/>
          <w:sz w:val="19"/>
          <w:szCs w:val="19"/>
          <w:u w:val="single" w:color="auto"/>
          <w:color w:val="auto"/>
        </w:rPr>
        <w:t>LC Exposure Determination</w:t>
      </w:r>
      <w:r>
        <w:rPr>
          <w:rFonts w:ascii="Arial" w:cs="Arial" w:eastAsia="Arial" w:hAnsi="Arial"/>
          <w:sz w:val="19"/>
          <w:szCs w:val="19"/>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w:t>
      </w:r>
    </w:p>
    <w:p>
      <w:pPr>
        <w:spacing w:after="0" w:line="152" w:lineRule="exact"/>
        <w:rPr>
          <w:rFonts w:ascii="Arial" w:cs="Arial" w:eastAsia="Arial" w:hAnsi="Arial"/>
          <w:sz w:val="19"/>
          <w:szCs w:val="19"/>
          <w:color w:val="auto"/>
        </w:rPr>
      </w:pPr>
    </w:p>
    <w:p>
      <w:pPr>
        <w:jc w:val="both"/>
        <w:ind w:left="100" w:right="99" w:firstLine="1301"/>
        <w:spacing w:after="0" w:line="249" w:lineRule="auto"/>
        <w:tabs>
          <w:tab w:leader="none" w:pos="1978" w:val="left"/>
        </w:tabs>
        <w:numPr>
          <w:ilvl w:val="1"/>
          <w:numId w:val="146"/>
        </w:numPr>
        <w:rPr>
          <w:rFonts w:ascii="Arial" w:cs="Arial" w:eastAsia="Arial" w:hAnsi="Arial"/>
          <w:sz w:val="19"/>
          <w:szCs w:val="19"/>
          <w:color w:val="auto"/>
        </w:rPr>
      </w:pPr>
      <w:r>
        <w:rPr>
          <w:rFonts w:ascii="Arial" w:cs="Arial" w:eastAsia="Arial" w:hAnsi="Arial"/>
          <w:sz w:val="19"/>
          <w:szCs w:val="19"/>
          <w:u w:val="single" w:color="auto"/>
          <w:color w:val="auto"/>
        </w:rPr>
        <w:t>Existing Letters of Credit</w:t>
      </w:r>
      <w:r>
        <w:rPr>
          <w:rFonts w:ascii="Arial" w:cs="Arial" w:eastAsia="Arial" w:hAnsi="Arial"/>
          <w:sz w:val="19"/>
          <w:szCs w:val="19"/>
          <w:color w:val="auto"/>
        </w:rPr>
        <w:t xml:space="preserve">. Each Existing Letter of Credit shall be deemed (in the case of any Existing Letter of Credit referred to in clause (b) of the definition of such term, on the PNG Acquisition Closing Date), for all purposes of this Agreement (including </w:t>
      </w:r>
      <w:r>
        <w:rPr>
          <w:rFonts w:ascii="Arial" w:cs="Arial" w:eastAsia="Arial" w:hAnsi="Arial"/>
          <w:sz w:val="19"/>
          <w:szCs w:val="19"/>
          <w:u w:val="single" w:color="auto"/>
          <w:color w:val="auto"/>
        </w:rPr>
        <w:t>Sections 2.05(d)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2.05(f)</w:t>
      </w:r>
      <w:r>
        <w:rPr>
          <w:rFonts w:ascii="Arial" w:cs="Arial" w:eastAsia="Arial" w:hAnsi="Arial"/>
          <w:sz w:val="19"/>
          <w:szCs w:val="19"/>
          <w:color w:val="auto"/>
        </w:rPr>
        <w:t>), to be a Letter of Credit issued hereunder and the Company shall be deemed to be the applicant and account party for each Existing Letter of Credit. It is understood and agreed that, unless such Person shall have become an Issuing Bank hereunder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1" w:name="page232"/>
    <w:bookmarkEnd w:id="231"/>
    <w:p>
      <w:pPr>
        <w:ind w:left="8700"/>
        <w:spacing w:after="0"/>
        <w:rPr>
          <w:sz w:val="20"/>
          <w:szCs w:val="20"/>
          <w:color w:val="auto"/>
        </w:rPr>
      </w:pPr>
      <w:r>
        <w:rPr>
          <w:rFonts w:ascii="Arial" w:cs="Arial" w:eastAsia="Arial" w:hAnsi="Arial"/>
          <w:sz w:val="19"/>
          <w:szCs w:val="19"/>
          <w:color w:val="auto"/>
        </w:rPr>
        <w:t>45</w:t>
      </w:r>
    </w:p>
    <w:p>
      <w:pPr>
        <w:spacing w:after="0" w:line="200" w:lineRule="exact"/>
        <w:rPr>
          <w:sz w:val="20"/>
          <w:szCs w:val="20"/>
          <w:color w:val="auto"/>
        </w:rPr>
      </w:pPr>
    </w:p>
    <w:p>
      <w:pPr>
        <w:spacing w:after="0" w:line="231" w:lineRule="exact"/>
        <w:rPr>
          <w:sz w:val="20"/>
          <w:szCs w:val="20"/>
          <w:color w:val="auto"/>
        </w:rPr>
      </w:pPr>
    </w:p>
    <w:p>
      <w:pPr>
        <w:ind w:left="100" w:right="99"/>
        <w:spacing w:after="0" w:line="232" w:lineRule="auto"/>
        <w:rPr>
          <w:sz w:val="20"/>
          <w:szCs w:val="20"/>
          <w:color w:val="auto"/>
        </w:rPr>
      </w:pPr>
      <w:r>
        <w:rPr>
          <w:rFonts w:ascii="Arial" w:cs="Arial" w:eastAsia="Arial" w:hAnsi="Arial"/>
          <w:sz w:val="22"/>
          <w:szCs w:val="22"/>
          <w:u w:val="single" w:color="auto"/>
          <w:color w:val="auto"/>
        </w:rPr>
        <w:t>Section 2.05(i)</w:t>
      </w:r>
      <w:r>
        <w:rPr>
          <w:rFonts w:ascii="Arial" w:cs="Arial" w:eastAsia="Arial" w:hAnsi="Arial"/>
          <w:sz w:val="22"/>
          <w:szCs w:val="22"/>
          <w:color w:val="auto"/>
        </w:rPr>
        <w:t>, no Existing Letter of Credit Issuing Bank shall, or shall have any obligation to, issue any Letter of Credit.</w:t>
      </w:r>
    </w:p>
    <w:p>
      <w:pPr>
        <w:spacing w:after="0" w:line="159" w:lineRule="exact"/>
        <w:rPr>
          <w:sz w:val="20"/>
          <w:szCs w:val="20"/>
          <w:color w:val="auto"/>
        </w:rPr>
      </w:pPr>
    </w:p>
    <w:p>
      <w:pPr>
        <w:jc w:val="both"/>
        <w:ind w:left="100" w:right="99" w:firstLine="1301"/>
        <w:spacing w:after="0"/>
        <w:tabs>
          <w:tab w:leader="none" w:pos="1864"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xml:space="preserve">. If any Event of Default shall occur and be continuing, on the Business Day that the Company receives notice from the Administrative Agent or the Required Lenders (or, if the maturity of the Loans has been accelerated, Lenders with LC Exposures representing greater than 50% of the total LC Exposure) demanding the deposit of cash collateral pursuant to this paragraph, the Company shall deposit in an account with the Administrative Agent, in the name of the Administrative Agent and for the benefit of the Lenders and the Issuing Banks, an amount in dollars equal to the LC Exposure as of such date, plus any accrued and unpaid interest and fees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Company described in </w:t>
      </w:r>
      <w:r>
        <w:rPr>
          <w:rFonts w:ascii="Arial" w:cs="Arial" w:eastAsia="Arial" w:hAnsi="Arial"/>
          <w:sz w:val="19"/>
          <w:szCs w:val="19"/>
          <w:u w:val="single" w:color="auto"/>
          <w:color w:val="auto"/>
        </w:rPr>
        <w:t>Section 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7.01(i)</w:t>
      </w:r>
      <w:r>
        <w:rPr>
          <w:rFonts w:ascii="Arial" w:cs="Arial" w:eastAsia="Arial" w:hAnsi="Arial"/>
          <w:sz w:val="19"/>
          <w:szCs w:val="19"/>
          <w:color w:val="auto"/>
        </w:rPr>
        <w:t xml:space="preserve">. The Company shall also deposit cash collateral in accordance with this paragraph as and to the extent required by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Each such deposit shall be held by the Administrative Agent as collateral for the payment and performance of the obligations of the Company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Company for the LC Exposure at such time or, if the maturity of the Loans has been accelerated (but subject to the consent of (A) Lenders with LC Exposures representing greater than 50% of the total LC Exposure and (B) in the case of any such application at a time when any Tranche 1 Lender is a Defaulting Lender (but only if, after giving effect thereto, the remaining cash collateral shall be less than the aggregate LC Exposure of all Tranche 1 Lenders that are Defaulting Lenders), the consent of each Issuing Bank), be applied to satisfy other obligations of the Company under this Agreement. If the Company is required to provide an amount of cash collateral hereunder as a result of the occurrence of an Event of Default, such amount (to the extent not applied as aforesaid) shall be returned to the Company within three Business Days after all Events of Default have been cured or waived. If the Company is required to provide an amount of cash collateral hereunder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such amount (to the extent not applied as aforesaid) shall be returned to the Company to the extent that the applicable excess referred to in such Section shall have been eliminated and no Event of Default shall have occurred and be continuing. If the Company provides an amount of cash collateral hereunder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 such amount (to the extent not applied as aforesaid) shall be returned to the Company, upon request of the Company, to the extent that, after giving effect to such return, no Issuing Bank shall have any exposure in respect of any outstanding Letter of Credit that is not fully covered by the Tranche 1 Commitments of the Non-Defaulting Lenders and/or the remaining cash collateral and no Default shall have occurred 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431800</wp:posOffset>
            </wp:positionV>
            <wp:extent cx="5642610" cy="514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2" w:name="page233"/>
    <w:bookmarkEnd w:id="232"/>
    <w:p>
      <w:pPr>
        <w:jc w:val="right"/>
        <w:ind w:right="99"/>
        <w:spacing w:after="0"/>
        <w:rPr>
          <w:sz w:val="20"/>
          <w:szCs w:val="20"/>
          <w:color w:val="auto"/>
        </w:rPr>
      </w:pPr>
      <w:r>
        <w:rPr>
          <w:rFonts w:ascii="Arial" w:cs="Arial" w:eastAsia="Arial" w:hAnsi="Arial"/>
          <w:sz w:val="22"/>
          <w:szCs w:val="22"/>
          <w:color w:val="auto"/>
        </w:rPr>
        <w:t>46</w:t>
      </w:r>
    </w:p>
    <w:p>
      <w:pPr>
        <w:spacing w:after="0" w:line="180"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Funding of Borrowings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tabs>
          <w:tab w:leader="none" w:pos="189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of immediately available funds by 1:00 p.m., New York City time (or, in the case of Tranche 2 Loans to be made on the PNG Acquisition Closing Date, such earlier time on such date as may be specified by the Administrative Agent to the Tranche 2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time shall be not less than two hours after the time the Tranche 2 Lenders shall have been advised by the Administrative Agent of its receipt of a Borrowing Request with respect to Tranche 2 Loans), to the account of the Administrative Agent most recently designated by it for such purpose by notice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to the extent any Tranche 1 Lender would not have been required to make a Tranche 1 Loan but for the parenthetical clause set forth in clause (a)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w:t>
      </w:r>
      <w:r>
        <w:rPr>
          <w:rFonts w:ascii="Arial" w:cs="Arial" w:eastAsia="Arial" w:hAnsi="Arial"/>
          <w:sz w:val="19"/>
          <w:szCs w:val="19"/>
          <w:color w:val="auto"/>
        </w:rPr>
        <w:t xml:space="preserve">, the obligation of such Tranche 1 Lender to actually wire transfer immediately available funds with respect to such Tranche 1 Loan shall be net of any portion of the prepayment of Tranche 1 Loans referred to in such parenthetical clause that would be applied to the Tranche 1 Loans of such Tranche 1 Lender, (ii) the obligation of any Tranche 1 Lender to actually wire transfer immediately available funds with respect to its portion of the True-Up Borrowing shall be subject to the penultimate sentence of </w:t>
      </w:r>
      <w:r>
        <w:rPr>
          <w:rFonts w:ascii="Arial" w:cs="Arial" w:eastAsia="Arial" w:hAnsi="Arial"/>
          <w:sz w:val="19"/>
          <w:szCs w:val="19"/>
          <w:u w:val="single" w:color="auto"/>
          <w:color w:val="auto"/>
        </w:rPr>
        <w:t>Section 2.21(b)</w:t>
      </w:r>
      <w:r>
        <w:rPr>
          <w:rFonts w:ascii="Arial" w:cs="Arial" w:eastAsia="Arial" w:hAnsi="Arial"/>
          <w:sz w:val="19"/>
          <w:szCs w:val="19"/>
          <w:color w:val="auto"/>
        </w:rPr>
        <w:t xml:space="preserve"> and (iii) Swingline Loans shall be made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The Administrative Agent will make such Loans available to the Company by promptly remitting the amounts so received, in like funds, to the account designated by the Company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Tranche 1 ABR Loans made to finance the reimbursement of an LC Disbursement as provided in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shall be remitted by the Administrative Agent to the applicable Issuing Bank specified in the applicable Borrowing Request.</w:t>
      </w:r>
    </w:p>
    <w:p>
      <w:pPr>
        <w:spacing w:after="0" w:line="168" w:lineRule="exact"/>
        <w:rPr>
          <w:rFonts w:ascii="Arial" w:cs="Arial" w:eastAsia="Arial" w:hAnsi="Arial"/>
          <w:sz w:val="19"/>
          <w:szCs w:val="19"/>
          <w:color w:val="auto"/>
        </w:rPr>
      </w:pPr>
    </w:p>
    <w:p>
      <w:pPr>
        <w:jc w:val="both"/>
        <w:ind w:left="100" w:right="99" w:firstLine="1301"/>
        <w:spacing w:after="0"/>
        <w:tabs>
          <w:tab w:leader="none" w:pos="1905"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and may, in reliance on such assumption, make available to the Company a corresponding amount. In such event, if a Lender has not in fact made its share of the applicable Borrowing available to the Administrative Agent, then the applicable Lender and the Company severally agree to pay to the Administrative Agent forthwith on demand such corresponding amount with interest thereon, for each day from and including the date such amount is made available to the Company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or (ii) in the case of a payment to be made by the Company, the interest rate applicable to Tranche 1 ABR Loans. If the Company and such Lender shall pay such interest to the Administrative Agent for the same or an overlapping period, the Administrative Agent shall promptly remit to the Company the amount of such interest paid by the Company for such period. If such Lender pays such amount to the Administrative Agent, then such amount shall constitute such Lender’s Loan included in such Borrowing. Any payment by the Company shall be without prejudice to any claim the Company may have against a Lender that shall have failed to make such payment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323850</wp:posOffset>
            </wp:positionV>
            <wp:extent cx="5642610" cy="514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3" w:name="page234"/>
    <w:bookmarkEnd w:id="233"/>
    <w:p>
      <w:pPr>
        <w:jc w:val="right"/>
        <w:ind w:right="99"/>
        <w:spacing w:after="0"/>
        <w:rPr>
          <w:sz w:val="20"/>
          <w:szCs w:val="20"/>
          <w:color w:val="auto"/>
        </w:rPr>
      </w:pPr>
      <w:r>
        <w:rPr>
          <w:rFonts w:ascii="Arial" w:cs="Arial" w:eastAsia="Arial" w:hAnsi="Arial"/>
          <w:sz w:val="22"/>
          <w:szCs w:val="22"/>
          <w:color w:val="auto"/>
        </w:rPr>
        <w:t>47</w:t>
      </w:r>
    </w:p>
    <w:p>
      <w:pPr>
        <w:spacing w:after="0" w:line="180"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Interest Elections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line="245" w:lineRule="auto"/>
        <w:tabs>
          <w:tab w:leader="none" w:pos="200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Each Borrowing initially shall be of the Type and, in the case of a LIBOR Borrowing, shall have an initial Interest Period as specified in the applicable Borrowing Request or as otherwise provided in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Thereafter, the Company may elect to convert such Borrowing to a Borrowing of a different Type or to continue such Borrowing and, in the case of a LIBOR Borrowing, may elect Interest Periods therefor, all as provided in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The Company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not apply to Swingline Loans, which may not be converted or continued.</w:t>
      </w:r>
    </w:p>
    <w:p>
      <w:pPr>
        <w:spacing w:after="0" w:line="153" w:lineRule="exact"/>
        <w:rPr>
          <w:rFonts w:ascii="Arial" w:cs="Arial" w:eastAsia="Arial" w:hAnsi="Arial"/>
          <w:sz w:val="19"/>
          <w:szCs w:val="19"/>
          <w:color w:val="auto"/>
        </w:rPr>
      </w:pPr>
    </w:p>
    <w:p>
      <w:pPr>
        <w:jc w:val="both"/>
        <w:ind w:left="100" w:right="99" w:firstLine="1301"/>
        <w:spacing w:after="0" w:line="246" w:lineRule="auto"/>
        <w:tabs>
          <w:tab w:leader="none" w:pos="190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To make an election pursuant to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the Company shall notify the Administrative Agent of such election by telephone or in writing by the time that a Borrowing Request would be required under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if the Company were requesting a Borrowing of the Type resulting from such election to be made on the effective date of such election. Each such telephonic and written Interest Election Request shall be irrevocable and shall be made (or, if telephonic, confirmed promptly) by hand delivery or fax to the Administrative Agent of an executed written Interest Election Request. Each such telephonic and written Interest Election Request shall specify the following information in compliance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w:t>
      </w:r>
    </w:p>
    <w:p>
      <w:pPr>
        <w:spacing w:after="0" w:line="153" w:lineRule="exact"/>
        <w:rPr>
          <w:sz w:val="20"/>
          <w:szCs w:val="20"/>
          <w:color w:val="auto"/>
        </w:rPr>
      </w:pPr>
    </w:p>
    <w:p>
      <w:pPr>
        <w:jc w:val="both"/>
        <w:ind w:left="760" w:right="99" w:firstLine="641"/>
        <w:spacing w:after="0" w:line="257" w:lineRule="auto"/>
        <w:tabs>
          <w:tab w:leader="none" w:pos="189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44" w:lineRule="exact"/>
        <w:rPr>
          <w:rFonts w:ascii="Arial" w:cs="Arial" w:eastAsia="Arial" w:hAnsi="Arial"/>
          <w:sz w:val="19"/>
          <w:szCs w:val="19"/>
          <w:color w:val="auto"/>
        </w:rPr>
      </w:pPr>
    </w:p>
    <w:p>
      <w:pPr>
        <w:ind w:left="760" w:right="99" w:firstLine="641"/>
        <w:spacing w:after="0" w:line="232" w:lineRule="auto"/>
        <w:tabs>
          <w:tab w:leader="none" w:pos="209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effective date of the election made pursuant to such Interest Election Request, which shall be a Business Day;</w:t>
      </w:r>
    </w:p>
    <w:p>
      <w:pPr>
        <w:spacing w:after="0" w:line="159" w:lineRule="exact"/>
        <w:rPr>
          <w:rFonts w:ascii="Arial" w:cs="Arial" w:eastAsia="Arial" w:hAnsi="Arial"/>
          <w:sz w:val="22"/>
          <w:szCs w:val="22"/>
          <w:color w:val="auto"/>
        </w:rPr>
      </w:pPr>
    </w:p>
    <w:p>
      <w:pPr>
        <w:ind w:left="760" w:right="99" w:firstLine="641"/>
        <w:spacing w:after="0" w:line="232" w:lineRule="auto"/>
        <w:tabs>
          <w:tab w:leader="none" w:pos="211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whether the resulting Borrowing is to be an ABR Borrowing or a LIBOR Borrowing; and</w:t>
      </w:r>
    </w:p>
    <w:p>
      <w:pPr>
        <w:spacing w:after="0" w:line="159" w:lineRule="exact"/>
        <w:rPr>
          <w:rFonts w:ascii="Arial" w:cs="Arial" w:eastAsia="Arial" w:hAnsi="Arial"/>
          <w:sz w:val="22"/>
          <w:szCs w:val="22"/>
          <w:color w:val="auto"/>
        </w:rPr>
      </w:pPr>
    </w:p>
    <w:p>
      <w:pPr>
        <w:jc w:val="both"/>
        <w:ind w:left="760" w:right="99" w:firstLine="641"/>
        <w:spacing w:after="0" w:line="223" w:lineRule="auto"/>
        <w:tabs>
          <w:tab w:leader="none" w:pos="205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if the resulting Borrowing is a LIBOR Borrowing, the Interest Period to be applicable thereto after giving effect to such election, which shall be a period contemplated by the definition of the term “Interest Period”.</w:t>
      </w:r>
    </w:p>
    <w:p>
      <w:pPr>
        <w:spacing w:after="0" w:line="159" w:lineRule="exact"/>
        <w:rPr>
          <w:sz w:val="20"/>
          <w:szCs w:val="20"/>
          <w:color w:val="auto"/>
        </w:rPr>
      </w:pPr>
    </w:p>
    <w:p>
      <w:pPr>
        <w:jc w:val="both"/>
        <w:ind w:left="100" w:right="99"/>
        <w:spacing w:after="0" w:line="223" w:lineRule="auto"/>
        <w:rPr>
          <w:sz w:val="20"/>
          <w:szCs w:val="20"/>
          <w:color w:val="auto"/>
        </w:rPr>
      </w:pPr>
      <w:r>
        <w:rPr>
          <w:rFonts w:ascii="Arial" w:cs="Arial" w:eastAsia="Arial" w:hAnsi="Arial"/>
          <w:sz w:val="22"/>
          <w:szCs w:val="22"/>
          <w:color w:val="auto"/>
        </w:rPr>
        <w:t>If any such Interest Election Request requests a LIBOR Borrowing but does not specify an Interest Period, then the Company shall be deemed to have selected an Interest Period of one month’s duration.</w:t>
      </w:r>
    </w:p>
    <w:p>
      <w:pPr>
        <w:spacing w:after="0" w:line="159" w:lineRule="exact"/>
        <w:rPr>
          <w:sz w:val="20"/>
          <w:szCs w:val="20"/>
          <w:color w:val="auto"/>
        </w:rPr>
      </w:pPr>
    </w:p>
    <w:p>
      <w:pPr>
        <w:jc w:val="both"/>
        <w:ind w:left="100" w:right="99" w:firstLine="1301"/>
        <w:spacing w:after="0" w:line="234" w:lineRule="auto"/>
        <w:tabs>
          <w:tab w:leader="none" w:pos="1933" w:val="left"/>
        </w:tabs>
        <w:numPr>
          <w:ilvl w:val="0"/>
          <w:numId w:val="151"/>
        </w:numPr>
        <w:rPr>
          <w:rFonts w:ascii="Arial" w:cs="Arial" w:eastAsia="Arial" w:hAnsi="Arial"/>
          <w:sz w:val="21"/>
          <w:szCs w:val="21"/>
          <w:color w:val="auto"/>
        </w:rPr>
      </w:pPr>
      <w:r>
        <w:rPr>
          <w:rFonts w:ascii="Arial" w:cs="Arial" w:eastAsia="Arial" w:hAnsi="Arial"/>
          <w:sz w:val="21"/>
          <w:szCs w:val="21"/>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58" w:lineRule="exact"/>
        <w:rPr>
          <w:rFonts w:ascii="Arial" w:cs="Arial" w:eastAsia="Arial" w:hAnsi="Arial"/>
          <w:sz w:val="21"/>
          <w:szCs w:val="21"/>
          <w:color w:val="auto"/>
        </w:rPr>
      </w:pPr>
    </w:p>
    <w:p>
      <w:pPr>
        <w:ind w:left="100" w:right="99" w:firstLine="1301"/>
        <w:spacing w:after="0" w:line="247" w:lineRule="auto"/>
        <w:tabs>
          <w:tab w:leader="none" w:pos="1878" w:val="left"/>
        </w:tabs>
        <w:numPr>
          <w:ilvl w:val="0"/>
          <w:numId w:val="151"/>
        </w:numPr>
        <w:rPr>
          <w:rFonts w:ascii="Arial" w:cs="Arial" w:eastAsia="Arial" w:hAnsi="Arial"/>
          <w:sz w:val="21"/>
          <w:szCs w:val="21"/>
          <w:color w:val="auto"/>
        </w:rPr>
      </w:pPr>
      <w:r>
        <w:rPr>
          <w:rFonts w:ascii="Arial" w:cs="Arial" w:eastAsia="Arial" w:hAnsi="Arial"/>
          <w:sz w:val="21"/>
          <w:szCs w:val="21"/>
          <w:color w:val="auto"/>
        </w:rPr>
        <w:t>If the Company fails to deliver a timely Interest Election Request with respect to a LIBOR Borrowing prior to the end of the Interest Period applicable thereto,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311150</wp:posOffset>
            </wp:positionV>
            <wp:extent cx="5642610" cy="514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4" w:name="page235"/>
    <w:bookmarkEnd w:id="234"/>
    <w:p>
      <w:pPr>
        <w:jc w:val="right"/>
        <w:ind w:right="99"/>
        <w:spacing w:after="0"/>
        <w:rPr>
          <w:sz w:val="20"/>
          <w:szCs w:val="20"/>
          <w:color w:val="auto"/>
        </w:rPr>
      </w:pPr>
      <w:r>
        <w:rPr>
          <w:rFonts w:ascii="Arial" w:cs="Arial" w:eastAsia="Arial" w:hAnsi="Arial"/>
          <w:sz w:val="22"/>
          <w:szCs w:val="22"/>
          <w:color w:val="auto"/>
        </w:rPr>
        <w:t>48</w:t>
      </w:r>
    </w:p>
    <w:p>
      <w:pPr>
        <w:spacing w:after="0" w:line="396" w:lineRule="exact"/>
        <w:rPr>
          <w:sz w:val="20"/>
          <w:szCs w:val="20"/>
          <w:color w:val="auto"/>
        </w:rPr>
      </w:pPr>
    </w:p>
    <w:p>
      <w:pPr>
        <w:jc w:val="both"/>
        <w:ind w:left="100" w:right="99"/>
        <w:spacing w:after="0" w:line="245" w:lineRule="auto"/>
        <w:rPr>
          <w:sz w:val="20"/>
          <w:szCs w:val="20"/>
          <w:color w:val="auto"/>
        </w:rPr>
      </w:pPr>
      <w:r>
        <w:rPr>
          <w:rFonts w:ascii="Arial" w:cs="Arial" w:eastAsia="Arial" w:hAnsi="Arial"/>
          <w:sz w:val="19"/>
          <w:szCs w:val="19"/>
          <w:color w:val="auto"/>
        </w:rPr>
        <w:t xml:space="preserve">unless such Borrowing is repaid as provided herein, at the end of such Interest Period such Borrowing shall be converted to an ABR Borrowing. Notwithstanding any contrary provision hereof, if an Event of Default under </w:t>
      </w:r>
      <w:r>
        <w:rPr>
          <w:rFonts w:ascii="Arial" w:cs="Arial" w:eastAsia="Arial" w:hAnsi="Arial"/>
          <w:sz w:val="19"/>
          <w:szCs w:val="19"/>
          <w:u w:val="single" w:color="auto"/>
          <w:color w:val="auto"/>
        </w:rPr>
        <w:t>Section 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7.01(i)</w:t>
      </w:r>
      <w:r>
        <w:rPr>
          <w:rFonts w:ascii="Arial" w:cs="Arial" w:eastAsia="Arial" w:hAnsi="Arial"/>
          <w:sz w:val="19"/>
          <w:szCs w:val="19"/>
          <w:color w:val="auto"/>
        </w:rPr>
        <w:t xml:space="preserve"> has occurred and is continuing with respect to the Company, or if any other Event of Default has occurred and is continuing and the Administrative Agent, at the request of the Required Lenders, so notifies the Company of the election to give effect to this sentence on account of such other Event of Default, then, in each such case, so long as such Event of Default is continuing, (i) no outstanding Borrowing may be converted to or continued as a LIBOR Borrowing and (ii) unless repaid, each LIBOR Borrowing shall be converted to an ABR Borrowing at the end of the Interest Period applicable thereto.</w:t>
      </w:r>
    </w:p>
    <w:p>
      <w:pPr>
        <w:spacing w:after="0" w:line="153"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u w:val="single" w:color="auto"/>
          <w:color w:val="auto"/>
        </w:rPr>
        <w:t>Termination and Reduction of Commitments</w:t>
      </w:r>
      <w:r>
        <w:rPr>
          <w:rFonts w:ascii="Arial" w:cs="Arial" w:eastAsia="Arial" w:hAnsi="Arial"/>
          <w:sz w:val="21"/>
          <w:szCs w:val="21"/>
          <w:color w:val="auto"/>
        </w:rPr>
        <w:t>. (a) Unless previously terminated, Commitments shall terminate on the Maturity Date applicable thereto.</w:t>
      </w:r>
    </w:p>
    <w:p>
      <w:pPr>
        <w:spacing w:after="0" w:line="151" w:lineRule="exact"/>
        <w:rPr>
          <w:sz w:val="20"/>
          <w:szCs w:val="20"/>
          <w:color w:val="auto"/>
        </w:rPr>
      </w:pPr>
    </w:p>
    <w:p>
      <w:pPr>
        <w:jc w:val="both"/>
        <w:ind w:left="100" w:right="99" w:firstLine="1301"/>
        <w:spacing w:after="0" w:line="223" w:lineRule="auto"/>
        <w:tabs>
          <w:tab w:leader="none" w:pos="1986" w:val="left"/>
        </w:tabs>
        <w:numPr>
          <w:ilvl w:val="0"/>
          <w:numId w:val="152"/>
        </w:numPr>
        <w:rPr>
          <w:rFonts w:ascii="Arial" w:cs="Arial" w:eastAsia="Arial" w:hAnsi="Arial"/>
          <w:sz w:val="21"/>
          <w:szCs w:val="21"/>
          <w:color w:val="auto"/>
        </w:rPr>
      </w:pPr>
      <w:r>
        <w:rPr>
          <w:rFonts w:ascii="Arial" w:cs="Arial" w:eastAsia="Arial" w:hAnsi="Arial"/>
          <w:sz w:val="21"/>
          <w:szCs w:val="21"/>
          <w:color w:val="auto"/>
        </w:rPr>
        <w:t xml:space="preserve">The Company may at any time terminate, or from time to time permanently reduce, the Commitments of any Class;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each reduction of the Commitments of a Class shall be in an amount that is an integral multiple of $1,000,000 and not less than $5,000,000 and (ii) the Company shall not terminate or reduce the Tranche 1 Commitments if, after giving effect to any concurrent prepayment of the Loans in accordance with </w:t>
      </w:r>
      <w:r>
        <w:rPr>
          <w:rFonts w:ascii="Arial" w:cs="Arial" w:eastAsia="Arial" w:hAnsi="Arial"/>
          <w:sz w:val="21"/>
          <w:szCs w:val="21"/>
          <w:u w:val="single" w:color="auto"/>
          <w:color w:val="auto"/>
        </w:rPr>
        <w:t>Section 2.10</w:t>
      </w:r>
      <w:r>
        <w:rPr>
          <w:rFonts w:ascii="Arial" w:cs="Arial" w:eastAsia="Arial" w:hAnsi="Arial"/>
          <w:sz w:val="21"/>
          <w:szCs w:val="21"/>
          <w:color w:val="auto"/>
        </w:rPr>
        <w:t>, (A) the Credit Exposure of any Lender would exceed its Tranche 1 Commitment or (B) the Total Tranche 1 Credit Exposure would exceed the Total Tranche 1 Commitments.</w:t>
      </w:r>
    </w:p>
    <w:p>
      <w:pPr>
        <w:spacing w:after="0" w:line="158" w:lineRule="exact"/>
        <w:rPr>
          <w:rFonts w:ascii="Arial" w:cs="Arial" w:eastAsia="Arial" w:hAnsi="Arial"/>
          <w:sz w:val="21"/>
          <w:szCs w:val="21"/>
          <w:color w:val="auto"/>
        </w:rPr>
      </w:pPr>
    </w:p>
    <w:p>
      <w:pPr>
        <w:jc w:val="both"/>
        <w:ind w:left="100" w:right="99" w:firstLine="1301"/>
        <w:spacing w:after="0" w:line="242" w:lineRule="auto"/>
        <w:tabs>
          <w:tab w:leader="none" w:pos="187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The Company shall notify the Administrative Agent of any election to terminate or reduce the Commitments under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at least three Business Days prior to the effective date of such termination or reduction (or such shorter period as the Administrative Agent may agree to in writing), specifying the effective date thereof. Promptly following receipt of any such notice, the Administrative Agent shall advise the Lenders of the applicable Class of the contents thereof. Each notice delivered by the Company pursuant to this </w:t>
      </w:r>
      <w:r>
        <w:rPr>
          <w:rFonts w:ascii="Arial" w:cs="Arial" w:eastAsia="Arial" w:hAnsi="Arial"/>
          <w:sz w:val="19"/>
          <w:szCs w:val="19"/>
          <w:u w:val="single" w:color="auto"/>
          <w:color w:val="auto"/>
        </w:rPr>
        <w:t>Section 2.08(c)</w:t>
      </w:r>
      <w:r>
        <w:rPr>
          <w:rFonts w:ascii="Arial" w:cs="Arial" w:eastAsia="Arial" w:hAnsi="Arial"/>
          <w:sz w:val="19"/>
          <w:szCs w:val="19"/>
          <w:color w:val="auto"/>
        </w:rPr>
        <w:t xml:space="preserve">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or reduction of the Commitments of any Class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2.08(b)</w:t>
      </w:r>
      <w:r>
        <w:rPr>
          <w:rFonts w:ascii="Arial" w:cs="Arial" w:eastAsia="Arial" w:hAnsi="Arial"/>
          <w:sz w:val="19"/>
          <w:szCs w:val="19"/>
          <w:color w:val="auto"/>
        </w:rPr>
        <w:t xml:space="preserve"> may state that such notice is conditioned upon the occurrence of one or more events specified therein, in which case such notice may be revoked by the Company (by notice to the Administrative Agent on or prior to the specified effective date) if such condition is not, or is not expected to be, satisfied. Any termination or reduction of the Commitments of any Class shall be permanent. Each reduction of the Commitments of any Class shall be made ratably among the Lenders in accordance with their respective Commitments of such Class.</w:t>
      </w:r>
    </w:p>
    <w:p>
      <w:pPr>
        <w:spacing w:after="0" w:line="161" w:lineRule="exact"/>
        <w:rPr>
          <w:sz w:val="20"/>
          <w:szCs w:val="20"/>
          <w:color w:val="auto"/>
        </w:rPr>
      </w:pPr>
    </w:p>
    <w:p>
      <w:pPr>
        <w:jc w:val="both"/>
        <w:ind w:left="100" w:right="99" w:firstLine="1296"/>
        <w:spacing w:after="0" w:line="249"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 (a) The Company hereby unconditionally promises to pay (i) to the Administrative Agent for the account of each Lender the then unpaid principal amount of each Loan of such Lender on the Maturity Date applicable to such Loan and (ii) to each Swingline Lender the then unpaid principal amount of each Swingline Loan of such Swingline Lender on the Maturity Date or, if any Cash Management Agreement is in effect, on such other date (but in no event later than the Maturity Date) as provided in Section 2.04(d).</w:t>
      </w:r>
    </w:p>
    <w:p>
      <w:pPr>
        <w:spacing w:after="0" w:line="153" w:lineRule="exact"/>
        <w:rPr>
          <w:sz w:val="20"/>
          <w:szCs w:val="20"/>
          <w:color w:val="auto"/>
        </w:rPr>
      </w:pPr>
    </w:p>
    <w:p>
      <w:pPr>
        <w:jc w:val="both"/>
        <w:ind w:left="100" w:right="99" w:firstLine="1301"/>
        <w:spacing w:after="0" w:line="257" w:lineRule="auto"/>
        <w:tabs>
          <w:tab w:leader="none" w:pos="194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The records maintained by the Administrative Agent and the Lenders shall (in the case of the Lenders, to the extent they are not inconsistent with the records maintained by the Administrative Agent pursuant to </w:t>
      </w:r>
      <w:r>
        <w:rPr>
          <w:rFonts w:ascii="Arial" w:cs="Arial" w:eastAsia="Arial" w:hAnsi="Arial"/>
          <w:sz w:val="19"/>
          <w:szCs w:val="19"/>
          <w:u w:val="single" w:color="auto"/>
          <w:color w:val="auto"/>
        </w:rPr>
        <w:t>Section 9.04(b)(iv)</w:t>
      </w:r>
      <w:r>
        <w:rPr>
          <w:rFonts w:ascii="Arial" w:cs="Arial" w:eastAsia="Arial" w:hAnsi="Arial"/>
          <w:sz w:val="19"/>
          <w:szCs w:val="19"/>
          <w:color w:val="auto"/>
        </w:rPr>
        <w:t xml:space="preserve">) be, in the absence of manifest error,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existence and amounts of the obligations of the Company in respect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307340</wp:posOffset>
            </wp:positionV>
            <wp:extent cx="5642610" cy="514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5" w:name="page236"/>
    <w:bookmarkEnd w:id="235"/>
    <w:p>
      <w:pPr>
        <w:jc w:val="right"/>
        <w:ind w:right="99"/>
        <w:spacing w:after="0"/>
        <w:rPr>
          <w:sz w:val="20"/>
          <w:szCs w:val="20"/>
          <w:color w:val="auto"/>
        </w:rPr>
      </w:pPr>
      <w:r>
        <w:rPr>
          <w:rFonts w:ascii="Arial" w:cs="Arial" w:eastAsia="Arial" w:hAnsi="Arial"/>
          <w:sz w:val="22"/>
          <w:szCs w:val="22"/>
          <w:color w:val="auto"/>
        </w:rPr>
        <w:t>49</w:t>
      </w:r>
    </w:p>
    <w:p>
      <w:pPr>
        <w:spacing w:after="0" w:line="396" w:lineRule="exact"/>
        <w:rPr>
          <w:sz w:val="20"/>
          <w:szCs w:val="20"/>
          <w:color w:val="auto"/>
        </w:rPr>
      </w:pPr>
    </w:p>
    <w:p>
      <w:pPr>
        <w:jc w:val="both"/>
        <w:ind w:left="100" w:right="99"/>
        <w:spacing w:after="0" w:line="218" w:lineRule="auto"/>
        <w:rPr>
          <w:sz w:val="20"/>
          <w:szCs w:val="20"/>
          <w:color w:val="auto"/>
        </w:rPr>
      </w:pPr>
      <w:r>
        <w:rPr>
          <w:rFonts w:ascii="Arial" w:cs="Arial" w:eastAsia="Arial" w:hAnsi="Arial"/>
          <w:sz w:val="22"/>
          <w:szCs w:val="22"/>
          <w:color w:val="auto"/>
        </w:rPr>
        <w:t xml:space="preserve">the Loans, LC Disbursements, interest and fees due or accrued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the Administrative Agent or any Lender to maintain such records or any error therein shall not in any manner affect the obligation of the Company to pay any amounts due hereunder in accordance with the terms of this Agreement.</w:t>
      </w:r>
    </w:p>
    <w:p>
      <w:pPr>
        <w:spacing w:after="0" w:line="161" w:lineRule="exact"/>
        <w:rPr>
          <w:sz w:val="20"/>
          <w:szCs w:val="20"/>
          <w:color w:val="auto"/>
        </w:rPr>
      </w:pPr>
    </w:p>
    <w:p>
      <w:pPr>
        <w:jc w:val="both"/>
        <w:ind w:left="100" w:right="99" w:firstLine="1301"/>
        <w:spacing w:after="0" w:line="212" w:lineRule="auto"/>
        <w:tabs>
          <w:tab w:leader="none" w:pos="2001"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Any Lender may request that Loans of any Class made by such Lender be evidenced by a promissory note. In such event, the Company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22"/>
          <w:szCs w:val="22"/>
          <w:u w:val="single" w:color="auto"/>
          <w:color w:val="auto"/>
        </w:rPr>
        <w:t>Section 9.04</w:t>
      </w:r>
      <w:r>
        <w:rPr>
          <w:rFonts w:ascii="Arial" w:cs="Arial" w:eastAsia="Arial" w:hAnsi="Arial"/>
          <w:sz w:val="22"/>
          <w:szCs w:val="22"/>
          <w:color w:val="auto"/>
        </w:rPr>
        <w:t>) be represented by one or more promissory notes in such form payable to the payee named therein and its registered assigns.</w:t>
      </w:r>
    </w:p>
    <w:p>
      <w:pPr>
        <w:spacing w:after="0" w:line="164"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Prepayment of Loans</w:t>
      </w:r>
      <w:r>
        <w:rPr>
          <w:rFonts w:ascii="Arial" w:cs="Arial" w:eastAsia="Arial" w:hAnsi="Arial"/>
          <w:sz w:val="22"/>
          <w:szCs w:val="22"/>
          <w:color w:val="auto"/>
        </w:rPr>
        <w:t xml:space="preserve">. (a) The Company shall have the right at any time and from time to time to prepay any Borrowing in whole or in part, without premium or penalty, subject to the requirements of this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159" w:lineRule="exact"/>
        <w:rPr>
          <w:sz w:val="20"/>
          <w:szCs w:val="20"/>
          <w:color w:val="auto"/>
        </w:rPr>
      </w:pPr>
    </w:p>
    <w:p>
      <w:pPr>
        <w:jc w:val="both"/>
        <w:ind w:left="100" w:right="99" w:firstLine="1301"/>
        <w:spacing w:after="0" w:line="243" w:lineRule="auto"/>
        <w:tabs>
          <w:tab w:leader="none" w:pos="1905" w:val="left"/>
        </w:tabs>
        <w:numPr>
          <w:ilvl w:val="1"/>
          <w:numId w:val="155"/>
        </w:numPr>
        <w:rPr>
          <w:rFonts w:ascii="Arial" w:cs="Arial" w:eastAsia="Arial" w:hAnsi="Arial"/>
          <w:sz w:val="19"/>
          <w:szCs w:val="19"/>
          <w:color w:val="auto"/>
        </w:rPr>
      </w:pPr>
      <w:r>
        <w:rPr>
          <w:rFonts w:ascii="Arial" w:cs="Arial" w:eastAsia="Arial" w:hAnsi="Arial"/>
          <w:sz w:val="19"/>
          <w:szCs w:val="19"/>
          <w:color w:val="auto"/>
        </w:rPr>
        <w:t>If at any time the Total Tranche 1 Credit Exposure exceeds the Total Tranche 1 Commitments, then, the Company shall, without notice or demand, immediately (i) prepay the Tranche 1 Borrowings or Swingline Loans in an aggregate principal amount equal to such excess and</w:t>
      </w:r>
    </w:p>
    <w:p>
      <w:pPr>
        <w:spacing w:after="0" w:line="2" w:lineRule="exact"/>
        <w:rPr>
          <w:rFonts w:ascii="Arial" w:cs="Arial" w:eastAsia="Arial" w:hAnsi="Arial"/>
          <w:sz w:val="19"/>
          <w:szCs w:val="19"/>
          <w:color w:val="auto"/>
        </w:rPr>
      </w:pPr>
    </w:p>
    <w:p>
      <w:pPr>
        <w:jc w:val="both"/>
        <w:ind w:left="100" w:right="99" w:firstLine="5"/>
        <w:spacing w:after="0" w:line="217" w:lineRule="auto"/>
        <w:tabs>
          <w:tab w:leader="none" w:pos="447"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if any excess remains (or would remain) after prepaying all of the Tranche 1 Borrowings and Swingline Loans as a result of an LC Exposure, cash collateralize such excess as provided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2.05(n)</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100" w:right="99" w:firstLine="1301"/>
        <w:spacing w:after="0"/>
        <w:tabs>
          <w:tab w:leader="none" w:pos="2028"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The Company shall notify the Administrative Agent (and, in the case of a prepayment of a Swingline Loan, the applicable Swingline Lender) by telephone (confirmed by hand delivery or fax) or in writing of any prepayment hereunder (i) in the case of prepayment of a LIBOR Borrowing, not later than 11:00 a.m., New York City time, one Business Day before the date of prepayment (or such shorter period as may be agreed to by the Administrative Agent in writing), (ii) in the case of prepayment of an ABR Borrowing (other than a Swingline Loan), not later than 11:00 a.m., New York City time, on the date of prepayment (or such later time as may be agreed to by the Administrative Agent in writing) and (iii) in the case of prepayment of a Swingline Loan, not later than 12:00 p.m., New York City time, on the date of prepayment (or such later time as may be agreed to by the applicable Swingline Lender and the Administrative Agent in writing). Each such notice shall be irrevocable and shall specify the prepayment date, the Borrowing or Borrowings to be prepaid, the principal amount of each such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or reduction of any Commitments as contemplated by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then such notice of prepayment may be revoked by the Company (by notice to the Administrative Agent) if such notice of termination or reduction is revoked in accordance with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Promptly following receipt of any such notice (other than a notice relating solely to Swingline Loans), the Administrative Agent shall advise the Lenders of the applicable Class of the contents thereof. Each partial prepayment of any Borrowing shall be in an amount that would be permitted in the case of an advance of a Borrowing of the same Type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if less, the outstanding principal amount of the Loans). Each prepayment of a Borrowing shall be applied ratably to the Loans included in the prepaid Borrowing. Prepayments shall be accompanied by accrued interest to the extent required by </w:t>
      </w:r>
      <w:r>
        <w:rPr>
          <w:rFonts w:ascii="Arial" w:cs="Arial" w:eastAsia="Arial" w:hAnsi="Arial"/>
          <w:sz w:val="19"/>
          <w:szCs w:val="19"/>
          <w:u w:val="single" w:color="auto"/>
          <w:color w:val="auto"/>
        </w:rPr>
        <w:t>Section 2.12</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455930</wp:posOffset>
            </wp:positionV>
            <wp:extent cx="5642610" cy="514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6" w:name="page237"/>
    <w:bookmarkEnd w:id="236"/>
    <w:p>
      <w:pPr>
        <w:jc w:val="right"/>
        <w:ind w:right="99"/>
        <w:spacing w:after="0"/>
        <w:rPr>
          <w:sz w:val="20"/>
          <w:szCs w:val="20"/>
          <w:color w:val="auto"/>
        </w:rPr>
      </w:pPr>
      <w:r>
        <w:rPr>
          <w:rFonts w:ascii="Arial" w:cs="Arial" w:eastAsia="Arial" w:hAnsi="Arial"/>
          <w:sz w:val="22"/>
          <w:szCs w:val="22"/>
          <w:color w:val="auto"/>
        </w:rPr>
        <w:t>50</w:t>
      </w:r>
    </w:p>
    <w:p>
      <w:pPr>
        <w:spacing w:after="0" w:line="396" w:lineRule="exact"/>
        <w:rPr>
          <w:sz w:val="20"/>
          <w:szCs w:val="20"/>
          <w:color w:val="auto"/>
        </w:rPr>
      </w:pPr>
    </w:p>
    <w:p>
      <w:pPr>
        <w:jc w:val="both"/>
        <w:ind w:left="100" w:right="99" w:firstLine="1296"/>
        <w:spacing w:after="0"/>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Fees</w:t>
      </w:r>
      <w:r>
        <w:rPr>
          <w:rFonts w:ascii="Arial" w:cs="Arial" w:eastAsia="Arial" w:hAnsi="Arial"/>
          <w:sz w:val="19"/>
          <w:szCs w:val="19"/>
          <w:color w:val="auto"/>
        </w:rPr>
        <w:t>. (a) The Company agrees to pay to the Administrative Agent for the account of each Tranche 1 Lender a commitment fee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which shall accrue at the Applicable Rate on the daily maximum aggregate undrawn amount of the Tranche 1 Commitment (including, from and after the Conversion, any Converted Tranche 1 Commitment) of such Lender during the period from and including the Effective Date to but excluding the date on which such Tranche 1 Commitment terminates. Commitment Fees accrued through and including the last day of March, June, September and December of each year shall be payable in arrears on the first Business Day after such last day, commencing on the first such date to occur after the Effective Date, and accrued Commitment Fees shall also be payable in arrears on the date on which Tranche 1 Commitments terminate. All Commitment Fees shall be computed on the basis of a year of 360 days and shall be payable for the actual number of days elapsed (including the first day but excluding the last day). For purposes of computing Commitment Fees, (i) the Tranche 1 Commitment of a Lender (other than any Swingline Lender) shall be deemed to be used to the extent of the outstanding Tranche 1 Loans and LC Exposure of such Lender (and the Swingline Exposure of such Lender shall be disregarded for such purpose) and (ii) the Tranche 1 Commitment of any Swingline Lender shall be deemed to be used to the extent of the outstanding Tranche 1 Loans and LC Exposure of such Swingline Lender and the outstanding Swingline Loans of such Swingline Lender (except any portion of such Swingline Loans that are subject to participations purchased by the Lenders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w:t>
      </w:r>
    </w:p>
    <w:p>
      <w:pPr>
        <w:spacing w:after="0" w:line="389" w:lineRule="exact"/>
        <w:rPr>
          <w:sz w:val="20"/>
          <w:szCs w:val="20"/>
          <w:color w:val="auto"/>
        </w:rPr>
      </w:pPr>
    </w:p>
    <w:p>
      <w:pPr>
        <w:jc w:val="both"/>
        <w:ind w:left="100" w:right="99" w:firstLine="1301"/>
        <w:spacing w:after="0" w:line="242" w:lineRule="auto"/>
        <w:tabs>
          <w:tab w:leader="none" w:pos="1891"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Company agrees to pay to the Administrative Agent for the account of each Tranche 2 Lender a ticking fee (the “</w:t>
      </w:r>
      <w:r>
        <w:rPr>
          <w:rFonts w:ascii="Arial" w:cs="Arial" w:eastAsia="Arial" w:hAnsi="Arial"/>
          <w:sz w:val="19"/>
          <w:szCs w:val="19"/>
          <w:u w:val="single" w:color="auto"/>
          <w:color w:val="auto"/>
        </w:rPr>
        <w:t>Ticking Fee</w:t>
      </w:r>
      <w:r>
        <w:rPr>
          <w:rFonts w:ascii="Arial" w:cs="Arial" w:eastAsia="Arial" w:hAnsi="Arial"/>
          <w:sz w:val="19"/>
          <w:szCs w:val="19"/>
          <w:color w:val="auto"/>
        </w:rPr>
        <w:t>”), which shall accrue at the Applicable Rate on the daily maximum aggregate amount of the Tranche 2 Commitment of such Lender during the period from and including the date that is 90 days after the Effective Date (such date, the “</w:t>
      </w:r>
      <w:r>
        <w:rPr>
          <w:rFonts w:ascii="Arial" w:cs="Arial" w:eastAsia="Arial" w:hAnsi="Arial"/>
          <w:sz w:val="19"/>
          <w:szCs w:val="19"/>
          <w:u w:val="single" w:color="auto"/>
          <w:color w:val="auto"/>
        </w:rPr>
        <w:t>Ticking Fee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Commencement Date</w:t>
      </w:r>
      <w:r>
        <w:rPr>
          <w:rFonts w:ascii="Arial" w:cs="Arial" w:eastAsia="Arial" w:hAnsi="Arial"/>
          <w:sz w:val="19"/>
          <w:szCs w:val="19"/>
          <w:color w:val="auto"/>
        </w:rPr>
        <w:t>”) to but excluding the date that is the earlier of (i) the Conversion Date and (ii) the date on which the Tranche 2 Commitments terminate in full (such earlier date, the “</w:t>
      </w:r>
      <w:r>
        <w:rPr>
          <w:rFonts w:ascii="Arial" w:cs="Arial" w:eastAsia="Arial" w:hAnsi="Arial"/>
          <w:sz w:val="19"/>
          <w:szCs w:val="19"/>
          <w:u w:val="single" w:color="auto"/>
          <w:color w:val="auto"/>
        </w:rPr>
        <w:t>Ticking Fee</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 Date</w:t>
      </w:r>
      <w:r>
        <w:rPr>
          <w:rFonts w:ascii="Arial" w:cs="Arial" w:eastAsia="Arial" w:hAnsi="Arial"/>
          <w:sz w:val="19"/>
          <w:szCs w:val="19"/>
          <w:color w:val="auto"/>
        </w:rPr>
        <w:t>”). Ticking Fees accrued through and including the last day of March, June, September and December of each year shall be payable in arrears on the first Business Day after such last day, commencing on the first such date to occur after the Ticking Fee Commencement Date, and accrued Ticking Fees shall also be payable in arrears on the Ticking Fee Termination Date. All Ticking Fees shall be computed on the basis of a year of 360 days and shall be payable for the actual number of days elapsed (including the first day but excluding the last day).</w:t>
      </w:r>
    </w:p>
    <w:p>
      <w:pPr>
        <w:spacing w:after="0" w:line="165" w:lineRule="exact"/>
        <w:rPr>
          <w:rFonts w:ascii="Arial" w:cs="Arial" w:eastAsia="Arial" w:hAnsi="Arial"/>
          <w:sz w:val="19"/>
          <w:szCs w:val="19"/>
          <w:color w:val="auto"/>
        </w:rPr>
      </w:pPr>
    </w:p>
    <w:p>
      <w:pPr>
        <w:jc w:val="both"/>
        <w:ind w:left="100" w:right="99" w:firstLine="1301"/>
        <w:spacing w:after="0" w:line="242" w:lineRule="auto"/>
        <w:tabs>
          <w:tab w:leader="none" w:pos="192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Company agrees to pay (i) to the Administrative Agent for the account of each Tranche 1 Lender a participation fee with respect to its participations in Letters of Credit (an “</w:t>
      </w:r>
      <w:r>
        <w:rPr>
          <w:rFonts w:ascii="Arial" w:cs="Arial" w:eastAsia="Arial" w:hAnsi="Arial"/>
          <w:sz w:val="19"/>
          <w:szCs w:val="19"/>
          <w:u w:val="single" w:color="auto"/>
          <w:color w:val="auto"/>
        </w:rPr>
        <w:t>LC Participation Fee</w:t>
      </w:r>
      <w:r>
        <w:rPr>
          <w:rFonts w:ascii="Arial" w:cs="Arial" w:eastAsia="Arial" w:hAnsi="Arial"/>
          <w:sz w:val="19"/>
          <w:szCs w:val="19"/>
          <w:color w:val="auto"/>
        </w:rPr>
        <w:t>”), which shall accrue at the Applicable Rate used to determine the interest rate applicable to Tranche 1 LIBOR Loans on the average daily amount of such Lender’s LC Exposure (excluding any portion thereof attributable to unreimbursed LC Disbursements) during the period from and including the Effective Date to but excluding the later of the date on which such Lender’s Tranche 1 Commitment terminates and the date on which such Lender ceases to have any LC Exposure, and (ii) to each Issuing Bank a fronting fee, which shall accrue at the rate of 0.125% per annum on the average daily amount of the LC Exposure attributable to Letters of Credit issued by such Issuing Bank (excluding any portion thereof attributable to unreimbursed LC Disbursements) during the period from and including the Effective Date to but excluding the later of the date of termination of the Tranche 1 Commitments and the date on which there ceases to be any such LC Exposure, as well as such Issuing Bank’s standard fees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317500</wp:posOffset>
            </wp:positionV>
            <wp:extent cx="5642610" cy="514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7" w:name="page238"/>
    <w:bookmarkEnd w:id="237"/>
    <w:p>
      <w:pPr>
        <w:jc w:val="right"/>
        <w:ind w:right="99"/>
        <w:spacing w:after="0"/>
        <w:rPr>
          <w:sz w:val="20"/>
          <w:szCs w:val="20"/>
          <w:color w:val="auto"/>
        </w:rPr>
      </w:pPr>
      <w:r>
        <w:rPr>
          <w:rFonts w:ascii="Arial" w:cs="Arial" w:eastAsia="Arial" w:hAnsi="Arial"/>
          <w:sz w:val="22"/>
          <w:szCs w:val="22"/>
          <w:color w:val="auto"/>
        </w:rPr>
        <w:t>51</w:t>
      </w:r>
    </w:p>
    <w:p>
      <w:pPr>
        <w:spacing w:after="0" w:line="396" w:lineRule="exact"/>
        <w:rPr>
          <w:sz w:val="20"/>
          <w:szCs w:val="20"/>
          <w:color w:val="auto"/>
        </w:rPr>
      </w:pPr>
    </w:p>
    <w:p>
      <w:pPr>
        <w:jc w:val="both"/>
        <w:ind w:left="100" w:right="99"/>
        <w:spacing w:after="0" w:line="244" w:lineRule="auto"/>
        <w:rPr>
          <w:sz w:val="20"/>
          <w:szCs w:val="20"/>
          <w:color w:val="auto"/>
        </w:rPr>
      </w:pPr>
      <w:r>
        <w:rPr>
          <w:rFonts w:ascii="Arial" w:cs="Arial" w:eastAsia="Arial" w:hAnsi="Arial"/>
          <w:sz w:val="19"/>
          <w:szCs w:val="19"/>
          <w:color w:val="auto"/>
        </w:rPr>
        <w:t xml:space="preserve">issuance, amendment, renewal or extension of any Letter of Credit or processing of drawings thereunder. LC Participation Fees and fronting fees accrued through and including the last day of March, June, September and December of each year shall be payable in arrears on the first Business Day after such last day,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Tranche 1 Commitments terminate and any such fees accruing after the date on which the Tranche 1 Commitments terminate shall be payable on demand. Any other fees payable to an Issuing Bank pursuant to this paragraph shall be payable within 10 days after demand. All LC Participation Fees and fronting fees shall be computed on the basis of a year of 360 days and shall be payable for the actual number of days elapsed (including the first day but excluding the last day).</w:t>
      </w:r>
    </w:p>
    <w:p>
      <w:pPr>
        <w:spacing w:after="0" w:line="156" w:lineRule="exact"/>
        <w:rPr>
          <w:sz w:val="20"/>
          <w:szCs w:val="20"/>
          <w:color w:val="auto"/>
        </w:rPr>
      </w:pPr>
    </w:p>
    <w:p>
      <w:pPr>
        <w:jc w:val="both"/>
        <w:ind w:left="100" w:right="99" w:firstLine="1301"/>
        <w:spacing w:after="0" w:line="223" w:lineRule="auto"/>
        <w:tabs>
          <w:tab w:leader="none" w:pos="194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Company agrees to pay to the Administrative Agent, for its own account, fees payable in the amounts and at the times separately agreed upon between the Company and the Administrative Agent.</w:t>
      </w:r>
    </w:p>
    <w:p>
      <w:pPr>
        <w:spacing w:after="0" w:line="159" w:lineRule="exact"/>
        <w:rPr>
          <w:rFonts w:ascii="Arial" w:cs="Arial" w:eastAsia="Arial" w:hAnsi="Arial"/>
          <w:sz w:val="22"/>
          <w:szCs w:val="22"/>
          <w:color w:val="auto"/>
        </w:rPr>
      </w:pPr>
    </w:p>
    <w:p>
      <w:pPr>
        <w:jc w:val="both"/>
        <w:ind w:left="100" w:right="99" w:firstLine="1301"/>
        <w:spacing w:after="0" w:line="257" w:lineRule="auto"/>
        <w:tabs>
          <w:tab w:leader="none" w:pos="202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All fees payable hereunder shall be paid on the dates due, in immediately available funds, to the Administrative Agent (or to an Issuing Bank, in the case of fees payable to it) for distribution, in the case of the Commitment Fee, the Ticking Fee and the LC Participation Fee, to the Lenders entitled thereto. Fees paid shall not be refundable under any circumstances.</w:t>
      </w:r>
    </w:p>
    <w:p>
      <w:pPr>
        <w:spacing w:after="0" w:line="145" w:lineRule="exact"/>
        <w:rPr>
          <w:sz w:val="20"/>
          <w:szCs w:val="20"/>
          <w:color w:val="auto"/>
        </w:rPr>
      </w:pPr>
    </w:p>
    <w:p>
      <w:pPr>
        <w:ind w:left="100" w:right="99" w:firstLine="1296"/>
        <w:spacing w:after="0" w:line="298"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Interest</w:t>
      </w:r>
      <w:r>
        <w:rPr>
          <w:rFonts w:ascii="Arial" w:cs="Arial" w:eastAsia="Arial" w:hAnsi="Arial"/>
          <w:sz w:val="19"/>
          <w:szCs w:val="19"/>
          <w:color w:val="auto"/>
        </w:rPr>
        <w:t>. (a) The Loans comprising each ABR Borrowing (other than any Swingline Loan) shall bear interest at the Alternate Base Rate plus the Applicable Rate.</w:t>
      </w:r>
    </w:p>
    <w:p>
      <w:pPr>
        <w:spacing w:after="0" w:line="106" w:lineRule="exact"/>
        <w:rPr>
          <w:sz w:val="20"/>
          <w:szCs w:val="20"/>
          <w:color w:val="auto"/>
        </w:rPr>
      </w:pPr>
    </w:p>
    <w:p>
      <w:pPr>
        <w:jc w:val="both"/>
        <w:ind w:left="100" w:right="99" w:firstLine="1301"/>
        <w:spacing w:after="0" w:line="223" w:lineRule="auto"/>
        <w:tabs>
          <w:tab w:leader="none" w:pos="189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Loans comprising each LIBOR Borrowing (other than any Swingline Loan) shall bear interest at the Adjusted LIBO Rate for the Interest Period in effect for such Borrowing plus the Applicable Rate.</w:t>
      </w:r>
    </w:p>
    <w:p>
      <w:pPr>
        <w:spacing w:after="0" w:line="159" w:lineRule="exact"/>
        <w:rPr>
          <w:rFonts w:ascii="Arial" w:cs="Arial" w:eastAsia="Arial" w:hAnsi="Arial"/>
          <w:sz w:val="22"/>
          <w:szCs w:val="22"/>
          <w:color w:val="auto"/>
        </w:rPr>
      </w:pPr>
    </w:p>
    <w:p>
      <w:pPr>
        <w:jc w:val="both"/>
        <w:ind w:left="100" w:right="99" w:firstLine="1301"/>
        <w:spacing w:after="0" w:line="243" w:lineRule="auto"/>
        <w:tabs>
          <w:tab w:leader="none" w:pos="192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Each Swingline Loan shall bear interest, for any day, (i) at the rate per annum that is mutually agreed to by the Company and the applicable Swingline Lender at the time such Swingline Loan is made or (ii) if there are Cash Management Agreements in place with the applicable Swingline Lender, at the Adjusted LIBO Rate (for such Interest Period as shall be provided for in such Cash Management Agreements or as otherwise agreed by the Company and such Swingline Lender in writing) plus the applicable rate (determined in accordance with such Cash Management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Swingline Lender shall have provided any notice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then from and after the date of such notice (and until the Lenders shall hold no participations in the applicable Swingline Loans) each Swingline Loan subject to such notice shall bear interest at the Alternate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applicable to Tranche 1 ABR Loans as provided in </w:t>
      </w:r>
      <w:r>
        <w:rPr>
          <w:rFonts w:ascii="Arial" w:cs="Arial" w:eastAsia="Arial" w:hAnsi="Arial"/>
          <w:sz w:val="19"/>
          <w:szCs w:val="19"/>
          <w:u w:val="single" w:color="auto"/>
          <w:color w:val="auto"/>
        </w:rPr>
        <w:t>Section 2.12(a)</w:t>
      </w:r>
      <w:r>
        <w:rPr>
          <w:rFonts w:ascii="Arial" w:cs="Arial" w:eastAsia="Arial" w:hAnsi="Arial"/>
          <w:sz w:val="19"/>
          <w:szCs w:val="19"/>
          <w:color w:val="auto"/>
        </w:rPr>
        <w:t>.</w:t>
      </w:r>
    </w:p>
    <w:p>
      <w:pPr>
        <w:spacing w:after="0" w:line="380" w:lineRule="exact"/>
        <w:rPr>
          <w:rFonts w:ascii="Arial" w:cs="Arial" w:eastAsia="Arial" w:hAnsi="Arial"/>
          <w:sz w:val="19"/>
          <w:szCs w:val="19"/>
          <w:color w:val="auto"/>
        </w:rPr>
      </w:pPr>
    </w:p>
    <w:p>
      <w:pPr>
        <w:jc w:val="both"/>
        <w:ind w:left="100" w:right="99" w:firstLine="1301"/>
        <w:spacing w:after="0" w:line="223" w:lineRule="auto"/>
        <w:tabs>
          <w:tab w:leader="none" w:pos="1878" w:val="left"/>
        </w:tabs>
        <w:numPr>
          <w:ilvl w:val="0"/>
          <w:numId w:val="159"/>
        </w:numPr>
        <w:rPr>
          <w:rFonts w:ascii="Arial" w:cs="Arial" w:eastAsia="Arial" w:hAnsi="Arial"/>
          <w:sz w:val="21"/>
          <w:szCs w:val="21"/>
          <w:color w:val="auto"/>
        </w:rPr>
      </w:pPr>
      <w:r>
        <w:rPr>
          <w:rFonts w:ascii="Arial" w:cs="Arial" w:eastAsia="Arial" w:hAnsi="Arial"/>
          <w:sz w:val="21"/>
          <w:szCs w:val="21"/>
          <w:color w:val="auto"/>
        </w:rPr>
        <w:t xml:space="preserve">Notwithstanding the foregoing, if any principal of or interest on any Loan or any fee or other amount payable by the Company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or (ii) in the case of any other amount, 2.00% per annum plus the rate applicable to Tranche 1 ABR Loans as provided in </w:t>
      </w:r>
      <w:r>
        <w:rPr>
          <w:rFonts w:ascii="Arial" w:cs="Arial" w:eastAsia="Arial" w:hAnsi="Arial"/>
          <w:sz w:val="21"/>
          <w:szCs w:val="21"/>
          <w:u w:val="single" w:color="auto"/>
          <w:color w:val="auto"/>
        </w:rPr>
        <w:t>Section 2.12(a)</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315595</wp:posOffset>
            </wp:positionV>
            <wp:extent cx="5642610" cy="514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8" w:name="page239"/>
    <w:bookmarkEnd w:id="238"/>
    <w:p>
      <w:pPr>
        <w:ind w:left="8700"/>
        <w:spacing w:after="0"/>
        <w:rPr>
          <w:sz w:val="20"/>
          <w:szCs w:val="20"/>
          <w:color w:val="auto"/>
        </w:rPr>
      </w:pPr>
      <w:r>
        <w:rPr>
          <w:rFonts w:ascii="Arial" w:cs="Arial" w:eastAsia="Arial" w:hAnsi="Arial"/>
          <w:sz w:val="19"/>
          <w:szCs w:val="19"/>
          <w:color w:val="auto"/>
        </w:rPr>
        <w:t>52</w:t>
      </w:r>
    </w:p>
    <w:p>
      <w:pPr>
        <w:spacing w:after="0" w:line="200" w:lineRule="exact"/>
        <w:rPr>
          <w:sz w:val="20"/>
          <w:szCs w:val="20"/>
          <w:color w:val="auto"/>
        </w:rPr>
      </w:pPr>
    </w:p>
    <w:p>
      <w:pPr>
        <w:spacing w:after="0" w:line="231" w:lineRule="exact"/>
        <w:rPr>
          <w:sz w:val="20"/>
          <w:szCs w:val="20"/>
          <w:color w:val="auto"/>
        </w:rPr>
      </w:pPr>
    </w:p>
    <w:p>
      <w:pPr>
        <w:jc w:val="both"/>
        <w:ind w:left="100" w:right="99" w:firstLine="1301"/>
        <w:spacing w:after="0"/>
        <w:tabs>
          <w:tab w:leader="none" w:pos="2014" w:val="left"/>
        </w:tabs>
        <w:numPr>
          <w:ilvl w:val="1"/>
          <w:numId w:val="160"/>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in the case of Loans of any Class, upon termination of the Commitments of such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w:t>
      </w:r>
      <w:r>
        <w:rPr>
          <w:rFonts w:ascii="Arial" w:cs="Arial" w:eastAsia="Arial" w:hAnsi="Arial"/>
          <w:sz w:val="19"/>
          <w:szCs w:val="19"/>
          <w:u w:val="single" w:color="auto"/>
          <w:color w:val="auto"/>
        </w:rPr>
        <w:t>Section 2.12(d)</w:t>
      </w:r>
      <w:r>
        <w:rPr>
          <w:rFonts w:ascii="Arial" w:cs="Arial" w:eastAsia="Arial" w:hAnsi="Arial"/>
          <w:sz w:val="19"/>
          <w:szCs w:val="19"/>
          <w:color w:val="auto"/>
        </w:rPr>
        <w:t xml:space="preserve"> shall be payable on demand, (ii) in the event of any repayment or prepayment of any Loan (other than a prepayment of a Tranche 1 ABR Loan prior to the end of the Availability Period), accrued interest on the principal amount repaid or prepaid shall be payable on the date of such repayment or prepayment,</w:t>
      </w:r>
    </w:p>
    <w:p>
      <w:pPr>
        <w:spacing w:after="0" w:line="3" w:lineRule="exact"/>
        <w:rPr>
          <w:rFonts w:ascii="Arial" w:cs="Arial" w:eastAsia="Arial" w:hAnsi="Arial"/>
          <w:sz w:val="19"/>
          <w:szCs w:val="19"/>
          <w:color w:val="auto"/>
        </w:rPr>
      </w:pPr>
    </w:p>
    <w:p>
      <w:pPr>
        <w:jc w:val="both"/>
        <w:ind w:left="100" w:right="99" w:firstLine="5"/>
        <w:spacing w:after="0" w:line="245" w:lineRule="auto"/>
        <w:tabs>
          <w:tab w:leader="none" w:pos="49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in the event of any conversion or continuation of a LIBOR Loan prior to the end of the current Interest Period therefor, accrued interest on such Loan shall be payable on the effective date of such conversion or continuation, (iv) in the event of the Conversion of the Tranche 2 Loans, interest for the Conversion Date shall accrue only on the Converted Tranche 1 Loans and shall not accrue on the Tranche 2 Loans and (v) if any Cash Management Agreement is in effect, accrued interest on each applicable Swingline Loan shall be payable as provided in </w:t>
      </w:r>
      <w:r>
        <w:rPr>
          <w:rFonts w:ascii="Arial" w:cs="Arial" w:eastAsia="Arial" w:hAnsi="Arial"/>
          <w:sz w:val="19"/>
          <w:szCs w:val="19"/>
          <w:u w:val="single" w:color="auto"/>
          <w:color w:val="auto"/>
        </w:rPr>
        <w:t>Section 2.04(d)</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100" w:right="99" w:firstLine="1301"/>
        <w:spacing w:after="0" w:line="245" w:lineRule="auto"/>
        <w:tabs>
          <w:tab w:leader="none" w:pos="195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 xml:space="preserve">All interest hereunder shall be computed on the basis of a year of 360 days, except that (i) interest computed by reference to the Alternate Base Rate at times when the Alternate Base Rate is based on the Prime Rate shall be computed on the basis of a year of 365 days (or 366 days in a leap year) and (ii) unless any Swingline Lender shall have provided any notice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interest on Swingline Loans shall be computed in accordance with the foregoing or as otherwise provided in the applicable Cash Management Agreement,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53"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w:t>
      </w:r>
    </w:p>
    <w:p>
      <w:pPr>
        <w:spacing w:after="0" w:line="179" w:lineRule="exact"/>
        <w:rPr>
          <w:sz w:val="20"/>
          <w:szCs w:val="20"/>
          <w:color w:val="auto"/>
        </w:rPr>
      </w:pPr>
    </w:p>
    <w:p>
      <w:pPr>
        <w:ind w:left="1900" w:hanging="499"/>
        <w:spacing w:after="0"/>
        <w:tabs>
          <w:tab w:leader="none" w:pos="190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If prior to the commencement of any Interest Period for a LIBOR Borrowing of</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any Class:</w:t>
      </w:r>
    </w:p>
    <w:p>
      <w:pPr>
        <w:spacing w:after="0" w:line="161" w:lineRule="exact"/>
        <w:rPr>
          <w:sz w:val="20"/>
          <w:szCs w:val="20"/>
          <w:color w:val="auto"/>
        </w:rPr>
      </w:pPr>
    </w:p>
    <w:p>
      <w:pPr>
        <w:jc w:val="both"/>
        <w:ind w:left="760" w:right="99" w:firstLine="641"/>
        <w:spacing w:after="0" w:line="218" w:lineRule="auto"/>
        <w:tabs>
          <w:tab w:leader="none" w:pos="192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Administrative Agent determines (which determination shall be conclusive absent manifest error) that adequate and reasonable means do not exist for ascertaining the Adjusted LIBO Rate (including because the LIBO Screen Rate is not available or published on a current basis) for such Interest Period; or</w:t>
      </w:r>
    </w:p>
    <w:p>
      <w:pPr>
        <w:spacing w:after="0" w:line="161" w:lineRule="exact"/>
        <w:rPr>
          <w:rFonts w:ascii="Arial" w:cs="Arial" w:eastAsia="Arial" w:hAnsi="Arial"/>
          <w:sz w:val="22"/>
          <w:szCs w:val="22"/>
          <w:color w:val="auto"/>
        </w:rPr>
      </w:pPr>
    </w:p>
    <w:p>
      <w:pPr>
        <w:jc w:val="both"/>
        <w:ind w:left="760" w:right="99" w:firstLine="641"/>
        <w:spacing w:after="0" w:line="218" w:lineRule="auto"/>
        <w:tabs>
          <w:tab w:leader="none" w:pos="194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Administrative Agent is advised by a Majority in Interest of the Lenders of such Class that the Adjusted LIBO Rate for such Interest Period will not adequately and fairly reflect the cost to such Lenders of making or maintaining their Loans included in such LIBOR Borrowing for such Interest Period;</w:t>
      </w:r>
    </w:p>
    <w:p>
      <w:pPr>
        <w:spacing w:after="0" w:line="161" w:lineRule="exact"/>
        <w:rPr>
          <w:sz w:val="20"/>
          <w:szCs w:val="20"/>
          <w:color w:val="auto"/>
        </w:rPr>
      </w:pPr>
    </w:p>
    <w:p>
      <w:pPr>
        <w:jc w:val="both"/>
        <w:ind w:left="100" w:right="99"/>
        <w:spacing w:after="0" w:line="249" w:lineRule="auto"/>
        <w:rPr>
          <w:sz w:val="20"/>
          <w:szCs w:val="20"/>
          <w:color w:val="auto"/>
        </w:rPr>
      </w:pPr>
      <w:r>
        <w:rPr>
          <w:rFonts w:ascii="Arial" w:cs="Arial" w:eastAsia="Arial" w:hAnsi="Arial"/>
          <w:sz w:val="19"/>
          <w:szCs w:val="19"/>
          <w:color w:val="auto"/>
        </w:rPr>
        <w:t>then the Administrative Agent shall give notice (which may be telephonic) thereof to the Company and the Lenders of such Class as promptly as practicable and, until the Administrative Agent notifies the Company and the Lenders of such Class that the circumstances giving rise to such notice no longer exist, (A) any Interest Election Request that requests the conversion of any Borrowing of such Class to, or continuation of any Borrowing of such Class as, a LIBOR Borrowing shall be ineffective, and such Borrowing shall be continued as an ABR Borrowing,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9" w:name="page240"/>
    <w:bookmarkEnd w:id="239"/>
    <w:p>
      <w:pPr>
        <w:jc w:val="right"/>
        <w:ind w:right="99"/>
        <w:spacing w:after="0"/>
        <w:rPr>
          <w:sz w:val="20"/>
          <w:szCs w:val="20"/>
          <w:color w:val="auto"/>
        </w:rPr>
      </w:pPr>
      <w:r>
        <w:rPr>
          <w:rFonts w:ascii="Arial" w:cs="Arial" w:eastAsia="Arial" w:hAnsi="Arial"/>
          <w:sz w:val="22"/>
          <w:szCs w:val="22"/>
          <w:color w:val="auto"/>
        </w:rPr>
        <w:t>53</w:t>
      </w:r>
    </w:p>
    <w:p>
      <w:pPr>
        <w:spacing w:after="0" w:line="396" w:lineRule="exact"/>
        <w:rPr>
          <w:sz w:val="20"/>
          <w:szCs w:val="20"/>
          <w:color w:val="auto"/>
        </w:rPr>
      </w:pPr>
    </w:p>
    <w:p>
      <w:pPr>
        <w:ind w:left="100" w:right="99" w:firstLine="5"/>
        <w:spacing w:after="0" w:line="232" w:lineRule="auto"/>
        <w:tabs>
          <w:tab w:leader="none" w:pos="447"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any Borrowing Request for a LIBOR Borrowing of such Class shall be treated as a request for an ABR Borrowing.</w:t>
      </w:r>
    </w:p>
    <w:p>
      <w:pPr>
        <w:spacing w:after="0" w:line="159" w:lineRule="exact"/>
        <w:rPr>
          <w:rFonts w:ascii="Arial" w:cs="Arial" w:eastAsia="Arial" w:hAnsi="Arial"/>
          <w:sz w:val="22"/>
          <w:szCs w:val="22"/>
          <w:color w:val="auto"/>
        </w:rPr>
      </w:pPr>
    </w:p>
    <w:p>
      <w:pPr>
        <w:jc w:val="both"/>
        <w:ind w:left="100" w:right="99" w:firstLine="1301"/>
        <w:spacing w:after="0" w:line="242" w:lineRule="auto"/>
        <w:tabs>
          <w:tab w:leader="none" w:pos="1878" w:val="left"/>
        </w:tabs>
        <w:numPr>
          <w:ilvl w:val="1"/>
          <w:numId w:val="164"/>
        </w:numPr>
        <w:rPr>
          <w:rFonts w:ascii="Arial" w:cs="Arial" w:eastAsia="Arial" w:hAnsi="Arial"/>
          <w:sz w:val="19"/>
          <w:szCs w:val="19"/>
          <w:color w:val="auto"/>
        </w:rPr>
      </w:pPr>
      <w:r>
        <w:rPr>
          <w:rFonts w:ascii="Arial" w:cs="Arial" w:eastAsia="Arial" w:hAnsi="Arial"/>
          <w:sz w:val="19"/>
          <w:szCs w:val="19"/>
          <w:color w:val="auto"/>
        </w:rPr>
        <w:t xml:space="preserve">If at any time the Administrative Agent determines or is advised by the Required Lenders that they shall have determined that (i) the circumstances set forth in </w:t>
      </w:r>
      <w:r>
        <w:rPr>
          <w:rFonts w:ascii="Arial" w:cs="Arial" w:eastAsia="Arial" w:hAnsi="Arial"/>
          <w:sz w:val="19"/>
          <w:szCs w:val="19"/>
          <w:u w:val="single" w:color="auto"/>
          <w:color w:val="auto"/>
        </w:rPr>
        <w:t>Section 2.13(a)(i)</w:t>
      </w:r>
      <w:r>
        <w:rPr>
          <w:rFonts w:ascii="Arial" w:cs="Arial" w:eastAsia="Arial" w:hAnsi="Arial"/>
          <w:sz w:val="19"/>
          <w:szCs w:val="19"/>
          <w:color w:val="auto"/>
        </w:rPr>
        <w:t xml:space="preserve"> have arisen (including because the LIBO Screen Rate is not available or published on a current basis) and such circumstances are unlikely to be temporary or (ii) the circumstances set forth in </w:t>
      </w:r>
      <w:r>
        <w:rPr>
          <w:rFonts w:ascii="Arial" w:cs="Arial" w:eastAsia="Arial" w:hAnsi="Arial"/>
          <w:sz w:val="19"/>
          <w:szCs w:val="19"/>
          <w:u w:val="single" w:color="auto"/>
          <w:color w:val="auto"/>
        </w:rPr>
        <w:t>Section 2.13(a)</w:t>
      </w:r>
    </w:p>
    <w:p>
      <w:pPr>
        <w:spacing w:after="0" w:line="1" w:lineRule="exact"/>
        <w:rPr>
          <w:rFonts w:ascii="Arial" w:cs="Arial" w:eastAsia="Arial" w:hAnsi="Arial"/>
          <w:sz w:val="19"/>
          <w:szCs w:val="19"/>
          <w:color w:val="auto"/>
        </w:rPr>
      </w:pPr>
    </w:p>
    <w:p>
      <w:pPr>
        <w:jc w:val="both"/>
        <w:ind w:left="100" w:right="99"/>
        <w:spacing w:after="0"/>
        <w:rPr>
          <w:rFonts w:ascii="Arial" w:cs="Arial" w:eastAsia="Arial" w:hAnsi="Arial"/>
          <w:sz w:val="19"/>
          <w:szCs w:val="19"/>
          <w:color w:val="auto"/>
        </w:rPr>
      </w:pPr>
      <w:r>
        <w:rPr>
          <w:rFonts w:ascii="Arial" w:cs="Arial" w:eastAsia="Arial" w:hAnsi="Arial"/>
          <w:sz w:val="19"/>
          <w:szCs w:val="19"/>
          <w:u w:val="single" w:color="auto"/>
          <w:color w:val="auto"/>
        </w:rPr>
        <w:t>(i)</w:t>
      </w:r>
      <w:r>
        <w:rPr>
          <w:rFonts w:ascii="Arial" w:cs="Arial" w:eastAsia="Arial" w:hAnsi="Arial"/>
          <w:sz w:val="19"/>
          <w:szCs w:val="19"/>
          <w:color w:val="auto"/>
        </w:rPr>
        <w:t xml:space="preserve"> have not arisen but either (w) the supervisor for the administrator of the LIBO Screen Rate has made a public statement that the administrator of the LIBO Screen Rate is insolvent (and there is no successor administrator that will continue publication of the LIBO Screen Rate), (x) the administrator of the LIBO Screen Rate has made a public statement identifying a specific date after which the LIBO Screen Rate will permanently or indefinitely cease to be published by it (and there is no successor administrator that will continue publication of the LIBO Screen Rate), (y) the supervisor for the administrator of the LIBO Screen Rate has made a public statement identifying a specific date after which the LIBO Screen Rate will permanently or indefinitely cease to be published or (z) the supervisor for the administrator of the LIBO Screen Rate or a Governmental Authority having jurisdiction over the Administrative Agent has made a public statement identifying a specific date after which the LIBO Screen Rate shall no longer be used for determining interest rates for loans denominated in dollars, then the Administrative Agent and the Company shall endeavor to establish an alternate rate of interest to the LIBO Screen Rate that gives due consideration to the then prevailing market convention in the United States for determining a rate of interest for syndicated loans denominated in dollars at such time, and the Administrative Agent and the Company shall enter into an amendment to this Agreement to reflect such alternate rate of interest and such other related changes to this Agreement as may be applicable (it being understood that such amendment shall not reduce the Applicable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alternate rate of interest shall be less than zero, such rate shall be deemed to be zero for all purposes of this Agreement. Such amendment shall become effective without any further action or consent of any other party to this Agreement so long as the Administrative Agent shall not have received, within five Business Days of the date a copy of such amendment is provided to the Lenders, a written notice from the Required Lenders stating that the Required Lenders object to such amendment. Until an alternate rate of interest shall be determined in accordance with this paragraph (but, in the case of the circumstances described in clause (ii)(w), clause (ii)(x) or clause (ii)(y) of the first sentence of this paragraph, only to the extent the LIBO Screen Rate for such Interest Period is not available or published at such time on a current basis), (A) any Interest Election Request that requests the conversion of any Borrowing to, or continuation of any Borrowing as, a LIBOR Borrowing shall be ineffective, and such Borrowing shall be continued as an ABR Borrowing, and (B) any Borrowing Request for a LIBOR Borrowing shall be treated as a request for an ABR Borrowing.</w:t>
      </w:r>
    </w:p>
    <w:p>
      <w:pPr>
        <w:spacing w:after="0" w:line="344"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Increased Costs; Illegality</w:t>
      </w:r>
      <w:r>
        <w:rPr>
          <w:rFonts w:ascii="Arial" w:cs="Arial" w:eastAsia="Arial" w:hAnsi="Arial"/>
          <w:sz w:val="19"/>
          <w:szCs w:val="19"/>
          <w:color w:val="auto"/>
        </w:rPr>
        <w:t>. (a) If any Change in Law shall:</w:t>
      </w:r>
    </w:p>
    <w:p>
      <w:pPr>
        <w:spacing w:after="0" w:line="179" w:lineRule="exact"/>
        <w:rPr>
          <w:sz w:val="20"/>
          <w:szCs w:val="20"/>
          <w:color w:val="auto"/>
        </w:rPr>
      </w:pPr>
    </w:p>
    <w:p>
      <w:pPr>
        <w:jc w:val="both"/>
        <w:ind w:left="760" w:right="99" w:firstLine="641"/>
        <w:spacing w:after="0" w:line="229" w:lineRule="auto"/>
        <w:tabs>
          <w:tab w:leader="none" w:pos="1828" w:val="left"/>
        </w:tabs>
        <w:numPr>
          <w:ilvl w:val="0"/>
          <w:numId w:val="165"/>
        </w:numPr>
        <w:rPr>
          <w:rFonts w:ascii="Arial" w:cs="Arial" w:eastAsia="Arial" w:hAnsi="Arial"/>
          <w:sz w:val="21"/>
          <w:szCs w:val="21"/>
          <w:color w:val="auto"/>
        </w:rPr>
      </w:pPr>
      <w:r>
        <w:rPr>
          <w:rFonts w:ascii="Arial" w:cs="Arial" w:eastAsia="Arial" w:hAnsi="Arial"/>
          <w:sz w:val="21"/>
          <w:szCs w:val="21"/>
          <w:color w:val="auto"/>
        </w:rPr>
        <w:t>impose, modify or deem applicable any reserve, special deposit, compulsory loan, insurance charge or similar requirement) against assets of, deposits with or for the account of, or credit extended or participated in by, any Lender (except any such reserve requirement reflected in the Adjusted LIBO Rate) or any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316230</wp:posOffset>
            </wp:positionV>
            <wp:extent cx="5642610" cy="514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0" w:name="page241"/>
    <w:bookmarkEnd w:id="240"/>
    <w:p>
      <w:pPr>
        <w:ind w:left="8700"/>
        <w:spacing w:after="0"/>
        <w:rPr>
          <w:sz w:val="20"/>
          <w:szCs w:val="20"/>
          <w:color w:val="auto"/>
        </w:rPr>
      </w:pPr>
      <w:r>
        <w:rPr>
          <w:rFonts w:ascii="Arial" w:cs="Arial" w:eastAsia="Arial" w:hAnsi="Arial"/>
          <w:sz w:val="19"/>
          <w:szCs w:val="19"/>
          <w:color w:val="auto"/>
        </w:rPr>
        <w:t>54</w:t>
      </w:r>
    </w:p>
    <w:p>
      <w:pPr>
        <w:spacing w:after="0" w:line="200" w:lineRule="exact"/>
        <w:rPr>
          <w:sz w:val="20"/>
          <w:szCs w:val="20"/>
          <w:color w:val="auto"/>
        </w:rPr>
      </w:pPr>
    </w:p>
    <w:p>
      <w:pPr>
        <w:spacing w:after="0" w:line="231" w:lineRule="exact"/>
        <w:rPr>
          <w:sz w:val="20"/>
          <w:szCs w:val="20"/>
          <w:color w:val="auto"/>
        </w:rPr>
      </w:pPr>
    </w:p>
    <w:p>
      <w:pPr>
        <w:jc w:val="both"/>
        <w:ind w:left="760" w:right="99" w:firstLine="641"/>
        <w:spacing w:after="0" w:line="234" w:lineRule="auto"/>
        <w:tabs>
          <w:tab w:leader="none" w:pos="1915" w:val="left"/>
        </w:tabs>
        <w:numPr>
          <w:ilvl w:val="0"/>
          <w:numId w:val="166"/>
        </w:numPr>
        <w:rPr>
          <w:rFonts w:ascii="Arial" w:cs="Arial" w:eastAsia="Arial" w:hAnsi="Arial"/>
          <w:sz w:val="21"/>
          <w:szCs w:val="21"/>
          <w:color w:val="auto"/>
        </w:rPr>
      </w:pPr>
      <w:r>
        <w:rPr>
          <w:rFonts w:ascii="Arial" w:cs="Arial" w:eastAsia="Arial" w:hAnsi="Arial"/>
          <w:sz w:val="21"/>
          <w:szCs w:val="21"/>
          <w:color w:val="auto"/>
        </w:rPr>
        <w:t>impose on any Lender or any Issuing Bank or the London interbank market any other condition, cost or expense (other than Taxes) affecting this Agreement or the Loans made by such Lender or any Letter of Credit or participation therein; or</w:t>
      </w:r>
    </w:p>
    <w:p>
      <w:pPr>
        <w:spacing w:after="0" w:line="158" w:lineRule="exact"/>
        <w:rPr>
          <w:rFonts w:ascii="Arial" w:cs="Arial" w:eastAsia="Arial" w:hAnsi="Arial"/>
          <w:sz w:val="21"/>
          <w:szCs w:val="21"/>
          <w:color w:val="auto"/>
        </w:rPr>
      </w:pPr>
    </w:p>
    <w:p>
      <w:pPr>
        <w:jc w:val="both"/>
        <w:ind w:left="760" w:right="99" w:firstLine="641"/>
        <w:spacing w:after="0" w:line="257" w:lineRule="auto"/>
        <w:tabs>
          <w:tab w:leader="none" w:pos="194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(d) of the definition of the term “Excluded Taxes” and (C) Connection Income Taxes) on its loans, letters of credit, commitments or other obligations, or its deposits, reserves, other liabilities or capital attributable thereto;</w:t>
      </w:r>
    </w:p>
    <w:p>
      <w:pPr>
        <w:spacing w:after="0" w:line="145"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21"/>
          <w:szCs w:val="21"/>
          <w:color w:val="auto"/>
        </w:rPr>
        <w:t xml:space="preserve">and the result of any of the foregoing shall be to increase the cost to such Lender or other Recipient of making, converting to, continuing or maintaining any Loan or of maintaining its obligation to make any Loan, or to increase the cost to such Lender, Issuing Bank or other Recipient of participating in, issuing or maintaining any Letter of Credit (or of maintaining its obligation to participate in or issue any Letter of Credit), or to reduce the amount of any sum received or receivable by such Lender, Issuing Bank or other Recipient hereunder (whether of principal, interest or any other amount), then, from time to time following request of such Lender, Issuing Bank or other Recipient (accompanied by a certificate in accordance with </w:t>
      </w:r>
      <w:r>
        <w:rPr>
          <w:rFonts w:ascii="Arial" w:cs="Arial" w:eastAsia="Arial" w:hAnsi="Arial"/>
          <w:sz w:val="21"/>
          <w:szCs w:val="21"/>
          <w:u w:val="single" w:color="auto"/>
          <w:color w:val="auto"/>
        </w:rPr>
        <w:t>Section 2.14(c)</w:t>
      </w:r>
      <w:r>
        <w:rPr>
          <w:rFonts w:ascii="Arial" w:cs="Arial" w:eastAsia="Arial" w:hAnsi="Arial"/>
          <w:sz w:val="21"/>
          <w:szCs w:val="21"/>
          <w:color w:val="auto"/>
        </w:rPr>
        <w:t>, the Company will pay to such Lender, Issuing Bank or other Recipient, as the case may be, such additional amount or amounts as will compensate such Lender, Issuing Bank or other Recipient for such additional costs or expenses incurred or reduction suffered.</w:t>
      </w:r>
    </w:p>
    <w:p>
      <w:pPr>
        <w:spacing w:after="0" w:line="158" w:lineRule="exact"/>
        <w:rPr>
          <w:sz w:val="20"/>
          <w:szCs w:val="20"/>
          <w:color w:val="auto"/>
        </w:rPr>
      </w:pPr>
    </w:p>
    <w:p>
      <w:pPr>
        <w:jc w:val="both"/>
        <w:ind w:left="100" w:right="99" w:firstLine="1301"/>
        <w:spacing w:after="0" w:line="241" w:lineRule="auto"/>
        <w:tabs>
          <w:tab w:leader="none" w:pos="189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If any Lender or any Issuing Bank determines that any Change in Law affecting such Lender or Issuing Bank or any lending office of such Lender or such Issuing Bank or such Lender’s or such Issuing Bank’s holding company, if any, regarding capital or liquidity requirements has had or would have the effect of reducing the rate of return on such Lender’s or such Issuing Bank’s capital or on the capital of such Lender’s or such Issuing Bank’s holding company, if any, as a consequence of this Agreement, the Commitments of such Lender or the Loans made by, or participations in Letters of Credit or Swingline Loans held by, such Lender, or the Letters of Credit issued by such Issuing Bank, to a level below that which such Lender or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following the request of such Lender or Issuing Bank (accompanied by a certificate in accordance with </w:t>
      </w:r>
      <w:r>
        <w:rPr>
          <w:rFonts w:ascii="Arial" w:cs="Arial" w:eastAsia="Arial" w:hAnsi="Arial"/>
          <w:sz w:val="19"/>
          <w:szCs w:val="19"/>
          <w:u w:val="single" w:color="auto"/>
          <w:color w:val="auto"/>
        </w:rPr>
        <w:t>Section 2.14(c)</w:t>
      </w:r>
      <w:r>
        <w:rPr>
          <w:rFonts w:ascii="Arial" w:cs="Arial" w:eastAsia="Arial" w:hAnsi="Arial"/>
          <w:sz w:val="19"/>
          <w:szCs w:val="19"/>
          <w:color w:val="auto"/>
        </w:rPr>
        <w:t>, the Company will pay to such Lender or Issuing Bank, as the case may be, such additional amount or amounts as will compensate such Lender or Issuing Bank or such Lender’s or such Issuing Bank’s holding company for any such reduction suffered.</w:t>
      </w:r>
    </w:p>
    <w:p>
      <w:pPr>
        <w:spacing w:after="0" w:line="166" w:lineRule="exact"/>
        <w:rPr>
          <w:rFonts w:ascii="Arial" w:cs="Arial" w:eastAsia="Arial" w:hAnsi="Arial"/>
          <w:sz w:val="19"/>
          <w:szCs w:val="19"/>
          <w:color w:val="auto"/>
        </w:rPr>
      </w:pPr>
    </w:p>
    <w:p>
      <w:pPr>
        <w:jc w:val="both"/>
        <w:ind w:left="100" w:right="99" w:firstLine="1301"/>
        <w:spacing w:after="0" w:line="245" w:lineRule="auto"/>
        <w:tabs>
          <w:tab w:leader="none" w:pos="1893"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A certificate of a Lender, Issuing Bank or other Recipient setting forth the basis for and, in reasonable detail (to the extent practicable), computation of the amount or amounts necessary to compensate such Lender, Issuing Bank or other Recipient or its holding company, as the case may be, as specified in </w:t>
      </w: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2.14(b)</w:t>
      </w:r>
      <w:r>
        <w:rPr>
          <w:rFonts w:ascii="Arial" w:cs="Arial" w:eastAsia="Arial" w:hAnsi="Arial"/>
          <w:sz w:val="19"/>
          <w:szCs w:val="19"/>
          <w:color w:val="auto"/>
        </w:rPr>
        <w:t xml:space="preserve"> shall be delivered to the Company and shall be conclusive absent manifest error. The Company shall pay such Lender, Issuing Bank or other Recipient, as the case may be, the amount shown as due on any such certificate within 10 days after receipt thereof. Notwithstanding the foregoing provisions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no Lender or Issuing Bank shall demand compensation for any increased cost or expense or reduction pursuant to the foregoing provisions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if it shall not at the time be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313055</wp:posOffset>
            </wp:positionV>
            <wp:extent cx="5642610" cy="514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1" w:name="page242"/>
    <w:bookmarkEnd w:id="241"/>
    <w:p>
      <w:pPr>
        <w:jc w:val="right"/>
        <w:ind w:right="99"/>
        <w:spacing w:after="0"/>
        <w:rPr>
          <w:sz w:val="20"/>
          <w:szCs w:val="20"/>
          <w:color w:val="auto"/>
        </w:rPr>
      </w:pPr>
      <w:r>
        <w:rPr>
          <w:rFonts w:ascii="Arial" w:cs="Arial" w:eastAsia="Arial" w:hAnsi="Arial"/>
          <w:sz w:val="22"/>
          <w:szCs w:val="22"/>
          <w:color w:val="auto"/>
        </w:rPr>
        <w:t>55</w:t>
      </w:r>
    </w:p>
    <w:p>
      <w:pPr>
        <w:spacing w:after="0" w:line="396" w:lineRule="exact"/>
        <w:rPr>
          <w:sz w:val="20"/>
          <w:szCs w:val="20"/>
          <w:color w:val="auto"/>
        </w:rPr>
      </w:pPr>
    </w:p>
    <w:p>
      <w:pPr>
        <w:jc w:val="both"/>
        <w:ind w:left="100" w:right="99"/>
        <w:spacing w:after="0" w:line="223" w:lineRule="auto"/>
        <w:rPr>
          <w:sz w:val="20"/>
          <w:szCs w:val="20"/>
          <w:color w:val="auto"/>
        </w:rPr>
      </w:pPr>
      <w:r>
        <w:rPr>
          <w:rFonts w:ascii="Arial" w:cs="Arial" w:eastAsia="Arial" w:hAnsi="Arial"/>
          <w:sz w:val="22"/>
          <w:szCs w:val="22"/>
          <w:color w:val="auto"/>
        </w:rPr>
        <w:t>policy or practice of such Lender or Issuing Bank to demand (to the extent it is entitled to do so) such compensation from similarly situated borrowers in similar circumstances under comparable provisions of other credit agreements.</w:t>
      </w:r>
    </w:p>
    <w:p>
      <w:pPr>
        <w:spacing w:after="0" w:line="159" w:lineRule="exact"/>
        <w:rPr>
          <w:sz w:val="20"/>
          <w:szCs w:val="20"/>
          <w:color w:val="auto"/>
        </w:rPr>
      </w:pPr>
    </w:p>
    <w:p>
      <w:pPr>
        <w:jc w:val="both"/>
        <w:ind w:left="100" w:right="99" w:firstLine="1301"/>
        <w:spacing w:after="0" w:line="243" w:lineRule="auto"/>
        <w:tabs>
          <w:tab w:leader="none" w:pos="194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Issuing Bank or other Recipient to demand compensation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shall not constitute a waiver of such Lender’s, Issuing Bank’s or other Recipient’s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be required to compensate a Lender, Issuing Bank or other Recipient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for any increased costs or expenses incurred or reductions suffered more than 180 days prior to the date that such Lender, Issuing Bank or other Recipient, as the case may be, notifies the Company of the Change in Law or other circumstance giving rise to such increased costs or expenses or reductions and of such Lender’s, Issuing Bank’s or other Recipient’s intention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or other circumstance giving rise to such increased costs or expenses or reductions is retroactive, then the 180-day period referred to above shall be extended to include the period of retroactive effect thereof.</w:t>
      </w:r>
    </w:p>
    <w:p>
      <w:pPr>
        <w:spacing w:after="0" w:line="159" w:lineRule="exact"/>
        <w:rPr>
          <w:rFonts w:ascii="Arial" w:cs="Arial" w:eastAsia="Arial" w:hAnsi="Arial"/>
          <w:sz w:val="19"/>
          <w:szCs w:val="19"/>
          <w:color w:val="auto"/>
        </w:rPr>
      </w:pPr>
    </w:p>
    <w:p>
      <w:pPr>
        <w:jc w:val="both"/>
        <w:ind w:left="100" w:right="99" w:firstLine="1301"/>
        <w:spacing w:after="0"/>
        <w:tabs>
          <w:tab w:leader="none" w:pos="190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If any Lender determines that any Change in Law has made it unlawful, or that any Governmental Authority has asserted that it is unlawful, for such Lender or the applicable lending office of such Lender to make, maintain or fund any LIBOR Loan or to charge interest with respect to any Loan, or to determine or charge interest rates, based upon the LIBO Rate, or any Governmental Authority has imposed material restrictions on the authority of such Lender to purchase or sell, or to take deposits of, dollars in the London interbank market, then, upon notice thereof by such Lender to the Company and the Administrative Agent, (i) any obligation of such Lender to make, maintain or fund any LIBOR Loan, or to continue any LIBOR Loan or convert any ABR Loan into a LIBOR Loan, or to charge interest with respect to any Loan, or to determine or charge interest rates, based upon the LIBO Rate, in each case, shall be suspended, and (ii) if such notice asserts the illegality of such Lender making or maintaining ABR Loans the interest rate on which is determined by reference to the Adjusted LIBO Rate component of the Alternate Base Rate, the interest rate on which ABR Loans of such Lender shall, if necessary to avoid such illegality, be determined by the Administrative Agent without reference to the Adjusted LIBO Rate component of the Alternate Base Rate, in each case until such Lender notifies the Administrative Agent and the Company that the circumstances giving rise to such determination no longer exist. Upon receipt of such notice, (A) the Company shall, upon demand from such Lender (with a copy to the Administrative Agent) prepay or, if applicable, convert all LIBOR Loans of such Lender to ABR Loans (the interest rate on which ABR Loans of such Lender shall, if necessary to avoid such illegality, be determined by the Administrative Agent without reference to the Adjusted LIBO Rate component of the Alternate Base Rate), either on the last day of the Interest Period therefor, if such Lender may lawfully continue to maintain such LIBOR Loans to such day, or immediately, if such Lender may not lawfully continue to maintain such LIBOR Loans and (B) if such notice asserts the illegality of such Lender determining or charging interest rates based upon the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LIBO Rate. Upon any such prepayment or conversion, the Company shall also pay accrued interest on the amount so prepaid or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447040</wp:posOffset>
            </wp:positionV>
            <wp:extent cx="5642610" cy="514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2" w:name="page243"/>
    <w:bookmarkEnd w:id="242"/>
    <w:p>
      <w:pPr>
        <w:jc w:val="right"/>
        <w:ind w:right="99"/>
        <w:spacing w:after="0"/>
        <w:rPr>
          <w:sz w:val="20"/>
          <w:szCs w:val="20"/>
          <w:color w:val="auto"/>
        </w:rPr>
      </w:pPr>
      <w:r>
        <w:rPr>
          <w:rFonts w:ascii="Arial" w:cs="Arial" w:eastAsia="Arial" w:hAnsi="Arial"/>
          <w:sz w:val="22"/>
          <w:szCs w:val="22"/>
          <w:color w:val="auto"/>
        </w:rPr>
        <w:t>56</w:t>
      </w:r>
    </w:p>
    <w:p>
      <w:pPr>
        <w:spacing w:after="0" w:line="396" w:lineRule="exact"/>
        <w:rPr>
          <w:sz w:val="20"/>
          <w:szCs w:val="20"/>
          <w:color w:val="auto"/>
        </w:rPr>
      </w:pPr>
    </w:p>
    <w:p>
      <w:pPr>
        <w:jc w:val="both"/>
        <w:ind w:left="100" w:right="99" w:firstLine="1296"/>
        <w:spacing w:after="0" w:line="239"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of any principal of any LIBOR Loan other than on the last day of an Interest Period applicable thereto (including as a result of an Event of Default or the application of </w:t>
      </w:r>
      <w:r>
        <w:rPr>
          <w:rFonts w:ascii="Arial" w:cs="Arial" w:eastAsia="Arial" w:hAnsi="Arial"/>
          <w:sz w:val="19"/>
          <w:szCs w:val="19"/>
          <w:u w:val="single" w:color="auto"/>
          <w:color w:val="auto"/>
        </w:rPr>
        <w:t>Section 2.21(b)</w:t>
      </w:r>
      <w:r>
        <w:rPr>
          <w:rFonts w:ascii="Arial" w:cs="Arial" w:eastAsia="Arial" w:hAnsi="Arial"/>
          <w:sz w:val="19"/>
          <w:szCs w:val="19"/>
          <w:color w:val="auto"/>
        </w:rPr>
        <w:t>), (b) the conversion of any LIBOR Loan other than on the last day of the Interest Period applicable thereto, (c) the failure to borrow, convert or continue any LIBOR Loan on the date specified in any notice delivered pursuant hereto (whether or not such notice may be revoked in accordance with the terms hereof), (d) the failure to prepay any LIBOR Loan on a date specified therefor in any notice of prepayment given by the Company (whether or not such notice may be revoked in accordance with the terms hereof) or</w:t>
      </w:r>
    </w:p>
    <w:p>
      <w:pPr>
        <w:spacing w:after="0" w:line="6" w:lineRule="exact"/>
        <w:rPr>
          <w:sz w:val="20"/>
          <w:szCs w:val="20"/>
          <w:color w:val="auto"/>
        </w:rPr>
      </w:pPr>
    </w:p>
    <w:p>
      <w:pPr>
        <w:jc w:val="both"/>
        <w:ind w:left="100" w:right="99" w:firstLine="5"/>
        <w:spacing w:after="0"/>
        <w:tabs>
          <w:tab w:leader="none" w:pos="41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the assignment of any LIBOR Loan other than on the last day of the Interest Period applicable thereto as a result of a request by the Company pursuant to </w:t>
      </w:r>
      <w:r>
        <w:rPr>
          <w:rFonts w:ascii="Arial" w:cs="Arial" w:eastAsia="Arial" w:hAnsi="Arial"/>
          <w:sz w:val="19"/>
          <w:szCs w:val="19"/>
          <w:u w:val="single" w:color="auto"/>
          <w:color w:val="auto"/>
        </w:rPr>
        <w:t>Section 2.18</w:t>
      </w:r>
      <w:r>
        <w:rPr>
          <w:rFonts w:ascii="Arial" w:cs="Arial" w:eastAsia="Arial" w:hAnsi="Arial"/>
          <w:sz w:val="19"/>
          <w:szCs w:val="19"/>
          <w:color w:val="auto"/>
        </w:rPr>
        <w:t>, then, in any such event, the Company shall compensate each requesting Lender for the loss, cost and expense attributable to such event (but not lost profits) following request of such Lender (accompanied by a certificate described below in this Section). Such loss, cost or expense to any Lender shall be deemed to include an amount determined by such Lender to be the excess, if any, of (i) the amount of interest that would have accrued on the principal amount of such Loan had such event not occurred, at the Adjusted LIBO Rate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if it were to bid, at the commencement of such period, for dollar deposits of a comparable amount and period from other banks in the London interbank market. A certificate of any Lender delivered to the Company and setting forth the basis for and, in reasonable detail (to the extent practicable), computation of any amount or amounts that such Lender is entitled to receive pursuant to this Section shall be conclusive absent manifest error. The Company shall pay such Lender the amount shown as due on any such certificate within 10 days after receipt thereof.</w:t>
      </w:r>
    </w:p>
    <w:p>
      <w:pPr>
        <w:spacing w:after="0" w:line="373" w:lineRule="exact"/>
        <w:rPr>
          <w:sz w:val="20"/>
          <w:szCs w:val="20"/>
          <w:color w:val="auto"/>
        </w:rPr>
      </w:pPr>
    </w:p>
    <w:p>
      <w:pPr>
        <w:jc w:val="both"/>
        <w:ind w:left="100" w:right="99" w:firstLine="1296"/>
        <w:spacing w:after="0" w:line="219" w:lineRule="auto"/>
        <w:rPr>
          <w:sz w:val="20"/>
          <w:szCs w:val="20"/>
          <w:color w:val="auto"/>
        </w:rPr>
      </w:pPr>
      <w:r>
        <w:rPr>
          <w:rFonts w:ascii="Arial" w:cs="Arial" w:eastAsia="Arial" w:hAnsi="Arial"/>
          <w:sz w:val="21"/>
          <w:szCs w:val="21"/>
          <w:color w:val="auto"/>
        </w:rPr>
        <w:t xml:space="preserve">SECTION 2.16 </w:t>
      </w:r>
      <w:r>
        <w:rPr>
          <w:rFonts w:ascii="Arial" w:cs="Arial" w:eastAsia="Arial" w:hAnsi="Arial"/>
          <w:sz w:val="21"/>
          <w:szCs w:val="21"/>
          <w:u w:val="single" w:color="auto"/>
          <w:color w:val="auto"/>
        </w:rPr>
        <w:t>Taxes</w:t>
      </w:r>
      <w:r>
        <w:rPr>
          <w:rFonts w:ascii="Arial" w:cs="Arial" w:eastAsia="Arial" w:hAnsi="Arial"/>
          <w:sz w:val="21"/>
          <w:szCs w:val="21"/>
          <w:color w:val="auto"/>
        </w:rPr>
        <w:t xml:space="preserve">. (a) </w:t>
      </w:r>
      <w:r>
        <w:rPr>
          <w:rFonts w:ascii="Arial" w:cs="Arial" w:eastAsia="Arial" w:hAnsi="Arial"/>
          <w:sz w:val="21"/>
          <w:szCs w:val="21"/>
          <w:u w:val="single" w:color="auto"/>
          <w:color w:val="auto"/>
        </w:rPr>
        <w:t>Payments Free of Taxes</w:t>
      </w:r>
      <w:r>
        <w:rPr>
          <w:rFonts w:ascii="Arial" w:cs="Arial" w:eastAsia="Arial" w:hAnsi="Arial"/>
          <w:sz w:val="21"/>
          <w:szCs w:val="21"/>
          <w:color w:val="auto"/>
        </w:rPr>
        <w:t xml:space="preserve">. Any and all payments by or on account of any obligation of the Company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Company shall be increased as necessary so that after such deduction or withholding has been made (including such deductions and withholdings applicable to additional sums payable under this </w:t>
      </w:r>
      <w:r>
        <w:rPr>
          <w:rFonts w:ascii="Arial" w:cs="Arial" w:eastAsia="Arial" w:hAnsi="Arial"/>
          <w:sz w:val="21"/>
          <w:szCs w:val="21"/>
          <w:u w:val="single" w:color="auto"/>
          <w:color w:val="auto"/>
        </w:rPr>
        <w:t>Section 2.16</w:t>
      </w:r>
      <w:r>
        <w:rPr>
          <w:rFonts w:ascii="Arial" w:cs="Arial" w:eastAsia="Arial" w:hAnsi="Arial"/>
          <w:sz w:val="21"/>
          <w:szCs w:val="21"/>
          <w:color w:val="auto"/>
        </w:rPr>
        <w:t>) the applicable Recipient receives an amount equal to the sum it would have received had no such deduction or withholding been made.</w:t>
      </w:r>
    </w:p>
    <w:p>
      <w:pPr>
        <w:spacing w:after="0" w:line="165" w:lineRule="exact"/>
        <w:rPr>
          <w:sz w:val="20"/>
          <w:szCs w:val="20"/>
          <w:color w:val="auto"/>
        </w:rPr>
      </w:pPr>
    </w:p>
    <w:p>
      <w:pPr>
        <w:jc w:val="both"/>
        <w:ind w:left="100" w:right="99" w:firstLine="1301"/>
        <w:spacing w:after="0" w:line="223" w:lineRule="auto"/>
        <w:tabs>
          <w:tab w:leader="none" w:pos="1878"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Company</w:t>
      </w:r>
      <w:r>
        <w:rPr>
          <w:rFonts w:ascii="Arial" w:cs="Arial" w:eastAsia="Arial" w:hAnsi="Arial"/>
          <w:sz w:val="22"/>
          <w:szCs w:val="22"/>
          <w:color w:val="auto"/>
        </w:rPr>
        <w:t>. The Company shall timely pay to the relevant Governmental Authority in accordance with applicable law, or at the option of the Administrative Agent timely reimburse it for the payment of, any Other Taxes.</w:t>
      </w:r>
    </w:p>
    <w:p>
      <w:pPr>
        <w:spacing w:after="0" w:line="159" w:lineRule="exact"/>
        <w:rPr>
          <w:rFonts w:ascii="Arial" w:cs="Arial" w:eastAsia="Arial" w:hAnsi="Arial"/>
          <w:sz w:val="22"/>
          <w:szCs w:val="22"/>
          <w:color w:val="auto"/>
        </w:rPr>
      </w:pPr>
    </w:p>
    <w:p>
      <w:pPr>
        <w:ind w:left="100" w:right="99" w:firstLine="1301"/>
        <w:spacing w:after="0" w:line="247" w:lineRule="auto"/>
        <w:tabs>
          <w:tab w:leader="none" w:pos="1852"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xml:space="preserve">. As soon as practicable after any payment of Taxes by the Company to a Governmental Authority pursuant to this </w:t>
      </w:r>
      <w:r>
        <w:rPr>
          <w:rFonts w:ascii="Arial" w:cs="Arial" w:eastAsia="Arial" w:hAnsi="Arial"/>
          <w:sz w:val="21"/>
          <w:szCs w:val="21"/>
          <w:u w:val="single" w:color="auto"/>
          <w:color w:val="auto"/>
        </w:rPr>
        <w:t>Section 2.16</w:t>
      </w:r>
      <w:r>
        <w:rPr>
          <w:rFonts w:ascii="Arial" w:cs="Arial" w:eastAsia="Arial" w:hAnsi="Arial"/>
          <w:sz w:val="21"/>
          <w:szCs w:val="21"/>
          <w:color w:val="auto"/>
        </w:rPr>
        <w:t>, the Company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311150</wp:posOffset>
            </wp:positionV>
            <wp:extent cx="5642610" cy="514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3" w:name="page244"/>
    <w:bookmarkEnd w:id="243"/>
    <w:p>
      <w:pPr>
        <w:jc w:val="right"/>
        <w:ind w:right="99"/>
        <w:spacing w:after="0"/>
        <w:rPr>
          <w:sz w:val="20"/>
          <w:szCs w:val="20"/>
          <w:color w:val="auto"/>
        </w:rPr>
      </w:pPr>
      <w:r>
        <w:rPr>
          <w:rFonts w:ascii="Arial" w:cs="Arial" w:eastAsia="Arial" w:hAnsi="Arial"/>
          <w:sz w:val="22"/>
          <w:szCs w:val="22"/>
          <w:color w:val="auto"/>
        </w:rPr>
        <w:t>57</w:t>
      </w:r>
    </w:p>
    <w:p>
      <w:pPr>
        <w:spacing w:after="0" w:line="396"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21"/>
          <w:szCs w:val="21"/>
          <w:color w:val="auto"/>
        </w:rPr>
        <w:t>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8" w:lineRule="exact"/>
        <w:rPr>
          <w:sz w:val="20"/>
          <w:szCs w:val="20"/>
          <w:color w:val="auto"/>
        </w:rPr>
      </w:pPr>
    </w:p>
    <w:p>
      <w:pPr>
        <w:jc w:val="both"/>
        <w:ind w:left="100" w:right="99" w:firstLine="1301"/>
        <w:spacing w:after="0" w:line="245" w:lineRule="auto"/>
        <w:tabs>
          <w:tab w:leader="none" w:pos="1864"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Indemnification by the Company</w:t>
      </w:r>
      <w:r>
        <w:rPr>
          <w:rFonts w:ascii="Arial" w:cs="Arial" w:eastAsia="Arial" w:hAnsi="Arial"/>
          <w:sz w:val="19"/>
          <w:szCs w:val="19"/>
          <w:color w:val="auto"/>
        </w:rPr>
        <w:t xml:space="preserve">. The Company shall indemnify each Recipient, within 10 days after written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53" w:lineRule="exact"/>
        <w:rPr>
          <w:rFonts w:ascii="Arial" w:cs="Arial" w:eastAsia="Arial" w:hAnsi="Arial"/>
          <w:sz w:val="19"/>
          <w:szCs w:val="19"/>
          <w:color w:val="auto"/>
        </w:rPr>
      </w:pPr>
    </w:p>
    <w:p>
      <w:pPr>
        <w:jc w:val="both"/>
        <w:ind w:left="100" w:right="99" w:firstLine="1301"/>
        <w:spacing w:after="0" w:line="241" w:lineRule="auto"/>
        <w:tabs>
          <w:tab w:leader="none" w:pos="2001"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10 days after demand therefor, for (i) any Indemnified Taxes attributable to such Lender (but only to the extent that the Company has not already indemnified the Administrative Agent for such Indemnified Taxes and without limiting the obligation of the Company to do so), (ii) any Taxes attributable to such Lender’s failure to comply with the provisions of </w:t>
      </w:r>
      <w:r>
        <w:rPr>
          <w:rFonts w:ascii="Arial" w:cs="Arial" w:eastAsia="Arial" w:hAnsi="Arial"/>
          <w:sz w:val="19"/>
          <w:szCs w:val="19"/>
          <w:u w:val="single" w:color="auto"/>
          <w:color w:val="auto"/>
        </w:rPr>
        <w:t>Section 9.04(c)(ii)</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w:t>
      </w:r>
    </w:p>
    <w:p>
      <w:pPr>
        <w:spacing w:after="0" w:line="385" w:lineRule="exact"/>
        <w:rPr>
          <w:rFonts w:ascii="Arial" w:cs="Arial" w:eastAsia="Arial" w:hAnsi="Arial"/>
          <w:sz w:val="19"/>
          <w:szCs w:val="19"/>
          <w:color w:val="auto"/>
        </w:rPr>
      </w:pPr>
    </w:p>
    <w:p>
      <w:pPr>
        <w:ind w:left="1840" w:hanging="439"/>
        <w:spacing w:after="0"/>
        <w:tabs>
          <w:tab w:leader="none" w:pos="184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Status of Lenders</w:t>
      </w:r>
      <w:r>
        <w:rPr>
          <w:rFonts w:ascii="Arial" w:cs="Arial" w:eastAsia="Arial" w:hAnsi="Arial"/>
          <w:sz w:val="22"/>
          <w:szCs w:val="22"/>
          <w:color w:val="auto"/>
        </w:rPr>
        <w:t>.</w:t>
      </w:r>
    </w:p>
    <w:p>
      <w:pPr>
        <w:spacing w:after="0" w:line="179" w:lineRule="exact"/>
        <w:rPr>
          <w:sz w:val="20"/>
          <w:szCs w:val="20"/>
          <w:color w:val="auto"/>
        </w:rPr>
      </w:pPr>
    </w:p>
    <w:p>
      <w:pPr>
        <w:jc w:val="both"/>
        <w:ind w:left="760" w:right="99" w:firstLine="641"/>
        <w:spacing w:after="0" w:line="242" w:lineRule="auto"/>
        <w:tabs>
          <w:tab w:leader="none" w:pos="1828"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and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2.16(f)(ii)(A)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2.16(f)(ii)(B)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2.16(f)(ii)(D)</w:t>
      </w:r>
      <w:r>
        <w:rPr>
          <w:rFonts w:ascii="Arial" w:cs="Arial" w:eastAsia="Arial" w:hAnsi="Arial"/>
          <w:sz w:val="19"/>
          <w:szCs w:val="19"/>
          <w:color w:val="auto"/>
        </w:rPr>
        <w:t>) shall not be required if in the Lender’s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314960</wp:posOffset>
            </wp:positionV>
            <wp:extent cx="5642610" cy="514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4" w:name="page245"/>
    <w:bookmarkEnd w:id="244"/>
    <w:p>
      <w:pPr>
        <w:jc w:val="right"/>
        <w:ind w:right="99"/>
        <w:spacing w:after="0"/>
        <w:rPr>
          <w:sz w:val="20"/>
          <w:szCs w:val="20"/>
          <w:color w:val="auto"/>
        </w:rPr>
      </w:pPr>
      <w:r>
        <w:rPr>
          <w:rFonts w:ascii="Arial" w:cs="Arial" w:eastAsia="Arial" w:hAnsi="Arial"/>
          <w:sz w:val="22"/>
          <w:szCs w:val="22"/>
          <w:color w:val="auto"/>
        </w:rPr>
        <w:t>58</w:t>
      </w:r>
    </w:p>
    <w:p>
      <w:pPr>
        <w:spacing w:after="0" w:line="396" w:lineRule="exact"/>
        <w:rPr>
          <w:sz w:val="20"/>
          <w:szCs w:val="20"/>
          <w:color w:val="auto"/>
        </w:rPr>
      </w:pPr>
    </w:p>
    <w:p>
      <w:pPr>
        <w:jc w:val="both"/>
        <w:ind w:left="760" w:right="99"/>
        <w:spacing w:after="0" w:line="223" w:lineRule="auto"/>
        <w:rPr>
          <w:sz w:val="20"/>
          <w:szCs w:val="20"/>
          <w:color w:val="auto"/>
        </w:rPr>
      </w:pPr>
      <w:r>
        <w:rPr>
          <w:rFonts w:ascii="Arial" w:cs="Arial" w:eastAsia="Arial" w:hAnsi="Arial"/>
          <w:sz w:val="22"/>
          <w:szCs w:val="22"/>
          <w:color w:val="auto"/>
        </w:rPr>
        <w:t>judgment such completion, execution or submission would subject such Lender to any material unreimbursed cost or expense or would materially prejudice the legal or commercial position of such Lender.</w:t>
      </w:r>
    </w:p>
    <w:p>
      <w:pPr>
        <w:spacing w:after="0" w:line="159" w:lineRule="exact"/>
        <w:rPr>
          <w:sz w:val="20"/>
          <w:szCs w:val="20"/>
          <w:color w:val="auto"/>
        </w:rPr>
      </w:pPr>
    </w:p>
    <w:p>
      <w:pPr>
        <w:ind w:left="1880" w:hanging="479"/>
        <w:spacing w:after="0"/>
        <w:tabs>
          <w:tab w:leader="none" w:pos="188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179" w:lineRule="exact"/>
        <w:rPr>
          <w:rFonts w:ascii="Arial" w:cs="Arial" w:eastAsia="Arial" w:hAnsi="Arial"/>
          <w:sz w:val="22"/>
          <w:szCs w:val="22"/>
          <w:color w:val="auto"/>
        </w:rPr>
      </w:pPr>
    </w:p>
    <w:p>
      <w:pPr>
        <w:jc w:val="both"/>
        <w:ind w:left="1400" w:right="99" w:firstLine="649"/>
        <w:spacing w:after="0" w:line="252" w:lineRule="auto"/>
        <w:tabs>
          <w:tab w:leader="none" w:pos="2632" w:val="left"/>
        </w:tabs>
        <w:numPr>
          <w:ilvl w:val="1"/>
          <w:numId w:val="173"/>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originals of IRS Form W-9 certifying that such Lender is exempt from U.S. Federal backup withholding Tax;</w:t>
      </w:r>
    </w:p>
    <w:p>
      <w:pPr>
        <w:spacing w:after="0" w:line="149" w:lineRule="exact"/>
        <w:rPr>
          <w:rFonts w:ascii="Arial" w:cs="Arial" w:eastAsia="Arial" w:hAnsi="Arial"/>
          <w:sz w:val="19"/>
          <w:szCs w:val="19"/>
          <w:color w:val="auto"/>
        </w:rPr>
      </w:pPr>
    </w:p>
    <w:p>
      <w:pPr>
        <w:jc w:val="both"/>
        <w:ind w:left="1400" w:right="99" w:firstLine="649"/>
        <w:spacing w:after="0" w:line="214" w:lineRule="auto"/>
        <w:tabs>
          <w:tab w:leader="none" w:pos="2674" w:val="left"/>
        </w:tabs>
        <w:numPr>
          <w:ilvl w:val="1"/>
          <w:numId w:val="173"/>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59" w:lineRule="exact"/>
        <w:rPr>
          <w:rFonts w:ascii="Arial" w:cs="Arial" w:eastAsia="Arial" w:hAnsi="Arial"/>
          <w:sz w:val="22"/>
          <w:szCs w:val="22"/>
          <w:color w:val="auto"/>
        </w:rPr>
      </w:pPr>
    </w:p>
    <w:p>
      <w:pPr>
        <w:jc w:val="both"/>
        <w:ind w:left="2040" w:right="99" w:firstLine="658"/>
        <w:spacing w:after="0" w:line="245" w:lineRule="auto"/>
        <w:tabs>
          <w:tab w:leader="none" w:pos="3156" w:val="left"/>
        </w:tabs>
        <w:numPr>
          <w:ilvl w:val="2"/>
          <w:numId w:val="17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W-8BEN-E or IRS Form W-8BEN, as applicable, establishing an exemption from, or reduction of, Taxes pursuant to the “interest” article of such tax treaty and (y) with respect to any other applicable payments under any Loan Document, executed originals of IRS Form W-8BEN-E or IRS Form W-8BEN, as applicable, establishing an exemption from, or reduction of, Taxes pursuant to the “business profits” or “other income” article of such tax treaty;</w:t>
      </w:r>
    </w:p>
    <w:p>
      <w:pPr>
        <w:spacing w:after="0" w:line="153" w:lineRule="exact"/>
        <w:rPr>
          <w:rFonts w:ascii="Arial" w:cs="Arial" w:eastAsia="Arial" w:hAnsi="Arial"/>
          <w:sz w:val="19"/>
          <w:szCs w:val="19"/>
          <w:color w:val="auto"/>
        </w:rPr>
      </w:pPr>
    </w:p>
    <w:p>
      <w:pPr>
        <w:ind w:left="3160" w:hanging="462"/>
        <w:spacing w:after="0"/>
        <w:tabs>
          <w:tab w:leader="none" w:pos="316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executed originals of IRS Form W-8ECI;</w:t>
      </w:r>
    </w:p>
    <w:p>
      <w:pPr>
        <w:spacing w:after="0" w:line="179" w:lineRule="exact"/>
        <w:rPr>
          <w:rFonts w:ascii="Arial" w:cs="Arial" w:eastAsia="Arial" w:hAnsi="Arial"/>
          <w:sz w:val="22"/>
          <w:szCs w:val="22"/>
          <w:color w:val="auto"/>
        </w:rPr>
      </w:pPr>
    </w:p>
    <w:p>
      <w:pPr>
        <w:jc w:val="both"/>
        <w:ind w:left="2040" w:right="99" w:firstLine="658"/>
        <w:spacing w:after="0" w:line="242" w:lineRule="auto"/>
        <w:tabs>
          <w:tab w:leader="none" w:pos="3318" w:val="left"/>
        </w:tabs>
        <w:numPr>
          <w:ilvl w:val="2"/>
          <w:numId w:val="173"/>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executed originals of a certificate substantially in the form of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to the effect that such Foreign Lender is not a “bank” within the meaning of Section 881(c)</w:t>
      </w:r>
    </w:p>
    <w:p>
      <w:pPr>
        <w:spacing w:after="0" w:line="1" w:lineRule="exact"/>
        <w:rPr>
          <w:rFonts w:ascii="Arial" w:cs="Arial" w:eastAsia="Arial" w:hAnsi="Arial"/>
          <w:sz w:val="19"/>
          <w:szCs w:val="19"/>
          <w:color w:val="auto"/>
        </w:rPr>
      </w:pPr>
    </w:p>
    <w:p>
      <w:pPr>
        <w:jc w:val="both"/>
        <w:ind w:left="2040" w:right="99"/>
        <w:spacing w:after="0" w:line="212" w:lineRule="auto"/>
        <w:rPr>
          <w:rFonts w:ascii="Arial" w:cs="Arial" w:eastAsia="Arial" w:hAnsi="Arial"/>
          <w:sz w:val="19"/>
          <w:szCs w:val="19"/>
          <w:color w:val="auto"/>
        </w:rPr>
      </w:pPr>
      <w:r>
        <w:rPr>
          <w:rFonts w:ascii="Arial" w:cs="Arial" w:eastAsia="Arial" w:hAnsi="Arial"/>
          <w:sz w:val="22"/>
          <w:szCs w:val="22"/>
          <w:color w:val="auto"/>
        </w:rPr>
        <w:t>(3)(A) of the Code, a “10 percent shareholder” of the Company within the meaning of Section 881(c)(3)(B) of the Code or a “controlled foreign corporation” described in Section 881(c)(3)(C) of the Code (a “</w:t>
      </w:r>
      <w:r>
        <w:rPr>
          <w:rFonts w:ascii="Arial" w:cs="Arial" w:eastAsia="Arial" w:hAnsi="Arial"/>
          <w:sz w:val="22"/>
          <w:szCs w:val="22"/>
          <w:u w:val="single" w:color="auto"/>
          <w:color w:val="auto"/>
        </w:rPr>
        <w:t>U.S. Tax</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and (y) executed originals of IRS Form W-8BEN-E or IRS Form W-8BEN, as applicable; or</w:t>
      </w:r>
    </w:p>
    <w:p>
      <w:pPr>
        <w:spacing w:after="0" w:line="161" w:lineRule="exact"/>
        <w:rPr>
          <w:rFonts w:ascii="Arial" w:cs="Arial" w:eastAsia="Arial" w:hAnsi="Arial"/>
          <w:sz w:val="19"/>
          <w:szCs w:val="19"/>
          <w:color w:val="auto"/>
        </w:rPr>
      </w:pPr>
    </w:p>
    <w:p>
      <w:pPr>
        <w:jc w:val="both"/>
        <w:ind w:left="2040" w:right="99" w:firstLine="658"/>
        <w:spacing w:after="0" w:line="257" w:lineRule="auto"/>
        <w:tabs>
          <w:tab w:leader="none" w:pos="3372" w:val="left"/>
        </w:tabs>
        <w:numPr>
          <w:ilvl w:val="2"/>
          <w:numId w:val="173"/>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originals of IRS Form W-8IMY, accompanied by IRS Form W-8ECI, IRS Form W-8BEN-E, IRS Form W-8BEN, as applicable, a U.S. Tax Compliance Certificate substantially in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307340</wp:posOffset>
            </wp:positionV>
            <wp:extent cx="5642610" cy="514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5" w:name="page246"/>
    <w:bookmarkEnd w:id="245"/>
    <w:p>
      <w:pPr>
        <w:ind w:left="8700"/>
        <w:spacing w:after="0"/>
        <w:rPr>
          <w:sz w:val="20"/>
          <w:szCs w:val="20"/>
          <w:color w:val="auto"/>
        </w:rPr>
      </w:pPr>
      <w:r>
        <w:rPr>
          <w:rFonts w:ascii="Arial" w:cs="Arial" w:eastAsia="Arial" w:hAnsi="Arial"/>
          <w:sz w:val="19"/>
          <w:szCs w:val="19"/>
          <w:color w:val="auto"/>
        </w:rPr>
        <w:t>59</w:t>
      </w:r>
    </w:p>
    <w:p>
      <w:pPr>
        <w:spacing w:after="0" w:line="200" w:lineRule="exact"/>
        <w:rPr>
          <w:sz w:val="20"/>
          <w:szCs w:val="20"/>
          <w:color w:val="auto"/>
        </w:rPr>
      </w:pPr>
    </w:p>
    <w:p>
      <w:pPr>
        <w:spacing w:after="0" w:line="231" w:lineRule="exact"/>
        <w:rPr>
          <w:sz w:val="20"/>
          <w:szCs w:val="20"/>
          <w:color w:val="auto"/>
        </w:rPr>
      </w:pPr>
    </w:p>
    <w:p>
      <w:pPr>
        <w:jc w:val="both"/>
        <w:ind w:left="2040" w:right="99"/>
        <w:spacing w:after="0" w:line="224" w:lineRule="auto"/>
        <w:rPr>
          <w:sz w:val="20"/>
          <w:szCs w:val="20"/>
          <w:color w:val="auto"/>
        </w:rPr>
      </w:pPr>
      <w:r>
        <w:rPr>
          <w:rFonts w:ascii="Arial" w:cs="Arial" w:eastAsia="Arial" w:hAnsi="Arial"/>
          <w:sz w:val="21"/>
          <w:szCs w:val="21"/>
          <w:u w:val="single" w:color="auto"/>
          <w:color w:val="auto"/>
        </w:rPr>
        <w:t>F-3</w:t>
      </w:r>
      <w:r>
        <w:rPr>
          <w:rFonts w:ascii="Arial" w:cs="Arial" w:eastAsia="Arial" w:hAnsi="Arial"/>
          <w:sz w:val="21"/>
          <w:szCs w:val="21"/>
          <w:color w:val="auto"/>
        </w:rPr>
        <w:t xml:space="preserve">, IRS Form W-9, and/or other certification documents from each beneficial owner,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1"/>
          <w:szCs w:val="21"/>
          <w:u w:val="single" w:color="auto"/>
          <w:color w:val="auto"/>
        </w:rPr>
        <w:t>Exhibit F-4</w:t>
      </w:r>
      <w:r>
        <w:rPr>
          <w:rFonts w:ascii="Arial" w:cs="Arial" w:eastAsia="Arial" w:hAnsi="Arial"/>
          <w:sz w:val="21"/>
          <w:szCs w:val="21"/>
          <w:color w:val="auto"/>
        </w:rPr>
        <w:t xml:space="preserve"> on behalf of each such direct and indirect partner;</w:t>
      </w:r>
    </w:p>
    <w:p>
      <w:pPr>
        <w:spacing w:after="0" w:line="160" w:lineRule="exact"/>
        <w:rPr>
          <w:sz w:val="20"/>
          <w:szCs w:val="20"/>
          <w:color w:val="auto"/>
        </w:rPr>
      </w:pPr>
    </w:p>
    <w:p>
      <w:pPr>
        <w:jc w:val="both"/>
        <w:ind w:left="1400" w:right="99" w:firstLine="649"/>
        <w:spacing w:after="0" w:line="244" w:lineRule="auto"/>
        <w:tabs>
          <w:tab w:leader="none" w:pos="267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Taxes, duly completed, together with such supplementary documentation as may be prescribed by applicable law to permit the Company or the Administrative Agent to determine the withholding or deduction required to be made; and</w:t>
      </w:r>
    </w:p>
    <w:p>
      <w:pPr>
        <w:spacing w:after="0" w:line="155" w:lineRule="exact"/>
        <w:rPr>
          <w:rFonts w:ascii="Arial" w:cs="Arial" w:eastAsia="Arial" w:hAnsi="Arial"/>
          <w:sz w:val="19"/>
          <w:szCs w:val="19"/>
          <w:color w:val="auto"/>
        </w:rPr>
      </w:pPr>
    </w:p>
    <w:p>
      <w:pPr>
        <w:jc w:val="both"/>
        <w:ind w:left="1400" w:right="99" w:firstLine="649"/>
        <w:spacing w:after="0" w:line="242" w:lineRule="auto"/>
        <w:tabs>
          <w:tab w:leader="none" w:pos="268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Taxes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57" w:lineRule="exact"/>
        <w:rPr>
          <w:sz w:val="20"/>
          <w:szCs w:val="20"/>
          <w:color w:val="auto"/>
        </w:rPr>
      </w:pPr>
    </w:p>
    <w:p>
      <w:pPr>
        <w:jc w:val="both"/>
        <w:ind w:left="100" w:right="99" w:firstLine="1296"/>
        <w:spacing w:after="0" w:line="268" w:lineRule="auto"/>
        <w:rPr>
          <w:sz w:val="20"/>
          <w:szCs w:val="20"/>
          <w:color w:val="auto"/>
        </w:rPr>
      </w:pPr>
      <w:r>
        <w:rPr>
          <w:rFonts w:ascii="Arial" w:cs="Arial" w:eastAsia="Arial" w:hAnsi="Arial"/>
          <w:sz w:val="19"/>
          <w:szCs w:val="19"/>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32" w:lineRule="exact"/>
        <w:rPr>
          <w:sz w:val="20"/>
          <w:szCs w:val="20"/>
          <w:color w:val="auto"/>
        </w:rPr>
      </w:pPr>
    </w:p>
    <w:p>
      <w:pPr>
        <w:jc w:val="both"/>
        <w:ind w:left="100" w:right="99" w:firstLine="1301"/>
        <w:spacing w:after="0" w:line="245" w:lineRule="auto"/>
        <w:tabs>
          <w:tab w:leader="none" w:pos="1919"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indemnified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it shall pay to the indemnifying party an amount equal to such refund (but only to the extent of indemnity payments made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313055</wp:posOffset>
            </wp:positionV>
            <wp:extent cx="5642610" cy="514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6" w:name="page247"/>
    <w:bookmarkEnd w:id="246"/>
    <w:p>
      <w:pPr>
        <w:jc w:val="right"/>
        <w:ind w:right="99"/>
        <w:spacing w:after="0"/>
        <w:rPr>
          <w:sz w:val="20"/>
          <w:szCs w:val="20"/>
          <w:color w:val="auto"/>
        </w:rPr>
      </w:pPr>
      <w:r>
        <w:rPr>
          <w:rFonts w:ascii="Arial" w:cs="Arial" w:eastAsia="Arial" w:hAnsi="Arial"/>
          <w:sz w:val="22"/>
          <w:szCs w:val="22"/>
          <w:color w:val="auto"/>
        </w:rPr>
        <w:t>60</w:t>
      </w:r>
    </w:p>
    <w:p>
      <w:pPr>
        <w:spacing w:after="0" w:line="396"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21"/>
          <w:szCs w:val="21"/>
          <w:color w:val="auto"/>
        </w:rPr>
        <w:t>paragraph (plus any penalties, interest or other charges imposed by the relevant Governmental Authority) in the event that such indemnified party is required to repay such refund to such Governmental Authority. Notwithstanding anything to the contrary in this paragraph, in no event will the indemnified party be required to pay any amount to an indemnifying party pursuant to this paragraph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8" w:lineRule="exact"/>
        <w:rPr>
          <w:sz w:val="20"/>
          <w:szCs w:val="20"/>
          <w:color w:val="auto"/>
        </w:rPr>
      </w:pPr>
    </w:p>
    <w:p>
      <w:pPr>
        <w:jc w:val="both"/>
        <w:ind w:left="100" w:right="99" w:firstLine="1301"/>
        <w:spacing w:after="0" w:line="218" w:lineRule="auto"/>
        <w:tabs>
          <w:tab w:leader="none" w:pos="2000"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Each party’s obligations under this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1" w:lineRule="exact"/>
        <w:rPr>
          <w:rFonts w:ascii="Arial" w:cs="Arial" w:eastAsia="Arial" w:hAnsi="Arial"/>
          <w:sz w:val="22"/>
          <w:szCs w:val="22"/>
          <w:color w:val="auto"/>
        </w:rPr>
      </w:pPr>
    </w:p>
    <w:p>
      <w:pPr>
        <w:ind w:left="100" w:right="99" w:firstLine="1301"/>
        <w:spacing w:after="0" w:line="232" w:lineRule="auto"/>
        <w:tabs>
          <w:tab w:leader="none" w:pos="1897"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2.16</w:t>
      </w:r>
      <w:r>
        <w:rPr>
          <w:rFonts w:ascii="Arial" w:cs="Arial" w:eastAsia="Arial" w:hAnsi="Arial"/>
          <w:sz w:val="22"/>
          <w:szCs w:val="22"/>
          <w:color w:val="auto"/>
        </w:rPr>
        <w:t>, the term “Lender” includes any Issuing Bank and the term “applicable law” includes FATCA.</w:t>
      </w:r>
    </w:p>
    <w:p>
      <w:pPr>
        <w:spacing w:after="0" w:line="140" w:lineRule="exact"/>
        <w:rPr>
          <w:sz w:val="20"/>
          <w:szCs w:val="20"/>
          <w:color w:val="auto"/>
        </w:rPr>
      </w:pPr>
    </w:p>
    <w:p>
      <w:pPr>
        <w:ind w:left="1400"/>
        <w:spacing w:after="0"/>
        <w:tabs>
          <w:tab w:leader="none" w:pos="318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Payments Generally; Pro Rata Treatment</w:t>
      </w:r>
      <w:r>
        <w:rPr>
          <w:rFonts w:ascii="Arial" w:cs="Arial" w:eastAsia="Arial" w:hAnsi="Arial"/>
          <w:sz w:val="19"/>
          <w:szCs w:val="19"/>
          <w:color w:val="auto"/>
        </w:rPr>
        <w:t>; Sharing of Setoffs.</w:t>
      </w:r>
    </w:p>
    <w:p>
      <w:pPr>
        <w:jc w:val="both"/>
        <w:ind w:left="100" w:right="99" w:firstLine="5"/>
        <w:spacing w:after="0"/>
        <w:tabs>
          <w:tab w:leader="none" w:pos="46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The Company shall make each payment required to be made by it hereunder or under any other Loan Document prior to the time required hereunder or under such other Loan Document for such payment (or, if no such time is expressly required, prior to 1:00 p.m., New York City time), on the date when due, in immediately available funds, without any defense,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any Swingline Lender shall be so made and except that payments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shall be made directly to the Persons entitled thereto and payments pursuant to other Loan Documents shall be made to the Persons specified therein. The Administrative Agent shall distribute any such payment received by it for the account of any other Person to the appropriate recipient promptly following receipt thereof. All payments under each Loan Document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373" w:lineRule="exact"/>
        <w:rPr>
          <w:rFonts w:ascii="Arial" w:cs="Arial" w:eastAsia="Arial" w:hAnsi="Arial"/>
          <w:sz w:val="19"/>
          <w:szCs w:val="19"/>
          <w:color w:val="auto"/>
        </w:rPr>
      </w:pPr>
    </w:p>
    <w:p>
      <w:pPr>
        <w:jc w:val="both"/>
        <w:ind w:left="100" w:right="99" w:firstLine="1301"/>
        <w:spacing w:after="0" w:line="249" w:lineRule="auto"/>
        <w:tabs>
          <w:tab w:leader="none" w:pos="2162" w:val="left"/>
        </w:tabs>
        <w:numPr>
          <w:ilvl w:val="1"/>
          <w:numId w:val="177"/>
        </w:numPr>
        <w:rPr>
          <w:rFonts w:ascii="Arial" w:cs="Arial" w:eastAsia="Arial" w:hAnsi="Arial"/>
          <w:sz w:val="19"/>
          <w:szCs w:val="19"/>
          <w:color w:val="auto"/>
        </w:rPr>
      </w:pPr>
      <w:r>
        <w:rPr>
          <w:rFonts w:ascii="Arial" w:cs="Arial" w:eastAsia="Arial" w:hAnsi="Arial"/>
          <w:sz w:val="19"/>
          <w:szCs w:val="19"/>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7" w:name="page248"/>
    <w:bookmarkEnd w:id="247"/>
    <w:p>
      <w:pPr>
        <w:jc w:val="right"/>
        <w:ind w:right="99"/>
        <w:spacing w:after="0"/>
        <w:rPr>
          <w:sz w:val="20"/>
          <w:szCs w:val="20"/>
          <w:color w:val="auto"/>
        </w:rPr>
      </w:pPr>
      <w:r>
        <w:rPr>
          <w:rFonts w:ascii="Arial" w:cs="Arial" w:eastAsia="Arial" w:hAnsi="Arial"/>
          <w:sz w:val="22"/>
          <w:szCs w:val="22"/>
          <w:color w:val="auto"/>
        </w:rPr>
        <w:t>61</w:t>
      </w:r>
    </w:p>
    <w:p>
      <w:pPr>
        <w:spacing w:after="0" w:line="396" w:lineRule="exact"/>
        <w:rPr>
          <w:sz w:val="20"/>
          <w:szCs w:val="20"/>
          <w:color w:val="auto"/>
        </w:rPr>
      </w:pPr>
    </w:p>
    <w:p>
      <w:pPr>
        <w:jc w:val="both"/>
        <w:ind w:left="100" w:right="99"/>
        <w:spacing w:after="0" w:line="232" w:lineRule="auto"/>
        <w:rPr>
          <w:sz w:val="20"/>
          <w:szCs w:val="20"/>
          <w:color w:val="auto"/>
        </w:rPr>
      </w:pPr>
      <w:r>
        <w:rPr>
          <w:rFonts w:ascii="Arial" w:cs="Arial" w:eastAsia="Arial" w:hAnsi="Arial"/>
          <w:sz w:val="22"/>
          <w:szCs w:val="22"/>
          <w:color w:val="auto"/>
        </w:rPr>
        <w:t>entitled thereto in accordance with the amounts of principal and unreimbursed LC Disbursements then due to such parties.</w:t>
      </w:r>
    </w:p>
    <w:p>
      <w:pPr>
        <w:spacing w:after="0" w:line="159" w:lineRule="exact"/>
        <w:rPr>
          <w:sz w:val="20"/>
          <w:szCs w:val="20"/>
          <w:color w:val="auto"/>
        </w:rPr>
      </w:pPr>
    </w:p>
    <w:p>
      <w:pPr>
        <w:jc w:val="both"/>
        <w:ind w:left="100" w:right="99" w:firstLine="1301"/>
        <w:spacing w:after="0"/>
        <w:tabs>
          <w:tab w:leader="none" w:pos="206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or participations in LC Disbursements or Swingline Loans and accrued interest thereon than the proportion received by any other Lender, then the Lender receiving such greater proportion shall notify the Administrative Agent of such fact and shall purchase (for cash at face value) participations in the Loans and participations in LC Disbursements and Swingline Loans of other Lenders to the extent necessary so that the amount of all such payments shall be shared by the Lenders ratably in accordance with the aggregate amounts of principal of and accrued interest on their Loans and participations in LC Disbursements and Swingline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Company pursuant to and in accordance with the express terms of this Agreement (for the avoidance of doubt, as in effect from time to time), including pursuant to </w:t>
      </w:r>
      <w:r>
        <w:rPr>
          <w:rFonts w:ascii="Arial" w:cs="Arial" w:eastAsia="Arial" w:hAnsi="Arial"/>
          <w:sz w:val="19"/>
          <w:szCs w:val="19"/>
          <w:u w:val="single" w:color="auto"/>
          <w:color w:val="auto"/>
        </w:rPr>
        <w:t>Section 2.14(e)</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2.22(e)</w:t>
      </w:r>
      <w:r>
        <w:rPr>
          <w:rFonts w:ascii="Arial" w:cs="Arial" w:eastAsia="Arial" w:hAnsi="Arial"/>
          <w:sz w:val="19"/>
          <w:szCs w:val="19"/>
          <w:color w:val="auto"/>
        </w:rPr>
        <w:t>, or any payment obtained by a Lender as consideration for the assignment of or sale of a participation in any of its Loans or participations in LC Disbursements or Swingline Loans to any Person that is an Eligible Assignee (as such term is defined herein from time to time). The Company consents to the foregoing and agrees, to the extent it may effectively do so under applicable law, that any Lender acquiring a participation pursuant to the foregoing arrangements may exercise against the Company rights of setoff and counterclaim with respect to such participation as fully as if such Lender were a direct creditor of the Company in the amount of such participation.</w:t>
      </w:r>
    </w:p>
    <w:p>
      <w:pPr>
        <w:spacing w:after="0" w:line="379" w:lineRule="exact"/>
        <w:rPr>
          <w:rFonts w:ascii="Arial" w:cs="Arial" w:eastAsia="Arial" w:hAnsi="Arial"/>
          <w:sz w:val="19"/>
          <w:szCs w:val="19"/>
          <w:color w:val="auto"/>
        </w:rPr>
      </w:pPr>
    </w:p>
    <w:p>
      <w:pPr>
        <w:jc w:val="both"/>
        <w:ind w:left="100" w:right="99" w:firstLine="1301"/>
        <w:spacing w:after="0" w:line="242" w:lineRule="auto"/>
        <w:tabs>
          <w:tab w:leader="none" w:pos="1932" w:val="left"/>
        </w:tabs>
        <w:numPr>
          <w:ilvl w:val="0"/>
          <w:numId w:val="178"/>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Company prior to the date on which any payment is due to the Administrative Agent for the account of the Lenders or the Issuing Banks hereunder that the Company will not make such payment, the Administrative Agent may assume that the Company has made such payment on such date in accordance herewith and may, in reliance upon such assumption, distribute to the applicable Lenders or Issuing Banks, as the case may be, the amount due. In such event, if the Company has not in fact made such payment, then each of the applicable Lenders or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65" w:lineRule="exact"/>
        <w:rPr>
          <w:rFonts w:ascii="Arial" w:cs="Arial" w:eastAsia="Arial" w:hAnsi="Arial"/>
          <w:sz w:val="19"/>
          <w:szCs w:val="19"/>
          <w:color w:val="auto"/>
        </w:rPr>
      </w:pPr>
    </w:p>
    <w:p>
      <w:pPr>
        <w:jc w:val="both"/>
        <w:ind w:left="100" w:right="99" w:firstLine="1301"/>
        <w:spacing w:after="0" w:line="249" w:lineRule="auto"/>
        <w:tabs>
          <w:tab w:leader="none" w:pos="1879"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If any Lender shall fail to make any payment required to be made by it to or for the account of the Administrative Agent, any Issuing Bank or any Swingline Lender, then the Administrative Agent may, in its discretion (notwithstanding any contrary provision hereof), (i) apply any amounts thereafter received by the Administrative Agent for the account of such Lender to satisfy such Lender’s obligations in respect of such payment until all such unsatisfied obligations have been discharged or (ii) hold any such amounts in a segregated account as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8" w:name="page249"/>
    <w:bookmarkEnd w:id="248"/>
    <w:p>
      <w:pPr>
        <w:jc w:val="right"/>
        <w:ind w:right="99"/>
        <w:spacing w:after="0"/>
        <w:rPr>
          <w:sz w:val="20"/>
          <w:szCs w:val="20"/>
          <w:color w:val="auto"/>
        </w:rPr>
      </w:pPr>
      <w:r>
        <w:rPr>
          <w:rFonts w:ascii="Arial" w:cs="Arial" w:eastAsia="Arial" w:hAnsi="Arial"/>
          <w:sz w:val="22"/>
          <w:szCs w:val="22"/>
          <w:color w:val="auto"/>
        </w:rPr>
        <w:t>62</w:t>
      </w:r>
    </w:p>
    <w:p>
      <w:pPr>
        <w:spacing w:after="0" w:line="396" w:lineRule="exact"/>
        <w:rPr>
          <w:sz w:val="20"/>
          <w:szCs w:val="20"/>
          <w:color w:val="auto"/>
        </w:rPr>
      </w:pPr>
    </w:p>
    <w:p>
      <w:pPr>
        <w:jc w:val="both"/>
        <w:ind w:left="100" w:right="99"/>
        <w:spacing w:after="0" w:line="223" w:lineRule="auto"/>
        <w:rPr>
          <w:sz w:val="20"/>
          <w:szCs w:val="20"/>
          <w:color w:val="auto"/>
        </w:rPr>
      </w:pPr>
      <w:r>
        <w:rPr>
          <w:rFonts w:ascii="Arial" w:cs="Arial" w:eastAsia="Arial" w:hAnsi="Arial"/>
          <w:sz w:val="22"/>
          <w:szCs w:val="22"/>
          <w:color w:val="auto"/>
        </w:rPr>
        <w:t>collateral for, and application to, any future funding obligations of such Lender hereunder, in the case of each of clause (i) and (ii) above, in any order as shall be determined by the Administrative Agent in its discretion.</w:t>
      </w:r>
    </w:p>
    <w:p>
      <w:pPr>
        <w:spacing w:after="0" w:line="159" w:lineRule="exact"/>
        <w:rPr>
          <w:sz w:val="20"/>
          <w:szCs w:val="20"/>
          <w:color w:val="auto"/>
        </w:rPr>
      </w:pPr>
    </w:p>
    <w:p>
      <w:pPr>
        <w:jc w:val="both"/>
        <w:ind w:left="100" w:right="99" w:firstLine="1296"/>
        <w:spacing w:after="0" w:line="242" w:lineRule="auto"/>
        <w:rPr>
          <w:sz w:val="20"/>
          <w:szCs w:val="20"/>
          <w:color w:val="auto"/>
        </w:rPr>
      </w:pPr>
      <w:r>
        <w:rPr>
          <w:rFonts w:ascii="Arial" w:cs="Arial" w:eastAsia="Arial" w:hAnsi="Arial"/>
          <w:sz w:val="19"/>
          <w:szCs w:val="19"/>
          <w:color w:val="auto"/>
        </w:rPr>
        <w:t xml:space="preserve">SECTION 2.18 </w:t>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 xml:space="preserve">. (a) If any Lender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if the Company is required to pay any Indemnified Taxes or additional amounts to any Lender or to any Governmental Authority for the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then such Lender shall (at the request of the Company) use commercially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 (i) would eliminate or reduce amounts payable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 and delegation within 10 days following the written request of such Lender (accompanied by reasonable (to the extent practicable) back-up documentation relating thereto).</w:t>
      </w:r>
    </w:p>
    <w:p>
      <w:pPr>
        <w:spacing w:after="0" w:line="161" w:lineRule="exact"/>
        <w:rPr>
          <w:sz w:val="20"/>
          <w:szCs w:val="20"/>
          <w:color w:val="auto"/>
        </w:rPr>
      </w:pPr>
    </w:p>
    <w:p>
      <w:pPr>
        <w:jc w:val="both"/>
        <w:ind w:left="100" w:right="99" w:firstLine="1301"/>
        <w:spacing w:after="0"/>
        <w:tabs>
          <w:tab w:leader="none" w:pos="1891"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If (i) any Lender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(ii) the Company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(iii) any Lender has become a Defaulting Lender, (iv) any Lender has failed to consent to a proposed amendment, waiver, consent, discharge or termination or other event that under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requires the consent of more than the Required Lenders (or, in circumstances where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does not require the consent of the Required Lenders, more than a Majority in Interest of Lenders of an affected Class) and with respect to which the Required Lenders (or, in circumstances where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does not require the consent of the Required Lenders, a Majority in Interest of the Lenders of the applicable affected Class) shall have granted their consent or (v) any Lender becomes a Non-Extending Lender, then the Company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it being understood that the processing and recordation fee referred to in such Section shall be paid by the Company or the assignee as and to the extent such processing and recordation fee is required to be paid pursuant to </w:t>
      </w:r>
      <w:r>
        <w:rPr>
          <w:rFonts w:ascii="Arial" w:cs="Arial" w:eastAsia="Arial" w:hAnsi="Arial"/>
          <w:sz w:val="19"/>
          <w:szCs w:val="19"/>
          <w:u w:val="single" w:color="auto"/>
          <w:color w:val="auto"/>
        </w:rPr>
        <w:t>Section 9.04(b)(ii)(C)</w:t>
      </w:r>
      <w:r>
        <w:rPr>
          <w:rFonts w:ascii="Arial" w:cs="Arial" w:eastAsia="Arial" w:hAnsi="Arial"/>
          <w:sz w:val="19"/>
          <w:szCs w:val="19"/>
          <w:color w:val="auto"/>
        </w:rPr>
        <w:t xml:space="preserve"> (and the assignor Lender shall not be responsible therefor)), all its interests, rights (other than its existing rights to payments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obligations under this Agreement and the other Loan Documents (or, in the case of any such assignment and delegation resulting from a failure to provide a consent, all its interests, rights and obligations under this Agreement and the other Loan Documents as a Lender of a particular Class) to an Eligible Assignee that shall assume such obligations (which may be another Lender, if a Lender accepts such assignment and delegation);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Company shall have received, to the extent such consent would be required by </w:t>
      </w:r>
      <w:r>
        <w:rPr>
          <w:rFonts w:ascii="Arial" w:cs="Arial" w:eastAsia="Arial" w:hAnsi="Arial"/>
          <w:sz w:val="19"/>
          <w:szCs w:val="19"/>
          <w:u w:val="single" w:color="auto"/>
          <w:color w:val="auto"/>
        </w:rPr>
        <w:t>Section 9.04</w:t>
      </w:r>
      <w:r>
        <w:rPr>
          <w:rFonts w:ascii="Arial" w:cs="Arial" w:eastAsia="Arial" w:hAnsi="Arial"/>
          <w:sz w:val="19"/>
          <w:szCs w:val="19"/>
          <w:color w:val="auto"/>
        </w:rPr>
        <w:t>, the prior written consent of the Administrative Agent, each Issuing Bank and each Swingline Lender, which consent shall not be unreasonably withheld, delayed or conditioned, (B) such Lender shall have received payment of an amount equal to the outstanding principal of its Loans and, if applicable, participations in LC Disbursements and Swingline Loans, accrued interest thereon, accrued fees and all other amounts payable to it hereunder (if applicable, in each case only to the extent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448310</wp:posOffset>
            </wp:positionV>
            <wp:extent cx="5642610" cy="514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9" w:name="page250"/>
    <w:bookmarkEnd w:id="249"/>
    <w:p>
      <w:pPr>
        <w:jc w:val="right"/>
        <w:ind w:right="99"/>
        <w:spacing w:after="0"/>
        <w:rPr>
          <w:sz w:val="20"/>
          <w:szCs w:val="20"/>
          <w:color w:val="auto"/>
        </w:rPr>
      </w:pPr>
      <w:r>
        <w:rPr>
          <w:rFonts w:ascii="Arial" w:cs="Arial" w:eastAsia="Arial" w:hAnsi="Arial"/>
          <w:sz w:val="22"/>
          <w:szCs w:val="22"/>
          <w:color w:val="auto"/>
        </w:rPr>
        <w:t>63</w:t>
      </w:r>
    </w:p>
    <w:p>
      <w:pPr>
        <w:spacing w:after="0" w:line="396" w:lineRule="exact"/>
        <w:rPr>
          <w:sz w:val="20"/>
          <w:szCs w:val="20"/>
          <w:color w:val="auto"/>
        </w:rPr>
      </w:pPr>
    </w:p>
    <w:p>
      <w:pPr>
        <w:jc w:val="both"/>
        <w:ind w:left="100" w:right="99"/>
        <w:spacing w:after="0" w:line="241" w:lineRule="auto"/>
        <w:rPr>
          <w:sz w:val="20"/>
          <w:szCs w:val="20"/>
          <w:color w:val="auto"/>
        </w:rPr>
      </w:pPr>
      <w:r>
        <w:rPr>
          <w:rFonts w:ascii="Arial" w:cs="Arial" w:eastAsia="Arial" w:hAnsi="Arial"/>
          <w:sz w:val="19"/>
          <w:szCs w:val="19"/>
          <w:color w:val="auto"/>
        </w:rPr>
        <w:t xml:space="preserve">amounts relate to its interest as a Lender of a particular Class) from the assignee (in the case of such principal and accrued interest and fees) or the Company (in the case of all other amounts), (C) in the case of any such assignment and delegation resulting from a claim for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such assignment will result in a reduction in such compensation or payments, (D) such assignment does not conflict with applicable law and (E) in the case of any such assignment and delegation resulting from the failure to provide a consent, the assignee shall have given such consent and, as a result of such assignment and delegation and any contemporaneous assignments and delegations and consents, the applicable amendment, waiver, consent, discharge, termination or other event can be effected. A Lender shall not be required to make any such assignment and delegation if, prior thereto, as a result of a waiver or consent by such Lender or otherwise, the circumstances entitling the Company to require such assignment and delegation have ceased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spacing w:after="0" w:line="166"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2.19</w:t>
      </w:r>
      <w:r>
        <w:rPr>
          <w:sz w:val="20"/>
          <w:szCs w:val="20"/>
          <w:color w:val="auto"/>
        </w:rPr>
        <w:tab/>
      </w:r>
      <w:r>
        <w:rPr>
          <w:rFonts w:ascii="Arial" w:cs="Arial" w:eastAsia="Arial" w:hAnsi="Arial"/>
          <w:sz w:val="19"/>
          <w:szCs w:val="19"/>
          <w:u w:val="single" w:color="auto"/>
          <w:color w:val="auto"/>
        </w:rPr>
        <w:t>Extension of Maturity Date</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line="243" w:lineRule="auto"/>
        <w:tabs>
          <w:tab w:leader="none" w:pos="1893"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At any time following the Effective Date, the Company may, upon notice to the Administrative Agent (which shall promptly notify the Lenders), request a one-year extension of the Maturity Date then in effect (the Maturity Date in effect at such time being the “</w:t>
      </w:r>
      <w:r>
        <w:rPr>
          <w:rFonts w:ascii="Arial" w:cs="Arial" w:eastAsia="Arial" w:hAnsi="Arial"/>
          <w:sz w:val="19"/>
          <w:szCs w:val="19"/>
          <w:u w:val="single" w:color="auto"/>
          <w:color w:val="auto"/>
        </w:rPr>
        <w:t>Existing Maturity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and the extension thereof being a “</w:t>
      </w:r>
      <w:r>
        <w:rPr>
          <w:rFonts w:ascii="Arial" w:cs="Arial" w:eastAsia="Arial" w:hAnsi="Arial"/>
          <w:sz w:val="19"/>
          <w:szCs w:val="19"/>
          <w:u w:val="single" w:color="auto"/>
          <w:color w:val="auto"/>
        </w:rPr>
        <w:t>Maturity Date Extension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request may be made on not more than two occasions during the term of this Agreement and (ii) after giving effect to any Maturity Date Extension, the Maturity Date shall be no later than the date that is five years after the applicable Extension Effective Date. Within 10 days of delivery of such notice, each Lender shall notify the Administrative Agent whether or not it consents to such extension (which consent may be given or withheld in such Lender’s sole and absolute discretion). Any Lender not responding within the above time period shall be deemed not to have consented to such extension. The Administrative Agent shall promptly notify the Company of the Lenders’ responses.</w:t>
      </w:r>
    </w:p>
    <w:p>
      <w:pPr>
        <w:spacing w:after="0" w:line="159" w:lineRule="exact"/>
        <w:rPr>
          <w:rFonts w:ascii="Arial" w:cs="Arial" w:eastAsia="Arial" w:hAnsi="Arial"/>
          <w:sz w:val="19"/>
          <w:szCs w:val="19"/>
          <w:color w:val="auto"/>
        </w:rPr>
      </w:pPr>
    </w:p>
    <w:p>
      <w:pPr>
        <w:jc w:val="both"/>
        <w:ind w:left="100" w:right="99" w:firstLine="1301"/>
        <w:spacing w:after="0" w:line="241" w:lineRule="auto"/>
        <w:tabs>
          <w:tab w:leader="none" w:pos="194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Maturity Date shall be extended, as of the applicable Extension Effective Date, only if the Required Lenders (calculated excluding, for the avoidance of doubt, any Defaulting Lender and after giving effect to any replacements of Lenders permitted herein) have consented thereto (the Lenders that so consent being the “</w:t>
      </w:r>
      <w:r>
        <w:rPr>
          <w:rFonts w:ascii="Arial" w:cs="Arial" w:eastAsia="Arial" w:hAnsi="Arial"/>
          <w:sz w:val="19"/>
          <w:szCs w:val="19"/>
          <w:u w:val="single" w:color="auto"/>
          <w:color w:val="auto"/>
        </w:rPr>
        <w:t>Extending Lenders</w:t>
      </w:r>
      <w:r>
        <w:rPr>
          <w:rFonts w:ascii="Arial" w:cs="Arial" w:eastAsia="Arial" w:hAnsi="Arial"/>
          <w:sz w:val="19"/>
          <w:szCs w:val="19"/>
          <w:color w:val="auto"/>
        </w:rPr>
        <w:t>”, and the Lenders that do not consent being the “</w:t>
      </w:r>
      <w:r>
        <w:rPr>
          <w:rFonts w:ascii="Arial" w:cs="Arial" w:eastAsia="Arial" w:hAnsi="Arial"/>
          <w:sz w:val="19"/>
          <w:szCs w:val="19"/>
          <w:u w:val="single" w:color="auto"/>
          <w:color w:val="auto"/>
        </w:rPr>
        <w:t>Non-Extending Lenders</w:t>
      </w:r>
      <w:r>
        <w:rPr>
          <w:rFonts w:ascii="Arial" w:cs="Arial" w:eastAsia="Arial" w:hAnsi="Arial"/>
          <w:sz w:val="19"/>
          <w:szCs w:val="19"/>
          <w:color w:val="auto"/>
        </w:rPr>
        <w:t>”). If so extended, the Maturity Date, as to the Extending Lenders, shall be extended to the same date in the year following the applicable Existing Maturity Date. The Administrative Agent and the Company shall promptly notify the Lenders that the Required Lenders (calculated as set forth above) have consented to any Maturity Date Extension and notify the Lenders of the date of the closing and effectiveness of such Maturity Date Extension (such date being an “</w:t>
      </w:r>
      <w:r>
        <w:rPr>
          <w:rFonts w:ascii="Arial" w:cs="Arial" w:eastAsia="Arial" w:hAnsi="Arial"/>
          <w:sz w:val="19"/>
          <w:szCs w:val="19"/>
          <w:u w:val="single" w:color="auto"/>
          <w:color w:val="auto"/>
        </w:rPr>
        <w:t>Extension Effective Date</w:t>
      </w:r>
      <w:r>
        <w:rPr>
          <w:rFonts w:ascii="Arial" w:cs="Arial" w:eastAsia="Arial" w:hAnsi="Arial"/>
          <w:sz w:val="19"/>
          <w:szCs w:val="19"/>
          <w:color w:val="auto"/>
        </w:rPr>
        <w:t xml:space="preserve">”) and the Maturity Date after giving effect to such Maturity Date Extension;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Maturity Date Extension shall become effective unless (i) no Default or Event of Default shall have occurred and be continuing on the applicable Extension Effective Date, both immediately prior to and immediately after giving effect to such Maturity Date Extension and the making of Loans and issuance of Letters of Credit thereunder to be made on such date, (ii) on the Extension Effective Date, the representations and warranties of the Company set forth in the Loan Documents shall be true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458470</wp:posOffset>
            </wp:positionV>
            <wp:extent cx="5642610" cy="514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0" w:name="page251"/>
    <w:bookmarkEnd w:id="250"/>
    <w:p>
      <w:pPr>
        <w:ind w:left="8700"/>
        <w:spacing w:after="0"/>
        <w:rPr>
          <w:sz w:val="20"/>
          <w:szCs w:val="20"/>
          <w:color w:val="auto"/>
        </w:rPr>
      </w:pPr>
      <w:r>
        <w:rPr>
          <w:rFonts w:ascii="Arial" w:cs="Arial" w:eastAsia="Arial" w:hAnsi="Arial"/>
          <w:sz w:val="19"/>
          <w:szCs w:val="19"/>
          <w:color w:val="auto"/>
        </w:rPr>
        <w:t>64</w:t>
      </w:r>
    </w:p>
    <w:p>
      <w:pPr>
        <w:spacing w:after="0" w:line="200" w:lineRule="exact"/>
        <w:rPr>
          <w:sz w:val="20"/>
          <w:szCs w:val="20"/>
          <w:color w:val="auto"/>
        </w:rPr>
      </w:pPr>
    </w:p>
    <w:p>
      <w:pPr>
        <w:spacing w:after="0" w:line="231" w:lineRule="exact"/>
        <w:rPr>
          <w:sz w:val="20"/>
          <w:szCs w:val="20"/>
          <w:color w:val="auto"/>
        </w:rPr>
      </w:pPr>
    </w:p>
    <w:p>
      <w:pPr>
        <w:ind w:left="100" w:right="99"/>
        <w:spacing w:after="0" w:line="223" w:lineRule="auto"/>
        <w:rPr>
          <w:sz w:val="20"/>
          <w:szCs w:val="20"/>
          <w:color w:val="auto"/>
        </w:rPr>
      </w:pPr>
      <w:r>
        <w:rPr>
          <w:rFonts w:ascii="Arial" w:cs="Arial" w:eastAsia="Arial" w:hAnsi="Arial"/>
          <w:sz w:val="21"/>
          <w:szCs w:val="21"/>
          <w:color w:val="auto"/>
        </w:rPr>
        <w:t>correct (A) in the case of the representations and warranties qualified as to materiality, Material Adverse Effect or similar language, in all respects (after giving effect to such qualification) and</w:t>
      </w:r>
    </w:p>
    <w:p>
      <w:pPr>
        <w:spacing w:after="0" w:line="1" w:lineRule="exact"/>
        <w:rPr>
          <w:sz w:val="20"/>
          <w:szCs w:val="20"/>
          <w:color w:val="auto"/>
        </w:rPr>
      </w:pPr>
    </w:p>
    <w:p>
      <w:pPr>
        <w:jc w:val="both"/>
        <w:ind w:left="100" w:right="99" w:firstLine="5"/>
        <w:spacing w:after="0" w:line="242" w:lineRule="auto"/>
        <w:tabs>
          <w:tab w:leader="none" w:pos="453"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otherwise, in all material respects, in each case on and as of such date, except in the case of any such representation and warranty that expressly relates to a prior date, in which case such representation and warranty shall be so true and correct on and as of such prior date, and (iii) the Company shall have delivered to the Administrative Agent such board resolutions, secretary’s certificates, officer’s certificates and good standing certificates (to the extent such concept is applicable in the applicable jurisdiction) as shall reasonably be requested by the Administrative Agent in connection with such Maturity Date Extension. The Administrative Agent may, without the consent of any Lender (but with the consent of the Company), effect such amendments to this Agreement and the other Loan Documents as may be necessary or appropriate, in the opinion of the Administrative Agent, to give effect to the provisions of this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left="100" w:right="99" w:firstLine="1301"/>
        <w:spacing w:after="0"/>
        <w:tabs>
          <w:tab w:leader="none" w:pos="196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 xml:space="preserve">The principal amount of any outstanding Loans made by any Non-Extending Lenders, together with accrued interest thereon and any accrued fees and other amounts (including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payable to or for the account of such Non-Extending Lenders hereunder, shall be due and payable on the applicable Existing Maturity Date, and the Company shall make such other prepayment of Loans outstanding on the applicable Existing Maturity Date (and pay any additional amounts required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to the extent necessary to keep outstanding Loans ratable with any revised and new Applicable Percentages of all the Lenders effective as of the applicable Existing Maturity Date. For the avoidance of doubt, on the applicable Existing Maturity Date, the Credit Exposures and the Applicable Percentages of all the Lenders shall automatically (without any further action) be adjusted to give effect to such Maturity Date Extension. Notwithstanding the foregoing, the Maturity Date and the Availability Period, as such terms are used in reference to any Issuing Bank or any Letter of Credit issued by such Issuing Bank or in reference to any Swingline Lender or any Swingline Loans made by such Swingline Lender, may not be extended with respect to any Issuing Bank or Swingline Lender without the prior written consent of such Issuing Bank or Swingline Lender (such consent to be withheld or provided in its sole and absolute discretion), as applicable (it being understood and agreed that, in the event any Issuing Bank or Swingline Lender, as applicable, shall not have consented to any Maturity Date Extension, (A) such Issuing Bank shall continue to have all the rights and obligations of an Issuing Bank hereunder, and such Swingline Lender shall continue to have all the rights and obligations of a Swingline Lender hereunder, in each case through the applicable Existing Maturity Date (or the Availability Period determined on the basis thereof, as applicable), and thereafter shall have no obligation to issue, amend, renew or extend any Letter of Credit or make any Swingline Loan, as applicable (but shall continue to have all the rights of an Issuing Bank or Swingline Lender, as the case may be, under this Agreement with respect to Letters of Credit issued by it or Swingline Loans made by it, as applicable, prior to such time), and (B) the Company shall cause the LC Exposure attributable to Letters of Credit issued by such Issuing Bank to be zero no later than the day on which such LC Exposure would have been required to have been reduced to zero in accordance with the terms hereof without giving effect to such Maturity Date Extension (and, in any event, no later than the applicable Existing Maturity Date) and shall repay the principal amount of all outstanding Swingline Loans made by such Swingline Lender, together with any accrued interest thereon, on the applicable Existing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443865</wp:posOffset>
            </wp:positionV>
            <wp:extent cx="5642610" cy="514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1" w:name="page252"/>
    <w:bookmarkEnd w:id="251"/>
    <w:p>
      <w:pPr>
        <w:ind w:left="8700"/>
        <w:spacing w:after="0"/>
        <w:rPr>
          <w:sz w:val="20"/>
          <w:szCs w:val="20"/>
          <w:color w:val="auto"/>
        </w:rPr>
      </w:pPr>
      <w:r>
        <w:rPr>
          <w:rFonts w:ascii="Arial" w:cs="Arial" w:eastAsia="Arial" w:hAnsi="Arial"/>
          <w:sz w:val="19"/>
          <w:szCs w:val="19"/>
          <w:color w:val="auto"/>
        </w:rPr>
        <w:t>65</w:t>
      </w:r>
    </w:p>
    <w:p>
      <w:pPr>
        <w:spacing w:after="0" w:line="215"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 xml:space="preserve">SECTION 2.20 </w:t>
      </w:r>
      <w:r>
        <w:rPr>
          <w:rFonts w:ascii="Arial" w:cs="Arial" w:eastAsia="Arial" w:hAnsi="Arial"/>
          <w:sz w:val="22"/>
          <w:szCs w:val="22"/>
          <w:u w:val="single" w:color="auto"/>
          <w:color w:val="auto"/>
        </w:rPr>
        <w:t>Defaulting Lenders</w:t>
      </w:r>
      <w:r>
        <w:rPr>
          <w:rFonts w:ascii="Arial" w:cs="Arial" w:eastAsia="Arial" w:hAnsi="Arial"/>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59" w:lineRule="exact"/>
        <w:rPr>
          <w:sz w:val="20"/>
          <w:szCs w:val="20"/>
          <w:color w:val="auto"/>
        </w:rPr>
      </w:pPr>
    </w:p>
    <w:p>
      <w:pPr>
        <w:jc w:val="both"/>
        <w:ind w:left="100" w:right="99" w:firstLine="1301"/>
        <w:spacing w:after="0" w:line="223" w:lineRule="auto"/>
        <w:tabs>
          <w:tab w:leader="none" w:pos="1933"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the Commitment Fee and the Ticking Fee shall cease to accrue on the unused amount of the applicable Commitment of such Defaulting Lender pursuant to </w:t>
      </w:r>
      <w:r>
        <w:rPr>
          <w:rFonts w:ascii="Arial" w:cs="Arial" w:eastAsia="Arial" w:hAnsi="Arial"/>
          <w:sz w:val="22"/>
          <w:szCs w:val="22"/>
          <w:u w:val="single" w:color="auto"/>
          <w:color w:val="auto"/>
        </w:rPr>
        <w:t>Section 2.11(a)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2.11(b)</w:t>
      </w:r>
      <w:r>
        <w:rPr>
          <w:rFonts w:ascii="Arial" w:cs="Arial" w:eastAsia="Arial" w:hAnsi="Arial"/>
          <w:sz w:val="22"/>
          <w:szCs w:val="22"/>
          <w:color w:val="auto"/>
        </w:rPr>
        <w:t>, as applicable;</w:t>
      </w:r>
    </w:p>
    <w:p>
      <w:pPr>
        <w:spacing w:after="0" w:line="159" w:lineRule="exact"/>
        <w:rPr>
          <w:rFonts w:ascii="Arial" w:cs="Arial" w:eastAsia="Arial" w:hAnsi="Arial"/>
          <w:sz w:val="22"/>
          <w:szCs w:val="22"/>
          <w:color w:val="auto"/>
        </w:rPr>
      </w:pPr>
    </w:p>
    <w:p>
      <w:pPr>
        <w:jc w:val="both"/>
        <w:ind w:left="100" w:right="99" w:firstLine="1301"/>
        <w:spacing w:after="0" w:line="223" w:lineRule="auto"/>
        <w:tabs>
          <w:tab w:leader="none" w:pos="1932" w:val="left"/>
        </w:tabs>
        <w:numPr>
          <w:ilvl w:val="0"/>
          <w:numId w:val="182"/>
        </w:numPr>
        <w:rPr>
          <w:rFonts w:ascii="Arial" w:cs="Arial" w:eastAsia="Arial" w:hAnsi="Arial"/>
          <w:sz w:val="21"/>
          <w:szCs w:val="21"/>
          <w:color w:val="auto"/>
        </w:rPr>
      </w:pPr>
      <w:r>
        <w:rPr>
          <w:rFonts w:ascii="Arial" w:cs="Arial" w:eastAsia="Arial" w:hAnsi="Arial"/>
          <w:sz w:val="21"/>
          <w:szCs w:val="21"/>
          <w:color w:val="auto"/>
        </w:rPr>
        <w:t xml:space="preserve">the Commitments and Credit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w:t>
      </w:r>
      <w:r>
        <w:rPr>
          <w:rFonts w:ascii="Arial" w:cs="Arial" w:eastAsia="Arial" w:hAnsi="Arial"/>
          <w:sz w:val="21"/>
          <w:szCs w:val="21"/>
          <w:u w:val="single" w:color="auto"/>
          <w:color w:val="auto"/>
        </w:rPr>
        <w:t>Section 9.02</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amendment, waiver or other modification requiring the consent of all Lenders or all Lenders affected thereby shall, except as otherwise provided in </w:t>
      </w:r>
      <w:r>
        <w:rPr>
          <w:rFonts w:ascii="Arial" w:cs="Arial" w:eastAsia="Arial" w:hAnsi="Arial"/>
          <w:sz w:val="21"/>
          <w:szCs w:val="21"/>
          <w:u w:val="single" w:color="auto"/>
          <w:color w:val="auto"/>
        </w:rPr>
        <w:t>Section 9.02(c)(ii)</w:t>
      </w:r>
      <w:r>
        <w:rPr>
          <w:rFonts w:ascii="Arial" w:cs="Arial" w:eastAsia="Arial" w:hAnsi="Arial"/>
          <w:sz w:val="21"/>
          <w:szCs w:val="21"/>
          <w:color w:val="auto"/>
        </w:rPr>
        <w:t>, require the consent of such Defaulting Lender in accordance with the terms hereof;</w:t>
      </w:r>
    </w:p>
    <w:p>
      <w:pPr>
        <w:spacing w:after="0" w:line="158" w:lineRule="exact"/>
        <w:rPr>
          <w:rFonts w:ascii="Arial" w:cs="Arial" w:eastAsia="Arial" w:hAnsi="Arial"/>
          <w:sz w:val="21"/>
          <w:szCs w:val="21"/>
          <w:color w:val="auto"/>
        </w:rPr>
      </w:pPr>
    </w:p>
    <w:p>
      <w:pPr>
        <w:jc w:val="both"/>
        <w:ind w:left="100" w:right="99" w:firstLine="1301"/>
        <w:spacing w:after="0" w:line="223" w:lineRule="auto"/>
        <w:tabs>
          <w:tab w:leader="none" w:pos="197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if any Swingline Exposure or LC Exposure exists at the time any Tranche 1 Lender becomes a Defaulting Lender or, in the case of any Tranche 2 Lender that is a Defaulting Lender, at the Conversion Date, then:</w:t>
      </w:r>
    </w:p>
    <w:p>
      <w:pPr>
        <w:spacing w:after="0" w:line="159" w:lineRule="exact"/>
        <w:rPr>
          <w:sz w:val="20"/>
          <w:szCs w:val="20"/>
          <w:color w:val="auto"/>
        </w:rPr>
      </w:pPr>
    </w:p>
    <w:p>
      <w:pPr>
        <w:jc w:val="both"/>
        <w:ind w:left="760" w:right="99" w:firstLine="641"/>
        <w:spacing w:after="0" w:line="242" w:lineRule="auto"/>
        <w:tabs>
          <w:tab w:leader="none" w:pos="193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the Swingline Exposure (other than any portion thereof with respect to which such Defaulting Lender shall have funded its participation as contemplated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2.04(c)</w:t>
      </w:r>
      <w:r>
        <w:rPr>
          <w:rFonts w:ascii="Arial" w:cs="Arial" w:eastAsia="Arial" w:hAnsi="Arial"/>
          <w:sz w:val="19"/>
          <w:szCs w:val="19"/>
          <w:color w:val="auto"/>
        </w:rPr>
        <w:t xml:space="preserve">) and LC Exposure of such Defaulting Lender (other than any portion thereof attributable to unreimbursed LC Disbursements with respect to which such Defaulting Lender shall have funded its participation as contemplated by </w:t>
      </w:r>
      <w:r>
        <w:rPr>
          <w:rFonts w:ascii="Arial" w:cs="Arial" w:eastAsia="Arial" w:hAnsi="Arial"/>
          <w:sz w:val="19"/>
          <w:szCs w:val="19"/>
          <w:u w:val="single" w:color="auto"/>
          <w:color w:val="auto"/>
        </w:rPr>
        <w:t>Sections 2.05(d)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2.05(f)</w:t>
      </w:r>
      <w:r>
        <w:rPr>
          <w:rFonts w:ascii="Arial" w:cs="Arial" w:eastAsia="Arial" w:hAnsi="Arial"/>
          <w:sz w:val="19"/>
          <w:szCs w:val="19"/>
          <w:color w:val="auto"/>
        </w:rPr>
        <w:t>) shall be reallocated among the Tranche 1 Lenders that are Non-Defaulting Lenders in accordance with their respective Applicable Percentages but only to the extent that (A) the sum of all Non-Defaulting Lenders’ Credit Exposures plus such Defaulting Lender’s Swingline Exposure (excluding the portion thereof referred to above) and LC Exposure (excluding the portion thereof referred to above) does not exceed the sum of all Non-Defaulting Lenders’ Tranche 1 Commitments and (B) such reallocation does not result in the Credit Exposure of any Non-Defaulting Lender exceeding such Non-Defaulting Lender’s Tranche 1 Commitment;</w:t>
      </w:r>
    </w:p>
    <w:p>
      <w:pPr>
        <w:spacing w:after="0" w:line="165" w:lineRule="exact"/>
        <w:rPr>
          <w:rFonts w:ascii="Arial" w:cs="Arial" w:eastAsia="Arial" w:hAnsi="Arial"/>
          <w:sz w:val="19"/>
          <w:szCs w:val="19"/>
          <w:color w:val="auto"/>
        </w:rPr>
      </w:pPr>
    </w:p>
    <w:p>
      <w:pPr>
        <w:jc w:val="both"/>
        <w:ind w:left="760" w:right="99" w:firstLine="641"/>
        <w:spacing w:after="0" w:line="245" w:lineRule="auto"/>
        <w:tabs>
          <w:tab w:leader="none" w:pos="192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if the reallocation described in clause (i) above cannot, or can only partially, be effected, the Company shall within one Business Day following written notice by the Administrative Agent (A) first, prepay the portion of such Defaulting Lender’s Swingline Exposure (other than any portion thereof referred to in the parenthetical in such clause (i)) that has not been reallocated as set forth in such clause and (B) second, cash collateralize for the benefit of the Issuing Banks the portion of such Defaulting Lender’s LC Exposure (other than any portion thereof referred to in the parenthetical in such clause (i)) that has not been reallocated as set forth in such clause in accordance with the procedures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2.05(n)</w:t>
      </w:r>
      <w:r>
        <w:rPr>
          <w:rFonts w:ascii="Arial" w:cs="Arial" w:eastAsia="Arial" w:hAnsi="Arial"/>
          <w:sz w:val="19"/>
          <w:szCs w:val="19"/>
          <w:color w:val="auto"/>
        </w:rPr>
        <w:t xml:space="preserve"> for so long as such LC Exposure is outstanding;</w:t>
      </w:r>
    </w:p>
    <w:p>
      <w:pPr>
        <w:spacing w:after="0" w:line="153" w:lineRule="exact"/>
        <w:rPr>
          <w:rFonts w:ascii="Arial" w:cs="Arial" w:eastAsia="Arial" w:hAnsi="Arial"/>
          <w:sz w:val="19"/>
          <w:szCs w:val="19"/>
          <w:color w:val="auto"/>
        </w:rPr>
      </w:pPr>
    </w:p>
    <w:p>
      <w:pPr>
        <w:jc w:val="both"/>
        <w:ind w:left="760" w:right="99" w:firstLine="641"/>
        <w:spacing w:after="0" w:line="268" w:lineRule="auto"/>
        <w:tabs>
          <w:tab w:leader="none" w:pos="198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if the Company cash collateralizes any portion of such Defaulting Lender’s LC Exposure pursuant to clause (ii) above, the Company shall not be required to pay LC Participation Fees to such Defaulting Lender pursuant to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299085</wp:posOffset>
            </wp:positionV>
            <wp:extent cx="5642610" cy="514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2" w:name="page253"/>
    <w:bookmarkEnd w:id="252"/>
    <w:p>
      <w:pPr>
        <w:jc w:val="right"/>
        <w:ind w:right="99"/>
        <w:spacing w:after="0"/>
        <w:rPr>
          <w:sz w:val="20"/>
          <w:szCs w:val="20"/>
          <w:color w:val="auto"/>
        </w:rPr>
      </w:pPr>
      <w:r>
        <w:rPr>
          <w:rFonts w:ascii="Arial" w:cs="Arial" w:eastAsia="Arial" w:hAnsi="Arial"/>
          <w:sz w:val="22"/>
          <w:szCs w:val="22"/>
          <w:color w:val="auto"/>
        </w:rPr>
        <w:t>66</w:t>
      </w:r>
    </w:p>
    <w:p>
      <w:pPr>
        <w:spacing w:after="0" w:line="396" w:lineRule="exact"/>
        <w:rPr>
          <w:sz w:val="20"/>
          <w:szCs w:val="20"/>
          <w:color w:val="auto"/>
        </w:rPr>
      </w:pPr>
    </w:p>
    <w:p>
      <w:pPr>
        <w:jc w:val="both"/>
        <w:ind w:left="760" w:right="99"/>
        <w:spacing w:after="0" w:line="232" w:lineRule="auto"/>
        <w:rPr>
          <w:sz w:val="20"/>
          <w:szCs w:val="20"/>
          <w:color w:val="auto"/>
        </w:rPr>
      </w:pPr>
      <w:r>
        <w:rPr>
          <w:rFonts w:ascii="Arial" w:cs="Arial" w:eastAsia="Arial" w:hAnsi="Arial"/>
          <w:sz w:val="22"/>
          <w:szCs w:val="22"/>
          <w:color w:val="auto"/>
        </w:rPr>
        <w:t>such portion of such Defaulting Lender’s LC Exposure for so long as such Defaulting Lender’s LC Exposure is cash collateralized;</w:t>
      </w:r>
    </w:p>
    <w:p>
      <w:pPr>
        <w:spacing w:after="0" w:line="159" w:lineRule="exact"/>
        <w:rPr>
          <w:sz w:val="20"/>
          <w:szCs w:val="20"/>
          <w:color w:val="auto"/>
        </w:rPr>
      </w:pPr>
    </w:p>
    <w:p>
      <w:pPr>
        <w:jc w:val="both"/>
        <w:ind w:left="760" w:right="99" w:firstLine="641"/>
        <w:spacing w:after="0" w:line="234" w:lineRule="auto"/>
        <w:tabs>
          <w:tab w:leader="none" w:pos="2058" w:val="left"/>
        </w:tabs>
        <w:numPr>
          <w:ilvl w:val="0"/>
          <w:numId w:val="184"/>
        </w:numPr>
        <w:rPr>
          <w:rFonts w:ascii="Arial" w:cs="Arial" w:eastAsia="Arial" w:hAnsi="Arial"/>
          <w:sz w:val="21"/>
          <w:szCs w:val="21"/>
          <w:color w:val="auto"/>
        </w:rPr>
      </w:pPr>
      <w:r>
        <w:rPr>
          <w:rFonts w:ascii="Arial" w:cs="Arial" w:eastAsia="Arial" w:hAnsi="Arial"/>
          <w:sz w:val="21"/>
          <w:szCs w:val="21"/>
          <w:color w:val="auto"/>
        </w:rPr>
        <w:t xml:space="preserve">if any portion of the LC Exposure of such Defaulting Lender is reallocated pursuant to clause (i) above, then the fees payable to the Tranche 1 Lenders pursuant to </w:t>
      </w:r>
      <w:r>
        <w:rPr>
          <w:rFonts w:ascii="Arial" w:cs="Arial" w:eastAsia="Arial" w:hAnsi="Arial"/>
          <w:sz w:val="21"/>
          <w:szCs w:val="21"/>
          <w:u w:val="single" w:color="auto"/>
          <w:color w:val="auto"/>
        </w:rPr>
        <w:t>Sections 2.11(a)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2.11(c)</w:t>
      </w:r>
      <w:r>
        <w:rPr>
          <w:rFonts w:ascii="Arial" w:cs="Arial" w:eastAsia="Arial" w:hAnsi="Arial"/>
          <w:sz w:val="21"/>
          <w:szCs w:val="21"/>
          <w:color w:val="auto"/>
        </w:rPr>
        <w:t xml:space="preserve"> shall be adjusted to give effect to such reallocation; and</w:t>
      </w:r>
    </w:p>
    <w:p>
      <w:pPr>
        <w:spacing w:after="0" w:line="158" w:lineRule="exact"/>
        <w:rPr>
          <w:rFonts w:ascii="Arial" w:cs="Arial" w:eastAsia="Arial" w:hAnsi="Arial"/>
          <w:sz w:val="21"/>
          <w:szCs w:val="21"/>
          <w:color w:val="auto"/>
        </w:rPr>
      </w:pPr>
    </w:p>
    <w:p>
      <w:pPr>
        <w:jc w:val="both"/>
        <w:ind w:left="760" w:right="99" w:firstLine="641"/>
        <w:spacing w:after="0" w:line="245" w:lineRule="auto"/>
        <w:tabs>
          <w:tab w:leader="none" w:pos="1917"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if all or any portion of such Defaulting Lender’s LC Exposure that is subject to reallocation pursuant to clause (i) above is neither reallocated nor cash collateralized pursuant to clause (i) or (ii) above, then, without prejudice to any rights or remedies of any Issuing Bank or any other Lender hereunder, all LC Participation Fees that otherwise would have been payable pursuant to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to such Defaulting Lender with respect to such portion of such Defaulting Lender’s LC Exposure shall be payable to the Issuing Banks (and allocated among them ratably based on the amount of such portion of the LC Exposure of such Defaulting Lender attributable to Letters of Credit issued by each Issuing Bank) until and to the extent that such LC Exposure is reallocated and/or cash collateralized; and</w:t>
      </w:r>
    </w:p>
    <w:p>
      <w:pPr>
        <w:spacing w:after="0" w:line="153" w:lineRule="exact"/>
        <w:rPr>
          <w:sz w:val="20"/>
          <w:szCs w:val="20"/>
          <w:color w:val="auto"/>
        </w:rPr>
      </w:pPr>
    </w:p>
    <w:p>
      <w:pPr>
        <w:jc w:val="both"/>
        <w:ind w:left="100" w:right="99" w:firstLine="1301"/>
        <w:spacing w:after="0" w:line="244" w:lineRule="auto"/>
        <w:tabs>
          <w:tab w:leader="none" w:pos="186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if such Lender is a Tranche 1 Lender or a Tranche 2 Lender, then so long as such Lender is a Defaulting Lender, no Swingline Lender shall be required to fund any Swingline Loan and no Issuing Bank shall be required to issue, amend, renew or extend any Letter of Credit, unless, in each case, it is satisfied that the related exposure and such Defaulting Lender’s then outstanding Swingline Exposure or LC Exposure will be fully covered by the Tranche 1 Commitments of the Non-Defaulting Lenders and/or cash collateral will be provided by the Company in accordance with paragraph (c) of this Section, and participating interests in any such funded Swingline Loan or in any such issued, amended, renewed or extended Letter of Credit will be allocated among the Tranche 1 Lenders that are Non-Defaulting Lenders in a manner consistent with clause (c)(i) above (and such Defaulting Lender shall not participate therein).</w:t>
      </w:r>
    </w:p>
    <w:p>
      <w:pPr>
        <w:spacing w:after="0" w:line="156" w:lineRule="exact"/>
        <w:rPr>
          <w:sz w:val="20"/>
          <w:szCs w:val="20"/>
          <w:color w:val="auto"/>
        </w:rPr>
      </w:pPr>
    </w:p>
    <w:p>
      <w:pPr>
        <w:jc w:val="both"/>
        <w:ind w:left="100" w:right="99" w:firstLine="1296"/>
        <w:spacing w:after="0" w:line="244" w:lineRule="auto"/>
        <w:rPr>
          <w:sz w:val="20"/>
          <w:szCs w:val="20"/>
          <w:color w:val="auto"/>
        </w:rPr>
      </w:pPr>
      <w:r>
        <w:rPr>
          <w:rFonts w:ascii="Arial" w:cs="Arial" w:eastAsia="Arial" w:hAnsi="Arial"/>
          <w:sz w:val="19"/>
          <w:szCs w:val="19"/>
          <w:color w:val="auto"/>
        </w:rPr>
        <w:t>In the event that (x) a Bankruptcy Event or a Bail-In Action with respect to a Lender Parent of any Tranche 1 Lender or a Tranche 2 Lender shall occur following the Effective Date and for so long as such event shall continue or (y) any Swingline Lender or any Issuing Bank has a good faith belief that any Tranche 1 Lender or a Tranche 2 Lender has defaulted in fulfilling its obligations under one or more other agreements in which such Lender commits to extend credit, no Swingline Lender shall be required to fund any Swingline Loan and no Issuing Bank shall be required to issue, amend, renew or extend any Letter of Credit, unless, in each case, such Swingline Lender or such Issuing Bank shall have entered into arrangements with the Company or such Lender satisfactory to such Swingline Lender or such Issuing Bank, as the case may be, to defease any risk to it in respect of such Lender hereunder.</w:t>
      </w:r>
    </w:p>
    <w:p>
      <w:pPr>
        <w:spacing w:after="0" w:line="378"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19"/>
          <w:szCs w:val="19"/>
          <w:color w:val="auto"/>
        </w:rPr>
        <w:t xml:space="preserve">In the event that the Administrative Agent, the Company, each Swingline Lender and each Issuing Bank each agree that a Defaulting Lender that is a Tranche 1 Lender has adequately remedied all matters that caused such Lender to be a Defaulting Lender (but for the avoidance of doubt, (x) such Lender shall not be entitled to receive any Commitment Fees or Ticking Fees accrued during the period when it was a Defaulting Lender and (y) all amendments, waivers or modifications effected without its consent in accordance with the provisions of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during such period shall be binding on it), then the Swingline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313690</wp:posOffset>
            </wp:positionV>
            <wp:extent cx="5642610" cy="514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3" w:name="page254"/>
    <w:bookmarkEnd w:id="253"/>
    <w:p>
      <w:pPr>
        <w:ind w:left="8700"/>
        <w:spacing w:after="0"/>
        <w:rPr>
          <w:sz w:val="20"/>
          <w:szCs w:val="20"/>
          <w:color w:val="auto"/>
        </w:rPr>
      </w:pPr>
      <w:r>
        <w:rPr>
          <w:rFonts w:ascii="Arial" w:cs="Arial" w:eastAsia="Arial" w:hAnsi="Arial"/>
          <w:sz w:val="19"/>
          <w:szCs w:val="19"/>
          <w:color w:val="auto"/>
        </w:rPr>
        <w:t>67</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line="246" w:lineRule="auto"/>
        <w:rPr>
          <w:sz w:val="20"/>
          <w:szCs w:val="20"/>
          <w:color w:val="auto"/>
        </w:rPr>
      </w:pPr>
      <w:r>
        <w:rPr>
          <w:rFonts w:ascii="Arial" w:cs="Arial" w:eastAsia="Arial" w:hAnsi="Arial"/>
          <w:sz w:val="19"/>
          <w:szCs w:val="19"/>
          <w:color w:val="auto"/>
        </w:rPr>
        <w:t xml:space="preserve">Exposure and LC Exposure of the Tranche 1 Lenders shall be readjusted to reflect the inclusion of such Lender’s Tranche 1 Commitment and on such date such Lender shall purchase at par such of the Tranche 1 Loans of the other Lenders as the Administrative Agent shall determine may be necessary in order for such Lender to hold such Loans in accordance with its Applicable Percentage. The rights and remedies against, and with respect to, a Defaulting Lender under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are in addition to, and cumulative and not in limitation of, all other rights and remedies that the Administrative Agent, any Issuing Bank, any Swingline Lender, any other Lender or the Company may at any time have against, or with respect to, such Defaulting Lender.</w:t>
      </w:r>
    </w:p>
    <w:p>
      <w:pPr>
        <w:spacing w:after="0" w:line="153"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 xml:space="preserve">SECTION 2.21 </w:t>
      </w:r>
      <w:r>
        <w:rPr>
          <w:rFonts w:ascii="Arial" w:cs="Arial" w:eastAsia="Arial" w:hAnsi="Arial"/>
          <w:sz w:val="22"/>
          <w:szCs w:val="22"/>
          <w:u w:val="single" w:color="auto"/>
          <w:color w:val="auto"/>
        </w:rPr>
        <w:t>Conversion of Tranche 2 Commitments and Tranche 2 Loans; True-Up Borrowing.</w:t>
      </w:r>
    </w:p>
    <w:p>
      <w:pPr>
        <w:spacing w:after="0" w:line="159" w:lineRule="exact"/>
        <w:rPr>
          <w:sz w:val="20"/>
          <w:szCs w:val="20"/>
          <w:color w:val="auto"/>
        </w:rPr>
      </w:pPr>
    </w:p>
    <w:p>
      <w:pPr>
        <w:jc w:val="both"/>
        <w:ind w:left="100" w:right="99" w:firstLine="1301"/>
        <w:spacing w:after="0"/>
        <w:tabs>
          <w:tab w:leader="none" w:pos="2095" w:val="left"/>
        </w:tabs>
        <w:numPr>
          <w:ilvl w:val="0"/>
          <w:numId w:val="186"/>
        </w:numPr>
        <w:rPr>
          <w:rFonts w:ascii="Arial" w:cs="Arial" w:eastAsia="Arial" w:hAnsi="Arial"/>
          <w:sz w:val="19"/>
          <w:szCs w:val="19"/>
          <w:color w:val="auto"/>
        </w:rPr>
      </w:pPr>
      <w:r>
        <w:rPr>
          <w:rFonts w:ascii="Arial" w:cs="Arial" w:eastAsia="Arial" w:hAnsi="Arial"/>
          <w:sz w:val="19"/>
          <w:szCs w:val="19"/>
          <w:color w:val="auto"/>
        </w:rPr>
        <w:t>Each Tranche 2 Lender agrees that, on the Tranche 2 Availability Date, immediately after the initial Tranche 2 Borrowing or, if applicable, the occurrence of the PNG Limited Conditionality Outside Date (such date and time, the “</w:t>
      </w:r>
      <w:r>
        <w:rPr>
          <w:rFonts w:ascii="Arial" w:cs="Arial" w:eastAsia="Arial" w:hAnsi="Arial"/>
          <w:sz w:val="19"/>
          <w:szCs w:val="19"/>
          <w:u w:val="single" w:color="auto"/>
          <w:color w:val="auto"/>
        </w:rPr>
        <w:t>Conversion Date</w:t>
      </w:r>
      <w:r>
        <w:rPr>
          <w:rFonts w:ascii="Arial" w:cs="Arial" w:eastAsia="Arial" w:hAnsi="Arial"/>
          <w:sz w:val="19"/>
          <w:szCs w:val="19"/>
          <w:color w:val="auto"/>
        </w:rPr>
        <w:t xml:space="preserve">”) and regardless of whether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shall be satisfied on the Conversion Date, (i) the principal amount of any Tranche 2 Loan made by such Tranche 2 Lender shall, upon the making thereof, immediately and automatically convert into a Tranche 1 Loan in a like principal amount (and, upon such conversion, shall cease to be outstanding as a Tranche 2 Loan and shall continue to be in effect and outstanding under this Agreement as a Tranche 1 Loan on the terms and conditions set forth herein), (ii) the entire amount of its Tranche 2 Commitment (for the avoidance of doubt, whether used or unused) shall immediately and automatically (or, if the Conversion Date shall be the PNG Acquisition Closing Date, immediately and automatically upon the making of a Tranche 2 Loan thereunder (or, in the case of any Tranche 2 Lender that shall have failed to fund any portion of its Tranche 2 Loan in accordance with the terms hereof, immediately after the time that such Tranche 2 Lender was required to fund its Tranche 2 Loan in accordance with the terms hereof)), convert into a Tranche 1 Commitment in a like amount (and, upon such conversion, shall cease to be in effect as a Tranche 2 Commitment and shall continue to be in effect under this Agreement as a Tranche 1 Commitment on the terms and conditions set forth herein) and (iii) following the Conversion, without any further action on the part of the Swingline Lenders, the Issuing Banks or the other Lenders, the Swingline Exposure and the LC Exposure of the Tranche 1 Lenders (including Tranche 1 Lenders holding the Converted Tranche 1 Commitments) outstanding on the Conversion Date shall be automatically redetermined on the basis of such Tranche 1 Lenders’ respective Applicable Percentages (determined on the Conversion Date after giving effect to the Conversion). If any Tranche 1 Loans are outstanding immediately prior to the Conversion, then, on the Conversion Date, notwithstanding anything to the contrary in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2.07</w:t>
      </w:r>
      <w:r>
        <w:rPr>
          <w:rFonts w:ascii="Arial" w:cs="Arial" w:eastAsia="Arial" w:hAnsi="Arial"/>
          <w:sz w:val="19"/>
          <w:szCs w:val="19"/>
          <w:color w:val="auto"/>
        </w:rPr>
        <w:t xml:space="preserve"> (or any Borrowing Request or Interest Election Request in respect of the Tranche 2 Loans delivered under such Section), the Converted Tranche 1 Loans shall be allocated among each then outstanding Tranche 1 Borrowing ratably and, to the extent of such allocation, shall be part of each such Tranche 1 Borrowing (constituting a Loan of the same Type as the other Tranche 1 Loans that are part of such Tranche 1 Borrowing) and, in the case of any LIBOR Borrowing, shall have an initial Interest Period equal to the remaining Interest Period applicable to such Tranche 1 Borrowing.</w:t>
      </w:r>
    </w:p>
    <w:p>
      <w:pPr>
        <w:spacing w:after="0" w:line="362" w:lineRule="exact"/>
        <w:rPr>
          <w:rFonts w:ascii="Arial" w:cs="Arial" w:eastAsia="Arial" w:hAnsi="Arial"/>
          <w:sz w:val="19"/>
          <w:szCs w:val="19"/>
          <w:color w:val="auto"/>
        </w:rPr>
      </w:pPr>
    </w:p>
    <w:p>
      <w:pPr>
        <w:jc w:val="both"/>
        <w:ind w:left="100" w:right="99" w:firstLine="1301"/>
        <w:spacing w:after="0" w:line="268" w:lineRule="auto"/>
        <w:tabs>
          <w:tab w:leader="none" w:pos="1878"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Immediately following the Conversion, notwithstanding anything to the contrary in this Agreement, including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for the avoidance of doubt, without any requirement that the Company submit a Borrowing Request hereunder), the Company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299085</wp:posOffset>
            </wp:positionV>
            <wp:extent cx="5642610" cy="514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4" w:name="page255"/>
    <w:bookmarkEnd w:id="254"/>
    <w:p>
      <w:pPr>
        <w:ind w:left="8700"/>
        <w:spacing w:after="0"/>
        <w:rPr>
          <w:sz w:val="20"/>
          <w:szCs w:val="20"/>
          <w:color w:val="auto"/>
        </w:rPr>
      </w:pPr>
      <w:r>
        <w:rPr>
          <w:rFonts w:ascii="Arial" w:cs="Arial" w:eastAsia="Arial" w:hAnsi="Arial"/>
          <w:sz w:val="19"/>
          <w:szCs w:val="19"/>
          <w:color w:val="auto"/>
        </w:rPr>
        <w:t>68</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rPr>
          <w:sz w:val="20"/>
          <w:szCs w:val="20"/>
          <w:color w:val="auto"/>
        </w:rPr>
      </w:pPr>
      <w:r>
        <w:rPr>
          <w:rFonts w:ascii="Arial" w:cs="Arial" w:eastAsia="Arial" w:hAnsi="Arial"/>
          <w:sz w:val="19"/>
          <w:szCs w:val="19"/>
          <w:color w:val="auto"/>
        </w:rPr>
        <w:t>deemed to have requested Borrowings (collectively, the “</w:t>
      </w:r>
      <w:r>
        <w:rPr>
          <w:rFonts w:ascii="Arial" w:cs="Arial" w:eastAsia="Arial" w:hAnsi="Arial"/>
          <w:sz w:val="19"/>
          <w:szCs w:val="19"/>
          <w:u w:val="single" w:color="auto"/>
          <w:color w:val="auto"/>
        </w:rPr>
        <w:t>True-Up Borrowing</w:t>
      </w:r>
      <w:r>
        <w:rPr>
          <w:rFonts w:ascii="Arial" w:cs="Arial" w:eastAsia="Arial" w:hAnsi="Arial"/>
          <w:sz w:val="19"/>
          <w:szCs w:val="19"/>
          <w:color w:val="auto"/>
        </w:rPr>
        <w:t xml:space="preserve">”) of Tranche 1 Loans to be made on the Conversion Date in an aggregate principal amount equal to the sum of (i) the aggregate principal amount of the Tranche 2 Loans outstanding on the Conversion Date and (ii) the aggregate principal amount of Tranche 1 Loans outstanding on the Conversion Date, in each case, determined immediately prior to giving effect to the Conversion. On the Conversion Date, notwithstanding anything to the contrary herein and regardless of whether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shall be satisfied as of such date, each Tranche 1 Lender shall make its portion of the True-Up Borrowing (determined on the basis of its Applicable Percentage of the True-Up Borrowing after giving effect to the Conversion) by funding the amount thereof in accordance with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Section 2.21(b)</w:t>
      </w:r>
      <w:r>
        <w:rPr>
          <w:rFonts w:ascii="Arial" w:cs="Arial" w:eastAsia="Arial" w:hAnsi="Arial"/>
          <w:sz w:val="19"/>
          <w:szCs w:val="19"/>
          <w:color w:val="auto"/>
        </w:rPr>
        <w:t xml:space="preserve"> and notwithstanding anything to the contrary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each Tranche 1 Lender that shall have an outstanding Tranche 1 Loan (including as a result of the Conversion) on the Conversion Date shall be deemed to have so funded a portion of the True-Up Borrowing in an amount equal to the lesser of the aggregate principal amount of its Tranche 1 Loan (including any portion thereof constituting Converted Tranche 1 Loan) then outstanding and its Applicable Percentage (determined after giving effect to the Conversion) of the True-Up Borrowing. The True-Up Borrowing shall be deemed to consist of Tranche 1 Borrowings in the same principal amounts as the existing Tranche 1 Borrowings outstanding immediately prior to giving effect to the application of the True-Up Borrowing (and shall constitute Loans of the same Type as the Tranche 1 Loans that are part of such existing Tranche 1 Borrowings) and, in the case of any LIBOR Borrowing, shall have an initial Interest Period equal to the remaining Interest Period applicable to such existing Tranche 1 Borrowing. Notwithstanding anything to the contrary in this Agreement, including </w:t>
      </w:r>
      <w:r>
        <w:rPr>
          <w:rFonts w:ascii="Arial" w:cs="Arial" w:eastAsia="Arial" w:hAnsi="Arial"/>
          <w:sz w:val="19"/>
          <w:szCs w:val="19"/>
          <w:u w:val="single" w:color="auto"/>
          <w:color w:val="auto"/>
        </w:rPr>
        <w:t>Sections 2.10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for the avoidance of doubt, without any requirement that the Company submit a notice of prepayment hereunder), but subject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in the case of any prepayments pursuant to clause (A) below, on the Conversion Date and immediately following the Conversion (A) the cash proceeds of the True-Up Borrowing shall be applied to prepay the Tranche 1 Loans (including any portion thereof constituting Converted Tranche 1 Loans) included in each then outstanding Tranche 1 Borrowing ratably as among such outstanding Borrowings but, in respect of the Tranche 1 Loans of each Lender included in each such Borrowing, shall be applied to prepay such Tranche 1 Loans in such amounts, if any, as shall be necessary to cause the Tranche 1 Lenders to hold all Tranche 1 Loans ratably in accordance with their respective Applicable Percentages and (B) the portion of the True-Up Borrowing deemed funded by any Tranche 1 Lender as provided above shall be deemed to be applied to prepay a like amount of such Lender’s Tranche 1 Loans (including any portion thereof constituting Converted Tranche 1 Loans) included in the then outstanding Tranche 1 Borrowings such that, after giving effect to clause (A) and this clause (B), the Tranche 1 Lenders shall hold all Tranche 1 Loans ratably in accordance with their respective Applicable Percentages. For the avoidance of doubt, the reallocations of Swingline Exposure and LC Exposure described in </w:t>
      </w:r>
      <w:r>
        <w:rPr>
          <w:rFonts w:ascii="Arial" w:cs="Arial" w:eastAsia="Arial" w:hAnsi="Arial"/>
          <w:sz w:val="19"/>
          <w:szCs w:val="19"/>
          <w:u w:val="single" w:color="auto"/>
          <w:color w:val="auto"/>
        </w:rPr>
        <w:t>Section 2.21(a)</w:t>
      </w:r>
      <w:r>
        <w:rPr>
          <w:rFonts w:ascii="Arial" w:cs="Arial" w:eastAsia="Arial" w:hAnsi="Arial"/>
          <w:sz w:val="19"/>
          <w:szCs w:val="19"/>
          <w:color w:val="auto"/>
        </w:rPr>
        <w:t xml:space="preserve"> and deemed reborrowings and repayments described in this </w:t>
      </w:r>
      <w:r>
        <w:rPr>
          <w:rFonts w:ascii="Arial" w:cs="Arial" w:eastAsia="Arial" w:hAnsi="Arial"/>
          <w:sz w:val="19"/>
          <w:szCs w:val="19"/>
          <w:u w:val="single" w:color="auto"/>
          <w:color w:val="auto"/>
        </w:rPr>
        <w:t>Section 2.21(b)</w:t>
      </w:r>
      <w:r>
        <w:rPr>
          <w:rFonts w:ascii="Arial" w:cs="Arial" w:eastAsia="Arial" w:hAnsi="Arial"/>
          <w:sz w:val="19"/>
          <w:szCs w:val="19"/>
          <w:color w:val="auto"/>
        </w:rPr>
        <w:t xml:space="preserve"> shall occur automatically, and without action by the Company, and regardless of whether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shall be satisfied as of the Conversion Date.</w:t>
      </w:r>
    </w:p>
    <w:p>
      <w:pPr>
        <w:spacing w:after="0" w:line="200" w:lineRule="exact"/>
        <w:rPr>
          <w:sz w:val="20"/>
          <w:szCs w:val="20"/>
          <w:color w:val="auto"/>
        </w:rPr>
      </w:pPr>
    </w:p>
    <w:p>
      <w:pPr>
        <w:spacing w:after="0" w:line="357"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2.22</w:t>
      </w:r>
      <w:r>
        <w:rPr>
          <w:sz w:val="20"/>
          <w:szCs w:val="20"/>
          <w:color w:val="auto"/>
        </w:rPr>
        <w:tab/>
      </w:r>
      <w:r>
        <w:rPr>
          <w:rFonts w:ascii="Arial" w:cs="Arial" w:eastAsia="Arial" w:hAnsi="Arial"/>
          <w:sz w:val="19"/>
          <w:szCs w:val="19"/>
          <w:u w:val="single" w:color="auto"/>
          <w:color w:val="auto"/>
        </w:rPr>
        <w:t>Incremental Tranche 1 Commitments and Loans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line="257" w:lineRule="auto"/>
        <w:tabs>
          <w:tab w:leader="none" w:pos="197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The Company may on one or more occasions, from time to time, by written notice to the Administrative Agent, and without the consent of any Lender, request the establishment of Incremental Tranche 1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all the Incremental Tranche 1 Commitments established during the term of this Agreement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307340</wp:posOffset>
            </wp:positionV>
            <wp:extent cx="5642610" cy="514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5" w:name="page256"/>
    <w:bookmarkEnd w:id="255"/>
    <w:p>
      <w:pPr>
        <w:jc w:val="right"/>
        <w:ind w:right="99"/>
        <w:spacing w:after="0"/>
        <w:rPr>
          <w:sz w:val="20"/>
          <w:szCs w:val="20"/>
          <w:color w:val="auto"/>
        </w:rPr>
      </w:pPr>
      <w:r>
        <w:rPr>
          <w:rFonts w:ascii="Arial" w:cs="Arial" w:eastAsia="Arial" w:hAnsi="Arial"/>
          <w:sz w:val="22"/>
          <w:szCs w:val="22"/>
          <w:color w:val="auto"/>
        </w:rPr>
        <w:t>69</w:t>
      </w:r>
    </w:p>
    <w:p>
      <w:pPr>
        <w:spacing w:after="0" w:line="396" w:lineRule="exact"/>
        <w:rPr>
          <w:sz w:val="20"/>
          <w:szCs w:val="20"/>
          <w:color w:val="auto"/>
        </w:rPr>
      </w:pPr>
    </w:p>
    <w:p>
      <w:pPr>
        <w:jc w:val="both"/>
        <w:ind w:left="100" w:right="99"/>
        <w:spacing w:after="0" w:line="241" w:lineRule="auto"/>
        <w:rPr>
          <w:sz w:val="20"/>
          <w:szCs w:val="20"/>
          <w:color w:val="auto"/>
        </w:rPr>
      </w:pPr>
      <w:r>
        <w:rPr>
          <w:rFonts w:ascii="Arial" w:cs="Arial" w:eastAsia="Arial" w:hAnsi="Arial"/>
          <w:sz w:val="19"/>
          <w:szCs w:val="19"/>
          <w:color w:val="auto"/>
        </w:rPr>
        <w:t>exceed the Incremental Facility Cap. Each such notice shall specify (i) the date on which the Company proposes that the Incremental Tranche 1 Commitments shall be effective, which shall be a date not less than five Business Days (or such shorter period as may be acceptable to the Administrative Agent) after the date on which such notice is delivered to the Administrative Agent, and (ii) the amount of the Incremental Tranche 1 Commitments being requested (it being agreed that</w:t>
      </w:r>
    </w:p>
    <w:p>
      <w:pPr>
        <w:spacing w:after="0" w:line="1" w:lineRule="exact"/>
        <w:rPr>
          <w:sz w:val="20"/>
          <w:szCs w:val="20"/>
          <w:color w:val="auto"/>
        </w:rPr>
      </w:pPr>
    </w:p>
    <w:p>
      <w:pPr>
        <w:jc w:val="both"/>
        <w:ind w:left="100" w:right="99" w:firstLine="5"/>
        <w:spacing w:after="0" w:line="211" w:lineRule="auto"/>
        <w:tabs>
          <w:tab w:leader="none" w:pos="4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any Lender approached to provide any Incremental Tranche 1 Commitment may elect or decline, in its sole discretion, to provide such Incremental Tranche 1 Commitment and (B) any Person that the Company proposes to become an Incremental Tranche 1 Lender, if such Person is not then a Lender, must be an Eligible Assignee and must be approved by the Administrative Agent, each Issuing Bank and each Swingline Lender (such approval, in each case, not to be unreasonably withheld, delayed or conditioned).</w:t>
      </w:r>
    </w:p>
    <w:p>
      <w:pPr>
        <w:spacing w:after="0" w:line="160" w:lineRule="exact"/>
        <w:rPr>
          <w:rFonts w:ascii="Arial" w:cs="Arial" w:eastAsia="Arial" w:hAnsi="Arial"/>
          <w:sz w:val="22"/>
          <w:szCs w:val="22"/>
          <w:color w:val="auto"/>
        </w:rPr>
      </w:pPr>
    </w:p>
    <w:p>
      <w:pPr>
        <w:jc w:val="both"/>
        <w:ind w:left="100" w:right="99" w:firstLine="1301"/>
        <w:spacing w:after="0" w:line="220" w:lineRule="auto"/>
        <w:tabs>
          <w:tab w:leader="none" w:pos="1959" w:val="left"/>
        </w:tabs>
        <w:numPr>
          <w:ilvl w:val="1"/>
          <w:numId w:val="188"/>
        </w:numPr>
        <w:rPr>
          <w:rFonts w:ascii="Arial" w:cs="Arial" w:eastAsia="Arial" w:hAnsi="Arial"/>
          <w:sz w:val="21"/>
          <w:szCs w:val="21"/>
          <w:color w:val="auto"/>
        </w:rPr>
      </w:pPr>
      <w:r>
        <w:rPr>
          <w:rFonts w:ascii="Arial" w:cs="Arial" w:eastAsia="Arial" w:hAnsi="Arial"/>
          <w:sz w:val="21"/>
          <w:szCs w:val="21"/>
          <w:color w:val="auto"/>
        </w:rPr>
        <w:t xml:space="preserve">The terms and conditions of any Incremental Tranche 1 Commitment and the Loans and other extensions of credit to be made thereunder shall be identical to those, and shall be treated as a single Class with, the Tranche 1 Commitments and the Tranche 1 Loans and other extensions of credit made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Company determines to increase the interest rate or fees payable in respect of Incremental Tranche 1 Commitments or Loans and other extensions of credit made thereunder, such increase shall be permitted if the interest rate or fees payable in respect of the then existing Tranche 1 Commitments or Loans and other extensions of credit made thereunder, as applicable, shall be increased to equal such interest rate or fees payable in respect of such Incremental Tranche 1 Commitments or Loans and other extensions of credit made thereunder, as the case may be.</w:t>
      </w:r>
    </w:p>
    <w:p>
      <w:pPr>
        <w:spacing w:after="0" w:line="163" w:lineRule="exact"/>
        <w:rPr>
          <w:rFonts w:ascii="Arial" w:cs="Arial" w:eastAsia="Arial" w:hAnsi="Arial"/>
          <w:sz w:val="21"/>
          <w:szCs w:val="21"/>
          <w:color w:val="auto"/>
        </w:rPr>
      </w:pPr>
    </w:p>
    <w:p>
      <w:pPr>
        <w:jc w:val="both"/>
        <w:ind w:left="100" w:right="99" w:firstLine="1301"/>
        <w:spacing w:after="0"/>
        <w:tabs>
          <w:tab w:leader="none" w:pos="1947" w:val="left"/>
        </w:tabs>
        <w:numPr>
          <w:ilvl w:val="1"/>
          <w:numId w:val="188"/>
        </w:numPr>
        <w:rPr>
          <w:rFonts w:ascii="Arial" w:cs="Arial" w:eastAsia="Arial" w:hAnsi="Arial"/>
          <w:sz w:val="19"/>
          <w:szCs w:val="19"/>
          <w:color w:val="auto"/>
        </w:rPr>
      </w:pPr>
      <w:r>
        <w:rPr>
          <w:rFonts w:ascii="Arial" w:cs="Arial" w:eastAsia="Arial" w:hAnsi="Arial"/>
          <w:sz w:val="19"/>
          <w:szCs w:val="19"/>
          <w:color w:val="auto"/>
        </w:rPr>
        <w:t xml:space="preserve">The Incremental Tranche 1 Commitments shall be effected pursuant to one or more Incremental Facility Agreements executed and delivered by the Company, each Incremental Tranche 1 Lender providing such Incremental Tranche 1 Commitments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Incremental Tranche 1 Commitments shall become effective unless (i) no Default or Event of Default shall have occurred and be continuing on the date of effectiveness thereof, both immediately prior to and immediately after giving effect to such Incremental Tranche 1 Commitments and the making of Loans and issuance of Letters of Credit thereunder to be made on such date, (ii) on the date of the effectiveness thereof, the representations and warranties of the Company set forth in the Loan Documents shall be true and correct (A) in the case of the representations and warranties qualified as to materiality, Material Adverse Effect or similar language, in all respects (after giving effect to such qualification) and (B) otherwise, in all material respects, in each case on and as of such date of effectiveness, except in the case of any such representation and warranty that expressly relates to a prior date, in which case such representation and warranty shall be so true and correct on and as of such prior date and (iii) the Company shall have delivered to the Administrative Agent such legal opinions, board resolutions, secretary’s certificates, officer’s certificates and good standing certificates (to the extent such concept is applicable in the applicable jurisdiction) as shall reasonably be requested by the Administrative Agent in connection with any such transaction. Each Incremental Facility Agreement may, without the consent of any Lender (but with the consent of the Company), effect such amendments to this Agreement and the other Loan Documents as may be necessary or appropriate, in the opinion of the Administrative Agent, to give effect to the provisions of this </w:t>
      </w:r>
      <w:r>
        <w:rPr>
          <w:rFonts w:ascii="Arial" w:cs="Arial" w:eastAsia="Arial" w:hAnsi="Arial"/>
          <w:sz w:val="19"/>
          <w:szCs w:val="19"/>
          <w:u w:val="single" w:color="auto"/>
          <w:color w:val="auto"/>
        </w:rPr>
        <w:t>Section 2.22</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459105</wp:posOffset>
            </wp:positionV>
            <wp:extent cx="5642610" cy="514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6" w:name="page257"/>
    <w:bookmarkEnd w:id="256"/>
    <w:p>
      <w:pPr>
        <w:jc w:val="right"/>
        <w:ind w:right="99"/>
        <w:spacing w:after="0"/>
        <w:rPr>
          <w:sz w:val="20"/>
          <w:szCs w:val="20"/>
          <w:color w:val="auto"/>
        </w:rPr>
      </w:pPr>
      <w:r>
        <w:rPr>
          <w:rFonts w:ascii="Arial" w:cs="Arial" w:eastAsia="Arial" w:hAnsi="Arial"/>
          <w:sz w:val="22"/>
          <w:szCs w:val="22"/>
          <w:color w:val="auto"/>
        </w:rPr>
        <w:t>70</w:t>
      </w:r>
    </w:p>
    <w:p>
      <w:pPr>
        <w:spacing w:after="0" w:line="396" w:lineRule="exact"/>
        <w:rPr>
          <w:sz w:val="20"/>
          <w:szCs w:val="20"/>
          <w:color w:val="auto"/>
        </w:rPr>
      </w:pPr>
    </w:p>
    <w:p>
      <w:pPr>
        <w:jc w:val="both"/>
        <w:ind w:left="100" w:right="99" w:firstLine="1301"/>
        <w:spacing w:after="0" w:line="241" w:lineRule="auto"/>
        <w:tabs>
          <w:tab w:leader="none" w:pos="2081" w:val="left"/>
        </w:tabs>
        <w:numPr>
          <w:ilvl w:val="1"/>
          <w:numId w:val="189"/>
        </w:numPr>
        <w:rPr>
          <w:rFonts w:ascii="Arial" w:cs="Arial" w:eastAsia="Arial" w:hAnsi="Arial"/>
          <w:sz w:val="19"/>
          <w:szCs w:val="19"/>
          <w:color w:val="auto"/>
        </w:rPr>
      </w:pPr>
      <w:r>
        <w:rPr>
          <w:rFonts w:ascii="Arial" w:cs="Arial" w:eastAsia="Arial" w:hAnsi="Arial"/>
          <w:sz w:val="19"/>
          <w:szCs w:val="19"/>
          <w:color w:val="auto"/>
        </w:rPr>
        <w:t>Upon the effectiveness of an Incremental Tranche 1 Commitment of any Incremental Tranche 1 Lender, (i) such Incremental Tranche 1 Lender, if not already a Lender, shall be deemed to be a “Lender” (and a Lender in respect of Tranche 1 Commitments and Tranche 1 Loans) hereunder, and shall be entitled to all the rights of, and benefits accruing to, Lenders (or Lenders in respect of Tranche 1 Commitments and Tranche 1 Loans) hereunder and under the other Loan Documents and shall be bound by all agreements, acknowledgements and other obligations of Lenders (or Lenders in respect of Tranche 1 Commitments and Tranche 1 Loans) hereunder and under the other Loan Documents, (ii) such Incremental Tranche 1 Commitment shall constitute (or, in the event such Incremental Tranche 1 Lender already has a Tranche 1 Commitment, shall increase) the Tranche 1 Commitment of such Incremental Tranche 1 Lender and (B) the Total Tranche 1 Commitments shall be increased by the amount of such Incremental Tranche 1 Commitment, in each case, subject to further increase or reduction from time to time as provided herein. For the avoidance of doubt, upon the effectiveness of any Incremental Tranche 1 Commitment, the Credit Exposures and the Applicable Percentages of all the Lenders shall automatically be adjusted to give effect thereto.</w:t>
      </w:r>
    </w:p>
    <w:p>
      <w:pPr>
        <w:spacing w:after="0" w:line="385" w:lineRule="exact"/>
        <w:rPr>
          <w:rFonts w:ascii="Arial" w:cs="Arial" w:eastAsia="Arial" w:hAnsi="Arial"/>
          <w:sz w:val="19"/>
          <w:szCs w:val="19"/>
          <w:color w:val="auto"/>
        </w:rPr>
      </w:pPr>
    </w:p>
    <w:p>
      <w:pPr>
        <w:jc w:val="both"/>
        <w:ind w:left="100" w:right="99" w:firstLine="1301"/>
        <w:spacing w:after="0"/>
        <w:tabs>
          <w:tab w:leader="none" w:pos="1879" w:val="left"/>
        </w:tabs>
        <w:numPr>
          <w:ilvl w:val="1"/>
          <w:numId w:val="189"/>
        </w:numPr>
        <w:rPr>
          <w:rFonts w:ascii="Arial" w:cs="Arial" w:eastAsia="Arial" w:hAnsi="Arial"/>
          <w:sz w:val="19"/>
          <w:szCs w:val="19"/>
          <w:color w:val="auto"/>
        </w:rPr>
      </w:pPr>
      <w:r>
        <w:rPr>
          <w:rFonts w:ascii="Arial" w:cs="Arial" w:eastAsia="Arial" w:hAnsi="Arial"/>
          <w:sz w:val="19"/>
          <w:szCs w:val="19"/>
          <w:color w:val="auto"/>
        </w:rPr>
        <w:t>On the date of effectiveness of any Incremental Tranche 1 Commitments, (i) the aggregate outstanding principal amount of the Tranche 1 Loans made to the Company (the “</w:t>
      </w:r>
      <w:r>
        <w:rPr>
          <w:rFonts w:ascii="Arial" w:cs="Arial" w:eastAsia="Arial" w:hAnsi="Arial"/>
          <w:sz w:val="19"/>
          <w:szCs w:val="19"/>
          <w:u w:val="single" w:color="auto"/>
          <w:color w:val="auto"/>
        </w:rPr>
        <w:t>Existing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Borrowings</w:t>
      </w:r>
      <w:r>
        <w:rPr>
          <w:rFonts w:ascii="Arial" w:cs="Arial" w:eastAsia="Arial" w:hAnsi="Arial"/>
          <w:sz w:val="19"/>
          <w:szCs w:val="19"/>
          <w:color w:val="auto"/>
        </w:rPr>
        <w:t>”) immediately prior to the effectiveness of such Incremental Tranche 1 Commitments shall be deemed to be repaid, (ii) each Incremental Tranche 1 Lender that shall have had a Tranche 1 Commitment immediately prior to the effectiveness of such Incremental Tranche 1 Commitments shall pay to the Administrative Agent in same day funds an amount equal to the difference between</w:t>
      </w:r>
    </w:p>
    <w:p>
      <w:pPr>
        <w:spacing w:after="0" w:line="3" w:lineRule="exact"/>
        <w:rPr>
          <w:rFonts w:ascii="Arial" w:cs="Arial" w:eastAsia="Arial" w:hAnsi="Arial"/>
          <w:sz w:val="19"/>
          <w:szCs w:val="19"/>
          <w:color w:val="auto"/>
        </w:rPr>
      </w:pPr>
    </w:p>
    <w:p>
      <w:pPr>
        <w:jc w:val="both"/>
        <w:ind w:left="100" w:right="99" w:firstLine="5"/>
        <w:spacing w:after="0"/>
        <w:tabs>
          <w:tab w:leader="none" w:pos="49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product of (1) such Lender’s Applicable Percentage (calculated after giving effect to the effectiveness of such Incremental Tranche 1 Commitments) multiplied by (2) the aggregate amount of the Resulting Borrowings and (B) the product of (1) such Lender’s Applicable Percentage (calculated without giving effect to the effectiveness of such Incremental Tranche 1 Commitments) multiplied by (2) the aggregate amount of the Existing Borrowings, (iii) each Incremental Tranche 1 Lender that shall not have had a Tranche 1 Commitment prior to the effectiveness of such Incremental Tranche 1 Commitments shall pay to Administrative Agent in same day funds an amount equal to the product of (1) such Lender’s Applicable Percentage (calculated after giving effect to the effectiveness of such Incremental Tranche 1 Commitments) multiplied by (2) the aggregate amount of the Resulting Borrowings, (iv) after the Administrative Agent receives the funds specified in clauses (ii) and (iii) above, the Administrative Agent shall pay to each Lender the portion of such funds that is equal to the difference between (A) the product of (1) such Lender’s Applicable Percentage (calculated without giving effect to the effectiveness of such Incremental Tranche 1 Commitments) multiplied by (2) the aggregate amount of the Existing Borrowings, and (B) the product of (1) such Lender’s Applicable Percentage (calculated after giving effect to the effectiveness of such Incremental Tranche 1 Commitments) multiplied by (2) the aggregate amount of the Resulting Borrowings, (v) after the effectiveness of such Incremental Tranche 1 Commitments, the Company shall be deemed to have made new Tranche 1 Borrowings (the “</w:t>
      </w:r>
      <w:r>
        <w:rPr>
          <w:rFonts w:ascii="Arial" w:cs="Arial" w:eastAsia="Arial" w:hAnsi="Arial"/>
          <w:sz w:val="19"/>
          <w:szCs w:val="19"/>
          <w:u w:val="single" w:color="auto"/>
          <w:color w:val="auto"/>
        </w:rPr>
        <w:t>Resulting Borrowings</w:t>
      </w:r>
      <w:r>
        <w:rPr>
          <w:rFonts w:ascii="Arial" w:cs="Arial" w:eastAsia="Arial" w:hAnsi="Arial"/>
          <w:sz w:val="19"/>
          <w:szCs w:val="19"/>
          <w:color w:val="auto"/>
        </w:rPr>
        <w:t xml:space="preserve">”) in an aggregate amount equal to the aggregate amount of the Company’s Existing Borrowings and of the Types and for the Interest Periods specified in a Borrowing Request delivered by the Company to the Administrative Agent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 (vi) each Lender shall be deemed to hold its Applicable Percentage of each Resulting Borrowing (calculated after giving effect to the effectiveness of such Incremental Tranche 1 Commitments) and (vii) the Company shall pay each Lender any and all accrued but unpaid interest on its Loans comprising the Existing Borrowings. The deemed payments of the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441960</wp:posOffset>
            </wp:positionV>
            <wp:extent cx="5642610" cy="514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7" w:name="page258"/>
    <w:bookmarkEnd w:id="257"/>
    <w:p>
      <w:pPr>
        <w:ind w:left="8700"/>
        <w:spacing w:after="0"/>
        <w:rPr>
          <w:sz w:val="20"/>
          <w:szCs w:val="20"/>
          <w:color w:val="auto"/>
        </w:rPr>
      </w:pPr>
      <w:r>
        <w:rPr>
          <w:rFonts w:ascii="Arial" w:cs="Arial" w:eastAsia="Arial" w:hAnsi="Arial"/>
          <w:sz w:val="19"/>
          <w:szCs w:val="19"/>
          <w:color w:val="auto"/>
        </w:rPr>
        <w:t>71</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9"/>
          <w:szCs w:val="19"/>
          <w:color w:val="auto"/>
        </w:rPr>
        <w:t xml:space="preserve">Borrowings made pursuant to clause (i) above shall be subject to compensation by the Company pursuant to the provisions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if the date of the effectiveness of such Incremental Tranche 1 Commitments occurs other than on the last day of the Interest Period relating thereto.</w:t>
      </w:r>
    </w:p>
    <w:p>
      <w:pPr>
        <w:spacing w:after="0" w:line="132" w:lineRule="exact"/>
        <w:rPr>
          <w:sz w:val="20"/>
          <w:szCs w:val="20"/>
          <w:color w:val="auto"/>
        </w:rPr>
      </w:pPr>
    </w:p>
    <w:p>
      <w:pPr>
        <w:jc w:val="both"/>
        <w:ind w:left="100" w:right="99" w:firstLine="1301"/>
        <w:spacing w:after="0" w:line="226" w:lineRule="auto"/>
        <w:tabs>
          <w:tab w:leader="none" w:pos="1869" w:val="left"/>
        </w:tabs>
        <w:numPr>
          <w:ilvl w:val="0"/>
          <w:numId w:val="191"/>
        </w:numPr>
        <w:rPr>
          <w:rFonts w:ascii="Arial" w:cs="Arial" w:eastAsia="Arial" w:hAnsi="Arial"/>
          <w:sz w:val="21"/>
          <w:szCs w:val="21"/>
          <w:color w:val="auto"/>
        </w:rPr>
      </w:pPr>
      <w:r>
        <w:rPr>
          <w:rFonts w:ascii="Arial" w:cs="Arial" w:eastAsia="Arial" w:hAnsi="Arial"/>
          <w:sz w:val="21"/>
          <w:szCs w:val="21"/>
          <w:color w:val="auto"/>
        </w:rPr>
        <w:t xml:space="preserve">The Administrative Agent shall notify the Lenders promptly upon receipt by the Administrative Agent of any notice from the Company referred to in </w:t>
      </w:r>
      <w:r>
        <w:rPr>
          <w:rFonts w:ascii="Arial" w:cs="Arial" w:eastAsia="Arial" w:hAnsi="Arial"/>
          <w:sz w:val="21"/>
          <w:szCs w:val="21"/>
          <w:u w:val="single" w:color="auto"/>
          <w:color w:val="auto"/>
        </w:rPr>
        <w:t>Section 2.22(a)</w:t>
      </w:r>
      <w:r>
        <w:rPr>
          <w:rFonts w:ascii="Arial" w:cs="Arial" w:eastAsia="Arial" w:hAnsi="Arial"/>
          <w:sz w:val="21"/>
          <w:szCs w:val="21"/>
          <w:color w:val="auto"/>
        </w:rPr>
        <w:t xml:space="preserve"> and of the effectiveness of any Incremental Tranche 1 Commitments, in each case advising the Lenders of the details thereof and of the Applicable Percentages of the Lenders after giving effect thereto and of the payments required to be made pursuant to </w:t>
      </w:r>
      <w:r>
        <w:rPr>
          <w:rFonts w:ascii="Arial" w:cs="Arial" w:eastAsia="Arial" w:hAnsi="Arial"/>
          <w:sz w:val="21"/>
          <w:szCs w:val="21"/>
          <w:u w:val="single" w:color="auto"/>
          <w:color w:val="auto"/>
        </w:rPr>
        <w:t>Section 2.22(e)</w:t>
      </w:r>
      <w:r>
        <w:rPr>
          <w:rFonts w:ascii="Arial" w:cs="Arial" w:eastAsia="Arial" w:hAnsi="Arial"/>
          <w:sz w:val="21"/>
          <w:szCs w:val="21"/>
          <w:color w:val="auto"/>
        </w:rPr>
        <w:t>.</w:t>
      </w:r>
    </w:p>
    <w:p>
      <w:pPr>
        <w:spacing w:after="0" w:line="160"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2.23</w:t>
      </w:r>
      <w:r>
        <w:rPr>
          <w:sz w:val="20"/>
          <w:szCs w:val="20"/>
          <w:color w:val="auto"/>
        </w:rPr>
        <w:tab/>
      </w:r>
      <w:r>
        <w:rPr>
          <w:rFonts w:ascii="Arial" w:cs="Arial" w:eastAsia="Arial" w:hAnsi="Arial"/>
          <w:sz w:val="19"/>
          <w:szCs w:val="19"/>
          <w:u w:val="single" w:color="auto"/>
          <w:color w:val="auto"/>
        </w:rPr>
        <w:t>Bridge Facility</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line="245" w:lineRule="auto"/>
        <w:tabs>
          <w:tab w:leader="none" w:pos="1933"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The Company may, by written notice to the Administrative Agent, request the establishment of Bridge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the Bridge Commitments established hereunder shall not exceed the Bridge Facility Amount. Each such notice shall specify (i) the date on which the Company proposes that the Bridge Commitments shall become effective and (ii) the amount of the Bridge Commitments being established (it being agreed that (A) except to the extent such Lender shall have separately agreed in writing to provide any Bridge Commitment, any Lender approached to provide any Bridge Commitment may elect or decline, in its sole discretion, to provide such Bridge Commitment and (B) any Person that the Company proposes to become a Bridge Lender, if such Person is not then a Lender, must be an Eligible Assignee).</w:t>
      </w:r>
    </w:p>
    <w:p>
      <w:pPr>
        <w:spacing w:after="0" w:line="153" w:lineRule="exact"/>
        <w:rPr>
          <w:rFonts w:ascii="Arial" w:cs="Arial" w:eastAsia="Arial" w:hAnsi="Arial"/>
          <w:sz w:val="19"/>
          <w:szCs w:val="19"/>
          <w:color w:val="auto"/>
        </w:rPr>
      </w:pPr>
    </w:p>
    <w:p>
      <w:pPr>
        <w:jc w:val="both"/>
        <w:ind w:left="100" w:right="99" w:firstLine="1301"/>
        <w:spacing w:after="0" w:line="241" w:lineRule="auto"/>
        <w:tabs>
          <w:tab w:leader="none" w:pos="186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The terms and conditions of the Bridge Commitments and the Bridge Loans to be made thereunder shall be as set forth in the Bridge Facility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Bridge Loans shall be extensions of credit to the Company, (ii) the Bridge Loans shall rank </w:t>
      </w:r>
      <w:r>
        <w:rPr>
          <w:rFonts w:ascii="Arial" w:cs="Arial" w:eastAsia="Arial" w:hAnsi="Arial"/>
          <w:sz w:val="19"/>
          <w:szCs w:val="19"/>
          <w:u w:val="single" w:color="auto"/>
          <w:color w:val="auto"/>
        </w:rPr>
        <w:t>pari passu</w:t>
      </w:r>
      <w:r>
        <w:rPr>
          <w:rFonts w:ascii="Arial" w:cs="Arial" w:eastAsia="Arial" w:hAnsi="Arial"/>
          <w:sz w:val="19"/>
          <w:szCs w:val="19"/>
          <w:color w:val="auto"/>
        </w:rPr>
        <w:t xml:space="preserve"> in right of payment with the other Loans and other Obligations and shall not be (A) secured by any Liens on any assets of the Company or the Subsidiaries or (B) guaranteed by any Person, unless the Obligations are equally and ratably secured, or so guaranteed, as applicable, pursuant to security and guarantee documentation reasonably satisfactory to the Administrative Agent, and (iii) the Bridge Facility Agreement shall not contain any affirmative, negative or financial covenant applicable to the Company or the Subsidiaries or any event of default that is more favorable to the Bridge Lenders (but not the other Lenders), in each case, except if this Agreement is amended to include such affirmative, negative or financial covenant or event of default for the benefit of all Lenders (it being understood that nothing in this clause (iii) shall limit the scheduled maturity date, interest rate, benchmark rate floors, fees, original issue discounts, commitment termination requirements (including mandatory reductions) and prepayment requirements (including mandatory prepayments) applicable to the Bridge Commitments or the Bridge Loans).</w:t>
      </w:r>
    </w:p>
    <w:p>
      <w:pPr>
        <w:spacing w:after="0" w:line="166" w:lineRule="exact"/>
        <w:rPr>
          <w:rFonts w:ascii="Arial" w:cs="Arial" w:eastAsia="Arial" w:hAnsi="Arial"/>
          <w:sz w:val="19"/>
          <w:szCs w:val="19"/>
          <w:color w:val="auto"/>
        </w:rPr>
      </w:pPr>
    </w:p>
    <w:p>
      <w:pPr>
        <w:jc w:val="both"/>
        <w:ind w:left="100" w:right="99" w:firstLine="1301"/>
        <w:spacing w:after="0" w:line="246" w:lineRule="auto"/>
        <w:tabs>
          <w:tab w:leader="none" w:pos="2082"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The Bridge Commitments shall be effected pursuant to a Bridge Facility Agreement executed and delivered by the Company, each Bridge Lender providing such Bridge Commitments and the Bridge Facility Agent, subject to the satisfaction of such conditions precedent thereto as may be set forth in the Bridge Facility Agreement. The Bridge Facility Agreement may, without the consent of any Lender (but with the consent of the Company), effect such amendments to this Agreement and the other Loan Documents as may be necessary or appropriate, in the opinion of the Bridge Facility Agent and the Company, to give effect to the provisions of this </w:t>
      </w:r>
      <w:r>
        <w:rPr>
          <w:rFonts w:ascii="Arial" w:cs="Arial" w:eastAsia="Arial" w:hAnsi="Arial"/>
          <w:sz w:val="19"/>
          <w:szCs w:val="19"/>
          <w:u w:val="single" w:color="auto"/>
          <w:color w:val="auto"/>
        </w:rPr>
        <w:t>Section 2.23</w:t>
      </w:r>
      <w:r>
        <w:rPr>
          <w:rFonts w:ascii="Arial" w:cs="Arial" w:eastAsia="Arial" w:hAnsi="Arial"/>
          <w:sz w:val="19"/>
          <w:szCs w:val="19"/>
          <w:color w:val="auto"/>
        </w:rPr>
        <w:t>, including any amendments necessary or appropriate to treat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8" w:name="page259"/>
    <w:bookmarkEnd w:id="258"/>
    <w:p>
      <w:pPr>
        <w:jc w:val="right"/>
        <w:ind w:right="99"/>
        <w:spacing w:after="0"/>
        <w:rPr>
          <w:sz w:val="20"/>
          <w:szCs w:val="20"/>
          <w:color w:val="auto"/>
        </w:rPr>
      </w:pPr>
      <w:r>
        <w:rPr>
          <w:rFonts w:ascii="Arial" w:cs="Arial" w:eastAsia="Arial" w:hAnsi="Arial"/>
          <w:sz w:val="22"/>
          <w:szCs w:val="22"/>
          <w:color w:val="auto"/>
        </w:rPr>
        <w:t>72</w:t>
      </w:r>
    </w:p>
    <w:p>
      <w:pPr>
        <w:spacing w:after="0" w:line="396"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22"/>
          <w:szCs w:val="22"/>
          <w:color w:val="auto"/>
        </w:rPr>
        <w:t xml:space="preserve">Bridge Commitments and the Bridge Loans as a new Class of Commitments and Loans hereunder (including for purposes of voting) or to provide to the Bridge Facility Agent such rights (including indemnity and exculpation provisions) and obligations as are appropriate for its role and comparable to those of the Administrative Agent in respect of the Facilities. Goldman Sachs Bank USA, in its capacity as the Bridge Facility Agent, is an express third party beneficiary of the provisions of this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159" w:lineRule="exact"/>
        <w:rPr>
          <w:sz w:val="20"/>
          <w:szCs w:val="20"/>
          <w:color w:val="auto"/>
        </w:rPr>
      </w:pPr>
    </w:p>
    <w:p>
      <w:pPr>
        <w:jc w:val="both"/>
        <w:ind w:left="100" w:right="99" w:firstLine="1301"/>
        <w:spacing w:after="0" w:line="247" w:lineRule="auto"/>
        <w:tabs>
          <w:tab w:leader="none" w:pos="1932" w:val="left"/>
        </w:tabs>
        <w:numPr>
          <w:ilvl w:val="0"/>
          <w:numId w:val="193"/>
        </w:numPr>
        <w:rPr>
          <w:rFonts w:ascii="Arial" w:cs="Arial" w:eastAsia="Arial" w:hAnsi="Arial"/>
          <w:sz w:val="19"/>
          <w:szCs w:val="19"/>
          <w:color w:val="auto"/>
        </w:rPr>
      </w:pPr>
      <w:r>
        <w:rPr>
          <w:rFonts w:ascii="Arial" w:cs="Arial" w:eastAsia="Arial" w:hAnsi="Arial"/>
          <w:sz w:val="19"/>
          <w:szCs w:val="19"/>
          <w:color w:val="auto"/>
        </w:rPr>
        <w:t>Upon the effectiveness of the Bridge Commitment of any Bridge Lender, such Bridge Lender shall be deemed to be a “Lender” (and a Lender in respect of Commitments and Loans of the applicable Class) hereunder, and henceforth shall be entitled to all the rights of, and benefits accruing to, Lenders (or Lenders in respect of Commitments and Loans of the applicable Class) hereunder and under the other Loan Documents and shall be bound by all agreements, acknowledgements and other obligations of Lenders (or Lenders in respect of Commitments and Loans of the applicable Class) hereunder and under the other Loan Documents.</w:t>
      </w:r>
    </w:p>
    <w:p>
      <w:pPr>
        <w:spacing w:after="0" w:line="154" w:lineRule="exact"/>
        <w:rPr>
          <w:rFonts w:ascii="Arial" w:cs="Arial" w:eastAsia="Arial" w:hAnsi="Arial"/>
          <w:sz w:val="19"/>
          <w:szCs w:val="19"/>
          <w:color w:val="auto"/>
        </w:rPr>
      </w:pPr>
    </w:p>
    <w:p>
      <w:pPr>
        <w:jc w:val="both"/>
        <w:ind w:left="100" w:right="99" w:firstLine="1301"/>
        <w:spacing w:after="0" w:line="268" w:lineRule="auto"/>
        <w:tabs>
          <w:tab w:leader="none" w:pos="1879"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notify the Lenders promptly upon receipt by the Administrative Agent of any notice from the Company referred to in </w:t>
      </w:r>
      <w:r>
        <w:rPr>
          <w:rFonts w:ascii="Arial" w:cs="Arial" w:eastAsia="Arial" w:hAnsi="Arial"/>
          <w:sz w:val="19"/>
          <w:szCs w:val="19"/>
          <w:u w:val="single" w:color="auto"/>
          <w:color w:val="auto"/>
        </w:rPr>
        <w:t>Section 2.23(a)</w:t>
      </w:r>
      <w:r>
        <w:rPr>
          <w:rFonts w:ascii="Arial" w:cs="Arial" w:eastAsia="Arial" w:hAnsi="Arial"/>
          <w:sz w:val="19"/>
          <w:szCs w:val="19"/>
          <w:color w:val="auto"/>
        </w:rPr>
        <w:t xml:space="preserve"> and of the effectiveness of the Bridge Commitments, in each case advising the Lenders of the details thereof.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179"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The Company represents and warrants to the Lenders, on the Effective Date, the Tranche 2 Availability Date (if any Tranche 2 Loans are made on such date) and on each other date on which representations and warranties are required to be, or are deemed to be, made under the Loan Documents, that:</w:t>
      </w:r>
    </w:p>
    <w:p>
      <w:pPr>
        <w:spacing w:after="0" w:line="161" w:lineRule="exact"/>
        <w:rPr>
          <w:sz w:val="20"/>
          <w:szCs w:val="20"/>
          <w:color w:val="auto"/>
        </w:rPr>
      </w:pPr>
    </w:p>
    <w:p>
      <w:pPr>
        <w:jc w:val="both"/>
        <w:ind w:left="100" w:right="99" w:firstLine="1296"/>
        <w:spacing w:after="0" w:line="243"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 Powers</w:t>
      </w:r>
      <w:r>
        <w:rPr>
          <w:rFonts w:ascii="Arial" w:cs="Arial" w:eastAsia="Arial" w:hAnsi="Arial"/>
          <w:sz w:val="19"/>
          <w:szCs w:val="19"/>
          <w:color w:val="auto"/>
        </w:rPr>
        <w:t>. The Company is (a) (i) duly organized, (ii) validly existing and (iii) to the extent the concept is applicable in such jurisdiction, in good standing under the laws of the jurisdiction of its organization, (b)(i) has all requisite power and authority and</w:t>
      </w:r>
    </w:p>
    <w:p>
      <w:pPr>
        <w:spacing w:after="0" w:line="3" w:lineRule="exact"/>
        <w:rPr>
          <w:sz w:val="20"/>
          <w:szCs w:val="20"/>
          <w:color w:val="auto"/>
        </w:rPr>
      </w:pPr>
    </w:p>
    <w:p>
      <w:pPr>
        <w:jc w:val="both"/>
        <w:ind w:left="100" w:right="99" w:firstLine="5"/>
        <w:spacing w:after="0" w:line="222" w:lineRule="auto"/>
        <w:tabs>
          <w:tab w:leader="none" w:pos="443" w:val="left"/>
        </w:tabs>
        <w:numPr>
          <w:ilvl w:val="0"/>
          <w:numId w:val="194"/>
        </w:numPr>
        <w:rPr>
          <w:rFonts w:ascii="Arial" w:cs="Arial" w:eastAsia="Arial" w:hAnsi="Arial"/>
          <w:sz w:val="21"/>
          <w:szCs w:val="21"/>
          <w:color w:val="auto"/>
        </w:rPr>
      </w:pPr>
      <w:r>
        <w:rPr>
          <w:rFonts w:ascii="Arial" w:cs="Arial" w:eastAsia="Arial" w:hAnsi="Arial"/>
          <w:sz w:val="21"/>
          <w:szCs w:val="21"/>
          <w:color w:val="auto"/>
        </w:rPr>
        <w:t>all Governmental Approvals required for the ownership and operation of its properties and the conduct of its business as now conducted and (c) is qualified to do business, and is in good standing, in every jurisdiction where such qualification is required; except in each case referred to in clause (a) (iii), (b)(ii) or (c), to the extent the failure to do so, individually or in the aggregate, would not reasonably be expected to result in a Material Adverse Effect.</w:t>
      </w:r>
    </w:p>
    <w:p>
      <w:pPr>
        <w:spacing w:after="0" w:line="162" w:lineRule="exact"/>
        <w:rPr>
          <w:sz w:val="20"/>
          <w:szCs w:val="20"/>
          <w:color w:val="auto"/>
        </w:rPr>
      </w:pPr>
    </w:p>
    <w:p>
      <w:pPr>
        <w:jc w:val="both"/>
        <w:ind w:left="100" w:right="99" w:firstLine="1296"/>
        <w:spacing w:after="0" w:line="246"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Authorization; Enforceability</w:t>
      </w:r>
      <w:r>
        <w:rPr>
          <w:rFonts w:ascii="Arial" w:cs="Arial" w:eastAsia="Arial" w:hAnsi="Arial"/>
          <w:sz w:val="19"/>
          <w:szCs w:val="19"/>
          <w:color w:val="auto"/>
        </w:rPr>
        <w:t>. The Transactions to be entered into by the Company are within the Company’s corporate or other organizational powers and have been duly authorized by all necessary corporate or other organizational and, if required, stockholder or other equityholder action of the Company. This Agreement has been duly executed and delivered by the Company and constitutes, and each other Loan Document, when executed and delivered by the Company, will constitute, a legal, valid and binding obligation of the Company, enforceable against it in accordance with its terms, subject to applicable bankruptcy, insolvency, reorganization, moratorium, winding-up or other laws affecting creditors’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9" w:name="page260"/>
    <w:bookmarkEnd w:id="259"/>
    <w:p>
      <w:pPr>
        <w:jc w:val="right"/>
        <w:ind w:right="99"/>
        <w:spacing w:after="0"/>
        <w:rPr>
          <w:sz w:val="20"/>
          <w:szCs w:val="20"/>
          <w:color w:val="auto"/>
        </w:rPr>
      </w:pPr>
      <w:r>
        <w:rPr>
          <w:rFonts w:ascii="Arial" w:cs="Arial" w:eastAsia="Arial" w:hAnsi="Arial"/>
          <w:sz w:val="22"/>
          <w:szCs w:val="22"/>
          <w:color w:val="auto"/>
        </w:rPr>
        <w:t>73</w:t>
      </w:r>
    </w:p>
    <w:p>
      <w:pPr>
        <w:spacing w:after="0" w:line="396" w:lineRule="exact"/>
        <w:rPr>
          <w:sz w:val="20"/>
          <w:szCs w:val="20"/>
          <w:color w:val="auto"/>
        </w:rPr>
      </w:pPr>
    </w:p>
    <w:p>
      <w:pPr>
        <w:jc w:val="both"/>
        <w:ind w:left="100" w:right="99"/>
        <w:spacing w:after="0" w:line="232" w:lineRule="auto"/>
        <w:rPr>
          <w:sz w:val="20"/>
          <w:szCs w:val="20"/>
          <w:color w:val="auto"/>
        </w:rPr>
      </w:pPr>
      <w:r>
        <w:rPr>
          <w:rFonts w:ascii="Arial" w:cs="Arial" w:eastAsia="Arial" w:hAnsi="Arial"/>
          <w:sz w:val="22"/>
          <w:szCs w:val="22"/>
          <w:color w:val="auto"/>
        </w:rPr>
        <w:t>generally and to general principles of equity, regardless of whether considered in a proceeding in equity or at law.</w:t>
      </w:r>
    </w:p>
    <w:p>
      <w:pPr>
        <w:spacing w:after="0" w:line="140" w:lineRule="exact"/>
        <w:rPr>
          <w:sz w:val="20"/>
          <w:szCs w:val="20"/>
          <w:color w:val="auto"/>
        </w:rPr>
      </w:pPr>
    </w:p>
    <w:p>
      <w:pPr>
        <w:ind w:left="1400"/>
        <w:spacing w:after="0"/>
        <w:tabs>
          <w:tab w:leader="none" w:pos="300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u w:val="single" w:color="auto"/>
          <w:color w:val="auto"/>
        </w:rPr>
        <w:t>Governmental Approvals; Absence of Conflicts</w:t>
      </w:r>
      <w:r>
        <w:rPr>
          <w:rFonts w:ascii="Arial" w:cs="Arial" w:eastAsia="Arial" w:hAnsi="Arial"/>
          <w:sz w:val="19"/>
          <w:szCs w:val="19"/>
          <w:color w:val="auto"/>
        </w:rPr>
        <w:t>.  The Transactions</w:t>
      </w:r>
    </w:p>
    <w:p>
      <w:pPr>
        <w:jc w:val="both"/>
        <w:ind w:left="100" w:right="99" w:firstLine="5"/>
        <w:spacing w:after="0"/>
        <w:tabs>
          <w:tab w:leader="none" w:pos="413" w:val="left"/>
        </w:tabs>
        <w:numPr>
          <w:ilvl w:val="0"/>
          <w:numId w:val="195"/>
        </w:numPr>
        <w:rPr>
          <w:rFonts w:ascii="Arial" w:cs="Arial" w:eastAsia="Arial" w:hAnsi="Arial"/>
          <w:sz w:val="19"/>
          <w:szCs w:val="19"/>
          <w:color w:val="auto"/>
        </w:rPr>
      </w:pPr>
      <w:r>
        <w:rPr>
          <w:rFonts w:ascii="Arial" w:cs="Arial" w:eastAsia="Arial" w:hAnsi="Arial"/>
          <w:sz w:val="19"/>
          <w:szCs w:val="19"/>
          <w:color w:val="auto"/>
        </w:rPr>
        <w:t>do not require any consent or approval of, registration or filing with or any other action by any Governmental Authority, except such as have been or, in the case of filings relating to the consummation of the PNG Acquisition, on the PNG Acquisition Closing Date will be, obtained or made and are (or will so be) in full force and effect, (b) will not violate any applicable law, including any order of any Governmental Authority, (c) will not violate the organizational documents of the Company, (d) will not violate or result (alone or with notice or lapse of time or both) in a default under any indenture or other agreement or instrument binding upon the Company or any Significant Subsidiary or any of their assets, or give rise to a right thereunder to require any payment, repurchase or redemption to be made by the Company or any Significant Subsidiary, or give rise to a right of, or result in, any termination, cancellation, acceleration or right of renegotiation of any obligation thereunder, in each case excluding the Company Existing Credit Agreement, the Company Existing Private Placement Notes, the PNG Existing Revolving Credit Agreement and the PNG Existing Term Credit Agreement and (e) will not result in the creation or imposition of any Lien on any asset of the Company not permitted hereunder, in the case of clauses (a), (b) and (d) above, except to the extent that the foregoing, individually or in the aggregate, would not reasonably be expected to result in a Material Adverse Effect.</w:t>
      </w:r>
    </w:p>
    <w:p>
      <w:pPr>
        <w:spacing w:after="0" w:line="378"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Financial Condition; No Material Adverse Effect</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line="243" w:lineRule="auto"/>
        <w:tabs>
          <w:tab w:leader="none" w:pos="185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Company has heretofore furnished to the Lenders its (i) consolidated balance sheet and statement of capitalization and related consolidated statements of net income, comprehensive income, equity and cash flows as of and for the fiscal year ended December 31, 2017, audited by and accompanied by the opinion of PricewaterhouseCoopers LLP, and (ii) unaudited consolidated balance sheet and statement of capitalization and related unaudited consolidated statements of net income, comprehensive income, equity and cash flows as of and for the fiscal quarter and portion of the fiscal year ended September 30, 2018. Such financial statements present fairly, in all material respects, the financial position, results of operations and cash flows of the Company and its consolidated Subsidiaries as of such dates and for such periods in accordance with GAAP (subject, in the case of such unaudited financial statements, to normal year-end audit adjustments and the absence of certain footnotes).</w:t>
      </w:r>
    </w:p>
    <w:p>
      <w:pPr>
        <w:spacing w:after="0" w:line="380" w:lineRule="exact"/>
        <w:rPr>
          <w:rFonts w:ascii="Arial" w:cs="Arial" w:eastAsia="Arial" w:hAnsi="Arial"/>
          <w:sz w:val="19"/>
          <w:szCs w:val="19"/>
          <w:color w:val="auto"/>
        </w:rPr>
      </w:pPr>
    </w:p>
    <w:p>
      <w:pPr>
        <w:ind w:left="100" w:right="99" w:firstLine="1301"/>
        <w:spacing w:after="0" w:line="232" w:lineRule="auto"/>
        <w:tabs>
          <w:tab w:leader="none" w:pos="187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Since December 31, 2017, there has been no event or condition that has resulted, or would reasonably be expected to result, in a Material Adverse Effect.</w:t>
      </w:r>
    </w:p>
    <w:p>
      <w:pPr>
        <w:spacing w:after="0" w:line="159" w:lineRule="exact"/>
        <w:rPr>
          <w:sz w:val="20"/>
          <w:szCs w:val="20"/>
          <w:color w:val="auto"/>
        </w:rPr>
      </w:pPr>
    </w:p>
    <w:p>
      <w:pPr>
        <w:jc w:val="both"/>
        <w:ind w:left="100" w:right="99" w:firstLine="1296"/>
        <w:spacing w:after="0" w:line="252"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Properties</w:t>
      </w:r>
      <w:r>
        <w:rPr>
          <w:rFonts w:ascii="Arial" w:cs="Arial" w:eastAsia="Arial" w:hAnsi="Arial"/>
          <w:sz w:val="19"/>
          <w:szCs w:val="19"/>
          <w:color w:val="auto"/>
        </w:rPr>
        <w:t xml:space="preserve">. The Company and each Subsidiary has good title to, or valid leasehold interests in, all its property material to its business, subject to Liens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 except (a) for defects in title that, individually or in the aggregate, do not materially detract from the value of the affected property or materially interfere with the ordinary conduct of business of the Company or any Subsidiary or (b) for any failure to do so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310515</wp:posOffset>
            </wp:positionV>
            <wp:extent cx="5642610" cy="514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0" w:name="page261"/>
    <w:bookmarkEnd w:id="260"/>
    <w:p>
      <w:pPr>
        <w:ind w:left="8700"/>
        <w:spacing w:after="0"/>
        <w:rPr>
          <w:sz w:val="20"/>
          <w:szCs w:val="20"/>
          <w:color w:val="auto"/>
        </w:rPr>
      </w:pPr>
      <w:r>
        <w:rPr>
          <w:rFonts w:ascii="Arial" w:cs="Arial" w:eastAsia="Arial" w:hAnsi="Arial"/>
          <w:sz w:val="19"/>
          <w:szCs w:val="19"/>
          <w:color w:val="auto"/>
        </w:rPr>
        <w:t>74</w:t>
      </w:r>
    </w:p>
    <w:p>
      <w:pPr>
        <w:spacing w:after="0" w:line="215" w:lineRule="exact"/>
        <w:rPr>
          <w:sz w:val="20"/>
          <w:szCs w:val="20"/>
          <w:color w:val="auto"/>
        </w:rPr>
      </w:pPr>
    </w:p>
    <w:p>
      <w:pPr>
        <w:jc w:val="both"/>
        <w:ind w:left="100" w:right="99"/>
        <w:spacing w:after="0" w:line="232" w:lineRule="auto"/>
        <w:rPr>
          <w:sz w:val="20"/>
          <w:szCs w:val="20"/>
          <w:color w:val="auto"/>
        </w:rPr>
      </w:pPr>
      <w:r>
        <w:rPr>
          <w:rFonts w:ascii="Arial" w:cs="Arial" w:eastAsia="Arial" w:hAnsi="Arial"/>
          <w:sz w:val="22"/>
          <w:szCs w:val="22"/>
          <w:color w:val="auto"/>
        </w:rPr>
        <w:t>individually or in the aggregate, would not reasonably be expected to result in a Material Adverse Effect.</w:t>
      </w:r>
    </w:p>
    <w:p>
      <w:pPr>
        <w:spacing w:after="0" w:line="159"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line="249" w:lineRule="auto"/>
        <w:tabs>
          <w:tab w:leader="none" w:pos="192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3.06(a)</w:t>
      </w:r>
      <w:r>
        <w:rPr>
          <w:rFonts w:ascii="Arial" w:cs="Arial" w:eastAsia="Arial" w:hAnsi="Arial"/>
          <w:sz w:val="19"/>
          <w:szCs w:val="19"/>
          <w:color w:val="auto"/>
        </w:rPr>
        <w:t xml:space="preserve"> or as specifically disclosed in any SEC Reports, there are no actions, suits or proceedings by or before any Governmental Authority or arbitrator pending against or, to the knowledge of the Company, threatened in writing against the Company or any Subsidiary that (i) are reasonably likely to be decided adversely to the Company or such Subsidiary and would reasonably be expected, individually or in the aggregate, to result in a Material Adverse Effect or (ii) directly involve any of the Loan Documents.</w:t>
      </w:r>
    </w:p>
    <w:p>
      <w:pPr>
        <w:spacing w:after="0" w:line="152" w:lineRule="exact"/>
        <w:rPr>
          <w:rFonts w:ascii="Arial" w:cs="Arial" w:eastAsia="Arial" w:hAnsi="Arial"/>
          <w:sz w:val="19"/>
          <w:szCs w:val="19"/>
          <w:color w:val="auto"/>
        </w:rPr>
      </w:pPr>
    </w:p>
    <w:p>
      <w:pPr>
        <w:jc w:val="both"/>
        <w:ind w:left="100" w:right="99" w:firstLine="1301"/>
        <w:spacing w:after="0"/>
        <w:tabs>
          <w:tab w:leader="none" w:pos="1919"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3.06(b)</w:t>
      </w:r>
      <w:r>
        <w:rPr>
          <w:rFonts w:ascii="Arial" w:cs="Arial" w:eastAsia="Arial" w:hAnsi="Arial"/>
          <w:sz w:val="19"/>
          <w:szCs w:val="19"/>
          <w:color w:val="auto"/>
        </w:rPr>
        <w:t xml:space="preserve"> or as specifically disclosed in any SEC Reports, or as otherwise would not, individually or in the aggregate, reasonably be expected to result in a Material Adverse Effect, neither the Company nor any Subsidiary (i) has failed to comply with any applicable Environmental Law or to obtain, maintain or comply with any Governmental Approval required under any applicable Environmental Law, (ii) is subject to any Environmental Liability, (iii) has received written notice of any claim with respect to any Environmental Liability or</w:t>
      </w:r>
    </w:p>
    <w:p>
      <w:pPr>
        <w:spacing w:after="0" w:line="3" w:lineRule="exact"/>
        <w:rPr>
          <w:rFonts w:ascii="Arial" w:cs="Arial" w:eastAsia="Arial" w:hAnsi="Arial"/>
          <w:sz w:val="19"/>
          <w:szCs w:val="19"/>
          <w:color w:val="auto"/>
        </w:rPr>
      </w:pPr>
    </w:p>
    <w:p>
      <w:pPr>
        <w:ind w:left="100" w:right="99" w:firstLine="5"/>
        <w:spacing w:after="0" w:line="224" w:lineRule="auto"/>
        <w:tabs>
          <w:tab w:leader="none" w:pos="48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knows of any fact, incident, event or condition that would reasonably be expected to form the basis for any Environmental Liability.</w:t>
      </w:r>
    </w:p>
    <w:p>
      <w:pPr>
        <w:spacing w:after="0" w:line="158"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u w:val="single" w:color="auto"/>
          <w:color w:val="auto"/>
        </w:rPr>
        <w:t>Compliance with Laws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line="218" w:lineRule="auto"/>
        <w:tabs>
          <w:tab w:leader="none" w:pos="190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Company and each Subsidiary is in compliance with all laws, including all orders of Governmental Authorities, applicable to it or its property, except where the failure to comply, individually or in the aggregate, would not reasonably be expected to result in a Material Adverse Effect.</w:t>
      </w:r>
    </w:p>
    <w:p>
      <w:pPr>
        <w:spacing w:after="0" w:line="161" w:lineRule="exact"/>
        <w:rPr>
          <w:rFonts w:ascii="Arial" w:cs="Arial" w:eastAsia="Arial" w:hAnsi="Arial"/>
          <w:sz w:val="22"/>
          <w:szCs w:val="22"/>
          <w:color w:val="auto"/>
        </w:rPr>
      </w:pPr>
    </w:p>
    <w:p>
      <w:pPr>
        <w:jc w:val="both"/>
        <w:ind w:left="100" w:right="99" w:firstLine="1301"/>
        <w:spacing w:after="0" w:line="244" w:lineRule="auto"/>
        <w:tabs>
          <w:tab w:leader="none" w:pos="1905"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Company has implemented and maintains in effect policies and procedures reasonably designed to ensure compliance by the Company and the Subsidiaries and their respective directors, officers, employees and agents with Anti-Corruption Laws and applicable Sanctions, and the Company and the Subsidiaries and, to the knowledge of the Company, their respective officers, employees and directors are in compliance with Anti-Corruption Laws and applicable Sanctions in all material respects. None of (i) the Company, any Subsidiary or, to the knowledge of the Company, any of their respective directors, officers or employees, or (ii) to the knowledge of the Company, any agent of the Company or any Subsidiary that will act in any capacity in connection with or benefit from any credit facility established hereby, is a Sanctioned Person. The Transactions do not violate any Anti-Corruption Law or applicable Sanctions.</w:t>
      </w:r>
    </w:p>
    <w:p>
      <w:pPr>
        <w:spacing w:after="0" w:line="155" w:lineRule="exact"/>
        <w:rPr>
          <w:rFonts w:ascii="Arial" w:cs="Arial" w:eastAsia="Arial" w:hAnsi="Arial"/>
          <w:sz w:val="19"/>
          <w:szCs w:val="19"/>
          <w:color w:val="auto"/>
        </w:rPr>
      </w:pPr>
    </w:p>
    <w:p>
      <w:pPr>
        <w:jc w:val="both"/>
        <w:ind w:left="100" w:right="99" w:firstLine="1301"/>
        <w:spacing w:after="0" w:line="218" w:lineRule="auto"/>
        <w:tabs>
          <w:tab w:leader="none" w:pos="1879"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xml:space="preserve">The Company will use the proceeds of the Borrowings and the Letters of Credit solely for the purposes permitted by </w:t>
      </w:r>
      <w:r>
        <w:rPr>
          <w:rFonts w:ascii="Arial" w:cs="Arial" w:eastAsia="Arial" w:hAnsi="Arial"/>
          <w:sz w:val="22"/>
          <w:szCs w:val="22"/>
          <w:u w:val="single" w:color="auto"/>
          <w:color w:val="auto"/>
        </w:rPr>
        <w:t>Section 5.09</w:t>
      </w:r>
      <w:r>
        <w:rPr>
          <w:rFonts w:ascii="Arial" w:cs="Arial" w:eastAsia="Arial" w:hAnsi="Arial"/>
          <w:sz w:val="22"/>
          <w:szCs w:val="22"/>
          <w:color w:val="auto"/>
        </w:rPr>
        <w:t>. The Company will not use the proceeds of any Borrowing or any Letter of Credit in a manner that will result in a violation of Sanctions applicable to any party hereto or any Anti-Corruption Laws.</w:t>
      </w:r>
    </w:p>
    <w:p>
      <w:pPr>
        <w:spacing w:after="0" w:line="161" w:lineRule="exact"/>
        <w:rPr>
          <w:sz w:val="20"/>
          <w:szCs w:val="20"/>
          <w:color w:val="auto"/>
        </w:rPr>
      </w:pPr>
    </w:p>
    <w:p>
      <w:pPr>
        <w:ind w:left="100" w:right="99" w:firstLine="1296"/>
        <w:spacing w:after="0" w:line="298"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Investment Company Status</w:t>
      </w:r>
      <w:r>
        <w:rPr>
          <w:rFonts w:ascii="Arial" w:cs="Arial" w:eastAsia="Arial" w:hAnsi="Arial"/>
          <w:sz w:val="19"/>
          <w:szCs w:val="19"/>
          <w:color w:val="auto"/>
        </w:rPr>
        <w:t>. The Company is not an “investment company” as defined in, or subject to regulation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282575</wp:posOffset>
            </wp:positionV>
            <wp:extent cx="5642610" cy="514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1" w:name="page262"/>
    <w:bookmarkEnd w:id="261"/>
    <w:p>
      <w:pPr>
        <w:jc w:val="right"/>
        <w:ind w:right="99"/>
        <w:spacing w:after="0"/>
        <w:rPr>
          <w:sz w:val="20"/>
          <w:szCs w:val="20"/>
          <w:color w:val="auto"/>
        </w:rPr>
      </w:pPr>
      <w:r>
        <w:rPr>
          <w:rFonts w:ascii="Arial" w:cs="Arial" w:eastAsia="Arial" w:hAnsi="Arial"/>
          <w:sz w:val="22"/>
          <w:szCs w:val="22"/>
          <w:color w:val="auto"/>
        </w:rPr>
        <w:t>75</w:t>
      </w:r>
    </w:p>
    <w:p>
      <w:pPr>
        <w:spacing w:after="0" w:line="396" w:lineRule="exact"/>
        <w:rPr>
          <w:sz w:val="20"/>
          <w:szCs w:val="20"/>
          <w:color w:val="auto"/>
        </w:rPr>
      </w:pPr>
    </w:p>
    <w:p>
      <w:pPr>
        <w:jc w:val="both"/>
        <w:ind w:left="100" w:right="99" w:firstLine="1296"/>
        <w:spacing w:after="0" w:line="246"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Taxes</w:t>
      </w:r>
      <w:r>
        <w:rPr>
          <w:rFonts w:ascii="Arial" w:cs="Arial" w:eastAsia="Arial" w:hAnsi="Arial"/>
          <w:sz w:val="19"/>
          <w:szCs w:val="19"/>
          <w:color w:val="auto"/>
        </w:rPr>
        <w:t>. The Company and each Subsidiary has timely filed or caused to be filed all Tax returns and reports required to have been filed and has paid or caused to be paid all Taxes required to have been paid by it, except where (a) (i) the validity or amount thereof is being contested in good faith by appropriate proceedings, (ii) the Company or such Subsidiary, as applicable, has set aside on its books reserves with respect thereto to the extent required by GAAP and (iii) such contest effectively suspends collection of the contested obligation and the enforcement of any Lien securing such obligation or (b) the failure to do so would not, individually or in the aggregate, reasonably be expected to result in a Material Adverse Effect.</w:t>
      </w:r>
    </w:p>
    <w:p>
      <w:pPr>
        <w:spacing w:after="0" w:line="153" w:lineRule="exact"/>
        <w:rPr>
          <w:sz w:val="20"/>
          <w:szCs w:val="20"/>
          <w:color w:val="auto"/>
        </w:rPr>
      </w:pPr>
    </w:p>
    <w:p>
      <w:pPr>
        <w:jc w:val="both"/>
        <w:ind w:left="100" w:right="99" w:firstLine="1296"/>
        <w:spacing w:after="0" w:line="242"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ERISA</w:t>
      </w:r>
      <w:r>
        <w:rPr>
          <w:rFonts w:ascii="Arial" w:cs="Arial" w:eastAsia="Arial" w:hAnsi="Arial"/>
          <w:sz w:val="19"/>
          <w:szCs w:val="19"/>
          <w:color w:val="auto"/>
        </w:rPr>
        <w:t>. No ERISA Events have occurred or are reasonably expected to occur that would, individually or in the aggregate, reasonably be expected to result in a Material Adverse Effect. The Company and each ERISA Affiliate is in compliance in all material respects with the applicable provisions of ERISA and the Code with respect to each Plan. The present value of all accumulated benefit obligations of all underfunded and unfunded Plans and the benefit obligations of any retiree welfare benefit arrangement (in each case based on the assumptions used for purposes of Accounting Standards Codification Topic 715) did not, as of the date of the most recent financial statements reflecting such amounts, exceed the fair market value of the assets of such Plan or arrangement, if any, by an aggregate amount that would reasonably be expected to result in a Material Adverse Effect. The Company is not and will not be using “plan assets” (within the meaning of 29 CFR § 2510.3-101, as modified by Section 3(42) of ERISA) of one or more Plans in connection with the Loans or the Commitments.</w:t>
      </w:r>
    </w:p>
    <w:p>
      <w:pPr>
        <w:spacing w:after="0" w:line="165" w:lineRule="exact"/>
        <w:rPr>
          <w:sz w:val="20"/>
          <w:szCs w:val="20"/>
          <w:color w:val="auto"/>
        </w:rPr>
      </w:pPr>
    </w:p>
    <w:p>
      <w:pPr>
        <w:jc w:val="both"/>
        <w:ind w:left="100" w:right="99" w:firstLine="1296"/>
        <w:spacing w:after="0"/>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Solvency</w:t>
      </w:r>
      <w:r>
        <w:rPr>
          <w:rFonts w:ascii="Arial" w:cs="Arial" w:eastAsia="Arial" w:hAnsi="Arial"/>
          <w:sz w:val="19"/>
          <w:szCs w:val="19"/>
          <w:color w:val="auto"/>
        </w:rPr>
        <w:t xml:space="preserve">. On the Effective Date and on the PNG Acquisition Closing Date, in each case, immediately after giving effect to the Transactions to occur on such date, including the making of the Loans to be made on such date and the application of the proceeds thereof, (a) the fair value of the assets of the Company and the Subsidiaries, on a consolidated basis, will exceed their debts and liabilities, subordinated, contingent or otherwise, (b) the present fair saleable value of the property of the Company and the Subsidiaries, on a consolidated basis, will be greater than the amount that will be required to pay the probable liabilities on their debts and other liabilities, subordinated, contingent or otherwise, as such debts and other liabilities become absolute and matured, (c) the Company and the Subsidiaries, on a consolidated basis, will be able to pay their debts and liabilities, subordinated, contingent or otherwise, as such debts and liabilities become absolute and matured and (d) the Company and the Subsidiaries, on a consolidated basis, will not have an unreasonably small capital with which to conduct the businesses in which they are engaged as such businesses are now conducted and proposed to be conducted following the Effective Date or the PNG Acquisition Closing Date, as applicable. For purposes of this </w:t>
      </w:r>
      <w:r>
        <w:rPr>
          <w:rFonts w:ascii="Arial" w:cs="Arial" w:eastAsia="Arial" w:hAnsi="Arial"/>
          <w:sz w:val="19"/>
          <w:szCs w:val="19"/>
          <w:u w:val="single" w:color="auto"/>
          <w:color w:val="auto"/>
        </w:rPr>
        <w:t>Section 3.11</w:t>
      </w:r>
      <w:r>
        <w:rPr>
          <w:rFonts w:ascii="Arial" w:cs="Arial" w:eastAsia="Arial" w:hAnsi="Arial"/>
          <w:sz w:val="19"/>
          <w:szCs w:val="19"/>
          <w:color w:val="auto"/>
        </w:rPr>
        <w:t>, in computing the amount of the contingent liabilities of the Company and the Subsidiaries as of the Effective Date or as of the PNG Acquisition Closing Date, as applicable, such liabilities have been computed at the amount that, in light of all the facts and circumstances existing as of the Effective Date or as of the PNG Acquisition Closing Date, as applicable, represents the amount that can reasonably be expected to become an actual or matured liability.</w:t>
      </w:r>
    </w:p>
    <w:p>
      <w:pPr>
        <w:spacing w:after="0" w:line="389"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Disclosure</w:t>
      </w:r>
      <w:r>
        <w:rPr>
          <w:rFonts w:ascii="Arial" w:cs="Arial" w:eastAsia="Arial" w:hAnsi="Arial"/>
          <w:sz w:val="19"/>
          <w:szCs w:val="19"/>
          <w:color w:val="auto"/>
        </w:rPr>
        <w:t>.</w:t>
      </w:r>
    </w:p>
    <w:p>
      <w:pPr>
        <w:spacing w:after="0" w:line="179" w:lineRule="exact"/>
        <w:rPr>
          <w:sz w:val="20"/>
          <w:szCs w:val="20"/>
          <w:color w:val="auto"/>
        </w:rPr>
      </w:pPr>
    </w:p>
    <w:p>
      <w:pPr>
        <w:ind w:left="100" w:right="99" w:firstLine="1301"/>
        <w:spacing w:after="0" w:line="247" w:lineRule="auto"/>
        <w:tabs>
          <w:tab w:leader="none" w:pos="2055" w:val="left"/>
        </w:tabs>
        <w:numPr>
          <w:ilvl w:val="0"/>
          <w:numId w:val="200"/>
        </w:numPr>
        <w:rPr>
          <w:rFonts w:ascii="Arial" w:cs="Arial" w:eastAsia="Arial" w:hAnsi="Arial"/>
          <w:sz w:val="21"/>
          <w:szCs w:val="21"/>
          <w:color w:val="auto"/>
        </w:rPr>
      </w:pPr>
      <w:r>
        <w:rPr>
          <w:rFonts w:ascii="Arial" w:cs="Arial" w:eastAsia="Arial" w:hAnsi="Arial"/>
          <w:sz w:val="21"/>
          <w:szCs w:val="21"/>
          <w:color w:val="auto"/>
        </w:rPr>
        <w:t>The Confidential Information Memorandum and each of the other written reports, financial statements, certificates and other written information (other than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311150</wp:posOffset>
            </wp:positionV>
            <wp:extent cx="5642610" cy="514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2" w:name="page263"/>
    <w:bookmarkEnd w:id="262"/>
    <w:p>
      <w:pPr>
        <w:ind w:left="8700"/>
        <w:spacing w:after="0"/>
        <w:rPr>
          <w:sz w:val="20"/>
          <w:szCs w:val="20"/>
          <w:color w:val="auto"/>
        </w:rPr>
      </w:pPr>
      <w:r>
        <w:rPr>
          <w:rFonts w:ascii="Arial" w:cs="Arial" w:eastAsia="Arial" w:hAnsi="Arial"/>
          <w:sz w:val="19"/>
          <w:szCs w:val="19"/>
          <w:color w:val="auto"/>
        </w:rPr>
        <w:t>76</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rPr>
          <w:sz w:val="20"/>
          <w:szCs w:val="20"/>
          <w:color w:val="auto"/>
        </w:rPr>
      </w:pPr>
      <w:r>
        <w:rPr>
          <w:rFonts w:ascii="Arial" w:cs="Arial" w:eastAsia="Arial" w:hAnsi="Arial"/>
          <w:sz w:val="19"/>
          <w:szCs w:val="19"/>
          <w:color w:val="auto"/>
        </w:rPr>
        <w:t>projections and other forward-looking information and information of a general economic or industry-specific nature) furnished by or on behalf of the Company or any Subsidiary to the Administrative Agent, any Revolver Facility Arranger or any Lender in connection with the negotiation of this Agreement or any other Loan Document (and, prior to the PNG Acquisition Closing Date, with respect to such information and projections relating to the PNG Acquired Company and its subsidiaries, to the best of the Company’s knowledge) is and will be, when furnished and taken as a whole, complete and correct in all material respects and does not and will not, when furnished and taken as a whole, contain any untrue statement of a material fact or omit to state a material fact necessary to make the statements contained therein not materially misleading in light of the circumstances under which such statements are made (in each case after giving effect to all supplements and updates provided thereto prior to the Effective Date). The financial projections and other forward-looking information that have been furnished by or on behalf of the Company or any Subsidiary to the Administrative Agent, any Revolver Facility Arranger or any Lender in connection with the negotiation of this Agreement or any other Loan Document have been prepared in good faith based upon assumptions that are believed by the Company to be reasonable at the time such financial projections or other forward-looking information are furnished to the Administrative Agent, any Revolver Facility Arranger or any Lender, it being understood and agreed that financial projections and other forward-looking information are as to future events and are not to be viewed as facts, are subject to significant uncertainties and contingencies, many of which are out of the Company’s, the PNG Acquired Company’s or their respective subsidiaries’ control, that no assurance can be given that any particular projections will be realized, that the financial projections or other forward-looking information is not a guarantee of financial performance and that actual results during the period or periods covered by such projections may differ significantly from the projected results and such differences may be material.</w:t>
      </w:r>
    </w:p>
    <w:p>
      <w:pPr>
        <w:spacing w:after="0" w:line="377" w:lineRule="exact"/>
        <w:rPr>
          <w:sz w:val="20"/>
          <w:szCs w:val="20"/>
          <w:color w:val="auto"/>
        </w:rPr>
      </w:pPr>
    </w:p>
    <w:p>
      <w:pPr>
        <w:jc w:val="both"/>
        <w:ind w:left="100" w:right="99" w:firstLine="1301"/>
        <w:spacing w:after="0" w:line="249" w:lineRule="auto"/>
        <w:tabs>
          <w:tab w:leader="none" w:pos="1946"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If a Beneficial Ownership Certification is required to be delivered pursuant to </w:t>
      </w:r>
      <w:r>
        <w:rPr>
          <w:rFonts w:ascii="Arial" w:cs="Arial" w:eastAsia="Arial" w:hAnsi="Arial"/>
          <w:sz w:val="19"/>
          <w:szCs w:val="19"/>
          <w:u w:val="single" w:color="auto"/>
          <w:color w:val="auto"/>
        </w:rPr>
        <w:t>Section 4.01(g)(ii)</w:t>
      </w:r>
      <w:r>
        <w:rPr>
          <w:rFonts w:ascii="Arial" w:cs="Arial" w:eastAsia="Arial" w:hAnsi="Arial"/>
          <w:sz w:val="19"/>
          <w:szCs w:val="19"/>
          <w:color w:val="auto"/>
        </w:rPr>
        <w:t xml:space="preserve">, then, as of the Effective Date, to the best of the Company’s knowledge, the information set forth in such Beneficial Ownership Certification is true and correct in all respects. If a Beneficial Ownership Certification is required to be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then, as of the date of the delivery thereof, to the best of the Company’s knowledge, the information set forth in such Beneficial Ownership Certification is true and correct in all respects.</w:t>
      </w:r>
    </w:p>
    <w:p>
      <w:pPr>
        <w:spacing w:after="0" w:line="153" w:lineRule="exact"/>
        <w:rPr>
          <w:sz w:val="20"/>
          <w:szCs w:val="20"/>
          <w:color w:val="auto"/>
        </w:rPr>
      </w:pPr>
    </w:p>
    <w:p>
      <w:pPr>
        <w:jc w:val="both"/>
        <w:ind w:left="100" w:right="99" w:firstLine="1296"/>
        <w:spacing w:after="0" w:line="222"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Federal Reserve Regulations</w:t>
      </w:r>
      <w:r>
        <w:rPr>
          <w:rFonts w:ascii="Arial" w:cs="Arial" w:eastAsia="Arial" w:hAnsi="Arial"/>
          <w:sz w:val="21"/>
          <w:szCs w:val="21"/>
          <w:color w:val="auto"/>
        </w:rPr>
        <w:t>. Neither the Company nor any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margin stock, to extend credit for others to purchase or carry margin stock or for any purpose that entails, and no other action will be taken by the Company and the Subsidiaries that would result in, a violation of Regulations T, U and X of the Board of Governors.</w:t>
      </w:r>
    </w:p>
    <w:p>
      <w:pPr>
        <w:spacing w:after="0" w:line="158"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Subsidiaries</w:t>
      </w:r>
      <w:r>
        <w:rPr>
          <w:rFonts w:ascii="Arial" w:cs="Arial" w:eastAsia="Arial" w:hAnsi="Arial"/>
          <w:sz w:val="22"/>
          <w:szCs w:val="22"/>
          <w:color w:val="auto"/>
        </w:rPr>
        <w:t xml:space="preserve">. As of the Effective Date, </w:t>
      </w:r>
      <w:r>
        <w:rPr>
          <w:rFonts w:ascii="Arial" w:cs="Arial" w:eastAsia="Arial" w:hAnsi="Arial"/>
          <w:sz w:val="22"/>
          <w:szCs w:val="22"/>
          <w:u w:val="single" w:color="auto"/>
          <w:color w:val="auto"/>
        </w:rPr>
        <w:t>Schedule 3.14</w:t>
      </w:r>
      <w:r>
        <w:rPr>
          <w:rFonts w:ascii="Arial" w:cs="Arial" w:eastAsia="Arial" w:hAnsi="Arial"/>
          <w:sz w:val="22"/>
          <w:szCs w:val="22"/>
          <w:color w:val="auto"/>
        </w:rPr>
        <w:t xml:space="preserve"> sets forth (a) each Subsidiary’s legal name and jurisdiction of organization and (b) for each Subsidiary, whether such Subsidiary is (i) a Restricted Subsidiary or an Unrestricted Subsidiary or (ii)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317500</wp:posOffset>
            </wp:positionV>
            <wp:extent cx="5642610" cy="514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3" w:name="page264"/>
    <w:bookmarkEnd w:id="263"/>
    <w:p>
      <w:pPr>
        <w:jc w:val="right"/>
        <w:ind w:right="99"/>
        <w:spacing w:after="0"/>
        <w:rPr>
          <w:sz w:val="20"/>
          <w:szCs w:val="20"/>
          <w:color w:val="auto"/>
        </w:rPr>
      </w:pPr>
      <w:r>
        <w:rPr>
          <w:rFonts w:ascii="Arial" w:cs="Arial" w:eastAsia="Arial" w:hAnsi="Arial"/>
          <w:sz w:val="22"/>
          <w:szCs w:val="22"/>
          <w:color w:val="auto"/>
        </w:rPr>
        <w:t>77</w:t>
      </w:r>
    </w:p>
    <w:p>
      <w:pPr>
        <w:spacing w:after="0" w:line="396" w:lineRule="exact"/>
        <w:rPr>
          <w:sz w:val="20"/>
          <w:szCs w:val="20"/>
          <w:color w:val="auto"/>
        </w:rPr>
      </w:pPr>
    </w:p>
    <w:p>
      <w:pPr>
        <w:jc w:val="both"/>
        <w:ind w:left="100" w:right="99" w:firstLine="1296"/>
        <w:spacing w:after="0" w:line="216" w:lineRule="auto"/>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USA PATRIOT Act</w:t>
      </w:r>
      <w:r>
        <w:rPr>
          <w:rFonts w:ascii="Arial" w:cs="Arial" w:eastAsia="Arial" w:hAnsi="Arial"/>
          <w:sz w:val="22"/>
          <w:szCs w:val="22"/>
          <w:color w:val="auto"/>
        </w:rPr>
        <w:t>. Each of the Company and the Subsidiaries is in compliance, in all material respects, with (a) the Trading with the Enemy Act, as amended, and each of the foreign assets control regulations of the United States Treasury Department (31 CFR, Subtitle B, Chapter V, as amended) and any other enabling legislation or executive order relating thereto and (b) the USA PATRIOT Act.</w:t>
      </w:r>
    </w:p>
    <w:p>
      <w:pPr>
        <w:spacing w:after="0" w:line="139" w:lineRule="exact"/>
        <w:rPr>
          <w:sz w:val="20"/>
          <w:szCs w:val="20"/>
          <w:color w:val="auto"/>
        </w:rPr>
      </w:pPr>
    </w:p>
    <w:p>
      <w:pPr>
        <w:ind w:left="1400"/>
        <w:spacing w:after="0"/>
        <w:tabs>
          <w:tab w:leader="none" w:pos="3000" w:val="left"/>
        </w:tabs>
        <w:rPr>
          <w:sz w:val="20"/>
          <w:szCs w:val="20"/>
          <w:color w:val="auto"/>
        </w:rPr>
      </w:pPr>
      <w:r>
        <w:rPr>
          <w:rFonts w:ascii="Arial" w:cs="Arial" w:eastAsia="Arial" w:hAnsi="Arial"/>
          <w:sz w:val="22"/>
          <w:szCs w:val="22"/>
          <w:color w:val="auto"/>
        </w:rPr>
        <w:t>SECTION 3.16</w:t>
      </w:r>
      <w:r>
        <w:rPr>
          <w:sz w:val="20"/>
          <w:szCs w:val="20"/>
          <w:color w:val="auto"/>
        </w:rPr>
        <w:tab/>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The Company is not an EEA Financial</w:t>
      </w:r>
    </w:p>
    <w:p>
      <w:pPr>
        <w:ind w:left="100"/>
        <w:spacing w:after="0"/>
        <w:rPr>
          <w:sz w:val="20"/>
          <w:szCs w:val="20"/>
          <w:color w:val="auto"/>
        </w:rPr>
      </w:pPr>
      <w:r>
        <w:rPr>
          <w:rFonts w:ascii="Arial" w:cs="Arial" w:eastAsia="Arial" w:hAnsi="Arial"/>
          <w:sz w:val="22"/>
          <w:szCs w:val="22"/>
          <w:color w:val="auto"/>
        </w:rPr>
        <w:t>Institution.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IV</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w:t>
      </w:r>
    </w:p>
    <w:p>
      <w:pPr>
        <w:spacing w:after="0" w:line="179"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The effectiveness of this Agreement and the obligation of the Lenders to make Loans and of the Issuing Banks to issue Letters of Credit hereunder shall not become effective until the date on which each of the following conditions shall be satisfied (or waived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61" w:lineRule="exact"/>
        <w:rPr>
          <w:sz w:val="20"/>
          <w:szCs w:val="20"/>
          <w:color w:val="auto"/>
        </w:rPr>
      </w:pPr>
    </w:p>
    <w:p>
      <w:pPr>
        <w:jc w:val="both"/>
        <w:ind w:left="100" w:right="99" w:firstLine="1301"/>
        <w:spacing w:after="0" w:line="218" w:lineRule="auto"/>
        <w:tabs>
          <w:tab w:leader="none" w:pos="2028"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Administrative Agent shall have received from each party hereto (i) a counterpart of this Agreement executed by each party hereto or (ii) written evidence satisfactory to the Administrative Agent (which may include fax transmission or other electronic imaging) that such party has signed a counterpart of this Agreement.</w:t>
      </w:r>
    </w:p>
    <w:p>
      <w:pPr>
        <w:spacing w:after="0" w:line="161" w:lineRule="exact"/>
        <w:rPr>
          <w:rFonts w:ascii="Arial" w:cs="Arial" w:eastAsia="Arial" w:hAnsi="Arial"/>
          <w:sz w:val="22"/>
          <w:szCs w:val="22"/>
          <w:color w:val="auto"/>
        </w:rPr>
      </w:pPr>
    </w:p>
    <w:p>
      <w:pPr>
        <w:jc w:val="both"/>
        <w:ind w:left="100" w:right="99" w:firstLine="1301"/>
        <w:spacing w:after="0" w:line="252" w:lineRule="auto"/>
        <w:tabs>
          <w:tab w:leader="none" w:pos="2067"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The Revolver Facility Arrangers and the Administrative Agent shall have received written opinions (addressed to the Administrative Agent, the Lenders and the Issuing Banks and dated the Effective Date) of each of (i) Simpson Thacher &amp; Bartlett LLP, special New York counsel to the Company, and (ii) the General Counsel of the Company, in each case, in form and substance reasonably satisfactory to the Revolver Facility Arrangers and the Administrative Agent.</w:t>
      </w:r>
    </w:p>
    <w:p>
      <w:pPr>
        <w:spacing w:after="0" w:line="149" w:lineRule="exact"/>
        <w:rPr>
          <w:rFonts w:ascii="Arial" w:cs="Arial" w:eastAsia="Arial" w:hAnsi="Arial"/>
          <w:sz w:val="19"/>
          <w:szCs w:val="19"/>
          <w:color w:val="auto"/>
        </w:rPr>
      </w:pPr>
    </w:p>
    <w:p>
      <w:pPr>
        <w:jc w:val="both"/>
        <w:ind w:left="100" w:right="99" w:firstLine="1301"/>
        <w:spacing w:after="0" w:line="242" w:lineRule="auto"/>
        <w:tabs>
          <w:tab w:leader="none" w:pos="206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The Revolver Facility Arrangers and the Administrative Agent shall have received a certificate of the Company, dated the Effective Date and executed by the secretary or an assistant secretary of the Company, attaching (i) a copy of each organizational document of the Company, which shall, to the extent applicable, be certified as of a recent date prior to the Effective Date by the appropriate Governmental Authority, (ii) signature and incumbency certificates of the officers of the Company executing each Loan Document, (iii) resolutions of the board of directors of the Company approving and authorizing the execution, delivery and performance of the Loan Documents, certified as of the Effective Date by such secretary, assistant secretary or director as being in full force and effect without modification or amendment, and (iv) a good standing certificate (to the extent such concept is applicable in such jurisdiction) from the applicable Governmental Authority of the Commonwealth of Pennsylvania, dated as of a recent date prior to the Effective Date, in each case, in form and substance reasonably satisfactory to the Revolver Facility Arrangers and the Administrative Agent.</w:t>
      </w:r>
    </w:p>
    <w:p>
      <w:pPr>
        <w:spacing w:after="0" w:line="381" w:lineRule="exact"/>
        <w:rPr>
          <w:rFonts w:ascii="Arial" w:cs="Arial" w:eastAsia="Arial" w:hAnsi="Arial"/>
          <w:sz w:val="19"/>
          <w:szCs w:val="19"/>
          <w:color w:val="auto"/>
        </w:rPr>
      </w:pPr>
    </w:p>
    <w:p>
      <w:pPr>
        <w:jc w:val="both"/>
        <w:ind w:left="100" w:right="99" w:firstLine="1301"/>
        <w:spacing w:after="0" w:line="268" w:lineRule="auto"/>
        <w:tabs>
          <w:tab w:leader="none" w:pos="2067"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The Revolver Facility Arrangers and the Administrative Agent shall have received an officer’s certificate, dated the Effective Date and signed by a Responsible Officer of the Company, certifying that, as of the Effective Date and after giving effect to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299085</wp:posOffset>
            </wp:positionV>
            <wp:extent cx="5642610" cy="514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4" w:name="page265"/>
    <w:bookmarkEnd w:id="264"/>
    <w:p>
      <w:pPr>
        <w:ind w:left="8700"/>
        <w:spacing w:after="0"/>
        <w:rPr>
          <w:sz w:val="20"/>
          <w:szCs w:val="20"/>
          <w:color w:val="auto"/>
        </w:rPr>
      </w:pPr>
      <w:r>
        <w:rPr>
          <w:rFonts w:ascii="Arial" w:cs="Arial" w:eastAsia="Arial" w:hAnsi="Arial"/>
          <w:sz w:val="19"/>
          <w:szCs w:val="19"/>
          <w:color w:val="auto"/>
        </w:rPr>
        <w:t>78</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line="216" w:lineRule="auto"/>
        <w:rPr>
          <w:sz w:val="20"/>
          <w:szCs w:val="20"/>
          <w:color w:val="auto"/>
        </w:rPr>
      </w:pPr>
      <w:r>
        <w:rPr>
          <w:rFonts w:ascii="Arial" w:cs="Arial" w:eastAsia="Arial" w:hAnsi="Arial"/>
          <w:sz w:val="22"/>
          <w:szCs w:val="22"/>
          <w:color w:val="auto"/>
        </w:rPr>
        <w:t>that are to occur on such date, (i) the representations and warranties of the Company set forth in the Loan Documents are true and correct (A) in the case of the representations and warranties qualified as to materiality, Material Adverse Effect or similar language, in all respects (after giving effect to such qualification) and (B) otherwise, in all material respects and (ii) no Default has occurred and is continuing.</w:t>
      </w:r>
    </w:p>
    <w:p>
      <w:pPr>
        <w:spacing w:after="0" w:line="158" w:lineRule="exact"/>
        <w:rPr>
          <w:sz w:val="20"/>
          <w:szCs w:val="20"/>
          <w:color w:val="auto"/>
        </w:rPr>
      </w:pPr>
    </w:p>
    <w:p>
      <w:pPr>
        <w:jc w:val="both"/>
        <w:ind w:left="100" w:right="99" w:firstLine="1301"/>
        <w:spacing w:after="0" w:line="223" w:lineRule="auto"/>
        <w:tabs>
          <w:tab w:leader="none" w:pos="2068"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xml:space="preserve">The Revolver Facility Arrangers and the Administrative Agent shall have received a certificate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from the Company, dated the Effective Date and signed by a Financial Officer of the Company.</w:t>
      </w:r>
    </w:p>
    <w:p>
      <w:pPr>
        <w:spacing w:after="0" w:line="159" w:lineRule="exact"/>
        <w:rPr>
          <w:rFonts w:ascii="Arial" w:cs="Arial" w:eastAsia="Arial" w:hAnsi="Arial"/>
          <w:sz w:val="22"/>
          <w:szCs w:val="22"/>
          <w:color w:val="auto"/>
        </w:rPr>
      </w:pPr>
    </w:p>
    <w:p>
      <w:pPr>
        <w:jc w:val="both"/>
        <w:ind w:left="100" w:right="99" w:firstLine="1301"/>
        <w:spacing w:after="0" w:line="247" w:lineRule="auto"/>
        <w:tabs>
          <w:tab w:leader="none" w:pos="2071" w:val="left"/>
        </w:tabs>
        <w:numPr>
          <w:ilvl w:val="0"/>
          <w:numId w:val="203"/>
        </w:numPr>
        <w:rPr>
          <w:rFonts w:ascii="Arial" w:cs="Arial" w:eastAsia="Arial" w:hAnsi="Arial"/>
          <w:sz w:val="19"/>
          <w:szCs w:val="19"/>
          <w:color w:val="auto"/>
        </w:rPr>
      </w:pPr>
      <w:r>
        <w:rPr>
          <w:rFonts w:ascii="Arial" w:cs="Arial" w:eastAsia="Arial" w:hAnsi="Arial"/>
          <w:sz w:val="19"/>
          <w:szCs w:val="19"/>
          <w:color w:val="auto"/>
        </w:rPr>
        <w:t>All costs, expenses (including reasonable and documented legal fees and expenses) and fees contemplated by the Loan Documents, or otherwise agreed by the Company with the Revolver Facility Arrangers or the Administrative Agent, to be reimbursable or payable by or on behalf of the Company to the Revolver Facility Arrangers (or Affiliates thereof), the Administrative Agent or the Lenders shall have been paid on or prior to the Effective Date, in each case, to the extent required to be paid on or prior to the Effective Date and, in the case of costs and expenses, invoiced at least two Business Days prior to the Effective Date.</w:t>
      </w:r>
    </w:p>
    <w:p>
      <w:pPr>
        <w:spacing w:after="0" w:line="154" w:lineRule="exact"/>
        <w:rPr>
          <w:rFonts w:ascii="Arial" w:cs="Arial" w:eastAsia="Arial" w:hAnsi="Arial"/>
          <w:sz w:val="19"/>
          <w:szCs w:val="19"/>
          <w:color w:val="auto"/>
        </w:rPr>
      </w:pPr>
    </w:p>
    <w:p>
      <w:pPr>
        <w:jc w:val="both"/>
        <w:ind w:left="100" w:right="99" w:firstLine="1301"/>
        <w:spacing w:after="0" w:line="246" w:lineRule="auto"/>
        <w:tabs>
          <w:tab w:leader="none" w:pos="1919"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Revolver Facility Arrangers shall have received, (i) at least three Business Days prior to the Effective Date, all documentation and other information regarding the Company and the Subsidiaries required by bank regulatory authorities under applicable “know your customer” and anti-money laundering rules and regulations, including, without limitation, the USA PATRIOT Act, that has been reasonably requested by the Revolver Facility Arrangers at least 10 Business Days prior to the Effective Date and (ii) to the extent the Company qualifies as a “legal entity customer” under the Beneficial Ownership Regulation, at least three Business Days prior to the Effective Date, a Beneficial Ownership Certification in relation to the Company.</w:t>
      </w:r>
    </w:p>
    <w:p>
      <w:pPr>
        <w:spacing w:after="0" w:line="153" w:lineRule="exact"/>
        <w:rPr>
          <w:rFonts w:ascii="Arial" w:cs="Arial" w:eastAsia="Arial" w:hAnsi="Arial"/>
          <w:sz w:val="19"/>
          <w:szCs w:val="19"/>
          <w:color w:val="auto"/>
        </w:rPr>
      </w:pPr>
    </w:p>
    <w:p>
      <w:pPr>
        <w:jc w:val="both"/>
        <w:ind w:left="100" w:right="99" w:firstLine="1301"/>
        <w:spacing w:after="0" w:line="229" w:lineRule="auto"/>
        <w:tabs>
          <w:tab w:leader="none" w:pos="2175" w:val="left"/>
        </w:tabs>
        <w:numPr>
          <w:ilvl w:val="0"/>
          <w:numId w:val="203"/>
        </w:numPr>
        <w:rPr>
          <w:rFonts w:ascii="Arial" w:cs="Arial" w:eastAsia="Arial" w:hAnsi="Arial"/>
          <w:sz w:val="21"/>
          <w:szCs w:val="21"/>
          <w:color w:val="auto"/>
        </w:rPr>
      </w:pPr>
      <w:r>
        <w:rPr>
          <w:rFonts w:ascii="Arial" w:cs="Arial" w:eastAsia="Arial" w:hAnsi="Arial"/>
          <w:sz w:val="21"/>
          <w:szCs w:val="21"/>
          <w:color w:val="auto"/>
        </w:rPr>
        <w:t>The Company Existing Credit Agreement Refinancing shall have been consummated, or shall be consummated substantially concurrently with the effectiveness of this Agreement, and the Revolver Facility Arrangers and the Administrative Agent shall have received customary payoff documentation in respect thereof.</w:t>
      </w:r>
    </w:p>
    <w:p>
      <w:pPr>
        <w:spacing w:after="0" w:line="159"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The Administrative Agent shall deliver a notice to the Company and the Lenders of the Effective Date, and such notice shall be conclusive and binding.</w:t>
      </w:r>
    </w:p>
    <w:p>
      <w:pPr>
        <w:spacing w:after="0" w:line="15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1"/>
          <w:szCs w:val="21"/>
          <w:color w:val="auto"/>
        </w:rPr>
        <w:t xml:space="preserve">SECTION 4.02 </w:t>
      </w:r>
      <w:r>
        <w:rPr>
          <w:rFonts w:ascii="Arial" w:cs="Arial" w:eastAsia="Arial" w:hAnsi="Arial"/>
          <w:sz w:val="21"/>
          <w:szCs w:val="21"/>
          <w:u w:val="single" w:color="auto"/>
          <w:color w:val="auto"/>
        </w:rPr>
        <w:t>Each Credit Event</w:t>
      </w:r>
      <w:r>
        <w:rPr>
          <w:rFonts w:ascii="Arial" w:cs="Arial" w:eastAsia="Arial" w:hAnsi="Arial"/>
          <w:sz w:val="21"/>
          <w:szCs w:val="21"/>
          <w:color w:val="auto"/>
        </w:rPr>
        <w:t>. The obligation of each Lender to make a Loan on the occasion of any Borrowing (other than a Borrowing of Tranche 2 Loans on the PNG Acquisition Closing Date prior to the Conversion Date, any True-Up Borrowing on the Conversion Date or any conversion or continuation of any outstanding Loan), of each Swingline Lender to make a Swingline Loan and of each Issuing Bank to issue any Letter of Credit or amend any Letter of Credit to increase the amount thereof is subject to receipt of the request therefor in accordance herewith and to the satisfaction of the following conditions:</w:t>
      </w:r>
    </w:p>
    <w:p>
      <w:pPr>
        <w:spacing w:after="0" w:line="158" w:lineRule="exact"/>
        <w:rPr>
          <w:sz w:val="20"/>
          <w:szCs w:val="20"/>
          <w:color w:val="auto"/>
        </w:rPr>
      </w:pPr>
    </w:p>
    <w:p>
      <w:pPr>
        <w:jc w:val="both"/>
        <w:ind w:left="100" w:right="99" w:firstLine="1301"/>
        <w:spacing w:after="0" w:line="257" w:lineRule="auto"/>
        <w:tabs>
          <w:tab w:leader="none" w:pos="2055"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Company set forth in the Loan Documents (other than, after the Effective Date, the representations set forth in </w:t>
      </w:r>
      <w:r>
        <w:rPr>
          <w:rFonts w:ascii="Arial" w:cs="Arial" w:eastAsia="Arial" w:hAnsi="Arial"/>
          <w:sz w:val="19"/>
          <w:szCs w:val="19"/>
          <w:u w:val="single" w:color="auto"/>
          <w:color w:val="auto"/>
        </w:rPr>
        <w:t>Sections 3.04(b)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3.06(a)</w:t>
      </w:r>
      <w:r>
        <w:rPr>
          <w:rFonts w:ascii="Arial" w:cs="Arial" w:eastAsia="Arial" w:hAnsi="Arial"/>
          <w:sz w:val="19"/>
          <w:szCs w:val="19"/>
          <w:color w:val="auto"/>
        </w:rPr>
        <w:t>) shall be true and correct (i) in the case of the representations and warranties qualified as to materiality, Material Adverse Effect or similar language, in all respects (after giving effect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307340</wp:posOffset>
            </wp:positionV>
            <wp:extent cx="5642610" cy="514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5" w:name="page266"/>
    <w:bookmarkEnd w:id="265"/>
    <w:p>
      <w:pPr>
        <w:jc w:val="right"/>
        <w:ind w:right="99"/>
        <w:spacing w:after="0"/>
        <w:rPr>
          <w:sz w:val="20"/>
          <w:szCs w:val="20"/>
          <w:color w:val="auto"/>
        </w:rPr>
      </w:pPr>
      <w:r>
        <w:rPr>
          <w:rFonts w:ascii="Arial" w:cs="Arial" w:eastAsia="Arial" w:hAnsi="Arial"/>
          <w:sz w:val="22"/>
          <w:szCs w:val="22"/>
          <w:color w:val="auto"/>
        </w:rPr>
        <w:t>79</w:t>
      </w:r>
    </w:p>
    <w:p>
      <w:pPr>
        <w:spacing w:after="0" w:line="396" w:lineRule="exact"/>
        <w:rPr>
          <w:sz w:val="20"/>
          <w:szCs w:val="20"/>
          <w:color w:val="auto"/>
        </w:rPr>
      </w:pPr>
    </w:p>
    <w:p>
      <w:pPr>
        <w:jc w:val="both"/>
        <w:ind w:left="100" w:right="99"/>
        <w:spacing w:after="0" w:line="226" w:lineRule="auto"/>
        <w:rPr>
          <w:sz w:val="20"/>
          <w:szCs w:val="20"/>
          <w:color w:val="auto"/>
        </w:rPr>
      </w:pPr>
      <w:r>
        <w:rPr>
          <w:rFonts w:ascii="Arial" w:cs="Arial" w:eastAsia="Arial" w:hAnsi="Arial"/>
          <w:sz w:val="21"/>
          <w:szCs w:val="21"/>
          <w:color w:val="auto"/>
        </w:rPr>
        <w:t xml:space="preserve">such qualification) and (ii) otherwise, in all material respects, in each case on and as of the date of such Borrowing or the date of such issuance of, or amendment to increase, such Letter of Credit, as applicable, except in the case of any such representation and warranty that expressly relates to a prior date, in which case such representation and warranty shall be so true and correct as required by clauses </w:t>
      </w:r>
      <w:r>
        <w:rPr>
          <w:rFonts w:ascii="Arial" w:cs="Arial" w:eastAsia="Arial" w:hAnsi="Arial"/>
          <w:sz w:val="21"/>
          <w:szCs w:val="21"/>
          <w:u w:val="single" w:color="auto"/>
          <w:color w:val="auto"/>
        </w:rPr>
        <w:t>(i)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on and as of such prior date.</w:t>
      </w:r>
    </w:p>
    <w:p>
      <w:pPr>
        <w:spacing w:after="0" w:line="160" w:lineRule="exact"/>
        <w:rPr>
          <w:sz w:val="20"/>
          <w:szCs w:val="20"/>
          <w:color w:val="auto"/>
        </w:rPr>
      </w:pPr>
    </w:p>
    <w:p>
      <w:pPr>
        <w:jc w:val="both"/>
        <w:ind w:left="100" w:right="99" w:firstLine="1301"/>
        <w:spacing w:after="0" w:line="223" w:lineRule="auto"/>
        <w:tabs>
          <w:tab w:leader="none" w:pos="1959"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Borrowing or such issuance of, or amendment to increase, such Letter of Credit, as applicable, no Default shall have occurred and be continuing.</w:t>
      </w:r>
    </w:p>
    <w:p>
      <w:pPr>
        <w:spacing w:after="0" w:line="159" w:lineRule="exact"/>
        <w:rPr>
          <w:sz w:val="20"/>
          <w:szCs w:val="20"/>
          <w:color w:val="auto"/>
        </w:rPr>
      </w:pPr>
    </w:p>
    <w:p>
      <w:pPr>
        <w:jc w:val="both"/>
        <w:ind w:left="100" w:right="99" w:firstLine="1296"/>
        <w:spacing w:after="0" w:line="257" w:lineRule="auto"/>
        <w:rPr>
          <w:sz w:val="20"/>
          <w:szCs w:val="20"/>
          <w:color w:val="auto"/>
        </w:rPr>
      </w:pPr>
      <w:r>
        <w:rPr>
          <w:rFonts w:ascii="Arial" w:cs="Arial" w:eastAsia="Arial" w:hAnsi="Arial"/>
          <w:sz w:val="19"/>
          <w:szCs w:val="19"/>
          <w:color w:val="auto"/>
        </w:rPr>
        <w:t xml:space="preserve">On the date of any Borrowing (other than any conversion or continuation of any outstanding Loan), any Swingline Loan, the issuance of any Letter of Credit or the amendment of any Letter of Credit to increase the amount thereof, the Company shall be deemed to have represented and warranted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4.02(b)</w:t>
      </w:r>
      <w:r>
        <w:rPr>
          <w:rFonts w:ascii="Arial" w:cs="Arial" w:eastAsia="Arial" w:hAnsi="Arial"/>
          <w:sz w:val="19"/>
          <w:szCs w:val="19"/>
          <w:color w:val="auto"/>
        </w:rPr>
        <w:t xml:space="preserve"> have been satisfied.</w:t>
      </w:r>
    </w:p>
    <w:p>
      <w:pPr>
        <w:spacing w:after="0" w:line="145"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u w:val="single" w:color="auto"/>
          <w:color w:val="auto"/>
        </w:rPr>
        <w:t>PNG Acquisition Closing Date</w:t>
      </w:r>
      <w:r>
        <w:rPr>
          <w:rFonts w:ascii="Arial" w:cs="Arial" w:eastAsia="Arial" w:hAnsi="Arial"/>
          <w:sz w:val="22"/>
          <w:szCs w:val="22"/>
          <w:color w:val="auto"/>
        </w:rPr>
        <w:t xml:space="preserve">. The obligations of the Tranche 2 Lenders to make Tranche 2 Loans on the PNG Acquisition Closing Date prior to the Conversion Date are subject to the occurrence of the Effective Date and the satisfaction (or waiver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 of the following conditions:</w:t>
      </w:r>
    </w:p>
    <w:p>
      <w:pPr>
        <w:spacing w:after="0" w:line="161" w:lineRule="exact"/>
        <w:rPr>
          <w:sz w:val="20"/>
          <w:szCs w:val="20"/>
          <w:color w:val="auto"/>
        </w:rPr>
      </w:pPr>
    </w:p>
    <w:p>
      <w:pPr>
        <w:jc w:val="both"/>
        <w:ind w:left="100" w:right="99" w:firstLine="1301"/>
        <w:spacing w:after="0"/>
        <w:tabs>
          <w:tab w:leader="none" w:pos="1852"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The Revolver Facility Arrangers shall have received a copy of the PNG Purchase Agreement, certified by a Responsible Officer of the Company as complete and correct. The PNG Acquisition shall have been (or, substantially concurrently with the initial Tranche 2 Borrowing, shall be) consummated in all material respects in accordance with the terms of the PNG Purchase Agreement. The PNG Purchase Agreement shall not have been amended or modified in any respect, or any provision or condition therein waived, or any consent granted thereunder, by the Company or any of the Subsidiaries, if such amendment, modification, waiver or consent would be material and adverse to the interests of the Lenders (in their capacities as such) without the Revolver Facility Arrangers’ prior written consent (such consent not to be unreasonably withheld, delayed or conditioned), it being understood and agreed that (i) any reduction, when taken together with all such prior reductions, of less than 15% in the original consideration for the PNG Acquisition will be deemed not to be (and any such reduction of 15% or more will be deemed to be) material and adverse to the interests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such reduction of less than 15%, the aggregate principal amount of the Bridge Facility, if any, shall have been reduced on a dollar-for-dollar basis, (ii) any increase, when taken together with all such prior increases, of less than 15% in the original consideration for the PNG Acquisition will be deemed not to be (and any such increase of 15% or more will be deemed to be) material and adverse to the interests of the Lenders and (iii) any amendment or other modification to the definition of Material Adverse Effect (as defined in the PNG Purchase Agreement as in effect on the Signing Date) shall be deemed to be material and adverse to the interest of the Lenders.</w:t>
      </w:r>
    </w:p>
    <w:p>
      <w:pPr>
        <w:spacing w:after="0" w:line="386" w:lineRule="exact"/>
        <w:rPr>
          <w:rFonts w:ascii="Arial" w:cs="Arial" w:eastAsia="Arial" w:hAnsi="Arial"/>
          <w:sz w:val="19"/>
          <w:szCs w:val="19"/>
          <w:color w:val="auto"/>
        </w:rPr>
      </w:pPr>
    </w:p>
    <w:p>
      <w:pPr>
        <w:jc w:val="both"/>
        <w:ind w:left="100" w:right="99" w:firstLine="1301"/>
        <w:spacing w:after="0" w:line="234" w:lineRule="auto"/>
        <w:tabs>
          <w:tab w:leader="none" w:pos="1919" w:val="left"/>
        </w:tabs>
        <w:numPr>
          <w:ilvl w:val="0"/>
          <w:numId w:val="206"/>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an officer’s certificate, dated the PNG Acquisition Closing Date and signed by a Responsible Officer of the Company, confirming satisfaction of the conditions set forth in </w:t>
      </w:r>
      <w:r>
        <w:rPr>
          <w:rFonts w:ascii="Arial" w:cs="Arial" w:eastAsia="Arial" w:hAnsi="Arial"/>
          <w:sz w:val="21"/>
          <w:szCs w:val="21"/>
          <w:u w:val="single" w:color="auto"/>
          <w:color w:val="auto"/>
        </w:rPr>
        <w:t>Sections 4.03(a)</w:t>
      </w:r>
      <w:r>
        <w:rPr>
          <w:rFonts w:ascii="Arial" w:cs="Arial" w:eastAsia="Arial" w:hAnsi="Arial"/>
          <w:sz w:val="21"/>
          <w:szCs w:val="21"/>
          <w:color w:val="auto"/>
        </w:rPr>
        <w:t xml:space="preserve">, </w:t>
      </w:r>
      <w:r>
        <w:rPr>
          <w:rFonts w:ascii="Arial" w:cs="Arial" w:eastAsia="Arial" w:hAnsi="Arial"/>
          <w:sz w:val="21"/>
          <w:szCs w:val="21"/>
          <w:u w:val="single" w:color="auto"/>
          <w:color w:val="auto"/>
        </w:rPr>
        <w:t>4.03(d)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4.03(h)</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315595</wp:posOffset>
            </wp:positionV>
            <wp:extent cx="5642610" cy="514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6" w:name="page267"/>
    <w:bookmarkEnd w:id="266"/>
    <w:p>
      <w:pPr>
        <w:jc w:val="right"/>
        <w:ind w:right="99"/>
        <w:spacing w:after="0"/>
        <w:rPr>
          <w:sz w:val="20"/>
          <w:szCs w:val="20"/>
          <w:color w:val="auto"/>
        </w:rPr>
      </w:pPr>
      <w:r>
        <w:rPr>
          <w:rFonts w:ascii="Arial" w:cs="Arial" w:eastAsia="Arial" w:hAnsi="Arial"/>
          <w:sz w:val="22"/>
          <w:szCs w:val="22"/>
          <w:color w:val="auto"/>
        </w:rPr>
        <w:t>80</w:t>
      </w:r>
    </w:p>
    <w:p>
      <w:pPr>
        <w:spacing w:after="0" w:line="396" w:lineRule="exact"/>
        <w:rPr>
          <w:sz w:val="20"/>
          <w:szCs w:val="20"/>
          <w:color w:val="auto"/>
        </w:rPr>
      </w:pPr>
    </w:p>
    <w:p>
      <w:pPr>
        <w:ind w:left="100" w:right="99" w:firstLine="1301"/>
        <w:spacing w:after="0" w:line="232" w:lineRule="auto"/>
        <w:tabs>
          <w:tab w:leader="none" w:pos="190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Borrowing Request as required by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(but which shall not contain any representations or warranties).</w:t>
      </w:r>
    </w:p>
    <w:p>
      <w:pPr>
        <w:spacing w:after="0" w:line="159" w:lineRule="exact"/>
        <w:rPr>
          <w:rFonts w:ascii="Arial" w:cs="Arial" w:eastAsia="Arial" w:hAnsi="Arial"/>
          <w:sz w:val="22"/>
          <w:szCs w:val="22"/>
          <w:color w:val="auto"/>
        </w:rPr>
      </w:pPr>
    </w:p>
    <w:p>
      <w:pPr>
        <w:jc w:val="both"/>
        <w:ind w:left="100" w:right="99" w:firstLine="1301"/>
        <w:spacing w:after="0" w:line="212" w:lineRule="auto"/>
        <w:tabs>
          <w:tab w:leader="none" w:pos="2364"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The PNG Purchase Agreement Representations and the Specified Representations shall be true and correct in all material respects. At the time of and upon giving effect to the initial Tranche 2 Borrowing and the application of the proceeds thereof on the PNG Acquisition Closing Date (and after giving effect to the other Transactions), there shall not exist any Event of Default under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7.01(b)</w:t>
      </w:r>
      <w:r>
        <w:rPr>
          <w:rFonts w:ascii="Arial" w:cs="Arial" w:eastAsia="Arial" w:hAnsi="Arial"/>
          <w:sz w:val="22"/>
          <w:szCs w:val="22"/>
          <w:color w:val="auto"/>
        </w:rPr>
        <w:t xml:space="preserve"> (in each case, solely in respect of amounts payable in respect of the Tranche 2 Commitments or Tranche 2 Loans) or </w:t>
      </w:r>
      <w:r>
        <w:rPr>
          <w:rFonts w:ascii="Arial" w:cs="Arial" w:eastAsia="Arial" w:hAnsi="Arial"/>
          <w:sz w:val="22"/>
          <w:szCs w:val="22"/>
          <w:u w:val="single" w:color="auto"/>
          <w:color w:val="auto"/>
        </w:rPr>
        <w:t>Section 7.01(h)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7.01(i)</w:t>
      </w:r>
      <w:r>
        <w:rPr>
          <w:rFonts w:ascii="Arial" w:cs="Arial" w:eastAsia="Arial" w:hAnsi="Arial"/>
          <w:sz w:val="22"/>
          <w:szCs w:val="22"/>
          <w:color w:val="auto"/>
        </w:rPr>
        <w:t xml:space="preserve"> (in each case, solely in respect of the Company).</w:t>
      </w:r>
    </w:p>
    <w:p>
      <w:pPr>
        <w:spacing w:after="0" w:line="164" w:lineRule="exact"/>
        <w:rPr>
          <w:rFonts w:ascii="Arial" w:cs="Arial" w:eastAsia="Arial" w:hAnsi="Arial"/>
          <w:sz w:val="22"/>
          <w:szCs w:val="22"/>
          <w:color w:val="auto"/>
        </w:rPr>
      </w:pPr>
    </w:p>
    <w:p>
      <w:pPr>
        <w:ind w:left="100" w:right="99" w:firstLine="1301"/>
        <w:spacing w:after="0" w:line="232" w:lineRule="auto"/>
        <w:tabs>
          <w:tab w:leader="none" w:pos="1893"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There shall not have occurred a Material Adverse Effect (as defined in the PNG Purchase Agreement).</w:t>
      </w:r>
    </w:p>
    <w:p>
      <w:pPr>
        <w:spacing w:after="0" w:line="159" w:lineRule="exact"/>
        <w:rPr>
          <w:rFonts w:ascii="Arial" w:cs="Arial" w:eastAsia="Arial" w:hAnsi="Arial"/>
          <w:sz w:val="22"/>
          <w:szCs w:val="22"/>
          <w:color w:val="auto"/>
        </w:rPr>
      </w:pPr>
    </w:p>
    <w:p>
      <w:pPr>
        <w:jc w:val="both"/>
        <w:ind w:left="100" w:right="99" w:firstLine="1301"/>
        <w:spacing w:after="0" w:line="246" w:lineRule="auto"/>
        <w:tabs>
          <w:tab w:leader="none" w:pos="2071" w:val="left"/>
        </w:tabs>
        <w:numPr>
          <w:ilvl w:val="0"/>
          <w:numId w:val="207"/>
        </w:numPr>
        <w:rPr>
          <w:rFonts w:ascii="Arial" w:cs="Arial" w:eastAsia="Arial" w:hAnsi="Arial"/>
          <w:sz w:val="19"/>
          <w:szCs w:val="19"/>
          <w:color w:val="auto"/>
        </w:rPr>
      </w:pPr>
      <w:r>
        <w:rPr>
          <w:rFonts w:ascii="Arial" w:cs="Arial" w:eastAsia="Arial" w:hAnsi="Arial"/>
          <w:sz w:val="19"/>
          <w:szCs w:val="19"/>
          <w:color w:val="auto"/>
        </w:rPr>
        <w:t>All costs, expenses (including reasonable and documented legal fees and expenses) and fees contemplated by the Loan Documents, or otherwise agreed by the Company with the Revolver Facility Arrangers or the Administrative Agent, to be reimbursable or payable by or on behalf of the Company to the Revolver Facility Arrangers (or Affiliates thereof), the Administrative Agent or the Lenders in connection with the Tranche 2 Commitments or Tranche 2 Loans shall have been paid on or prior to the PNG Acquisition Closing Date, in each case, to the extent required to be paid on or prior to the PNG Acquisition Closing Date and, in the case of costs and expenses, invoiced at least two Business Days prior to the PNG Acquisition Closing Date.</w:t>
      </w:r>
    </w:p>
    <w:p>
      <w:pPr>
        <w:spacing w:after="0" w:line="153" w:lineRule="exact"/>
        <w:rPr>
          <w:rFonts w:ascii="Arial" w:cs="Arial" w:eastAsia="Arial" w:hAnsi="Arial"/>
          <w:sz w:val="19"/>
          <w:szCs w:val="19"/>
          <w:color w:val="auto"/>
        </w:rPr>
      </w:pPr>
    </w:p>
    <w:p>
      <w:pPr>
        <w:jc w:val="both"/>
        <w:ind w:left="100" w:right="99" w:firstLine="1301"/>
        <w:spacing w:after="0" w:line="216" w:lineRule="auto"/>
        <w:tabs>
          <w:tab w:leader="none" w:pos="2067"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The Revolver Facility Arrangers and the Administrative Agent shall have received a certificate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from the Company, dated the PNG Acquisition Closing Date and signed by its chief financial officer, certifying that the Company and the Subsidiaries, on a consolidated basis after giving effect to the Transactions to occur on the PNG Acquisition Closing Date, are solvent.</w:t>
      </w:r>
    </w:p>
    <w:p>
      <w:pPr>
        <w:spacing w:after="0" w:line="158" w:lineRule="exact"/>
        <w:rPr>
          <w:rFonts w:ascii="Arial" w:cs="Arial" w:eastAsia="Arial" w:hAnsi="Arial"/>
          <w:sz w:val="22"/>
          <w:szCs w:val="22"/>
          <w:color w:val="auto"/>
        </w:rPr>
      </w:pPr>
    </w:p>
    <w:p>
      <w:pPr>
        <w:jc w:val="both"/>
        <w:ind w:left="100" w:right="99" w:firstLine="1301"/>
        <w:spacing w:after="0" w:line="218" w:lineRule="auto"/>
        <w:tabs>
          <w:tab w:leader="none" w:pos="1905" w:val="left"/>
        </w:tabs>
        <w:numPr>
          <w:ilvl w:val="0"/>
          <w:numId w:val="207"/>
        </w:numPr>
        <w:rPr>
          <w:rFonts w:ascii="Arial" w:cs="Arial" w:eastAsia="Arial" w:hAnsi="Arial"/>
          <w:sz w:val="22"/>
          <w:szCs w:val="22"/>
          <w:color w:val="auto"/>
        </w:rPr>
      </w:pPr>
      <w:r>
        <w:rPr>
          <w:rFonts w:ascii="Arial" w:cs="Arial" w:eastAsia="Arial" w:hAnsi="Arial"/>
          <w:sz w:val="22"/>
          <w:szCs w:val="22"/>
          <w:color w:val="auto"/>
        </w:rPr>
        <w:t>Each of (i) the Company Existing Private Placement Notes Refinancing, (ii) the PNG Existing Revolving Facility Refinancing and (iii) the PNG Existing Term Facility Refinancing shall have been consummated or, substantially concurrently with the PNG Acquisition, shall be consummated.</w:t>
      </w:r>
    </w:p>
    <w:p>
      <w:pPr>
        <w:spacing w:after="0" w:line="161"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 xml:space="preserve">The Administrative Agent shall deliver a notice to the Company and the Lenders of the satisfaction of the conditions in </w:t>
      </w:r>
      <w:r>
        <w:rPr>
          <w:rFonts w:ascii="Arial" w:cs="Arial" w:eastAsia="Arial" w:hAnsi="Arial"/>
          <w:sz w:val="22"/>
          <w:szCs w:val="22"/>
          <w:u w:val="single" w:color="auto"/>
          <w:color w:val="auto"/>
        </w:rPr>
        <w:t>Section 4.03</w:t>
      </w:r>
      <w:r>
        <w:rPr>
          <w:rFonts w:ascii="Arial" w:cs="Arial" w:eastAsia="Arial" w:hAnsi="Arial"/>
          <w:sz w:val="22"/>
          <w:szCs w:val="22"/>
          <w:color w:val="auto"/>
        </w:rPr>
        <w:t xml:space="preserve"> (or waiver of them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 and such notice shall be conclusive and binding.</w:t>
      </w:r>
    </w:p>
    <w:p>
      <w:pPr>
        <w:spacing w:after="0" w:line="159" w:lineRule="exact"/>
        <w:rPr>
          <w:sz w:val="20"/>
          <w:szCs w:val="20"/>
          <w:color w:val="auto"/>
        </w:rPr>
      </w:pPr>
    </w:p>
    <w:p>
      <w:pPr>
        <w:ind w:left="3960"/>
        <w:spacing w:after="0"/>
        <w:rPr>
          <w:sz w:val="20"/>
          <w:szCs w:val="20"/>
          <w:color w:val="auto"/>
        </w:rPr>
      </w:pPr>
      <w:r>
        <w:rPr>
          <w:rFonts w:ascii="Arial" w:cs="Arial" w:eastAsia="Arial" w:hAnsi="Arial"/>
          <w:sz w:val="22"/>
          <w:szCs w:val="22"/>
          <w:u w:val="single" w:color="auto"/>
          <w:color w:val="auto"/>
        </w:rPr>
        <w:t>ARTICLE V</w:t>
      </w:r>
    </w:p>
    <w:p>
      <w:pPr>
        <w:spacing w:after="0" w:line="179" w:lineRule="exact"/>
        <w:rPr>
          <w:sz w:val="20"/>
          <w:szCs w:val="20"/>
          <w:color w:val="auto"/>
        </w:rPr>
      </w:pPr>
    </w:p>
    <w:p>
      <w:pPr>
        <w:ind w:left="3520"/>
        <w:spacing w:after="0"/>
        <w:rPr>
          <w:sz w:val="20"/>
          <w:szCs w:val="20"/>
          <w:color w:val="auto"/>
        </w:rPr>
      </w:pPr>
      <w:r>
        <w:rPr>
          <w:rFonts w:ascii="Arial" w:cs="Arial" w:eastAsia="Arial" w:hAnsi="Arial"/>
          <w:sz w:val="22"/>
          <w:szCs w:val="22"/>
          <w:u w:val="single" w:color="auto"/>
          <w:color w:val="auto"/>
        </w:rPr>
        <w:t>Affirmative Covenants</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Until Payment in Full, the Company covenants and agrees with the Lenders that:</w:t>
      </w:r>
    </w:p>
    <w:p>
      <w:pPr>
        <w:spacing w:after="0" w:line="191" w:lineRule="exact"/>
        <w:rPr>
          <w:sz w:val="20"/>
          <w:szCs w:val="20"/>
          <w:color w:val="auto"/>
        </w:rPr>
      </w:pPr>
    </w:p>
    <w:p>
      <w:pPr>
        <w:jc w:val="both"/>
        <w:ind w:left="100" w:right="99" w:firstLine="1296"/>
        <w:spacing w:after="0" w:line="232"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 The Company will furnish to the Administrative Agent, on behalf of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316230</wp:posOffset>
            </wp:positionV>
            <wp:extent cx="5642610" cy="514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7" w:name="page268"/>
    <w:bookmarkEnd w:id="267"/>
    <w:p>
      <w:pPr>
        <w:ind w:left="8700"/>
        <w:spacing w:after="0"/>
        <w:rPr>
          <w:sz w:val="20"/>
          <w:szCs w:val="20"/>
          <w:color w:val="auto"/>
        </w:rPr>
      </w:pPr>
      <w:r>
        <w:rPr>
          <w:rFonts w:ascii="Arial" w:cs="Arial" w:eastAsia="Arial" w:hAnsi="Arial"/>
          <w:sz w:val="19"/>
          <w:szCs w:val="19"/>
          <w:color w:val="auto"/>
        </w:rPr>
        <w:t>81</w:t>
      </w:r>
    </w:p>
    <w:p>
      <w:pPr>
        <w:spacing w:after="0" w:line="200" w:lineRule="exact"/>
        <w:rPr>
          <w:sz w:val="20"/>
          <w:szCs w:val="20"/>
          <w:color w:val="auto"/>
        </w:rPr>
      </w:pPr>
    </w:p>
    <w:p>
      <w:pPr>
        <w:spacing w:after="0" w:line="231" w:lineRule="exact"/>
        <w:rPr>
          <w:sz w:val="20"/>
          <w:szCs w:val="20"/>
          <w:color w:val="auto"/>
        </w:rPr>
      </w:pPr>
    </w:p>
    <w:p>
      <w:pPr>
        <w:jc w:val="both"/>
        <w:ind w:left="100" w:right="99" w:firstLine="1301"/>
        <w:spacing w:after="0" w:line="242" w:lineRule="auto"/>
        <w:tabs>
          <w:tab w:leader="none" w:pos="1906" w:val="left"/>
        </w:tabs>
        <w:numPr>
          <w:ilvl w:val="0"/>
          <w:numId w:val="208"/>
        </w:numPr>
        <w:rPr>
          <w:rFonts w:ascii="Arial" w:cs="Arial" w:eastAsia="Arial" w:hAnsi="Arial"/>
          <w:sz w:val="19"/>
          <w:szCs w:val="19"/>
          <w:color w:val="auto"/>
        </w:rPr>
      </w:pPr>
      <w:r>
        <w:rPr>
          <w:rFonts w:ascii="Arial" w:cs="Arial" w:eastAsia="Arial" w:hAnsi="Arial"/>
          <w:sz w:val="19"/>
          <w:szCs w:val="19"/>
          <w:color w:val="auto"/>
        </w:rPr>
        <w:t>within 120 days after the end of each fiscal year of the Company, commencing with the fiscal year ending December 31, 2018, its audited consolidated balance sheet and statement of capitalization and related consolidated statements of net income, comprehensive income, equity and cash flows as of the end of and for such fiscal year, setting forth in each case in comparative form the figures for the prior fiscal year, all audited by and accompanied by the opinion of PricewaterhouseCoopers LLP or another independent registered public accounting firm of recognized national standing (without a “going concern” or like qualification, exception or emphasis (other than any qualification, exception or emphasis with respect to or resulting from an upcoming scheduled final maturity of any Indebtedness or associated with a financial covenant) and without any qualification, exception or emphasis as to the scope of such audit) to the effect that such consolidated financial statements present fairly, in all material respects, the financial position, results of operations and cash flows of the Company and its consolidated Subsidiaries on a consolidated basis as of the end of and for such year in accordance with GAAP;</w:t>
      </w:r>
    </w:p>
    <w:p>
      <w:pPr>
        <w:spacing w:after="0" w:line="161" w:lineRule="exact"/>
        <w:rPr>
          <w:rFonts w:ascii="Arial" w:cs="Arial" w:eastAsia="Arial" w:hAnsi="Arial"/>
          <w:sz w:val="19"/>
          <w:szCs w:val="19"/>
          <w:color w:val="auto"/>
        </w:rPr>
      </w:pPr>
    </w:p>
    <w:p>
      <w:pPr>
        <w:jc w:val="both"/>
        <w:ind w:left="100" w:right="99" w:firstLine="1301"/>
        <w:spacing w:after="0" w:line="242" w:lineRule="auto"/>
        <w:tabs>
          <w:tab w:leader="none" w:pos="1864" w:val="left"/>
        </w:tabs>
        <w:numPr>
          <w:ilvl w:val="0"/>
          <w:numId w:val="208"/>
        </w:numPr>
        <w:rPr>
          <w:rFonts w:ascii="Arial" w:cs="Arial" w:eastAsia="Arial" w:hAnsi="Arial"/>
          <w:sz w:val="19"/>
          <w:szCs w:val="19"/>
          <w:color w:val="auto"/>
        </w:rPr>
      </w:pPr>
      <w:r>
        <w:rPr>
          <w:rFonts w:ascii="Arial" w:cs="Arial" w:eastAsia="Arial" w:hAnsi="Arial"/>
          <w:sz w:val="19"/>
          <w:szCs w:val="19"/>
          <w:color w:val="auto"/>
        </w:rPr>
        <w:t>within 60 days after the end of each of the first three fiscal quarters of each fiscal year of the Company, its unaudited consolidated balance sheet and statement of capitalization as of the end of such fiscal quarter, the related unaudited consolidated statements of net income, comprehensive income and equity for such fiscal quarter and the then elapsed portion of the fiscal year and the related statements of cash flows for the then elapsed portion of the fiscal year, in each case setting forth in comparative form the figures for (or, in the case of the balance sheet or statement of capitalization, as of the end of) the corresponding period or periods of the prior fiscal year, all certified by a Financial Officer of the Company as presenting fairly, in all material respects, the financial position, results of operations and cash flows of the Company and its consolidated Subsidiaries on a consolidated basis as of the end of and for such fiscal quarter and such portion of the fiscal year in accordance with GAAP, subject to normal year-end audit adjustments and the absence of certain footnotes;</w:t>
      </w:r>
    </w:p>
    <w:p>
      <w:pPr>
        <w:spacing w:after="0" w:line="385" w:lineRule="exact"/>
        <w:rPr>
          <w:rFonts w:ascii="Arial" w:cs="Arial" w:eastAsia="Arial" w:hAnsi="Arial"/>
          <w:sz w:val="19"/>
          <w:szCs w:val="19"/>
          <w:color w:val="auto"/>
        </w:rPr>
      </w:pPr>
    </w:p>
    <w:p>
      <w:pPr>
        <w:jc w:val="both"/>
        <w:ind w:left="100" w:right="99" w:firstLine="1301"/>
        <w:spacing w:after="0" w:line="249" w:lineRule="auto"/>
        <w:tabs>
          <w:tab w:leader="none" w:pos="1947" w:val="left"/>
        </w:tabs>
        <w:numPr>
          <w:ilvl w:val="0"/>
          <w:numId w:val="208"/>
        </w:numPr>
        <w:rPr>
          <w:rFonts w:ascii="Arial" w:cs="Arial" w:eastAsia="Arial" w:hAnsi="Arial"/>
          <w:sz w:val="19"/>
          <w:szCs w:val="19"/>
          <w:color w:val="auto"/>
        </w:rPr>
      </w:pPr>
      <w:r>
        <w:rPr>
          <w:rFonts w:ascii="Arial" w:cs="Arial" w:eastAsia="Arial" w:hAnsi="Arial"/>
          <w:sz w:val="19"/>
          <w:szCs w:val="19"/>
          <w:color w:val="auto"/>
        </w:rPr>
        <w:t>within the time frame permitted for the delivery of financial statements under clause (a) or (b) above, as applicable, a completed Compliance Certificate signed by a Responsible Officer of the Company, (i) certifying as to whether a Default has occurred and is continuing on such date and, if a Default has occurred and is continuing on such date, specifying the details thereof and any action taken or proposed to be taken with respect thereto and (ii) setting forth reasonably detailed calculations demonstrating compliance with the Financial Covenant;</w:t>
      </w:r>
    </w:p>
    <w:p>
      <w:pPr>
        <w:spacing w:after="0" w:line="152" w:lineRule="exact"/>
        <w:rPr>
          <w:rFonts w:ascii="Arial" w:cs="Arial" w:eastAsia="Arial" w:hAnsi="Arial"/>
          <w:sz w:val="19"/>
          <w:szCs w:val="19"/>
          <w:color w:val="auto"/>
        </w:rPr>
      </w:pPr>
    </w:p>
    <w:p>
      <w:pPr>
        <w:jc w:val="both"/>
        <w:ind w:left="100" w:right="99" w:firstLine="1301"/>
        <w:spacing w:after="0" w:line="223" w:lineRule="auto"/>
        <w:tabs>
          <w:tab w:leader="none" w:pos="1959" w:val="left"/>
        </w:tabs>
        <w:numPr>
          <w:ilvl w:val="0"/>
          <w:numId w:val="208"/>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periodic and other reports, proxy statements and other materials filed by the Company or any Subsidiary with the SEC or with any national securities exchange;</w:t>
      </w:r>
    </w:p>
    <w:p>
      <w:pPr>
        <w:spacing w:after="0" w:line="159" w:lineRule="exact"/>
        <w:rPr>
          <w:rFonts w:ascii="Arial" w:cs="Arial" w:eastAsia="Arial" w:hAnsi="Arial"/>
          <w:sz w:val="22"/>
          <w:szCs w:val="22"/>
          <w:color w:val="auto"/>
        </w:rPr>
      </w:pPr>
    </w:p>
    <w:p>
      <w:pPr>
        <w:jc w:val="both"/>
        <w:ind w:left="100" w:right="99" w:firstLine="1301"/>
        <w:spacing w:after="0" w:line="268" w:lineRule="auto"/>
        <w:tabs>
          <w:tab w:leader="none" w:pos="2082" w:val="left"/>
        </w:tabs>
        <w:numPr>
          <w:ilvl w:val="0"/>
          <w:numId w:val="208"/>
        </w:numPr>
        <w:rPr>
          <w:rFonts w:ascii="Arial" w:cs="Arial" w:eastAsia="Arial" w:hAnsi="Arial"/>
          <w:sz w:val="19"/>
          <w:szCs w:val="19"/>
          <w:color w:val="auto"/>
        </w:rPr>
      </w:pPr>
      <w:r>
        <w:rPr>
          <w:rFonts w:ascii="Arial" w:cs="Arial" w:eastAsia="Arial" w:hAnsi="Arial"/>
          <w:sz w:val="19"/>
          <w:szCs w:val="19"/>
          <w:color w:val="auto"/>
        </w:rPr>
        <w:t>promptly after any request therefor, such other information regarding the business and financial condition of the Company or any Subsidiary, or compliance with the terms of any Loan Document, as the Administrative Agent may reasonably request in writing; and</w:t>
      </w:r>
    </w:p>
    <w:p>
      <w:pPr>
        <w:spacing w:after="0" w:line="132" w:lineRule="exact"/>
        <w:rPr>
          <w:rFonts w:ascii="Arial" w:cs="Arial" w:eastAsia="Arial" w:hAnsi="Arial"/>
          <w:sz w:val="19"/>
          <w:szCs w:val="19"/>
          <w:color w:val="auto"/>
        </w:rPr>
      </w:pPr>
    </w:p>
    <w:p>
      <w:pPr>
        <w:jc w:val="both"/>
        <w:ind w:left="100" w:right="99" w:firstLine="1301"/>
        <w:spacing w:after="0" w:line="229" w:lineRule="auto"/>
        <w:tabs>
          <w:tab w:leader="none" w:pos="2085" w:val="left"/>
        </w:tabs>
        <w:numPr>
          <w:ilvl w:val="0"/>
          <w:numId w:val="208"/>
        </w:numPr>
        <w:rPr>
          <w:rFonts w:ascii="Arial" w:cs="Arial" w:eastAsia="Arial" w:hAnsi="Arial"/>
          <w:sz w:val="21"/>
          <w:szCs w:val="21"/>
          <w:color w:val="auto"/>
        </w:rPr>
      </w:pPr>
      <w:r>
        <w:rPr>
          <w:rFonts w:ascii="Arial" w:cs="Arial" w:eastAsia="Arial" w:hAnsi="Arial"/>
          <w:sz w:val="21"/>
          <w:szCs w:val="21"/>
          <w:color w:val="auto"/>
        </w:rPr>
        <w:t>promptly after any request therefor, such information and documentation reasonably requested by the Administrative Agent or any Lender for purposes of compliance with applicable “know your customer” requirements under the USA PATRIOT Act, the Beneficial Ownership Regulation or other applicable anti-money laundering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316230</wp:posOffset>
            </wp:positionV>
            <wp:extent cx="5642610" cy="514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8" w:name="page269"/>
    <w:bookmarkEnd w:id="268"/>
    <w:p>
      <w:pPr>
        <w:jc w:val="right"/>
        <w:ind w:right="99"/>
        <w:spacing w:after="0"/>
        <w:rPr>
          <w:sz w:val="20"/>
          <w:szCs w:val="20"/>
          <w:color w:val="auto"/>
        </w:rPr>
      </w:pPr>
      <w:r>
        <w:rPr>
          <w:rFonts w:ascii="Arial" w:cs="Arial" w:eastAsia="Arial" w:hAnsi="Arial"/>
          <w:sz w:val="22"/>
          <w:szCs w:val="22"/>
          <w:color w:val="auto"/>
        </w:rPr>
        <w:t>82</w:t>
      </w:r>
    </w:p>
    <w:p>
      <w:pPr>
        <w:spacing w:after="0" w:line="396" w:lineRule="exact"/>
        <w:rPr>
          <w:sz w:val="20"/>
          <w:szCs w:val="20"/>
          <w:color w:val="auto"/>
        </w:rPr>
      </w:pPr>
    </w:p>
    <w:p>
      <w:pPr>
        <w:jc w:val="both"/>
        <w:ind w:left="100" w:right="99"/>
        <w:spacing w:after="0" w:line="221" w:lineRule="auto"/>
        <w:rPr>
          <w:sz w:val="20"/>
          <w:szCs w:val="20"/>
          <w:color w:val="auto"/>
        </w:rPr>
      </w:pPr>
      <w:r>
        <w:rPr>
          <w:rFonts w:ascii="Arial" w:cs="Arial" w:eastAsia="Arial" w:hAnsi="Arial"/>
          <w:sz w:val="21"/>
          <w:szCs w:val="21"/>
          <w:color w:val="auto"/>
        </w:rPr>
        <w:t xml:space="preserve">The documents required to be delivered pursuant to </w:t>
      </w:r>
      <w:r>
        <w:rPr>
          <w:rFonts w:ascii="Arial" w:cs="Arial" w:eastAsia="Arial" w:hAnsi="Arial"/>
          <w:sz w:val="21"/>
          <w:szCs w:val="21"/>
          <w:u w:val="single" w:color="auto"/>
          <w:color w:val="auto"/>
        </w:rPr>
        <w:t>Section 5.01(a)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5.01(b)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5.01(d)</w:t>
      </w:r>
      <w:r>
        <w:rPr>
          <w:rFonts w:ascii="Arial" w:cs="Arial" w:eastAsia="Arial" w:hAnsi="Arial"/>
          <w:sz w:val="21"/>
          <w:szCs w:val="21"/>
          <w:color w:val="auto"/>
        </w:rPr>
        <w:t xml:space="preserve"> shall be deemed to have been delivered if such documents, or one or more annual or quarterly or periodic reports containing such information, (a) shall have been made publicly available on the website of the Company at http://www.aquaamerica.com (or such other website as the Company may designate by written notice to the other parties hereto) or the SEC at http://www.sec.gov or (b) shall have been posted by the Administrative Agent on a Platform to which the Lenders have been granted access. Information required to be delivered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to the Administrative Agent may also be delivered by electronic communications pursuant to procedures approved by the Administrative Agent.</w:t>
      </w:r>
    </w:p>
    <w:p>
      <w:pPr>
        <w:spacing w:after="0" w:line="160"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Material Events</w:t>
      </w:r>
      <w:r>
        <w:rPr>
          <w:rFonts w:ascii="Arial" w:cs="Arial" w:eastAsia="Arial" w:hAnsi="Arial"/>
          <w:sz w:val="22"/>
          <w:szCs w:val="22"/>
          <w:color w:val="auto"/>
        </w:rPr>
        <w:t>. Promptly after any Responsible Officer of the Company obtains actual knowledge thereof, the Company will furnish to the Administrative Agent written notice of the following:</w:t>
      </w:r>
    </w:p>
    <w:p>
      <w:pPr>
        <w:spacing w:after="0" w:line="159" w:lineRule="exact"/>
        <w:rPr>
          <w:sz w:val="20"/>
          <w:szCs w:val="20"/>
          <w:color w:val="auto"/>
        </w:rPr>
      </w:pPr>
    </w:p>
    <w:p>
      <w:pPr>
        <w:ind w:left="1860" w:hanging="459"/>
        <w:spacing w:after="0"/>
        <w:tabs>
          <w:tab w:leader="none" w:pos="186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occurrence of any continuing Default;</w:t>
      </w:r>
    </w:p>
    <w:p>
      <w:pPr>
        <w:spacing w:after="0" w:line="179" w:lineRule="exact"/>
        <w:rPr>
          <w:rFonts w:ascii="Arial" w:cs="Arial" w:eastAsia="Arial" w:hAnsi="Arial"/>
          <w:sz w:val="22"/>
          <w:szCs w:val="22"/>
          <w:color w:val="auto"/>
        </w:rPr>
      </w:pPr>
    </w:p>
    <w:p>
      <w:pPr>
        <w:jc w:val="both"/>
        <w:ind w:left="100" w:right="99" w:firstLine="1301"/>
        <w:spacing w:after="0" w:line="224" w:lineRule="auto"/>
        <w:tabs>
          <w:tab w:leader="none" w:pos="1919" w:val="left"/>
        </w:tabs>
        <w:numPr>
          <w:ilvl w:val="0"/>
          <w:numId w:val="209"/>
        </w:numPr>
        <w:rPr>
          <w:rFonts w:ascii="Arial" w:cs="Arial" w:eastAsia="Arial" w:hAnsi="Arial"/>
          <w:sz w:val="21"/>
          <w:szCs w:val="21"/>
          <w:color w:val="auto"/>
        </w:rPr>
      </w:pPr>
      <w:r>
        <w:rPr>
          <w:rFonts w:ascii="Arial" w:cs="Arial" w:eastAsia="Arial" w:hAnsi="Arial"/>
          <w:sz w:val="21"/>
          <w:szCs w:val="21"/>
          <w:color w:val="auto"/>
        </w:rPr>
        <w:t>the filing or commencement of any action, suit or proceeding by or before any arbitrator or Governmental Authority against or affecting the Company or any Subsidiary, or any adverse development in any such pending action, suit or proceeding not previously disclosed in writing by the Company to the Administrative Agent and the Lenders or in any annual, quarterly or periodic reports publicly filed by the Company with the SEC, that, in each case, would reasonably be expected to result in a Material Adverse Effect;</w:t>
      </w:r>
    </w:p>
    <w:p>
      <w:pPr>
        <w:spacing w:after="0" w:line="160" w:lineRule="exact"/>
        <w:rPr>
          <w:rFonts w:ascii="Arial" w:cs="Arial" w:eastAsia="Arial" w:hAnsi="Arial"/>
          <w:sz w:val="21"/>
          <w:szCs w:val="21"/>
          <w:color w:val="auto"/>
        </w:rPr>
      </w:pPr>
    </w:p>
    <w:p>
      <w:pPr>
        <w:ind w:left="100" w:right="99" w:firstLine="1301"/>
        <w:spacing w:after="0" w:line="298" w:lineRule="auto"/>
        <w:tabs>
          <w:tab w:leader="none" w:pos="1852"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occurrence of any ERISA Event that, alone or together with any other ERISA Events that have occurred would reasonably be expected to result in a Material Adverse Effect; or</w:t>
      </w:r>
    </w:p>
    <w:p>
      <w:pPr>
        <w:spacing w:after="0" w:line="105" w:lineRule="exact"/>
        <w:rPr>
          <w:rFonts w:ascii="Arial" w:cs="Arial" w:eastAsia="Arial" w:hAnsi="Arial"/>
          <w:sz w:val="19"/>
          <w:szCs w:val="19"/>
          <w:color w:val="auto"/>
        </w:rPr>
      </w:pPr>
    </w:p>
    <w:p>
      <w:pPr>
        <w:ind w:left="100" w:right="99" w:firstLine="1301"/>
        <w:spacing w:after="0" w:line="232" w:lineRule="auto"/>
        <w:tabs>
          <w:tab w:leader="none" w:pos="1973" w:val="left"/>
        </w:tabs>
        <w:numPr>
          <w:ilvl w:val="0"/>
          <w:numId w:val="209"/>
        </w:numPr>
        <w:rPr>
          <w:rFonts w:ascii="Arial" w:cs="Arial" w:eastAsia="Arial" w:hAnsi="Arial"/>
          <w:sz w:val="22"/>
          <w:szCs w:val="22"/>
          <w:color w:val="auto"/>
        </w:rPr>
      </w:pPr>
      <w:r>
        <w:rPr>
          <w:rFonts w:ascii="Arial" w:cs="Arial" w:eastAsia="Arial" w:hAnsi="Arial"/>
          <w:sz w:val="22"/>
          <w:szCs w:val="22"/>
          <w:color w:val="auto"/>
        </w:rPr>
        <w:t>any other development that has resulted, or would reasonably be expected to result, in a Material Adverse Effect.</w:t>
      </w:r>
    </w:p>
    <w:p>
      <w:pPr>
        <w:spacing w:after="0" w:line="159" w:lineRule="exact"/>
        <w:rPr>
          <w:sz w:val="20"/>
          <w:szCs w:val="20"/>
          <w:color w:val="auto"/>
        </w:rPr>
      </w:pPr>
    </w:p>
    <w:p>
      <w:pPr>
        <w:jc w:val="both"/>
        <w:ind w:left="100" w:right="99" w:firstLine="1296"/>
        <w:spacing w:after="0" w:line="218" w:lineRule="auto"/>
        <w:rPr>
          <w:sz w:val="20"/>
          <w:szCs w:val="20"/>
          <w:color w:val="auto"/>
        </w:rPr>
      </w:pPr>
      <w:r>
        <w:rPr>
          <w:rFonts w:ascii="Arial" w:cs="Arial" w:eastAsia="Arial" w:hAnsi="Arial"/>
          <w:sz w:val="22"/>
          <w:szCs w:val="22"/>
          <w:color w:val="auto"/>
        </w:rPr>
        <w:t xml:space="preserve">Each notice delivered under this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shall be accompanied by a statement of a Responsible Officer of the Company setting forth the details of the event or development requiring such notice and, in the case of clause (a) above, any action taken or proposed to be taken with respect thereto.</w:t>
      </w:r>
    </w:p>
    <w:p>
      <w:pPr>
        <w:spacing w:after="0" w:line="161" w:lineRule="exact"/>
        <w:rPr>
          <w:sz w:val="20"/>
          <w:szCs w:val="20"/>
          <w:color w:val="auto"/>
        </w:rPr>
      </w:pPr>
    </w:p>
    <w:p>
      <w:pPr>
        <w:jc w:val="both"/>
        <w:ind w:left="100" w:right="99" w:firstLine="1296"/>
        <w:spacing w:after="0" w:line="222"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Existence; Conduct of Business</w:t>
      </w:r>
      <w:r>
        <w:rPr>
          <w:rFonts w:ascii="Arial" w:cs="Arial" w:eastAsia="Arial" w:hAnsi="Arial"/>
          <w:sz w:val="21"/>
          <w:szCs w:val="21"/>
          <w:color w:val="auto"/>
        </w:rPr>
        <w:t xml:space="preserve">. The Company will, and will cause each Restricted Subsidiary to, do or cause to be done all things necessary to preserve, renew and keep in full force and effect (a) its legal existence and (b) the rights, licenses, permits, privileges and franchises material to the conduct of the business of the Company and the Restricted Subsidiaries, taken as a whole, except, other than in the case of </w:t>
      </w:r>
      <w:r>
        <w:rPr>
          <w:rFonts w:ascii="Arial" w:cs="Arial" w:eastAsia="Arial" w:hAnsi="Arial"/>
          <w:sz w:val="21"/>
          <w:szCs w:val="21"/>
          <w:u w:val="single" w:color="auto"/>
          <w:color w:val="auto"/>
        </w:rPr>
        <w:t>Section 5.03(a)</w:t>
      </w:r>
      <w:r>
        <w:rPr>
          <w:rFonts w:ascii="Arial" w:cs="Arial" w:eastAsia="Arial" w:hAnsi="Arial"/>
          <w:sz w:val="21"/>
          <w:szCs w:val="21"/>
          <w:color w:val="auto"/>
        </w:rPr>
        <w:t xml:space="preserve"> with respect to the Company, where the failure to do so, individually or in the aggregate, would not reasonably be expected to result in a Material Adverse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prohibit any transaction expressly permitted under </w:t>
      </w:r>
      <w:r>
        <w:rPr>
          <w:rFonts w:ascii="Arial" w:cs="Arial" w:eastAsia="Arial" w:hAnsi="Arial"/>
          <w:sz w:val="21"/>
          <w:szCs w:val="21"/>
          <w:u w:val="single" w:color="auto"/>
          <w:color w:val="auto"/>
        </w:rPr>
        <w:t>Section 6.02(a)</w:t>
      </w:r>
      <w:r>
        <w:rPr>
          <w:rFonts w:ascii="Arial" w:cs="Arial" w:eastAsia="Arial" w:hAnsi="Arial"/>
          <w:sz w:val="21"/>
          <w:szCs w:val="21"/>
          <w:color w:val="auto"/>
        </w:rPr>
        <w:t>.</w:t>
      </w:r>
    </w:p>
    <w:p>
      <w:pPr>
        <w:spacing w:after="0" w:line="158"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Taxes</w:t>
      </w:r>
      <w:r>
        <w:rPr>
          <w:rFonts w:ascii="Arial" w:cs="Arial" w:eastAsia="Arial" w:hAnsi="Arial"/>
          <w:sz w:val="19"/>
          <w:szCs w:val="19"/>
          <w:color w:val="auto"/>
        </w:rPr>
        <w:t>. The Company will, and will cause each Subsidiary to, pay its Taxes before the same shall become delinquent or in default, except where (a)</w:t>
      </w:r>
    </w:p>
    <w:p>
      <w:pPr>
        <w:ind w:left="100" w:right="99" w:firstLine="5"/>
        <w:spacing w:after="0" w:line="279" w:lineRule="auto"/>
        <w:tabs>
          <w:tab w:leader="none" w:pos="36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validity or amount thereof is being contested in good faith by appropriate proceedings, (ii) the Company or such Subsidiary has set aside on its books reserves with respect thereto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292735</wp:posOffset>
            </wp:positionV>
            <wp:extent cx="5642610" cy="514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9" w:name="page270"/>
    <w:bookmarkEnd w:id="269"/>
    <w:p>
      <w:pPr>
        <w:ind w:left="8700"/>
        <w:spacing w:after="0"/>
        <w:rPr>
          <w:sz w:val="20"/>
          <w:szCs w:val="20"/>
          <w:color w:val="auto"/>
        </w:rPr>
      </w:pPr>
      <w:r>
        <w:rPr>
          <w:rFonts w:ascii="Arial" w:cs="Arial" w:eastAsia="Arial" w:hAnsi="Arial"/>
          <w:sz w:val="19"/>
          <w:szCs w:val="19"/>
          <w:color w:val="auto"/>
        </w:rPr>
        <w:t>83</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line="218" w:lineRule="auto"/>
        <w:rPr>
          <w:sz w:val="20"/>
          <w:szCs w:val="20"/>
          <w:color w:val="auto"/>
        </w:rPr>
      </w:pPr>
      <w:r>
        <w:rPr>
          <w:rFonts w:ascii="Arial" w:cs="Arial" w:eastAsia="Arial" w:hAnsi="Arial"/>
          <w:sz w:val="22"/>
          <w:szCs w:val="22"/>
          <w:color w:val="auto"/>
        </w:rPr>
        <w:t>extent required by GAAP and (iii) such contest effectively suspends collection of the contested obligation and the enforcement of any Lien securing such obligation or (b) the failure to make payment would not, individually or in the aggregate, reasonably be expected to result in a Material Adverse Effect.</w:t>
      </w:r>
    </w:p>
    <w:p>
      <w:pPr>
        <w:spacing w:after="0" w:line="161" w:lineRule="exact"/>
        <w:rPr>
          <w:sz w:val="20"/>
          <w:szCs w:val="20"/>
          <w:color w:val="auto"/>
        </w:rPr>
      </w:pPr>
    </w:p>
    <w:p>
      <w:pPr>
        <w:jc w:val="both"/>
        <w:ind w:left="100" w:right="99" w:firstLine="1296"/>
        <w:spacing w:after="0" w:line="249"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Maintenance of Properties and Rights</w:t>
      </w:r>
      <w:r>
        <w:rPr>
          <w:rFonts w:ascii="Arial" w:cs="Arial" w:eastAsia="Arial" w:hAnsi="Arial"/>
          <w:sz w:val="19"/>
          <w:szCs w:val="19"/>
          <w:color w:val="auto"/>
        </w:rPr>
        <w:t xml:space="preserve">. The Company will, and will cause each Subsidiary to, keep and maintain all property material to the conduct of its business in good working order and condition, ordinary wear and tear and casualty and condemnation excepted, except in each case where the failure to take any such actions, individually or in the aggregate, would not reasonably be expected to result in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any transaction expressly permitted under </w:t>
      </w:r>
      <w:r>
        <w:rPr>
          <w:rFonts w:ascii="Arial" w:cs="Arial" w:eastAsia="Arial" w:hAnsi="Arial"/>
          <w:sz w:val="19"/>
          <w:szCs w:val="19"/>
          <w:u w:val="single" w:color="auto"/>
          <w:color w:val="auto"/>
        </w:rPr>
        <w:t>Section 6.02(a)</w:t>
      </w:r>
      <w:r>
        <w:rPr>
          <w:rFonts w:ascii="Arial" w:cs="Arial" w:eastAsia="Arial" w:hAnsi="Arial"/>
          <w:sz w:val="19"/>
          <w:szCs w:val="19"/>
          <w:color w:val="auto"/>
        </w:rPr>
        <w:t>.</w:t>
      </w:r>
    </w:p>
    <w:p>
      <w:pPr>
        <w:spacing w:after="0" w:line="153"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1"/>
          <w:szCs w:val="21"/>
          <w:color w:val="auto"/>
        </w:rPr>
        <w:t xml:space="preserve">SECTION 5.06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The Company will, and will cause each Subsidiary to, maintain, with insurance companies that the Company believes (in the good faith judgment of the management of the Company) are financially sound and reputable (including captive insurance subsidiaries), insurance in such amounts (after giving effect to any self-insurance consistent with the standards set forth in this </w:t>
      </w:r>
      <w:r>
        <w:rPr>
          <w:rFonts w:ascii="Arial" w:cs="Arial" w:eastAsia="Arial" w:hAnsi="Arial"/>
          <w:sz w:val="21"/>
          <w:szCs w:val="21"/>
          <w:u w:val="single" w:color="auto"/>
          <w:color w:val="auto"/>
        </w:rPr>
        <w:t>Section 5.06</w:t>
      </w:r>
      <w:r>
        <w:rPr>
          <w:rFonts w:ascii="Arial" w:cs="Arial" w:eastAsia="Arial" w:hAnsi="Arial"/>
          <w:sz w:val="21"/>
          <w:szCs w:val="21"/>
          <w:color w:val="auto"/>
        </w:rPr>
        <w:t>) (with no greater risk retention) and against such risks as is customarily maintained by companies engaged in similar businesses operating in the same or similar locations in all material respects.</w:t>
      </w:r>
    </w:p>
    <w:p>
      <w:pPr>
        <w:spacing w:after="0" w:line="158" w:lineRule="exact"/>
        <w:rPr>
          <w:sz w:val="20"/>
          <w:szCs w:val="20"/>
          <w:color w:val="auto"/>
        </w:rPr>
      </w:pPr>
    </w:p>
    <w:p>
      <w:pPr>
        <w:jc w:val="both"/>
        <w:ind w:left="100" w:right="99" w:firstLine="1296"/>
        <w:spacing w:after="0"/>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Books and Records; Inspection and Audit Rights</w:t>
      </w:r>
      <w:r>
        <w:rPr>
          <w:rFonts w:ascii="Arial" w:cs="Arial" w:eastAsia="Arial" w:hAnsi="Arial"/>
          <w:sz w:val="19"/>
          <w:szCs w:val="19"/>
          <w:color w:val="auto"/>
        </w:rPr>
        <w:t>. The Company will, and will cause each Subsidiary to, keep proper books of record and account in which full, true and correct entries in accordance, in all material respects, with GAAP and applicable law are made of all material dealings and transactions in relation to its business and activities. The Company will, and will cause each Subsidiary to, permit the Administrative Agent, and any agent designated by the Administrative Agent, upon reasonable prior notice, (a) to visit and reasonably inspect its properties,</w:t>
      </w:r>
    </w:p>
    <w:p>
      <w:pPr>
        <w:spacing w:after="0" w:line="4" w:lineRule="exact"/>
        <w:rPr>
          <w:sz w:val="20"/>
          <w:szCs w:val="20"/>
          <w:color w:val="auto"/>
        </w:rPr>
      </w:pPr>
    </w:p>
    <w:p>
      <w:pPr>
        <w:jc w:val="both"/>
        <w:ind w:left="100" w:right="99" w:firstLine="5"/>
        <w:spacing w:after="0" w:line="237" w:lineRule="auto"/>
        <w:tabs>
          <w:tab w:leader="none" w:pos="458"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to examine its books and records and (c) to discuss its operations, business affairs, assets, liabilities (including contingent liabilities) and financial condition with its officers and independent accountants (it being agreed that a representative of the Company may be present at any such meeting with the independent accountants), all at such reasonable times during normal business hours and as often as reasonably requested;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may not exercise such rights more often than once during any calendar year (it being understood that any expenses incurred by the Administrative Agent in connection therewith shall be subject to reimbursement by the Company in accordance with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when an Event of Default exists, the Administrative Agent (or any of its agents) may do any of the foregoing (at the expense of the</w:t>
      </w:r>
    </w:p>
    <w:p>
      <w:pPr>
        <w:spacing w:after="0" w:line="3" w:lineRule="exact"/>
        <w:rPr>
          <w:sz w:val="20"/>
          <w:szCs w:val="20"/>
          <w:color w:val="auto"/>
        </w:rPr>
      </w:pPr>
    </w:p>
    <w:p>
      <w:pPr>
        <w:jc w:val="both"/>
        <w:ind w:left="100" w:right="99"/>
        <w:spacing w:after="0" w:line="242" w:lineRule="auto"/>
        <w:rPr>
          <w:sz w:val="20"/>
          <w:szCs w:val="20"/>
          <w:color w:val="auto"/>
        </w:rPr>
      </w:pPr>
      <w:r>
        <w:rPr>
          <w:rFonts w:ascii="Arial" w:cs="Arial" w:eastAsia="Arial" w:hAnsi="Arial"/>
          <w:sz w:val="19"/>
          <w:szCs w:val="19"/>
          <w:color w:val="auto"/>
        </w:rPr>
        <w:t>Company) at any time during normal business hours and upon reasonable advance notice. Notwithstanding anything to the contrary in this Section, neither the Company nor any Subsidiary shall be required to disclose, permit the inspection, examination of, or discussion of, any document, information or other matter that (i) constitutes non-financial trade secrets or non-financial proprietary information, (ii) in respect of which disclosure to the Administrative Agent (or its agents) is prohibited by applicable law or any binding confidentiality agreement between the Company or any Subsidiary and a Person that is not the Company or any Subsidiary not entered into in contemplation of preventing such disclosure, inspection, examination or discussion or (iii) is subject to attorney-client or similar privilege or constitutes attorney work-product.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316865</wp:posOffset>
            </wp:positionV>
            <wp:extent cx="5642610" cy="514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0" w:name="page271"/>
    <w:bookmarkEnd w:id="270"/>
    <w:p>
      <w:pPr>
        <w:jc w:val="right"/>
        <w:ind w:right="99"/>
        <w:spacing w:after="0"/>
        <w:rPr>
          <w:sz w:val="20"/>
          <w:szCs w:val="20"/>
          <w:color w:val="auto"/>
        </w:rPr>
      </w:pPr>
      <w:r>
        <w:rPr>
          <w:rFonts w:ascii="Arial" w:cs="Arial" w:eastAsia="Arial" w:hAnsi="Arial"/>
          <w:sz w:val="22"/>
          <w:szCs w:val="22"/>
          <w:color w:val="auto"/>
        </w:rPr>
        <w:t>84</w:t>
      </w:r>
    </w:p>
    <w:p>
      <w:pPr>
        <w:spacing w:after="0" w:line="396"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Company will, and will cause each Subsidiary to, comply with all laws, including all Environmental Laws, and all orders of any Governmental Authority, applicable to it, its operations or its property, except where the failure to do so, individually or in the aggregate, would not reasonably be expected to result in a Material Adverse Effect. The Company will maintain in effect and enforce policies and procedures reasonably designed to ensure compliance by the Company and the Subsidiaries and their respective directors, officers, employees and agents with Anti-Corruption Laws and applicable Sanctions.</w:t>
      </w:r>
    </w:p>
    <w:p>
      <w:pPr>
        <w:spacing w:after="0" w:line="155"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5.09</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line="229" w:lineRule="auto"/>
        <w:tabs>
          <w:tab w:leader="none" w:pos="2041" w:val="left"/>
        </w:tabs>
        <w:numPr>
          <w:ilvl w:val="0"/>
          <w:numId w:val="212"/>
        </w:numPr>
        <w:rPr>
          <w:rFonts w:ascii="Arial" w:cs="Arial" w:eastAsia="Arial" w:hAnsi="Arial"/>
          <w:sz w:val="21"/>
          <w:szCs w:val="21"/>
          <w:color w:val="auto"/>
        </w:rPr>
      </w:pPr>
      <w:r>
        <w:rPr>
          <w:rFonts w:ascii="Arial" w:cs="Arial" w:eastAsia="Arial" w:hAnsi="Arial"/>
          <w:sz w:val="21"/>
          <w:szCs w:val="21"/>
          <w:color w:val="auto"/>
        </w:rPr>
        <w:t>The proceeds of the Tranche 1 Loans will be used (i) to consummate the Company Existing Credit Agreement Refinancing, (ii) to pay fees and expenses in connection with the Company Existing Credit Agreement Refinancing and the other Transactions and (iii) for general corporate purposes of the Company and the Subsidiaries.</w:t>
      </w:r>
    </w:p>
    <w:p>
      <w:pPr>
        <w:spacing w:after="0" w:line="158" w:lineRule="exact"/>
        <w:rPr>
          <w:rFonts w:ascii="Arial" w:cs="Arial" w:eastAsia="Arial" w:hAnsi="Arial"/>
          <w:sz w:val="21"/>
          <w:szCs w:val="21"/>
          <w:color w:val="auto"/>
        </w:rPr>
      </w:pPr>
    </w:p>
    <w:p>
      <w:pPr>
        <w:jc w:val="both"/>
        <w:ind w:left="100" w:right="99" w:firstLine="1301"/>
        <w:spacing w:after="0" w:line="218" w:lineRule="auto"/>
        <w:tabs>
          <w:tab w:leader="none" w:pos="1932"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proceeds of the Tranche 2 Loans will be used (i) on the PNG Acquisition Closing Date to consummate the PNG Existing Revolving Facility Refinancing, (ii) to pay fees and expenses in connection with the PNG Existing Revolving Facility Refinancing and (iii) for general corporate purposes of the Company and the Subsidiaries.</w:t>
      </w:r>
    </w:p>
    <w:p>
      <w:pPr>
        <w:spacing w:after="0" w:line="161" w:lineRule="exact"/>
        <w:rPr>
          <w:rFonts w:ascii="Arial" w:cs="Arial" w:eastAsia="Arial" w:hAnsi="Arial"/>
          <w:sz w:val="22"/>
          <w:szCs w:val="22"/>
          <w:color w:val="auto"/>
        </w:rPr>
      </w:pPr>
    </w:p>
    <w:p>
      <w:pPr>
        <w:ind w:left="1920" w:hanging="519"/>
        <w:spacing w:after="0"/>
        <w:tabs>
          <w:tab w:leader="none" w:pos="192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Letters of Credit will be issued for general corporate purposes of the Company</w:t>
      </w:r>
    </w:p>
    <w:p>
      <w:pPr>
        <w:spacing w:after="0" w:line="15"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and the Subsidiaries.</w:t>
      </w:r>
    </w:p>
    <w:p>
      <w:pPr>
        <w:spacing w:after="0" w:line="161" w:lineRule="exact"/>
        <w:rPr>
          <w:rFonts w:ascii="Arial" w:cs="Arial" w:eastAsia="Arial" w:hAnsi="Arial"/>
          <w:sz w:val="19"/>
          <w:szCs w:val="19"/>
          <w:color w:val="auto"/>
        </w:rPr>
      </w:pPr>
    </w:p>
    <w:p>
      <w:pPr>
        <w:jc w:val="both"/>
        <w:ind w:left="100" w:right="99" w:firstLine="1301"/>
        <w:spacing w:after="0" w:line="246" w:lineRule="auto"/>
        <w:tabs>
          <w:tab w:leader="none" w:pos="2027"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Company will not request any Borrowing or Letter of Credit, and the Company will not use, and will procure that the Subsidiaries and its and their respective directors, officers, employees and agents will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 or any Anti-Corruption Laws.</w:t>
      </w:r>
    </w:p>
    <w:p>
      <w:pPr>
        <w:spacing w:after="0" w:line="153" w:lineRule="exact"/>
        <w:rPr>
          <w:sz w:val="20"/>
          <w:szCs w:val="20"/>
          <w:color w:val="auto"/>
        </w:rPr>
      </w:pPr>
    </w:p>
    <w:p>
      <w:pPr>
        <w:jc w:val="both"/>
        <w:ind w:left="100" w:right="99" w:firstLine="1296"/>
        <w:spacing w:after="0" w:line="219" w:lineRule="auto"/>
        <w:rPr>
          <w:sz w:val="20"/>
          <w:szCs w:val="20"/>
          <w:color w:val="auto"/>
        </w:rPr>
      </w:pPr>
      <w:r>
        <w:rPr>
          <w:rFonts w:ascii="Arial" w:cs="Arial" w:eastAsia="Arial" w:hAnsi="Arial"/>
          <w:sz w:val="21"/>
          <w:szCs w:val="21"/>
          <w:color w:val="auto"/>
        </w:rPr>
        <w:t xml:space="preserve">SECTION 5.10 </w:t>
      </w:r>
      <w:r>
        <w:rPr>
          <w:rFonts w:ascii="Arial" w:cs="Arial" w:eastAsia="Arial" w:hAnsi="Arial"/>
          <w:sz w:val="21"/>
          <w:szCs w:val="21"/>
          <w:u w:val="single" w:color="auto"/>
          <w:color w:val="auto"/>
        </w:rPr>
        <w:t>Designation of Subsidiaries</w:t>
      </w:r>
      <w:r>
        <w:rPr>
          <w:rFonts w:ascii="Arial" w:cs="Arial" w:eastAsia="Arial" w:hAnsi="Arial"/>
          <w:sz w:val="21"/>
          <w:szCs w:val="21"/>
          <w:color w:val="auto"/>
        </w:rPr>
        <w:t xml:space="preserve">. The Company may from time to time cause any Restricted Subsidiary that is not a Significant Subsidiary to be designated as an Unrestricted Subsidiary or any Unrestricted Subsidiary to be designated as a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at the time of such designation and immediately after giving effect thereto, no Default or Event of Default would exist under the terms of this Agreement and (b) once a Subsidiary has been designated an Unrestricted Subsidiary, it shall not thereafter be redesignated as a Restricted Subsidiary on more than one occasion. Within 10 days (or such shorter period of time as the Administrative Agent may reasonably agree to in writing) following any designation described above, the Company will deliver to the Administrative Agent a notice of such designation accompanied by a certificate signed by a Responsible Officer certifying compliance with all requirements of this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and setting forth all information required in order to establish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320040</wp:posOffset>
            </wp:positionV>
            <wp:extent cx="5642610" cy="514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1" w:name="page272"/>
    <w:bookmarkEnd w:id="271"/>
    <w:p>
      <w:pPr>
        <w:ind w:left="8700"/>
        <w:spacing w:after="0"/>
        <w:rPr>
          <w:sz w:val="20"/>
          <w:szCs w:val="20"/>
          <w:color w:val="auto"/>
        </w:rPr>
      </w:pPr>
      <w:r>
        <w:rPr>
          <w:rFonts w:ascii="Arial" w:cs="Arial" w:eastAsia="Arial" w:hAnsi="Arial"/>
          <w:sz w:val="19"/>
          <w:szCs w:val="19"/>
          <w:color w:val="auto"/>
        </w:rPr>
        <w:t>85</w:t>
      </w:r>
    </w:p>
    <w:p>
      <w:pPr>
        <w:spacing w:after="0" w:line="200" w:lineRule="exact"/>
        <w:rPr>
          <w:sz w:val="20"/>
          <w:szCs w:val="20"/>
          <w:color w:val="auto"/>
        </w:rPr>
      </w:pPr>
    </w:p>
    <w:p>
      <w:pPr>
        <w:spacing w:after="0" w:line="231" w:lineRule="exact"/>
        <w:rPr>
          <w:sz w:val="20"/>
          <w:szCs w:val="20"/>
          <w:color w:val="auto"/>
        </w:rPr>
      </w:pPr>
    </w:p>
    <w:p>
      <w:pPr>
        <w:ind w:left="3920"/>
        <w:spacing w:after="0"/>
        <w:rPr>
          <w:sz w:val="20"/>
          <w:szCs w:val="20"/>
          <w:color w:val="auto"/>
        </w:rPr>
      </w:pPr>
      <w:r>
        <w:rPr>
          <w:rFonts w:ascii="Arial" w:cs="Arial" w:eastAsia="Arial" w:hAnsi="Arial"/>
          <w:sz w:val="22"/>
          <w:szCs w:val="22"/>
          <w:u w:val="single" w:color="auto"/>
          <w:color w:val="auto"/>
        </w:rPr>
        <w:t>ARTICLE VI</w:t>
      </w:r>
    </w:p>
    <w:p>
      <w:pPr>
        <w:spacing w:after="0" w:line="179" w:lineRule="exact"/>
        <w:rPr>
          <w:sz w:val="20"/>
          <w:szCs w:val="20"/>
          <w:color w:val="auto"/>
        </w:rPr>
      </w:pPr>
    </w:p>
    <w:p>
      <w:pPr>
        <w:ind w:left="3640"/>
        <w:spacing w:after="0"/>
        <w:rPr>
          <w:sz w:val="20"/>
          <w:szCs w:val="20"/>
          <w:color w:val="auto"/>
        </w:rPr>
      </w:pPr>
      <w:r>
        <w:rPr>
          <w:rFonts w:ascii="Arial" w:cs="Arial" w:eastAsia="Arial" w:hAnsi="Arial"/>
          <w:sz w:val="22"/>
          <w:szCs w:val="22"/>
          <w:u w:val="single" w:color="auto"/>
          <w:color w:val="auto"/>
        </w:rPr>
        <w:t>Negative Covenants</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Until Payment in Full, the Company covenants and agrees with the Lenders that:</w:t>
      </w:r>
    </w:p>
    <w:p>
      <w:pPr>
        <w:spacing w:after="0" w:line="191" w:lineRule="exact"/>
        <w:rPr>
          <w:sz w:val="20"/>
          <w:szCs w:val="20"/>
          <w:color w:val="auto"/>
        </w:rPr>
      </w:pPr>
    </w:p>
    <w:p>
      <w:pPr>
        <w:ind w:left="100" w:right="99" w:firstLine="1296"/>
        <w:spacing w:after="0" w:line="232"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Liens</w:t>
      </w:r>
      <w:r>
        <w:rPr>
          <w:rFonts w:ascii="Arial" w:cs="Arial" w:eastAsia="Arial" w:hAnsi="Arial"/>
          <w:sz w:val="22"/>
          <w:szCs w:val="22"/>
          <w:color w:val="auto"/>
        </w:rPr>
        <w:t>. The Company will not create, incur, assume or permit to exist any Lien on any asset now owned or hereafter acquired by it, except:</w:t>
      </w:r>
    </w:p>
    <w:p>
      <w:pPr>
        <w:spacing w:after="0" w:line="159" w:lineRule="exact"/>
        <w:rPr>
          <w:sz w:val="20"/>
          <w:szCs w:val="20"/>
          <w:color w:val="auto"/>
        </w:rPr>
      </w:pPr>
    </w:p>
    <w:p>
      <w:pPr>
        <w:ind w:left="1860" w:hanging="459"/>
        <w:spacing w:after="0"/>
        <w:tabs>
          <w:tab w:leader="none" w:pos="186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Permitted Liens;</w:t>
      </w:r>
    </w:p>
    <w:p>
      <w:pPr>
        <w:spacing w:after="0" w:line="179" w:lineRule="exact"/>
        <w:rPr>
          <w:rFonts w:ascii="Arial" w:cs="Arial" w:eastAsia="Arial" w:hAnsi="Arial"/>
          <w:sz w:val="22"/>
          <w:szCs w:val="22"/>
          <w:color w:val="auto"/>
        </w:rPr>
      </w:pPr>
    </w:p>
    <w:p>
      <w:pPr>
        <w:jc w:val="both"/>
        <w:ind w:left="100" w:right="99" w:firstLine="1301"/>
        <w:spacing w:after="0" w:line="247" w:lineRule="auto"/>
        <w:tabs>
          <w:tab w:leader="none" w:pos="1959" w:val="left"/>
        </w:tabs>
        <w:numPr>
          <w:ilvl w:val="1"/>
          <w:numId w:val="213"/>
        </w:numPr>
        <w:rPr>
          <w:rFonts w:ascii="Arial" w:cs="Arial" w:eastAsia="Arial" w:hAnsi="Arial"/>
          <w:sz w:val="19"/>
          <w:szCs w:val="19"/>
          <w:color w:val="auto"/>
        </w:rPr>
      </w:pPr>
      <w:r>
        <w:rPr>
          <w:rFonts w:ascii="Arial" w:cs="Arial" w:eastAsia="Arial" w:hAnsi="Arial"/>
          <w:sz w:val="19"/>
          <w:szCs w:val="19"/>
          <w:color w:val="auto"/>
        </w:rPr>
        <w:t xml:space="preserve">any Lien on any asset of the Company existing on the Effective Date and set forth on </w:t>
      </w:r>
      <w:r>
        <w:rPr>
          <w:rFonts w:ascii="Arial" w:cs="Arial" w:eastAsia="Arial" w:hAnsi="Arial"/>
          <w:sz w:val="19"/>
          <w:szCs w:val="19"/>
          <w:u w:val="single" w:color="auto"/>
          <w:color w:val="auto"/>
        </w:rPr>
        <w:t>Schedule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shall not apply to any other asset of the Company (other than improvements or accessions thereto and the proceeds thereof) and (ii) such Lien shall secure only those obligations that it secures on the Effective Date and extensions, renewals, replacements and refinancings thereof that do not increase the outstanding principal amount thereof except by an amount equal to any premium or other amount paid, and fees and expenses incurred, in connection with such extension, renewal, replacement or refinancing;</w:t>
      </w:r>
    </w:p>
    <w:p>
      <w:pPr>
        <w:spacing w:after="0" w:line="154" w:lineRule="exact"/>
        <w:rPr>
          <w:rFonts w:ascii="Arial" w:cs="Arial" w:eastAsia="Arial" w:hAnsi="Arial"/>
          <w:sz w:val="19"/>
          <w:szCs w:val="19"/>
          <w:color w:val="auto"/>
        </w:rPr>
      </w:pPr>
    </w:p>
    <w:p>
      <w:pPr>
        <w:jc w:val="both"/>
        <w:ind w:left="100" w:right="99" w:firstLine="1301"/>
        <w:spacing w:after="0" w:line="241" w:lineRule="auto"/>
        <w:tabs>
          <w:tab w:leader="none" w:pos="1866" w:val="left"/>
        </w:tabs>
        <w:numPr>
          <w:ilvl w:val="1"/>
          <w:numId w:val="213"/>
        </w:numPr>
        <w:rPr>
          <w:rFonts w:ascii="Arial" w:cs="Arial" w:eastAsia="Arial" w:hAnsi="Arial"/>
          <w:sz w:val="19"/>
          <w:szCs w:val="19"/>
          <w:color w:val="auto"/>
        </w:rPr>
      </w:pPr>
      <w:r>
        <w:rPr>
          <w:rFonts w:ascii="Arial" w:cs="Arial" w:eastAsia="Arial" w:hAnsi="Arial"/>
          <w:sz w:val="19"/>
          <w:szCs w:val="19"/>
          <w:color w:val="auto"/>
        </w:rPr>
        <w:t xml:space="preserve">(i) Liens (including Liens securing Capital Lease Obligations) on fixed or capital assets acquired, constructed or improved by the Company securing Indebtedness or other obligations incurred to finance such acquisition, construction or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Liens and the Indebtedness secured thereby are incurred prior to or within 270 days after such acquisition or the completion of such construction or improvement, (B) the Indebtedness secured thereby does not exceed the cost of acquiring, constructing or improving such fixed or capital assets and (C) such Liens shall not apply to any other assets of the Company (other than improvements or accessions thereto and the proceeds thereof),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individual financings of equipment or other fixed or capital assets otherwise permitted to be secured hereunder provided by any Person (or its Affiliates) may be cross-collateralized to other such financings provided by such Person (or its Affiliates), and (ii) Liens securing extensions, renewals, replacements and refinancings thereof that do not increase the outstanding principal amount thereof except by an amount equal to any premium or other amount paid, and fees and expenses incurred, in connection with such extension, renewal, replacement or refinancing,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apply to any assets of the Company other than the assets securing the Indebtedness or other obligations being extended, renewed, replaced or refinanced (and improvements or accessions thereto and the proceeds thereof);</w:t>
      </w:r>
    </w:p>
    <w:p>
      <w:pPr>
        <w:spacing w:after="0" w:line="163" w:lineRule="exact"/>
        <w:rPr>
          <w:rFonts w:ascii="Arial" w:cs="Arial" w:eastAsia="Arial" w:hAnsi="Arial"/>
          <w:sz w:val="19"/>
          <w:szCs w:val="19"/>
          <w:color w:val="auto"/>
        </w:rPr>
      </w:pPr>
    </w:p>
    <w:p>
      <w:pPr>
        <w:jc w:val="both"/>
        <w:ind w:left="100" w:right="99" w:firstLine="1301"/>
        <w:spacing w:after="0" w:line="241" w:lineRule="auto"/>
        <w:tabs>
          <w:tab w:leader="none" w:pos="1878" w:val="left"/>
        </w:tabs>
        <w:numPr>
          <w:ilvl w:val="1"/>
          <w:numId w:val="213"/>
        </w:numPr>
        <w:rPr>
          <w:rFonts w:ascii="Arial" w:cs="Arial" w:eastAsia="Arial" w:hAnsi="Arial"/>
          <w:sz w:val="19"/>
          <w:szCs w:val="19"/>
          <w:color w:val="auto"/>
        </w:rPr>
      </w:pPr>
      <w:r>
        <w:rPr>
          <w:rFonts w:ascii="Arial" w:cs="Arial" w:eastAsia="Arial" w:hAnsi="Arial"/>
          <w:sz w:val="19"/>
          <w:szCs w:val="19"/>
          <w:color w:val="auto"/>
        </w:rPr>
        <w:t xml:space="preserve">any Lien on any asset acquired by the Company after the Effective Date existing at the time of the acquisition thereof (or existing on any asset of any Person that is merged or consolidated with or into the Company in a transaction permitted hereunder after the Effective Date and prior to the time such Person is so merged or consolidated),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merger or consolidation),</w:t>
      </w:r>
    </w:p>
    <w:p>
      <w:pPr>
        <w:spacing w:after="0" w:line="1" w:lineRule="exact"/>
        <w:rPr>
          <w:rFonts w:ascii="Arial" w:cs="Arial" w:eastAsia="Arial" w:hAnsi="Arial"/>
          <w:sz w:val="19"/>
          <w:szCs w:val="19"/>
          <w:color w:val="auto"/>
        </w:rPr>
      </w:pPr>
    </w:p>
    <w:p>
      <w:pPr>
        <w:jc w:val="both"/>
        <w:ind w:left="100" w:right="99" w:firstLine="5"/>
        <w:spacing w:after="0" w:line="247" w:lineRule="auto"/>
        <w:tabs>
          <w:tab w:leader="none" w:pos="463" w:val="left"/>
        </w:tabs>
        <w:numPr>
          <w:ilvl w:val="0"/>
          <w:numId w:val="214"/>
        </w:numPr>
        <w:rPr>
          <w:rFonts w:ascii="Arial" w:cs="Arial" w:eastAsia="Arial" w:hAnsi="Arial"/>
          <w:sz w:val="19"/>
          <w:szCs w:val="19"/>
          <w:color w:val="auto"/>
        </w:rPr>
      </w:pPr>
      <w:r>
        <w:rPr>
          <w:rFonts w:ascii="Arial" w:cs="Arial" w:eastAsia="Arial" w:hAnsi="Arial"/>
          <w:sz w:val="19"/>
          <w:szCs w:val="19"/>
          <w:color w:val="auto"/>
        </w:rPr>
        <w:t>such Lien shall not apply to any other assets of the Company (other than improvements or accessions thereto and the proceeds thereof) and (iii) such Lien shall secure only those obligations that it secures on the date of such acquisition (or the date such Person is so merged or consolidated) and extensions, renewals, replacements and refinancings thereof that do not increase the outstanding principal amount thereof except by an amount equal to any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313055</wp:posOffset>
            </wp:positionV>
            <wp:extent cx="5642610" cy="514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2" w:name="page273"/>
    <w:bookmarkEnd w:id="272"/>
    <w:p>
      <w:pPr>
        <w:ind w:left="8700"/>
        <w:spacing w:after="0"/>
        <w:rPr>
          <w:sz w:val="20"/>
          <w:szCs w:val="20"/>
          <w:color w:val="auto"/>
        </w:rPr>
      </w:pPr>
      <w:r>
        <w:rPr>
          <w:rFonts w:ascii="Arial" w:cs="Arial" w:eastAsia="Arial" w:hAnsi="Arial"/>
          <w:sz w:val="19"/>
          <w:szCs w:val="19"/>
          <w:color w:val="auto"/>
        </w:rPr>
        <w:t>86</w:t>
      </w:r>
    </w:p>
    <w:p>
      <w:pPr>
        <w:spacing w:after="0" w:line="200" w:lineRule="exact"/>
        <w:rPr>
          <w:sz w:val="20"/>
          <w:szCs w:val="20"/>
          <w:color w:val="auto"/>
        </w:rPr>
      </w:pPr>
    </w:p>
    <w:p>
      <w:pPr>
        <w:spacing w:after="0" w:line="231" w:lineRule="exact"/>
        <w:rPr>
          <w:sz w:val="20"/>
          <w:szCs w:val="20"/>
          <w:color w:val="auto"/>
        </w:rPr>
      </w:pPr>
    </w:p>
    <w:p>
      <w:pPr>
        <w:ind w:left="100" w:right="99"/>
        <w:spacing w:after="0" w:line="232" w:lineRule="auto"/>
        <w:rPr>
          <w:sz w:val="20"/>
          <w:szCs w:val="20"/>
          <w:color w:val="auto"/>
        </w:rPr>
      </w:pPr>
      <w:r>
        <w:rPr>
          <w:rFonts w:ascii="Arial" w:cs="Arial" w:eastAsia="Arial" w:hAnsi="Arial"/>
          <w:sz w:val="22"/>
          <w:szCs w:val="22"/>
          <w:color w:val="auto"/>
        </w:rPr>
        <w:t>or other amount paid, and fees and expenses incurred, in connection with such extension, renewal, replacement or refinancing;</w:t>
      </w:r>
    </w:p>
    <w:p>
      <w:pPr>
        <w:spacing w:after="0" w:line="159" w:lineRule="exact"/>
        <w:rPr>
          <w:sz w:val="20"/>
          <w:szCs w:val="20"/>
          <w:color w:val="auto"/>
        </w:rPr>
      </w:pPr>
    </w:p>
    <w:p>
      <w:pPr>
        <w:jc w:val="both"/>
        <w:ind w:left="100" w:right="99" w:firstLine="1301"/>
        <w:spacing w:after="0" w:line="223" w:lineRule="auto"/>
        <w:tabs>
          <w:tab w:leader="none" w:pos="1866" w:val="left"/>
        </w:tabs>
        <w:numPr>
          <w:ilvl w:val="0"/>
          <w:numId w:val="215"/>
        </w:numPr>
        <w:rPr>
          <w:rFonts w:ascii="Arial" w:cs="Arial" w:eastAsia="Arial" w:hAnsi="Arial"/>
          <w:sz w:val="22"/>
          <w:szCs w:val="22"/>
          <w:color w:val="auto"/>
        </w:rPr>
      </w:pPr>
      <w:r>
        <w:rPr>
          <w:rFonts w:ascii="Arial" w:cs="Arial" w:eastAsia="Arial" w:hAnsi="Arial"/>
          <w:sz w:val="22"/>
          <w:szCs w:val="22"/>
          <w:color w:val="auto"/>
        </w:rPr>
        <w:t>in connection with the sale or transfer of any Equity Interests or other assets in a transaction permitted hereunder, customary rights and restrictions contained in agreements relating to such sale or transfer pending the completion thereof;</w:t>
      </w:r>
    </w:p>
    <w:p>
      <w:pPr>
        <w:spacing w:after="0" w:line="159" w:lineRule="exact"/>
        <w:rPr>
          <w:rFonts w:ascii="Arial" w:cs="Arial" w:eastAsia="Arial" w:hAnsi="Arial"/>
          <w:sz w:val="22"/>
          <w:szCs w:val="22"/>
          <w:color w:val="auto"/>
        </w:rPr>
      </w:pPr>
    </w:p>
    <w:p>
      <w:pPr>
        <w:jc w:val="both"/>
        <w:ind w:left="100" w:right="99" w:firstLine="1301"/>
        <w:spacing w:after="0" w:line="226" w:lineRule="auto"/>
        <w:tabs>
          <w:tab w:leader="none" w:pos="1855" w:val="left"/>
        </w:tabs>
        <w:numPr>
          <w:ilvl w:val="0"/>
          <w:numId w:val="215"/>
        </w:numPr>
        <w:rPr>
          <w:rFonts w:ascii="Arial" w:cs="Arial" w:eastAsia="Arial" w:hAnsi="Arial"/>
          <w:sz w:val="21"/>
          <w:szCs w:val="21"/>
          <w:color w:val="auto"/>
        </w:rPr>
      </w:pPr>
      <w:r>
        <w:rPr>
          <w:rFonts w:ascii="Arial" w:cs="Arial" w:eastAsia="Arial" w:hAnsi="Arial"/>
          <w:sz w:val="21"/>
          <w:szCs w:val="21"/>
          <w:color w:val="auto"/>
        </w:rPr>
        <w:t>in the case of (i) any Subsidiary that is not a wholly 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59" w:lineRule="exact"/>
        <w:rPr>
          <w:rFonts w:ascii="Arial" w:cs="Arial" w:eastAsia="Arial" w:hAnsi="Arial"/>
          <w:sz w:val="21"/>
          <w:szCs w:val="21"/>
          <w:color w:val="auto"/>
        </w:rPr>
      </w:pPr>
    </w:p>
    <w:p>
      <w:pPr>
        <w:jc w:val="both"/>
        <w:ind w:left="100" w:right="99" w:firstLine="1301"/>
        <w:spacing w:after="0" w:line="223" w:lineRule="auto"/>
        <w:tabs>
          <w:tab w:leader="none" w:pos="1864" w:val="left"/>
        </w:tabs>
        <w:numPr>
          <w:ilvl w:val="0"/>
          <w:numId w:val="215"/>
        </w:numPr>
        <w:rPr>
          <w:rFonts w:ascii="Arial" w:cs="Arial" w:eastAsia="Arial" w:hAnsi="Arial"/>
          <w:sz w:val="22"/>
          <w:szCs w:val="22"/>
          <w:color w:val="auto"/>
        </w:rPr>
      </w:pPr>
      <w:r>
        <w:rPr>
          <w:rFonts w:ascii="Arial" w:cs="Arial" w:eastAsia="Arial" w:hAnsi="Arial"/>
          <w:sz w:val="22"/>
          <w:szCs w:val="22"/>
          <w:color w:val="auto"/>
        </w:rPr>
        <w:t>Liens solely on any cash earnest money deposits, escrow arrangements or similar arrangements made by the Company in connection with any letter of intent or purchase agreement for an Acquisition or other transaction permitted hereunder;</w:t>
      </w:r>
    </w:p>
    <w:p>
      <w:pPr>
        <w:spacing w:after="0" w:line="159" w:lineRule="exact"/>
        <w:rPr>
          <w:rFonts w:ascii="Arial" w:cs="Arial" w:eastAsia="Arial" w:hAnsi="Arial"/>
          <w:sz w:val="22"/>
          <w:szCs w:val="22"/>
          <w:color w:val="auto"/>
        </w:rPr>
      </w:pPr>
    </w:p>
    <w:p>
      <w:pPr>
        <w:jc w:val="both"/>
        <w:ind w:left="100" w:right="99" w:firstLine="1301"/>
        <w:spacing w:after="0" w:line="218" w:lineRule="auto"/>
        <w:tabs>
          <w:tab w:leader="none" w:pos="1986" w:val="left"/>
        </w:tabs>
        <w:numPr>
          <w:ilvl w:val="0"/>
          <w:numId w:val="215"/>
        </w:numPr>
        <w:rPr>
          <w:rFonts w:ascii="Arial" w:cs="Arial" w:eastAsia="Arial" w:hAnsi="Arial"/>
          <w:sz w:val="22"/>
          <w:szCs w:val="22"/>
          <w:color w:val="auto"/>
        </w:rPr>
      </w:pPr>
      <w:r>
        <w:rPr>
          <w:rFonts w:ascii="Arial" w:cs="Arial" w:eastAsia="Arial" w:hAnsi="Arial"/>
          <w:sz w:val="22"/>
          <w:szCs w:val="22"/>
          <w:color w:val="auto"/>
        </w:rPr>
        <w:t>(i) deposits made in the ordinary course of business to secure obligations to insurance carriers providing casualty, liability or other insurance to the Company and the Subsidiaries and (ii) Liens on insurance policies and the proceeds thereof securing the financing of the premiums with respect thereto;</w:t>
      </w:r>
    </w:p>
    <w:p>
      <w:pPr>
        <w:spacing w:after="0" w:line="161" w:lineRule="exact"/>
        <w:rPr>
          <w:rFonts w:ascii="Arial" w:cs="Arial" w:eastAsia="Arial" w:hAnsi="Arial"/>
          <w:sz w:val="22"/>
          <w:szCs w:val="22"/>
          <w:color w:val="auto"/>
        </w:rPr>
      </w:pPr>
    </w:p>
    <w:p>
      <w:pPr>
        <w:ind w:left="100" w:right="99" w:firstLine="1301"/>
        <w:spacing w:after="0" w:line="232" w:lineRule="auto"/>
        <w:tabs>
          <w:tab w:leader="none" w:pos="1816" w:val="left"/>
        </w:tabs>
        <w:numPr>
          <w:ilvl w:val="0"/>
          <w:numId w:val="215"/>
        </w:numPr>
        <w:rPr>
          <w:rFonts w:ascii="Arial" w:cs="Arial" w:eastAsia="Arial" w:hAnsi="Arial"/>
          <w:sz w:val="22"/>
          <w:szCs w:val="22"/>
          <w:color w:val="auto"/>
        </w:rPr>
      </w:pPr>
      <w:r>
        <w:rPr>
          <w:rFonts w:ascii="Arial" w:cs="Arial" w:eastAsia="Arial" w:hAnsi="Arial"/>
          <w:sz w:val="22"/>
          <w:szCs w:val="22"/>
          <w:color w:val="auto"/>
        </w:rPr>
        <w:t>Liens on the net cash proceeds of any Acquisition Indebtedness held in escrow by a third party escrow agent prior to the release thereof from escrow;</w:t>
      </w:r>
    </w:p>
    <w:p>
      <w:pPr>
        <w:spacing w:after="0" w:line="159" w:lineRule="exact"/>
        <w:rPr>
          <w:rFonts w:ascii="Arial" w:cs="Arial" w:eastAsia="Arial" w:hAnsi="Arial"/>
          <w:sz w:val="22"/>
          <w:szCs w:val="22"/>
          <w:color w:val="auto"/>
        </w:rPr>
      </w:pPr>
    </w:p>
    <w:p>
      <w:pPr>
        <w:ind w:left="1820" w:hanging="419"/>
        <w:spacing w:after="0"/>
        <w:tabs>
          <w:tab w:leader="none" w:pos="18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Lien created pursuant to the Loan Documents;</w:t>
      </w:r>
    </w:p>
    <w:p>
      <w:pPr>
        <w:spacing w:after="0" w:line="179" w:lineRule="exact"/>
        <w:rPr>
          <w:rFonts w:ascii="Arial" w:cs="Arial" w:eastAsia="Arial" w:hAnsi="Arial"/>
          <w:sz w:val="22"/>
          <w:szCs w:val="22"/>
          <w:color w:val="auto"/>
        </w:rPr>
      </w:pPr>
    </w:p>
    <w:p>
      <w:pPr>
        <w:jc w:val="both"/>
        <w:ind w:left="100" w:right="99" w:firstLine="1301"/>
        <w:spacing w:after="0" w:line="218" w:lineRule="auto"/>
        <w:tabs>
          <w:tab w:leader="none" w:pos="2135"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xml:space="preserve">Liens on cash and cash equivalents securing obligations under Hedging Agreements entered into to protect against fluctuations in interest rates and not for speculative purposes,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cash and cash equivalents deposited to secure such obligations do not exceed $50,000,000 at any time outstanding; and</w:t>
      </w:r>
    </w:p>
    <w:p>
      <w:pPr>
        <w:spacing w:after="0" w:line="161" w:lineRule="exact"/>
        <w:rPr>
          <w:rFonts w:ascii="Arial" w:cs="Arial" w:eastAsia="Arial" w:hAnsi="Arial"/>
          <w:sz w:val="22"/>
          <w:szCs w:val="22"/>
          <w:color w:val="auto"/>
        </w:rPr>
      </w:pPr>
    </w:p>
    <w:p>
      <w:pPr>
        <w:jc w:val="both"/>
        <w:ind w:left="100" w:right="99" w:firstLine="1301"/>
        <w:spacing w:after="0" w:line="241" w:lineRule="auto"/>
        <w:tabs>
          <w:tab w:leader="none" w:pos="1843"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other Liens,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and after giving Pro Forma Effect to the incurrence of any such Lien (or any Indebtedness secured thereby and the application of the proceeds thereof), the aggregate principal amount of the outstanding Indebtedness secured by Liens permitted by this clause (l) does not exceed 15% of Consolidated Tangible Assets at such time (it being understood and agreed that (i) in the case of revolving Indebtedness, the Company may deem any revolving commitments in respect of such revolving Indebtedness as outstanding Indebtedness for purposes of such test, and, if such test would be satisfied after doing so, then the Company shall not be required to retest compliance with such test in respect of any incurrence of revolving Indebtedness in respect of such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so long as such revolving commitments are outstanding, such revolving commitments shall be deemed to be outstanding Indebtedness for purposes of any subsequent calculation of such test, and (ii) in the case of any Indebtedness secured by any Lien(s) incurred in reliance on this clause (l), the Company shall not be required to retest compliance with this clause (l) (A) if any additional Liens on assets (including Liens on different types of assets) are thereafter granted to secure such Indebtedness or (B) due to the incurrence of fees, costs, expenses, premiums, penalties, indemnities or interest in respect of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320675</wp:posOffset>
            </wp:positionV>
            <wp:extent cx="5642610" cy="514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3" w:name="page274"/>
    <w:bookmarkEnd w:id="273"/>
    <w:p>
      <w:pPr>
        <w:ind w:left="8700"/>
        <w:spacing w:after="0"/>
        <w:rPr>
          <w:sz w:val="20"/>
          <w:szCs w:val="20"/>
          <w:color w:val="auto"/>
        </w:rPr>
      </w:pPr>
      <w:r>
        <w:rPr>
          <w:rFonts w:ascii="Arial" w:cs="Arial" w:eastAsia="Arial" w:hAnsi="Arial"/>
          <w:sz w:val="19"/>
          <w:szCs w:val="19"/>
          <w:color w:val="auto"/>
        </w:rPr>
        <w:t>87</w:t>
      </w:r>
    </w:p>
    <w:p>
      <w:pPr>
        <w:spacing w:after="0" w:line="200" w:lineRule="exact"/>
        <w:rPr>
          <w:sz w:val="20"/>
          <w:szCs w:val="20"/>
          <w:color w:val="auto"/>
        </w:rPr>
      </w:pPr>
    </w:p>
    <w:p>
      <w:pPr>
        <w:spacing w:after="0" w:line="231"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Fundamental Changes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tabs>
          <w:tab w:leader="none" w:pos="2055"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The Company will not, and will not permit any Restricted Subsidiary to, amalgamate with, merge into or consolidate with any other Person, or permit any other Person to amalgamate with, merge into or consolidate with it, or liquidate or dissolve, except that (i) the PNG Acquisition may be consummated, (ii) if at the time thereof and immediately after giving effect thereto no Event of Default shall have occurred and be continuing, (A) any Person may amalgamate, merge or consolidate with the Company in a transaction in which the Company is the surviving entity and (B) the Company may merge or consolidate with any Person in a transaction in which such Person is the surviving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such Person is a corporation organized under the laws of the Commonwealth of Pennsylvania or the State of Delaware, (2) prior to or substantially concurrently with the consummation of such merger or consolidation, (x) such Person shall execute and deliver to the Administrative Agent an assumption agreement (the “</w:t>
      </w:r>
      <w:r>
        <w:rPr>
          <w:rFonts w:ascii="Arial" w:cs="Arial" w:eastAsia="Arial" w:hAnsi="Arial"/>
          <w:sz w:val="19"/>
          <w:szCs w:val="19"/>
          <w:u w:val="single" w:color="auto"/>
          <w:color w:val="auto"/>
        </w:rPr>
        <w:t>Assumption Agreement</w:t>
      </w:r>
      <w:r>
        <w:rPr>
          <w:rFonts w:ascii="Arial" w:cs="Arial" w:eastAsia="Arial" w:hAnsi="Arial"/>
          <w:sz w:val="19"/>
          <w:szCs w:val="19"/>
          <w:color w:val="auto"/>
        </w:rPr>
        <w:t xml:space="preserve">”), in form and substance reasonably satisfactory to the Administrative Agent, pursuant to which such Person shall assume all of the obligations of the Company under this Agreement and the other Loan Documents, and (y) such Person shall deliver to the Administrative Agent such documents, certificates and opinions as the Administrative Agent may reasonably request relating to such Person, such merger or consolidation or the Assumption Agreement, all in form and substance reasonably satisfactory to the Administrative Agent, and (3) the Lenders shall have received, at least five Business Days prior to the date of the consummation of such merger or consolidation, (x) all documentation and other information regarding such Person required by bank regulatory authorities under applicable “know your customer” and anti-money laundering rules and regulations, including, without limitation, the USA PATRIOT Act, that has been reasonably requested by the Administrative Agent or any Lender and (y) to the extent such Person qualifies as a “legal entity customer” under the Beneficial Ownership Regulation, a Beneficial Ownership Certification in relation to such Person, it being agreed that upon the execution and delivery to the Administrative Agent of the Assumption Agreement and the satisfaction of the other conditions set forth in this clause (B), such Person shall become a party to this Agreement, shall succeed to and assume all the rights and obligations of the Company under this Agreement and the other Loan Documents (including all obligations in respect of outstanding Loans) and shall thenceforth, for all purposes of this Agreement and the other Loan Documents, be the “Company”, (iii) any Person (other than the Company) may amalgamate, merge or consolidate with any Restricted Subsidiary in a transaction in which the surviving entity is a Restricted Subsidiary, (iv) any Restricted Subsidiary may amalgamate with, merge into or consolidate with any Person (other than the Company) in a transaction not prohibited by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in which, after giving effect to such transaction, the surviving entity is not a Subsidiary and (v) any Restricted Subsidiary may liquidate or dissolve if the Company determines in good faith that such liquidation or dissolution is in the best interests of the Company and the Subsidiaries, taken as a whole.</w:t>
      </w:r>
    </w:p>
    <w:p>
      <w:pPr>
        <w:spacing w:after="0" w:line="200" w:lineRule="exact"/>
        <w:rPr>
          <w:rFonts w:ascii="Arial" w:cs="Arial" w:eastAsia="Arial" w:hAnsi="Arial"/>
          <w:sz w:val="19"/>
          <w:szCs w:val="19"/>
          <w:color w:val="auto"/>
        </w:rPr>
      </w:pPr>
    </w:p>
    <w:p>
      <w:pPr>
        <w:spacing w:after="0" w:line="366" w:lineRule="exact"/>
        <w:rPr>
          <w:rFonts w:ascii="Arial" w:cs="Arial" w:eastAsia="Arial" w:hAnsi="Arial"/>
          <w:sz w:val="19"/>
          <w:szCs w:val="19"/>
          <w:color w:val="auto"/>
        </w:rPr>
      </w:pPr>
    </w:p>
    <w:p>
      <w:pPr>
        <w:jc w:val="both"/>
        <w:ind w:left="100" w:right="99" w:firstLine="1301"/>
        <w:spacing w:after="0" w:line="249" w:lineRule="auto"/>
        <w:tabs>
          <w:tab w:leader="none" w:pos="1878"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The Company will not, and will not permit any Subsidiary to, sell, transfer, lease or otherwise dispose of, directly or through any amalgamation, merger or consolidation and whether in one transaction or in a series of transactions, assets (including Equity Interests in Subsidiaries) representing all or substantially all of the assets of the Company and the Subsidiaries (whether now owned or hereafter acquired), taken as a whole, to any Person or Persons, except (i) to the Company and/or any Subsidiaries and (ii) as permitted under </w:t>
      </w:r>
      <w:r>
        <w:rPr>
          <w:rFonts w:ascii="Arial" w:cs="Arial" w:eastAsia="Arial" w:hAnsi="Arial"/>
          <w:sz w:val="19"/>
          <w:szCs w:val="19"/>
          <w:u w:val="single" w:color="auto"/>
          <w:color w:val="auto"/>
        </w:rPr>
        <w:t>Section 6.02(a)(ii)(B)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6.02(a)(iii)</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4" w:name="page275"/>
    <w:bookmarkEnd w:id="274"/>
    <w:p>
      <w:pPr>
        <w:jc w:val="right"/>
        <w:ind w:right="99"/>
        <w:spacing w:after="0"/>
        <w:rPr>
          <w:sz w:val="20"/>
          <w:szCs w:val="20"/>
          <w:color w:val="auto"/>
        </w:rPr>
      </w:pPr>
      <w:r>
        <w:rPr>
          <w:rFonts w:ascii="Arial" w:cs="Arial" w:eastAsia="Arial" w:hAnsi="Arial"/>
          <w:sz w:val="22"/>
          <w:szCs w:val="22"/>
          <w:color w:val="auto"/>
        </w:rPr>
        <w:t>88</w:t>
      </w:r>
    </w:p>
    <w:p>
      <w:pPr>
        <w:spacing w:after="0" w:line="396" w:lineRule="exact"/>
        <w:rPr>
          <w:sz w:val="20"/>
          <w:szCs w:val="20"/>
          <w:color w:val="auto"/>
        </w:rPr>
      </w:pPr>
    </w:p>
    <w:p>
      <w:pPr>
        <w:jc w:val="both"/>
        <w:ind w:left="100" w:right="99" w:firstLine="1296"/>
        <w:spacing w:after="0" w:line="212"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Restrictive Agreements</w:t>
      </w:r>
      <w:r>
        <w:rPr>
          <w:rFonts w:ascii="Arial" w:cs="Arial" w:eastAsia="Arial" w:hAnsi="Arial"/>
          <w:sz w:val="22"/>
          <w:szCs w:val="22"/>
          <w:color w:val="auto"/>
        </w:rPr>
        <w:t>. The Company will not, and will not permit any Restricted Subsidiary to, enter into or permit to exist any contractual obligation (other than this Agreement or any other Loan Document) that limits the ability of any Restricted Subsidiary to make dividends or other distributions with respect to its Equity Interests to the Company or any Restricted Subsidiary, unless the Company determines in good faith that such contractual obligations would not materially impede the Company’s ability to meet its payment obligations under this Agreement.</w:t>
      </w:r>
    </w:p>
    <w:p>
      <w:pPr>
        <w:spacing w:after="0" w:line="164" w:lineRule="exact"/>
        <w:rPr>
          <w:sz w:val="20"/>
          <w:szCs w:val="20"/>
          <w:color w:val="auto"/>
        </w:rPr>
      </w:pPr>
    </w:p>
    <w:p>
      <w:pPr>
        <w:jc w:val="both"/>
        <w:ind w:left="100" w:right="99" w:firstLine="1296"/>
        <w:spacing w:after="0" w:line="243"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xml:space="preserve">. The Company will not, and will not permit any Restricted Subsidiary to, enter into or cause, suffer or permit to exist any transaction, arrangement or contract with any Affiliate (other than the Company or any Restricted Subsidiary) that is on terms materially less favorable to the Company or such Restricted Subsidiary than those that would be obtained at such time in a comparable arm’s-length transaction with a Person other than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(a) any payments made and other transactions entered into in the ordinary course of business with officers and directors of the Company or any Subsidiary, and consulting fees and expenses incurred in the ordinary course of business payable to former officers or directors of the Company or any Subsidiary or (b) any other transaction (if part of a series of related transactions, together with such related transactions) involving consideration or value of less than $10,000,000.</w:t>
      </w:r>
    </w:p>
    <w:p>
      <w:pPr>
        <w:spacing w:after="0" w:line="160" w:lineRule="exact"/>
        <w:rPr>
          <w:sz w:val="20"/>
          <w:szCs w:val="20"/>
          <w:color w:val="auto"/>
        </w:rPr>
      </w:pPr>
    </w:p>
    <w:p>
      <w:pPr>
        <w:jc w:val="both"/>
        <w:ind w:left="100" w:right="99" w:firstLine="1296"/>
        <w:spacing w:after="0" w:line="246"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Financial Covenant</w:t>
      </w:r>
      <w:r>
        <w:rPr>
          <w:rFonts w:ascii="Arial" w:cs="Arial" w:eastAsia="Arial" w:hAnsi="Arial"/>
          <w:sz w:val="19"/>
          <w:szCs w:val="19"/>
          <w:color w:val="auto"/>
        </w:rPr>
        <w:t xml:space="preserve">. The Company will not permit the ratio, on the last day of any fiscal quarter of the Company, of (a) Consolidated Funded Debt as of such day to (b) the sum of (i) Consolidated Funded Debt as of such day and (ii) Consolidated Shareholders’ Equity as of such day, to exceed 65%;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PNG Acquisition is consummated, the maximum ratio permitted by this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shall be (a) with respect to the fiscal quarter of the Company during which the PNG Acquisition Closing Date occurs and any subsequent fiscal quarter of the Company that ends no later than 180 days after the PNG Acquisition Closing Date, 80% and (B) with respect to any fiscal quarter of the Company that ends thereafter, 65%.</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Events of Default</w:t>
      </w:r>
    </w:p>
    <w:p>
      <w:pPr>
        <w:spacing w:after="0" w:line="160" w:lineRule="exact"/>
        <w:rPr>
          <w:sz w:val="20"/>
          <w:szCs w:val="20"/>
          <w:color w:val="auto"/>
        </w:rPr>
      </w:pPr>
    </w:p>
    <w:p>
      <w:pPr>
        <w:ind w:left="1400"/>
        <w:spacing w:after="0"/>
        <w:tabs>
          <w:tab w:leader="none" w:pos="3140" w:val="left"/>
          <w:tab w:leader="none" w:pos="500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22"/>
          <w:szCs w:val="22"/>
          <w:u w:val="single" w:color="auto"/>
          <w:color w:val="auto"/>
        </w:rPr>
        <w:t>Events of Default</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If any of the following events (“</w:t>
      </w:r>
      <w:r>
        <w:rPr>
          <w:rFonts w:ascii="Arial" w:cs="Arial" w:eastAsia="Arial" w:hAnsi="Arial"/>
          <w:sz w:val="21"/>
          <w:szCs w:val="21"/>
          <w:u w:val="single" w:color="auto"/>
          <w:color w:val="auto"/>
        </w:rPr>
        <w:t>Events of</w:t>
      </w:r>
    </w:p>
    <w:p>
      <w:pPr>
        <w:ind w:left="100"/>
        <w:spacing w:after="0"/>
        <w:rPr>
          <w:sz w:val="20"/>
          <w:szCs w:val="20"/>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 shall occur and be continuing:</w:t>
      </w:r>
    </w:p>
    <w:p>
      <w:pPr>
        <w:spacing w:after="0" w:line="161" w:lineRule="exact"/>
        <w:rPr>
          <w:sz w:val="20"/>
          <w:szCs w:val="20"/>
          <w:color w:val="auto"/>
        </w:rPr>
      </w:pPr>
    </w:p>
    <w:p>
      <w:pPr>
        <w:jc w:val="both"/>
        <w:ind w:left="100" w:right="99" w:firstLine="1301"/>
        <w:spacing w:after="0" w:line="223" w:lineRule="auto"/>
        <w:tabs>
          <w:tab w:leader="none" w:pos="1852"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Company shall fail to pay any principal of any Loan or any LC Disbursement when and as the same shall become due and payable, whether at the due date thereof or at a date fixed for prepayment thereof or otherwise;</w:t>
      </w:r>
    </w:p>
    <w:p>
      <w:pPr>
        <w:spacing w:after="0" w:line="159" w:lineRule="exact"/>
        <w:rPr>
          <w:rFonts w:ascii="Arial" w:cs="Arial" w:eastAsia="Arial" w:hAnsi="Arial"/>
          <w:sz w:val="22"/>
          <w:szCs w:val="22"/>
          <w:color w:val="auto"/>
        </w:rPr>
      </w:pPr>
    </w:p>
    <w:p>
      <w:pPr>
        <w:jc w:val="both"/>
        <w:ind w:left="100" w:right="99" w:firstLine="1301"/>
        <w:spacing w:after="0" w:line="218" w:lineRule="auto"/>
        <w:tabs>
          <w:tab w:leader="none" w:pos="1891" w:val="left"/>
        </w:tabs>
        <w:numPr>
          <w:ilvl w:val="0"/>
          <w:numId w:val="217"/>
        </w:numPr>
        <w:rPr>
          <w:rFonts w:ascii="Arial" w:cs="Arial" w:eastAsia="Arial" w:hAnsi="Arial"/>
          <w:sz w:val="22"/>
          <w:szCs w:val="22"/>
          <w:color w:val="auto"/>
        </w:rPr>
      </w:pPr>
      <w:r>
        <w:rPr>
          <w:rFonts w:ascii="Arial" w:cs="Arial" w:eastAsia="Arial" w:hAnsi="Arial"/>
          <w:sz w:val="22"/>
          <w:szCs w:val="22"/>
          <w:color w:val="auto"/>
        </w:rPr>
        <w:t xml:space="preserve">the Company shall fail to pay any interest or any fee or any other amount (other than an amount referred to in clause (a) of this </w:t>
      </w:r>
      <w:r>
        <w:rPr>
          <w:rFonts w:ascii="Arial" w:cs="Arial" w:eastAsia="Arial" w:hAnsi="Arial"/>
          <w:sz w:val="22"/>
          <w:szCs w:val="22"/>
          <w:u w:val="single" w:color="auto"/>
          <w:color w:val="auto"/>
        </w:rPr>
        <w:t>Section 7.01</w:t>
      </w:r>
      <w:r>
        <w:rPr>
          <w:rFonts w:ascii="Arial" w:cs="Arial" w:eastAsia="Arial" w:hAnsi="Arial"/>
          <w:sz w:val="22"/>
          <w:szCs w:val="22"/>
          <w:color w:val="auto"/>
        </w:rPr>
        <w:t>) payable under this Agreement or any other Loan Document, when and as the same shall become due and payable, and such failure shall continue unremedied for a period of five days;</w:t>
      </w:r>
    </w:p>
    <w:p>
      <w:pPr>
        <w:spacing w:after="0" w:line="161" w:lineRule="exact"/>
        <w:rPr>
          <w:rFonts w:ascii="Arial" w:cs="Arial" w:eastAsia="Arial" w:hAnsi="Arial"/>
          <w:sz w:val="22"/>
          <w:szCs w:val="22"/>
          <w:color w:val="auto"/>
        </w:rPr>
      </w:pPr>
    </w:p>
    <w:p>
      <w:pPr>
        <w:ind w:left="100" w:right="99" w:firstLine="1301"/>
        <w:spacing w:after="0" w:line="247" w:lineRule="auto"/>
        <w:tabs>
          <w:tab w:leader="none" w:pos="1866" w:val="left"/>
        </w:tabs>
        <w:numPr>
          <w:ilvl w:val="0"/>
          <w:numId w:val="217"/>
        </w:numPr>
        <w:rPr>
          <w:rFonts w:ascii="Arial" w:cs="Arial" w:eastAsia="Arial" w:hAnsi="Arial"/>
          <w:sz w:val="21"/>
          <w:szCs w:val="21"/>
          <w:color w:val="auto"/>
        </w:rPr>
      </w:pPr>
      <w:r>
        <w:rPr>
          <w:rFonts w:ascii="Arial" w:cs="Arial" w:eastAsia="Arial" w:hAnsi="Arial"/>
          <w:sz w:val="21"/>
          <w:szCs w:val="21"/>
          <w:color w:val="auto"/>
        </w:rPr>
        <w:t>any representation, warranty or statement of fact made or deemed made by or on behalf of the Company in any Loan Document or in any certificate, financial statement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311150</wp:posOffset>
            </wp:positionV>
            <wp:extent cx="5642610" cy="514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5" w:name="page276"/>
    <w:bookmarkEnd w:id="275"/>
    <w:p>
      <w:pPr>
        <w:jc w:val="right"/>
        <w:ind w:right="99"/>
        <w:spacing w:after="0"/>
        <w:rPr>
          <w:sz w:val="20"/>
          <w:szCs w:val="20"/>
          <w:color w:val="auto"/>
        </w:rPr>
      </w:pPr>
      <w:r>
        <w:rPr>
          <w:rFonts w:ascii="Arial" w:cs="Arial" w:eastAsia="Arial" w:hAnsi="Arial"/>
          <w:sz w:val="22"/>
          <w:szCs w:val="22"/>
          <w:color w:val="auto"/>
        </w:rPr>
        <w:t>89</w:t>
      </w:r>
    </w:p>
    <w:p>
      <w:pPr>
        <w:spacing w:after="0" w:line="396" w:lineRule="exact"/>
        <w:rPr>
          <w:sz w:val="20"/>
          <w:szCs w:val="20"/>
          <w:color w:val="auto"/>
        </w:rPr>
      </w:pPr>
    </w:p>
    <w:p>
      <w:pPr>
        <w:jc w:val="both"/>
        <w:ind w:left="100" w:right="99"/>
        <w:spacing w:after="0" w:line="223" w:lineRule="auto"/>
        <w:rPr>
          <w:sz w:val="20"/>
          <w:szCs w:val="20"/>
          <w:color w:val="auto"/>
        </w:rPr>
      </w:pPr>
      <w:r>
        <w:rPr>
          <w:rFonts w:ascii="Arial" w:cs="Arial" w:eastAsia="Arial" w:hAnsi="Arial"/>
          <w:sz w:val="22"/>
          <w:szCs w:val="22"/>
          <w:color w:val="auto"/>
        </w:rPr>
        <w:t>other written document provided pursuant to any Loan Document or any amendment or modification thereof or waiver thereunder shall prove to have been incorrect in any material respect when made or deemed made;</w:t>
      </w:r>
    </w:p>
    <w:p>
      <w:pPr>
        <w:spacing w:after="0" w:line="159" w:lineRule="exact"/>
        <w:rPr>
          <w:sz w:val="20"/>
          <w:szCs w:val="20"/>
          <w:color w:val="auto"/>
        </w:rPr>
      </w:pPr>
    </w:p>
    <w:p>
      <w:pPr>
        <w:jc w:val="both"/>
        <w:ind w:left="100" w:right="99" w:firstLine="1301"/>
        <w:spacing w:after="0" w:line="223" w:lineRule="auto"/>
        <w:tabs>
          <w:tab w:leader="none" w:pos="2067" w:val="left"/>
        </w:tabs>
        <w:numPr>
          <w:ilvl w:val="0"/>
          <w:numId w:val="218"/>
        </w:numPr>
        <w:rPr>
          <w:rFonts w:ascii="Arial" w:cs="Arial" w:eastAsia="Arial" w:hAnsi="Arial"/>
          <w:sz w:val="22"/>
          <w:szCs w:val="22"/>
          <w:color w:val="auto"/>
        </w:rPr>
      </w:pPr>
      <w:r>
        <w:rPr>
          <w:rFonts w:ascii="Arial" w:cs="Arial" w:eastAsia="Arial" w:hAnsi="Arial"/>
          <w:sz w:val="22"/>
          <w:szCs w:val="22"/>
          <w:color w:val="auto"/>
        </w:rPr>
        <w:t xml:space="preserve">the Company shall fail to observe or perform any covenant or agreement contained in </w:t>
      </w:r>
      <w:r>
        <w:rPr>
          <w:rFonts w:ascii="Arial" w:cs="Arial" w:eastAsia="Arial" w:hAnsi="Arial"/>
          <w:sz w:val="22"/>
          <w:szCs w:val="22"/>
          <w:u w:val="single" w:color="auto"/>
          <w:color w:val="auto"/>
        </w:rPr>
        <w:t>Section 5.02(a)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5.03(a)</w:t>
      </w:r>
      <w:r>
        <w:rPr>
          <w:rFonts w:ascii="Arial" w:cs="Arial" w:eastAsia="Arial" w:hAnsi="Arial"/>
          <w:sz w:val="22"/>
          <w:szCs w:val="22"/>
          <w:color w:val="auto"/>
        </w:rPr>
        <w:t xml:space="preserve"> (with respect to the existence of the Company) or </w:t>
      </w:r>
      <w:r>
        <w:rPr>
          <w:rFonts w:ascii="Arial" w:cs="Arial" w:eastAsia="Arial" w:hAnsi="Arial"/>
          <w:sz w:val="22"/>
          <w:szCs w:val="22"/>
          <w:u w:val="single" w:color="auto"/>
          <w:color w:val="auto"/>
        </w:rPr>
        <w:t>5.09</w:t>
      </w:r>
      <w:r>
        <w:rPr>
          <w:rFonts w:ascii="Arial" w:cs="Arial" w:eastAsia="Arial" w:hAnsi="Arial"/>
          <w:sz w:val="22"/>
          <w:szCs w:val="22"/>
          <w:color w:val="auto"/>
        </w:rPr>
        <w:t xml:space="preserve"> or in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jc w:val="both"/>
        <w:ind w:left="100" w:right="99" w:firstLine="1301"/>
        <w:spacing w:after="0" w:line="218" w:lineRule="auto"/>
        <w:tabs>
          <w:tab w:leader="none" w:pos="2055" w:val="left"/>
        </w:tabs>
        <w:numPr>
          <w:ilvl w:val="0"/>
          <w:numId w:val="218"/>
        </w:numPr>
        <w:rPr>
          <w:rFonts w:ascii="Arial" w:cs="Arial" w:eastAsia="Arial" w:hAnsi="Arial"/>
          <w:sz w:val="22"/>
          <w:szCs w:val="22"/>
          <w:color w:val="auto"/>
        </w:rPr>
      </w:pPr>
      <w:r>
        <w:rPr>
          <w:rFonts w:ascii="Arial" w:cs="Arial" w:eastAsia="Arial" w:hAnsi="Arial"/>
          <w:sz w:val="22"/>
          <w:szCs w:val="22"/>
          <w:color w:val="auto"/>
        </w:rPr>
        <w:t xml:space="preserve">the Company shall fail to observe or perform any covenant or agreement contained in any Loan Document (other than those specified in clause (a), (b) or (d) of this </w:t>
      </w:r>
      <w:r>
        <w:rPr>
          <w:rFonts w:ascii="Arial" w:cs="Arial" w:eastAsia="Arial" w:hAnsi="Arial"/>
          <w:sz w:val="22"/>
          <w:szCs w:val="22"/>
          <w:u w:val="single" w:color="auto"/>
          <w:color w:val="auto"/>
        </w:rPr>
        <w:t>Section 7.01</w:t>
      </w:r>
      <w:r>
        <w:rPr>
          <w:rFonts w:ascii="Arial" w:cs="Arial" w:eastAsia="Arial" w:hAnsi="Arial"/>
          <w:sz w:val="22"/>
          <w:szCs w:val="22"/>
          <w:color w:val="auto"/>
        </w:rPr>
        <w:t>), and such failure shall continue unremedied for a period of 30 days after written notice thereof to the Company from the Administrative Agent;</w:t>
      </w:r>
    </w:p>
    <w:p>
      <w:pPr>
        <w:spacing w:after="0" w:line="161" w:lineRule="exact"/>
        <w:rPr>
          <w:rFonts w:ascii="Arial" w:cs="Arial" w:eastAsia="Arial" w:hAnsi="Arial"/>
          <w:sz w:val="22"/>
          <w:szCs w:val="22"/>
          <w:color w:val="auto"/>
        </w:rPr>
      </w:pPr>
    </w:p>
    <w:p>
      <w:pPr>
        <w:jc w:val="both"/>
        <w:ind w:left="100" w:right="99" w:firstLine="1301"/>
        <w:spacing w:after="0" w:line="218" w:lineRule="auto"/>
        <w:tabs>
          <w:tab w:leader="none" w:pos="1828"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Company, any Restricted Subsidiary or any Significant Subsidiary shall fail to make any payment (in respect of principal or interest) in respect of any Material Indebtedness, when and as the same shall become due and payable after giving effect to any notice requirements and grace periods applicable thereto;</w:t>
      </w:r>
    </w:p>
    <w:p>
      <w:pPr>
        <w:spacing w:after="0" w:line="161" w:lineRule="exact"/>
        <w:rPr>
          <w:rFonts w:ascii="Arial" w:cs="Arial" w:eastAsia="Arial" w:hAnsi="Arial"/>
          <w:sz w:val="22"/>
          <w:szCs w:val="22"/>
          <w:color w:val="auto"/>
        </w:rPr>
      </w:pPr>
    </w:p>
    <w:p>
      <w:pPr>
        <w:jc w:val="both"/>
        <w:ind w:left="100" w:right="99" w:firstLine="1301"/>
        <w:spacing w:after="0" w:line="241" w:lineRule="auto"/>
        <w:tabs>
          <w:tab w:leader="none" w:pos="1878"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any event or condition constituting a breach or default in respect of any Material Indebtedness occurs that results in any Material Indebtedness becoming due or being terminated or required to be prepaid, repurchased, redeemed or defeased prior to its scheduled maturity, or that enables or permits the holder or holders of any Material Indebtedness or any trustee or agent on its or their behalf, or, in the case of any Hedging Agreement, the applicable counterparty, to cause such Material Indebtedness to become due, or to require the prepayment, repurchase, redemption or defeasance thereof, or, in the case of a Hedging Agreement, to terminate any related hedging transaction, in each case prior to its scheduled maturity or termination (it is understood that no Event of Default shall occur in respect of any Material Indebtedness under this clause (g) until all grace periods applicable under the terms of such Material Indebtedness have expired and all notice requirements applicable under the terms of such Material Indebtedness have been met);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(g) shall not apply to (i) any secured Indebtedness that becomes due as a result of the voluntary sale or transfer of, or any casualty or condemnation with respect to, assets securing such Indebtedness and (ii) any prepayment, repurchase, redemption or defeasance of any Acquisition Indebtedness if the related Acquisition is not consummated;</w:t>
      </w:r>
    </w:p>
    <w:p>
      <w:pPr>
        <w:spacing w:after="0" w:line="166" w:lineRule="exact"/>
        <w:rPr>
          <w:rFonts w:ascii="Arial" w:cs="Arial" w:eastAsia="Arial" w:hAnsi="Arial"/>
          <w:sz w:val="19"/>
          <w:szCs w:val="19"/>
          <w:color w:val="auto"/>
        </w:rPr>
      </w:pPr>
    </w:p>
    <w:p>
      <w:pPr>
        <w:jc w:val="both"/>
        <w:ind w:left="100" w:right="99" w:firstLine="1301"/>
        <w:spacing w:after="0" w:line="246" w:lineRule="auto"/>
        <w:tabs>
          <w:tab w:leader="none" w:pos="1932"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reorganization, moratorium, winding-up or other relief in respect of the Company or any Significant Subsidiary, or of a substantial part of its assets, under any United States (Federal or state) or foreign bankruptcy, insolvency, receivership, winding-up or similar law now or hereafter in effect or (ii) the appointment of a receiver, liquidator, trustee, custodian, sequestrator, conservator or similar official for the Company or any Significant Subsidiary, or for a substantial part of its assets, and, in any such case, such proceeding or petition shall continue undismissed or unstayed for 60 days or an order for relief in any such proceeding shall be entered;</w:t>
      </w:r>
    </w:p>
    <w:p>
      <w:pPr>
        <w:spacing w:after="0" w:line="153" w:lineRule="exact"/>
        <w:rPr>
          <w:rFonts w:ascii="Arial" w:cs="Arial" w:eastAsia="Arial" w:hAnsi="Arial"/>
          <w:sz w:val="19"/>
          <w:szCs w:val="19"/>
          <w:color w:val="auto"/>
        </w:rPr>
      </w:pPr>
    </w:p>
    <w:p>
      <w:pPr>
        <w:jc w:val="both"/>
        <w:ind w:left="100" w:right="99" w:firstLine="1301"/>
        <w:spacing w:after="0" w:line="234" w:lineRule="auto"/>
        <w:tabs>
          <w:tab w:leader="none" w:pos="1897" w:val="left"/>
        </w:tabs>
        <w:numPr>
          <w:ilvl w:val="0"/>
          <w:numId w:val="218"/>
        </w:numPr>
        <w:rPr>
          <w:rFonts w:ascii="Arial" w:cs="Arial" w:eastAsia="Arial" w:hAnsi="Arial"/>
          <w:sz w:val="21"/>
          <w:szCs w:val="21"/>
          <w:color w:val="auto"/>
        </w:rPr>
      </w:pPr>
      <w:r>
        <w:rPr>
          <w:rFonts w:ascii="Arial" w:cs="Arial" w:eastAsia="Arial" w:hAnsi="Arial"/>
          <w:sz w:val="21"/>
          <w:szCs w:val="21"/>
          <w:color w:val="auto"/>
        </w:rPr>
        <w:t>the Company or any Significant Subsidiary shall (i) voluntarily commence any proceeding or file any petition seeking liquidation, reorganization, winding-up or other relief under any United States (Federal or state) or foreign bankruptcy, insolvency, receivership,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315595</wp:posOffset>
            </wp:positionV>
            <wp:extent cx="5642610" cy="514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6" w:name="page277"/>
    <w:bookmarkEnd w:id="276"/>
    <w:p>
      <w:pPr>
        <w:jc w:val="right"/>
        <w:ind w:right="99"/>
        <w:spacing w:after="0"/>
        <w:rPr>
          <w:sz w:val="20"/>
          <w:szCs w:val="20"/>
          <w:color w:val="auto"/>
        </w:rPr>
      </w:pPr>
      <w:r>
        <w:rPr>
          <w:rFonts w:ascii="Arial" w:cs="Arial" w:eastAsia="Arial" w:hAnsi="Arial"/>
          <w:sz w:val="22"/>
          <w:szCs w:val="22"/>
          <w:color w:val="auto"/>
        </w:rPr>
        <w:t>90</w:t>
      </w:r>
    </w:p>
    <w:p>
      <w:pPr>
        <w:spacing w:after="0" w:line="396" w:lineRule="exact"/>
        <w:rPr>
          <w:sz w:val="20"/>
          <w:szCs w:val="20"/>
          <w:color w:val="auto"/>
        </w:rPr>
      </w:pPr>
    </w:p>
    <w:p>
      <w:pPr>
        <w:jc w:val="both"/>
        <w:ind w:left="100" w:right="99"/>
        <w:spacing w:after="0"/>
        <w:rPr>
          <w:sz w:val="20"/>
          <w:szCs w:val="20"/>
          <w:color w:val="auto"/>
        </w:rPr>
      </w:pPr>
      <w:r>
        <w:rPr>
          <w:rFonts w:ascii="Arial" w:cs="Arial" w:eastAsia="Arial" w:hAnsi="Arial"/>
          <w:sz w:val="19"/>
          <w:szCs w:val="19"/>
          <w:color w:val="auto"/>
        </w:rPr>
        <w:t xml:space="preserve">winding-up or similar law now or hereafter in effect (other than, in the case of any Subsidiary, a voluntary liquidation or dissolution permitted by </w:t>
      </w:r>
      <w:r>
        <w:rPr>
          <w:rFonts w:ascii="Arial" w:cs="Arial" w:eastAsia="Arial" w:hAnsi="Arial"/>
          <w:sz w:val="19"/>
          <w:szCs w:val="19"/>
          <w:u w:val="single" w:color="auto"/>
          <w:color w:val="auto"/>
        </w:rPr>
        <w:t>Section 6.02(a)(v)</w:t>
      </w:r>
      <w:r>
        <w:rPr>
          <w:rFonts w:ascii="Arial" w:cs="Arial" w:eastAsia="Arial" w:hAnsi="Arial"/>
          <w:sz w:val="19"/>
          <w:szCs w:val="19"/>
          <w:color w:val="auto"/>
        </w:rPr>
        <w:t>), (ii) consent to the institution of any proceeding or petition described in sub-clause (i) above, (iii) apply for or consent to the appointment of a receiver, liquidator, trustee, custodian, sequestrator, conservator or similar official for the Company or any Significant Subsidiary or for a substantial part of its assets, (iv) file an answer admitting the material allegations of a petition filed against it in any such proceeding or</w:t>
      </w:r>
    </w:p>
    <w:p>
      <w:pPr>
        <w:spacing w:after="0" w:line="4" w:lineRule="exact"/>
        <w:rPr>
          <w:sz w:val="20"/>
          <w:szCs w:val="20"/>
          <w:color w:val="auto"/>
        </w:rPr>
      </w:pPr>
    </w:p>
    <w:p>
      <w:pPr>
        <w:jc w:val="both"/>
        <w:ind w:left="100" w:right="99" w:firstLine="5"/>
        <w:spacing w:after="0" w:line="228" w:lineRule="auto"/>
        <w:tabs>
          <w:tab w:leader="none" w:pos="449" w:val="left"/>
        </w:tabs>
        <w:numPr>
          <w:ilvl w:val="0"/>
          <w:numId w:val="219"/>
        </w:numPr>
        <w:rPr>
          <w:rFonts w:ascii="Arial" w:cs="Arial" w:eastAsia="Arial" w:hAnsi="Arial"/>
          <w:sz w:val="21"/>
          <w:szCs w:val="21"/>
          <w:color w:val="auto"/>
        </w:rPr>
      </w:pPr>
      <w:r>
        <w:rPr>
          <w:rFonts w:ascii="Arial" w:cs="Arial" w:eastAsia="Arial" w:hAnsi="Arial"/>
          <w:sz w:val="21"/>
          <w:szCs w:val="21"/>
          <w:color w:val="auto"/>
        </w:rPr>
        <w:t xml:space="preserve">make a general assignment for the benefit of creditors, or the board of directors (or similar governing body) of the Company or any Significant Subsidiary (or any committee thereof) shall adopt any resolution expressly authorizing any of the actions referred to in this </w:t>
      </w:r>
      <w:r>
        <w:rPr>
          <w:rFonts w:ascii="Arial" w:cs="Arial" w:eastAsia="Arial" w:hAnsi="Arial"/>
          <w:sz w:val="21"/>
          <w:szCs w:val="21"/>
          <w:u w:val="single" w:color="auto"/>
          <w:color w:val="auto"/>
        </w:rPr>
        <w:t>Section 7.01(i)</w:t>
      </w:r>
      <w:r>
        <w:rPr>
          <w:rFonts w:ascii="Arial" w:cs="Arial" w:eastAsia="Arial" w:hAnsi="Arial"/>
          <w:sz w:val="21"/>
          <w:szCs w:val="21"/>
          <w:color w:val="auto"/>
        </w:rPr>
        <w:t>;</w:t>
      </w:r>
    </w:p>
    <w:p>
      <w:pPr>
        <w:spacing w:after="0" w:line="158" w:lineRule="exact"/>
        <w:rPr>
          <w:rFonts w:ascii="Arial" w:cs="Arial" w:eastAsia="Arial" w:hAnsi="Arial"/>
          <w:sz w:val="21"/>
          <w:szCs w:val="21"/>
          <w:color w:val="auto"/>
        </w:rPr>
      </w:pPr>
    </w:p>
    <w:p>
      <w:pPr>
        <w:jc w:val="both"/>
        <w:ind w:left="100" w:right="99" w:firstLine="1301"/>
        <w:spacing w:after="0" w:line="223" w:lineRule="auto"/>
        <w:tabs>
          <w:tab w:leader="none" w:pos="1816" w:val="left"/>
        </w:tabs>
        <w:numPr>
          <w:ilvl w:val="1"/>
          <w:numId w:val="219"/>
        </w:numPr>
        <w:rPr>
          <w:rFonts w:ascii="Arial" w:cs="Arial" w:eastAsia="Arial" w:hAnsi="Arial"/>
          <w:sz w:val="21"/>
          <w:szCs w:val="21"/>
          <w:color w:val="auto"/>
        </w:rPr>
      </w:pPr>
      <w:r>
        <w:rPr>
          <w:rFonts w:ascii="Arial" w:cs="Arial" w:eastAsia="Arial" w:hAnsi="Arial"/>
          <w:sz w:val="21"/>
          <w:szCs w:val="21"/>
          <w:color w:val="auto"/>
        </w:rPr>
        <w:t>one or more final judgments for the payment of money in an aggregate amount in excess of $100,000,000 (after reducing such judgment amount by the portion thereof covered by insurance (other than under a self-insurance program, excluding any insurance provided by a captive insurance subsidiary or similar vehicle or arrangement)) shall be rendered against the Company, any Restricted Subsidiary or any Significant Subsidiary or any combination thereof and the same shall continue for a period of 60 consecutive days without being vacated, discharged, stayed, satisfied or bonded pending appeal;</w:t>
      </w:r>
    </w:p>
    <w:p>
      <w:pPr>
        <w:spacing w:after="0" w:line="158" w:lineRule="exact"/>
        <w:rPr>
          <w:rFonts w:ascii="Arial" w:cs="Arial" w:eastAsia="Arial" w:hAnsi="Arial"/>
          <w:sz w:val="21"/>
          <w:szCs w:val="21"/>
          <w:color w:val="auto"/>
        </w:rPr>
      </w:pPr>
    </w:p>
    <w:p>
      <w:pPr>
        <w:ind w:left="100" w:right="99" w:firstLine="1301"/>
        <w:spacing w:after="0" w:line="232" w:lineRule="auto"/>
        <w:tabs>
          <w:tab w:leader="none" w:pos="2027" w:val="left"/>
        </w:tabs>
        <w:numPr>
          <w:ilvl w:val="1"/>
          <w:numId w:val="219"/>
        </w:numPr>
        <w:rPr>
          <w:rFonts w:ascii="Arial" w:cs="Arial" w:eastAsia="Arial" w:hAnsi="Arial"/>
          <w:sz w:val="22"/>
          <w:szCs w:val="22"/>
          <w:color w:val="auto"/>
        </w:rPr>
      </w:pPr>
      <w:r>
        <w:rPr>
          <w:rFonts w:ascii="Arial" w:cs="Arial" w:eastAsia="Arial" w:hAnsi="Arial"/>
          <w:sz w:val="22"/>
          <w:szCs w:val="22"/>
          <w:color w:val="auto"/>
        </w:rPr>
        <w:t>one or more ERISA Events shall have occurred that, individually or in the aggregate, would reasonably be expected to result in a Material Adverse Effect; or</w:t>
      </w:r>
    </w:p>
    <w:p>
      <w:pPr>
        <w:spacing w:after="0" w:line="159" w:lineRule="exact"/>
        <w:rPr>
          <w:rFonts w:ascii="Arial" w:cs="Arial" w:eastAsia="Arial" w:hAnsi="Arial"/>
          <w:sz w:val="22"/>
          <w:szCs w:val="22"/>
          <w:color w:val="auto"/>
        </w:rPr>
      </w:pPr>
    </w:p>
    <w:p>
      <w:pPr>
        <w:jc w:val="both"/>
        <w:ind w:left="100" w:right="99" w:firstLine="1301"/>
        <w:spacing w:after="0" w:line="243" w:lineRule="auto"/>
        <w:tabs>
          <w:tab w:leader="none" w:pos="1911" w:val="left"/>
        </w:tabs>
        <w:numPr>
          <w:ilvl w:val="1"/>
          <w:numId w:val="219"/>
        </w:numPr>
        <w:rPr>
          <w:rFonts w:ascii="Arial" w:cs="Arial" w:eastAsia="Arial" w:hAnsi="Arial"/>
          <w:sz w:val="19"/>
          <w:szCs w:val="19"/>
          <w:color w:val="auto"/>
        </w:rPr>
      </w:pPr>
      <w:r>
        <w:rPr>
          <w:rFonts w:ascii="Arial" w:cs="Arial" w:eastAsia="Arial" w:hAnsi="Arial"/>
          <w:sz w:val="19"/>
          <w:szCs w:val="19"/>
          <w:color w:val="auto"/>
        </w:rPr>
        <w:t>(i) a Change in Control shall occur or (ii) any “change of control” (or similar event, however denominated) with respect to the Company under and as defined in any indenture or other agreement relating to Material Indebtedness of the Company, any Restricted Subsidiary or any Significant Subsidiary under which senior notes or other debt securities may be issued shall occur and such “change of control” (or similar event, however denominated) shall have caused, or shall enable or permit the holder or holders of such Material Indebtedness or any trustee or agent on its or their behalf to cause, such Material Indebtedness to be required to be prepaid, repurchased, redeemed or defeased prior to its scheduled maturity (it is understood that no Event of Default shall occur in respect of any Material Indebtedness under this clause (l)(ii) until all grace periods applicable under the terms of such Material Indebtedness have expired and all notice requirements applicable under the terms of such Material Indebtedness have been met);</w:t>
      </w:r>
    </w:p>
    <w:p>
      <w:pPr>
        <w:spacing w:after="0" w:line="160" w:lineRule="exact"/>
        <w:rPr>
          <w:sz w:val="20"/>
          <w:szCs w:val="20"/>
          <w:color w:val="auto"/>
        </w:rPr>
      </w:pPr>
    </w:p>
    <w:p>
      <w:pPr>
        <w:jc w:val="both"/>
        <w:ind w:left="100" w:right="99"/>
        <w:spacing w:after="0" w:line="242" w:lineRule="auto"/>
        <w:rPr>
          <w:sz w:val="20"/>
          <w:szCs w:val="20"/>
          <w:color w:val="auto"/>
        </w:rPr>
      </w:pPr>
      <w:r>
        <w:rPr>
          <w:rFonts w:ascii="Arial" w:cs="Arial" w:eastAsia="Arial" w:hAnsi="Arial"/>
          <w:sz w:val="19"/>
          <w:szCs w:val="19"/>
          <w:color w:val="auto"/>
        </w:rPr>
        <w:t xml:space="preserve">then, at any time thereafter during the continuance of such event (other than an event with respect to the Company described in clause (h) or (i) of this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the Administrative Agent shall at the written request of (i) prior to the Conversion, the Majority in Interest of the Tranche 1 Lenders or (ii) on and after the Conversion, the Required Lenders, by written notice to the Company, take any or all of the following actions, at the same or different times during the continuance of such event: (A) terminate the Tranche 1 Commitments, (B)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Company hereunder, shall become due and payable immediately, and (C) require the deposit of cash collateral in respect of LC Exposures as provided in </w:t>
      </w:r>
      <w:r>
        <w:rPr>
          <w:rFonts w:ascii="Arial" w:cs="Arial" w:eastAsia="Arial" w:hAnsi="Arial"/>
          <w:sz w:val="19"/>
          <w:szCs w:val="19"/>
          <w:u w:val="single" w:color="auto"/>
          <w:color w:val="auto"/>
        </w:rPr>
        <w:t>Section 2.05(n)</w:t>
      </w:r>
      <w:r>
        <w:rPr>
          <w:rFonts w:ascii="Arial" w:cs="Arial" w:eastAsia="Arial" w:hAnsi="Arial"/>
          <w:sz w:val="19"/>
          <w:szCs w:val="19"/>
          <w:color w:val="auto"/>
        </w:rPr>
        <w:t>, in each case without presentment, demand, protest or other notice of any kind, all of which are hereby waived by the Company; and in the case of any event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454660</wp:posOffset>
            </wp:positionV>
            <wp:extent cx="5642610" cy="514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7" w:name="page278"/>
    <w:bookmarkEnd w:id="277"/>
    <w:p>
      <w:pPr>
        <w:ind w:left="8700"/>
        <w:spacing w:after="0"/>
        <w:rPr>
          <w:sz w:val="20"/>
          <w:szCs w:val="20"/>
          <w:color w:val="auto"/>
        </w:rPr>
      </w:pPr>
      <w:r>
        <w:rPr>
          <w:rFonts w:ascii="Arial" w:cs="Arial" w:eastAsia="Arial" w:hAnsi="Arial"/>
          <w:sz w:val="19"/>
          <w:szCs w:val="19"/>
          <w:color w:val="auto"/>
        </w:rPr>
        <w:t>91</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line="212" w:lineRule="auto"/>
        <w:rPr>
          <w:sz w:val="20"/>
          <w:szCs w:val="20"/>
          <w:color w:val="auto"/>
        </w:rPr>
      </w:pPr>
      <w:r>
        <w:rPr>
          <w:rFonts w:ascii="Arial" w:cs="Arial" w:eastAsia="Arial" w:hAnsi="Arial"/>
          <w:sz w:val="22"/>
          <w:szCs w:val="22"/>
          <w:color w:val="auto"/>
        </w:rPr>
        <w:t xml:space="preserve">Company described in clause (h) or (i) of this </w:t>
      </w:r>
      <w:r>
        <w:rPr>
          <w:rFonts w:ascii="Arial" w:cs="Arial" w:eastAsia="Arial" w:hAnsi="Arial"/>
          <w:sz w:val="22"/>
          <w:szCs w:val="22"/>
          <w:u w:val="single" w:color="auto"/>
          <w:color w:val="auto"/>
        </w:rPr>
        <w:t>Section 7.01</w:t>
      </w:r>
      <w:r>
        <w:rPr>
          <w:rFonts w:ascii="Arial" w:cs="Arial" w:eastAsia="Arial" w:hAnsi="Arial"/>
          <w:sz w:val="22"/>
          <w:szCs w:val="22"/>
          <w:color w:val="auto"/>
        </w:rPr>
        <w:t>, the Tranche 1 Commitments and the Tranche 2 Commitments shall automatically terminate, the principal of the Loans then outstanding, together with accrued interest thereon and all fees and other obligations of the Company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the Company.</w:t>
      </w:r>
    </w:p>
    <w:p>
      <w:pPr>
        <w:spacing w:after="0" w:line="164" w:lineRule="exact"/>
        <w:rPr>
          <w:sz w:val="20"/>
          <w:szCs w:val="20"/>
          <w:color w:val="auto"/>
        </w:rPr>
      </w:pPr>
    </w:p>
    <w:p>
      <w:pPr>
        <w:jc w:val="both"/>
        <w:ind w:left="100" w:right="99" w:firstLine="1296"/>
        <w:spacing w:after="0"/>
        <w:rPr>
          <w:sz w:val="20"/>
          <w:szCs w:val="20"/>
          <w:color w:val="auto"/>
        </w:rPr>
      </w:pPr>
      <w:r>
        <w:rPr>
          <w:rFonts w:ascii="Arial" w:cs="Arial" w:eastAsia="Arial" w:hAnsi="Arial"/>
          <w:sz w:val="19"/>
          <w:szCs w:val="19"/>
          <w:color w:val="auto"/>
        </w:rPr>
        <w:t xml:space="preserve">During the period from and including the Effective Date to the Conversion, and notwithstanding (I) any failure by the Company or any Subsidiary to observe or perform the covenants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hereof, (II) the occurrence of any Default or Event of Default or (III) any provision to the contrary in this Agreement, neither the Administrative Agent nor any Tranche 2 Lender shall be entitled to (1) rescind, terminate or cancel any of the Tranche 2 Commitments hereunder, or exercise any right or remedy under this Agreement or any other Loan Document in respect of the Tranche 2 Commitments, (2) in the case of any Tranche 2 Lender, refuse to make its initial Tranche 2 Loan on the PNG Acquisition Closing Date or (3) in the case of any Tranche 2 Lender, exercise any right of setoff or counterclaim in respect of its initial Tranche 2 Loan to the extent that to do so would prevent, limit or delay the making of its initial Tranche 2 Loan on the PNG Acquisition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initial borrowing of the Tranche 2 Loans on the PNG Acquisition Closing Date shall be subject to the satisfaction (or waiver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of the conditions precedent set forth in </w:t>
      </w:r>
      <w:r>
        <w:rPr>
          <w:rFonts w:ascii="Arial" w:cs="Arial" w:eastAsia="Arial" w:hAnsi="Arial"/>
          <w:sz w:val="19"/>
          <w:szCs w:val="19"/>
          <w:u w:val="single" w:color="auto"/>
          <w:color w:val="auto"/>
        </w:rPr>
        <w:t>Section 4.03</w:t>
      </w:r>
      <w:r>
        <w:rPr>
          <w:rFonts w:ascii="Arial" w:cs="Arial" w:eastAsia="Arial" w:hAnsi="Arial"/>
          <w:sz w:val="19"/>
          <w:szCs w:val="19"/>
          <w:color w:val="auto"/>
        </w:rPr>
        <w:t>. For the avoidance of doubt, (x) after the initial funding of the Tranche 2 Loans on the PNG Acquisition Closing Date, all of the rights, remedies and entitlements of the Administrative Agent and the Lenders under this Agreement and the other Loan Documents shall be available and may be exercised by them notwithstanding that such rights, remedies or entitlements were not available prior to such time as a result of the provisions of this paragraph and (y) nothing in this paragraph shall affect the rights, remedies or entitlements (or the ability to exercise the same) of the Tranche 1 Lenders, the Swingline Lenders, the Issuing Banks or, insofar as such rights, remedies or entitlements do not relate to Tranche 2 Commitments, the Administrative Agent, including any such rights, remedies or entitlements set forth in the immediately preceding paragraph.</w:t>
      </w:r>
    </w:p>
    <w:p>
      <w:pPr>
        <w:spacing w:after="0" w:line="382" w:lineRule="exact"/>
        <w:rPr>
          <w:sz w:val="20"/>
          <w:szCs w:val="20"/>
          <w:color w:val="auto"/>
        </w:rPr>
      </w:pPr>
    </w:p>
    <w:p>
      <w:pPr>
        <w:jc w:val="both"/>
        <w:ind w:left="100" w:right="99" w:firstLine="1296"/>
        <w:spacing w:after="0" w:line="241"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Clean-up Period</w:t>
      </w:r>
      <w:r>
        <w:rPr>
          <w:rFonts w:ascii="Arial" w:cs="Arial" w:eastAsia="Arial" w:hAnsi="Arial"/>
          <w:sz w:val="19"/>
          <w:szCs w:val="19"/>
          <w:color w:val="auto"/>
        </w:rPr>
        <w:t xml:space="preserve">. Notwithstanding anything to the contrary in this Agreement (including </w:t>
      </w:r>
      <w:r>
        <w:rPr>
          <w:rFonts w:ascii="Arial" w:cs="Arial" w:eastAsia="Arial" w:hAnsi="Arial"/>
          <w:sz w:val="19"/>
          <w:szCs w:val="19"/>
          <w:u w:val="single" w:color="auto"/>
          <w:color w:val="auto"/>
        </w:rPr>
        <w:t>Section 7.01(c)</w:t>
      </w:r>
      <w:r>
        <w:rPr>
          <w:rFonts w:ascii="Arial" w:cs="Arial" w:eastAsia="Arial" w:hAnsi="Arial"/>
          <w:sz w:val="19"/>
          <w:szCs w:val="19"/>
          <w:color w:val="auto"/>
        </w:rPr>
        <w:t>), during the period from and including the PNG Acquisition Closing Date and ending on the date that is 30 days after the PNG Acquisition Closing Date (the “</w:t>
      </w:r>
      <w:r>
        <w:rPr>
          <w:rFonts w:ascii="Arial" w:cs="Arial" w:eastAsia="Arial" w:hAnsi="Arial"/>
          <w:sz w:val="19"/>
          <w:szCs w:val="19"/>
          <w:u w:val="single" w:color="auto"/>
          <w:color w:val="auto"/>
        </w:rPr>
        <w:t>Clean-up Period</w:t>
      </w:r>
      <w:r>
        <w:rPr>
          <w:rFonts w:ascii="Arial" w:cs="Arial" w:eastAsia="Arial" w:hAnsi="Arial"/>
          <w:sz w:val="19"/>
          <w:szCs w:val="19"/>
          <w:color w:val="auto"/>
        </w:rPr>
        <w:t xml:space="preserve">”), if any representation or warranty (other than the Specified Representations) made by the Company in the Loan Documents or in any certificate or writing furnished pursuant to this Agreement shall prove to have been incorrect when made by reason of any matter or circumstance relating to the PNG Acquired Company and its subsidiaries, such breach of such representation or warranty shall not constitute a Default or Event of Default (other than for purposes of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5.02(a)</w:t>
      </w:r>
      <w:r>
        <w:rPr>
          <w:rFonts w:ascii="Arial" w:cs="Arial" w:eastAsia="Arial" w:hAnsi="Arial"/>
          <w:sz w:val="19"/>
          <w:szCs w:val="19"/>
          <w:color w:val="auto"/>
        </w:rPr>
        <w:t>) if and for so long as the circumstances giving rise to such breach of such representation or warranty (a) are capable of being remedied within the Clean-up Period and the Company and the Subsidiaries are taking appropriate steps to remedy such breach, (b) do not have and are not reasonably likely to have a Material Adverse Effect and (c) were not procured by or knowingly approved by the Company or any of the Subsidiaries (other than the PNG Acquired Company and its subsidiaries). If the relevant circumstances are continuing on or after the expiration of the Clean-up Period, the breach of such representation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320675</wp:posOffset>
            </wp:positionV>
            <wp:extent cx="5642610" cy="514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8" w:name="page279"/>
    <w:bookmarkEnd w:id="278"/>
    <w:p>
      <w:pPr>
        <w:jc w:val="right"/>
        <w:ind w:right="99"/>
        <w:spacing w:after="0"/>
        <w:rPr>
          <w:sz w:val="20"/>
          <w:szCs w:val="20"/>
          <w:color w:val="auto"/>
        </w:rPr>
      </w:pPr>
      <w:r>
        <w:rPr>
          <w:rFonts w:ascii="Arial" w:cs="Arial" w:eastAsia="Arial" w:hAnsi="Arial"/>
          <w:sz w:val="22"/>
          <w:szCs w:val="22"/>
          <w:color w:val="auto"/>
        </w:rPr>
        <w:t>92</w:t>
      </w:r>
    </w:p>
    <w:p>
      <w:pPr>
        <w:spacing w:after="0" w:line="396" w:lineRule="exact"/>
        <w:rPr>
          <w:sz w:val="20"/>
          <w:szCs w:val="20"/>
          <w:color w:val="auto"/>
        </w:rPr>
      </w:pPr>
    </w:p>
    <w:p>
      <w:pPr>
        <w:jc w:val="both"/>
        <w:ind w:left="100" w:right="99"/>
        <w:spacing w:after="0" w:line="216" w:lineRule="auto"/>
        <w:rPr>
          <w:sz w:val="20"/>
          <w:szCs w:val="20"/>
          <w:color w:val="auto"/>
        </w:rPr>
      </w:pPr>
      <w:r>
        <w:rPr>
          <w:rFonts w:ascii="Arial" w:cs="Arial" w:eastAsia="Arial" w:hAnsi="Arial"/>
          <w:sz w:val="22"/>
          <w:szCs w:val="22"/>
          <w:color w:val="auto"/>
        </w:rPr>
        <w:t xml:space="preserve">warranty, if otherwise constituting a Default or an Event of Default, shall then constitute a Default or an Event of Default, as the case may be, notwithstanding the immediately preceding sentence (and without prejudice to the rights and remedies of the Administrative Agent and the Lenders hereunder). For the avoidance of doubt, nothing in this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shall affect the conditions precedent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VIII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Administrative Agent</w:t>
      </w:r>
    </w:p>
    <w:p>
      <w:pPr>
        <w:spacing w:after="0" w:line="179" w:lineRule="exact"/>
        <w:rPr>
          <w:sz w:val="20"/>
          <w:szCs w:val="20"/>
          <w:color w:val="auto"/>
        </w:rPr>
      </w:pPr>
    </w:p>
    <w:p>
      <w:pPr>
        <w:jc w:val="both"/>
        <w:ind w:left="100" w:right="99" w:firstLine="1296"/>
        <w:spacing w:after="0" w:line="249"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u w:val="single" w:color="auto"/>
          <w:color w:val="auto"/>
        </w:rPr>
        <w:t>Appointment and Authorization of Administrative Agent</w:t>
      </w:r>
      <w:r>
        <w:rPr>
          <w:rFonts w:ascii="Arial" w:cs="Arial" w:eastAsia="Arial" w:hAnsi="Arial"/>
          <w:sz w:val="19"/>
          <w:szCs w:val="19"/>
          <w:color w:val="auto"/>
        </w:rPr>
        <w:t>. Each of the Lenders and the Issuing Banks hereby irrevocably appoints the entity named as Administrative Agent in the heading of this Agreement and its successors to serve as Administrative Agent under this Agreement and the other Loan Documents, and authorizes the Administrative Agent to take such actions and to exercise such powers as are delegated to the Administrative Agent by the terms of the Loan Documents, together with such actions and powers as are reasonably incidental thereto.</w:t>
      </w:r>
    </w:p>
    <w:p>
      <w:pPr>
        <w:spacing w:after="0" w:line="153" w:lineRule="exact"/>
        <w:rPr>
          <w:sz w:val="20"/>
          <w:szCs w:val="20"/>
          <w:color w:val="auto"/>
        </w:rPr>
      </w:pPr>
    </w:p>
    <w:p>
      <w:pPr>
        <w:jc w:val="both"/>
        <w:ind w:left="100" w:right="99" w:firstLine="1296"/>
        <w:spacing w:after="0" w:line="211"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Rights as a Lender</w:t>
      </w:r>
      <w:r>
        <w:rPr>
          <w:rFonts w:ascii="Arial" w:cs="Arial" w:eastAsia="Arial" w:hAnsi="Arial"/>
          <w:sz w:val="22"/>
          <w:szCs w:val="22"/>
          <w:color w:val="auto"/>
        </w:rPr>
        <w:t>. 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 or the Issuing Banks.</w:t>
      </w:r>
    </w:p>
    <w:p>
      <w:pPr>
        <w:spacing w:after="0" w:line="166" w:lineRule="exact"/>
        <w:rPr>
          <w:sz w:val="20"/>
          <w:szCs w:val="20"/>
          <w:color w:val="auto"/>
        </w:rPr>
      </w:pPr>
    </w:p>
    <w:p>
      <w:pPr>
        <w:jc w:val="both"/>
        <w:ind w:left="100" w:right="99" w:firstLine="1296"/>
        <w:spacing w:after="0"/>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xml:space="preserve">. The Administrative Agent shall not have any duties or obligations except those expressly set forth in the Loan Documents with respect to the Administrative Agent, and the Administrative Agent’s duties hereunder shall be administrative in nature. Without limiting the generality of the foregoing, (a) the Administrative Agent shall not be subject to any fiduciary or other implied duties, regardless of whether a Default has occurred and is continuing (and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and that such term is used as a matter of market custom and is intended to create or reflect only an administrative relationship between contracting parties), (b)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or as the Administrative Agent shall believe in good faith to be necessary, under the circumstances as provided in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could expose the Administrative Agent to liability or be contrary to any Loan Document or applicable law, and (c) except as expressly set forth in the Loan Documents, the Administrative Agent shall not have any duty to disclose, and the Administrative Agent shall not be liable for the failure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461010</wp:posOffset>
            </wp:positionV>
            <wp:extent cx="5642610" cy="514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9" w:name="page280"/>
    <w:bookmarkEnd w:id="279"/>
    <w:p>
      <w:pPr>
        <w:ind w:left="8700"/>
        <w:spacing w:after="0"/>
        <w:rPr>
          <w:sz w:val="20"/>
          <w:szCs w:val="20"/>
          <w:color w:val="auto"/>
        </w:rPr>
      </w:pPr>
      <w:r>
        <w:rPr>
          <w:rFonts w:ascii="Arial" w:cs="Arial" w:eastAsia="Arial" w:hAnsi="Arial"/>
          <w:sz w:val="19"/>
          <w:szCs w:val="19"/>
          <w:color w:val="auto"/>
        </w:rPr>
        <w:t>93</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line="239" w:lineRule="auto"/>
        <w:rPr>
          <w:sz w:val="20"/>
          <w:szCs w:val="20"/>
          <w:color w:val="auto"/>
        </w:rPr>
      </w:pPr>
      <w:r>
        <w:rPr>
          <w:rFonts w:ascii="Arial" w:cs="Arial" w:eastAsia="Arial" w:hAnsi="Arial"/>
          <w:sz w:val="19"/>
          <w:szCs w:val="19"/>
          <w:color w:val="auto"/>
        </w:rPr>
        <w:t>any information relating to the Company, any Subsidiary or any other Affiliate thereof that is communicated to or obtained by the Person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the Loan Documents), in accordance with the terms of the Loan Documents,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(stating that it is a “notice of default”) is given to the Administrative Agent by the Company, any Lender or any Issuing Bank, and the Administrative Agent shall not be responsible for or have any duty to ascertain or inquire into</w:t>
      </w:r>
    </w:p>
    <w:p>
      <w:pPr>
        <w:ind w:left="400" w:hanging="295"/>
        <w:spacing w:after="0" w:line="237" w:lineRule="auto"/>
        <w:tabs>
          <w:tab w:leader="none" w:pos="40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any statement, warranty or representation made in or in connection with any Loan Document,</w:t>
      </w:r>
    </w:p>
    <w:p>
      <w:pPr>
        <w:jc w:val="both"/>
        <w:ind w:left="100" w:right="99" w:firstLine="5"/>
        <w:spacing w:after="0"/>
        <w:tabs>
          <w:tab w:leader="none" w:pos="445"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or (v)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 The Administrative Agent neither warrants nor accepts responsibility for, and shall not have any liability with respect to, the administration, submission or any other matter related to the rates in the definition of the term “Adjusted LIBO Rate” (or any component thereof) or with respect to any comparable or successor rate thereto, or replacement rate therefor (except such as shall result from the gross negligence or willful misconduct of the Administrative Agent as determined by a court of competent jurisdiction in a final and nonappealable judgment).</w:t>
      </w:r>
    </w:p>
    <w:p>
      <w:pPr>
        <w:spacing w:after="0" w:line="383" w:lineRule="exact"/>
        <w:rPr>
          <w:sz w:val="20"/>
          <w:szCs w:val="20"/>
          <w:color w:val="auto"/>
        </w:rPr>
      </w:pPr>
    </w:p>
    <w:p>
      <w:pPr>
        <w:jc w:val="both"/>
        <w:ind w:left="100" w:right="99" w:firstLine="1296"/>
        <w:spacing w:after="0"/>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the Loan Documents for being the signatory, sender or authenticator thereof). The Administrative Agent also shall be entitled to rely, and shall not incur any liability for relying, upon any statement made to it orally or by telephone and believed by it to be made by the proper Person (whether or not such Person in fact meets the requirements set forth in the Loan Documents for being the signatory, sender or authenticator thereof), and may act upon any such statement prior to receipt of written confirmation thereof. Upon the request by the Administrative Agent at any time, the Lenders will confirm in writing whether an action may be taken by it (and the Administrative Agent may deem the failure to respond to any such request in a timely manner as approval). In determining compliance with any condition hereunder to the making of a Loan or the issuance, amendment, renewal or extension of any Letter of Credit that by its terms must be fulfilled to the satisfaction of a Lender or an Issuing Bank, the Administrative Agent may presume that such condition is satisfactory to such Lender or such Issuing Bank, as applicable, unless the Administrative Agent shall have received notice to the contrary from such Lender or such Issuing Bank, as applicable, prior to the making of such Loan or such event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462280</wp:posOffset>
            </wp:positionV>
            <wp:extent cx="5642610" cy="514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0" w:name="page281"/>
    <w:bookmarkEnd w:id="280"/>
    <w:p>
      <w:pPr>
        <w:jc w:val="right"/>
        <w:ind w:right="99"/>
        <w:spacing w:after="0"/>
        <w:rPr>
          <w:sz w:val="20"/>
          <w:szCs w:val="20"/>
          <w:color w:val="auto"/>
        </w:rPr>
      </w:pPr>
      <w:r>
        <w:rPr>
          <w:rFonts w:ascii="Arial" w:cs="Arial" w:eastAsia="Arial" w:hAnsi="Arial"/>
          <w:sz w:val="22"/>
          <w:szCs w:val="22"/>
          <w:color w:val="auto"/>
        </w:rPr>
        <w:t>94</w:t>
      </w:r>
    </w:p>
    <w:p>
      <w:pPr>
        <w:spacing w:after="0" w:line="396" w:lineRule="exact"/>
        <w:rPr>
          <w:sz w:val="20"/>
          <w:szCs w:val="20"/>
          <w:color w:val="auto"/>
        </w:rPr>
      </w:pPr>
    </w:p>
    <w:p>
      <w:pPr>
        <w:jc w:val="both"/>
        <w:ind w:left="100" w:right="99"/>
        <w:spacing w:after="0" w:line="218" w:lineRule="auto"/>
        <w:rPr>
          <w:sz w:val="20"/>
          <w:szCs w:val="20"/>
          <w:color w:val="auto"/>
        </w:rPr>
      </w:pPr>
      <w:r>
        <w:rPr>
          <w:rFonts w:ascii="Arial" w:cs="Arial" w:eastAsia="Arial" w:hAnsi="Arial"/>
          <w:sz w:val="22"/>
          <w:szCs w:val="22"/>
          <w:color w:val="auto"/>
        </w:rPr>
        <w:t>such Letter of Credit. The Administrative Agent may consult with legal counsel (who may be counsel for the Company), independent accountants and other experts selected by it with reasonable care, and shall not be liable for any action taken or not taken by it in accordance with the advice of any such counsel, accountants or experts.</w:t>
      </w:r>
    </w:p>
    <w:p>
      <w:pPr>
        <w:spacing w:after="0" w:line="161" w:lineRule="exact"/>
        <w:rPr>
          <w:sz w:val="20"/>
          <w:szCs w:val="20"/>
          <w:color w:val="auto"/>
        </w:rPr>
      </w:pPr>
    </w:p>
    <w:p>
      <w:pPr>
        <w:jc w:val="both"/>
        <w:ind w:left="100" w:right="99" w:firstLine="1296"/>
        <w:spacing w:after="0" w:line="219"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u w:val="single" w:color="auto"/>
          <w:color w:val="auto"/>
        </w:rPr>
        <w:t>Delegation of Duties</w:t>
      </w:r>
      <w:r>
        <w:rPr>
          <w:rFonts w:ascii="Arial" w:cs="Arial" w:eastAsia="Arial" w:hAnsi="Arial"/>
          <w:sz w:val="21"/>
          <w:szCs w:val="21"/>
          <w:color w:val="auto"/>
        </w:rPr>
        <w:t>. The Administrative Agent may perform any or all of its duties and exercise its rights and powers hereunder or under any other Loan Document by or through any one or more sub-agents appointed by the Administrative Agent. The Administrative Agent and any such sub-agent may perform any or all of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The Administrative Agent shall not be responsible for the negligence or misconduct of any of its sub-agents except to the extent that a court of competent jurisdiction determines in a final and nonappealable judgment that the Administrative Agent acted with gross negligence or willful misconduct in the selection of such sub-agents.</w:t>
      </w:r>
    </w:p>
    <w:p>
      <w:pPr>
        <w:spacing w:after="0" w:line="165" w:lineRule="exact"/>
        <w:rPr>
          <w:sz w:val="20"/>
          <w:szCs w:val="20"/>
          <w:color w:val="auto"/>
        </w:rPr>
      </w:pPr>
    </w:p>
    <w:p>
      <w:pPr>
        <w:jc w:val="both"/>
        <w:ind w:left="100" w:right="99" w:firstLine="1296"/>
        <w:spacing w:after="0" w:line="239"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Resignation of Administrative Agent</w:t>
      </w:r>
      <w:r>
        <w:rPr>
          <w:rFonts w:ascii="Arial" w:cs="Arial" w:eastAsia="Arial" w:hAnsi="Arial"/>
          <w:sz w:val="19"/>
          <w:szCs w:val="19"/>
          <w:color w:val="auto"/>
        </w:rPr>
        <w:t>. Subject to the terms of this paragraph, the Administrative Agent may resign at any time from its capacity as such. In connection with such resignation, the Administrative Agent shall give notice of its intent to resign to the Lenders, the Issuing Banks and the Company. Upon receipt of any such notice of resignation, the Company shall have the right, subject to the consent of the Required Lenders (with Lenders hereby agreeing to act promptly with respect to any request by the Company for such consent), unless a Payment or Bankruptcy Event of Default shall have occurred and be continuing, in which case the Required Lenders shall have the right, to appoint a successor. If no successor shall have been so appointed by the Required Lenders and shall have accepted such appointment within 30 days after the retiring Administrative Agent gives notice of its intent to resign, then the retiring Administrative Agent may, on behalf of the Lenders and the Issuing Banks, appoint a successor Administrative Agent, which shall be a bank with an office in New York, New York, or an Affiliate of any such bank. If the Person serving as the Administrative Agent is a Defaulting Lender pursuant to clause (d) of the definition thereof, the Required Lenders may, to the extent permitted by applicable law, by notice in writing to the Company and such Person remove such Person as the Administrative Agent and, subject to the consent of the Company (not to be unreasonably withheld, conditioned or delayed) so long as no Payment or Bankruptcy Event of Default shall have occurred and be continuing, appoint a successor. Upon the acceptance of its appointment as the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and under the other Loan Documents. The fees payable by the Company to a successor Administrative Agent shall be the same as those payable to its predecessor unless otherwise agreed by the Company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(a) the retiring Administrative Agent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325755</wp:posOffset>
            </wp:positionV>
            <wp:extent cx="5642610" cy="514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1" w:name="page282"/>
    <w:bookmarkEnd w:id="281"/>
    <w:p>
      <w:pPr>
        <w:jc w:val="right"/>
        <w:ind w:right="99"/>
        <w:spacing w:after="0"/>
        <w:rPr>
          <w:sz w:val="20"/>
          <w:szCs w:val="20"/>
          <w:color w:val="auto"/>
        </w:rPr>
      </w:pPr>
      <w:r>
        <w:rPr>
          <w:rFonts w:ascii="Arial" w:cs="Arial" w:eastAsia="Arial" w:hAnsi="Arial"/>
          <w:sz w:val="22"/>
          <w:szCs w:val="22"/>
          <w:color w:val="auto"/>
        </w:rPr>
        <w:t>95</w:t>
      </w:r>
    </w:p>
    <w:p>
      <w:pPr>
        <w:spacing w:after="0" w:line="396" w:lineRule="exact"/>
        <w:rPr>
          <w:sz w:val="20"/>
          <w:szCs w:val="20"/>
          <w:color w:val="auto"/>
        </w:rPr>
      </w:pPr>
    </w:p>
    <w:p>
      <w:pPr>
        <w:jc w:val="both"/>
        <w:ind w:left="100" w:right="99"/>
        <w:spacing w:after="0"/>
        <w:rPr>
          <w:sz w:val="20"/>
          <w:szCs w:val="20"/>
          <w:color w:val="auto"/>
        </w:rPr>
      </w:pPr>
      <w:r>
        <w:rPr>
          <w:rFonts w:ascii="Arial" w:cs="Arial" w:eastAsia="Arial" w:hAnsi="Arial"/>
          <w:sz w:val="19"/>
          <w:szCs w:val="19"/>
          <w:color w:val="auto"/>
        </w:rPr>
        <w:t xml:space="preserve">be discharged from its duties and obligations hereunder and under the other Loan Documents, and (b) the Required Lenders shall succeed to and become vested with all the rights, powers, privileges and duties of the retiring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all payments required to be made hereunder or under any other Loan Document to the retiring Administrative Agent for the account of any Person other than the retiring Administrative Agent shall be made directly to such Person, (ii) all notices and other communications required or contemplated to be given or made to the retiring Administrative Agent shall also directly be given or made to each Lender and each Issuing Bank and</w:t>
      </w:r>
    </w:p>
    <w:p>
      <w:pPr>
        <w:spacing w:after="0" w:line="1" w:lineRule="exact"/>
        <w:rPr>
          <w:sz w:val="20"/>
          <w:szCs w:val="20"/>
          <w:color w:val="auto"/>
        </w:rPr>
      </w:pPr>
    </w:p>
    <w:p>
      <w:pPr>
        <w:jc w:val="both"/>
        <w:ind w:left="100" w:right="99" w:firstLine="5"/>
        <w:spacing w:after="0" w:line="221" w:lineRule="exact"/>
        <w:tabs>
          <w:tab w:leader="none" w:pos="482" w:val="left"/>
        </w:tabs>
        <w:numPr>
          <w:ilvl w:val="0"/>
          <w:numId w:val="221"/>
        </w:numPr>
        <w:rPr>
          <w:rFonts w:ascii="Arial" w:cs="Arial" w:eastAsia="Arial" w:hAnsi="Arial"/>
          <w:sz w:val="21"/>
          <w:szCs w:val="21"/>
          <w:color w:val="auto"/>
        </w:rPr>
      </w:pPr>
      <w:r>
        <w:rPr>
          <w:rFonts w:ascii="Arial" w:cs="Arial" w:eastAsia="Arial" w:hAnsi="Arial"/>
          <w:sz w:val="21"/>
          <w:szCs w:val="21"/>
          <w:color w:val="auto"/>
        </w:rPr>
        <w:t xml:space="preserve">if applicable, the retiring Administrative Agent may continue to hold, on behalf of the Revolving Lenders and the Issuing Banks, any cash collateral received by it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2.05(n)</w:t>
      </w:r>
      <w:r>
        <w:rPr>
          <w:rFonts w:ascii="Arial" w:cs="Arial" w:eastAsia="Arial" w:hAnsi="Arial"/>
          <w:sz w:val="21"/>
          <w:szCs w:val="21"/>
          <w:color w:val="auto"/>
        </w:rPr>
        <w:t xml:space="preserve">. Following the effectiveness of the Administrative Agent’s resignation or removal from its capacity as such, the provisions of this Article and </w:t>
      </w:r>
      <w:r>
        <w:rPr>
          <w:rFonts w:ascii="Arial" w:cs="Arial" w:eastAsia="Arial" w:hAnsi="Arial"/>
          <w:sz w:val="21"/>
          <w:szCs w:val="21"/>
          <w:u w:val="single" w:color="auto"/>
          <w:color w:val="auto"/>
        </w:rPr>
        <w:t>Section 9.03</w:t>
      </w:r>
      <w:r>
        <w:rPr>
          <w:rFonts w:ascii="Arial" w:cs="Arial" w:eastAsia="Arial" w:hAnsi="Arial"/>
          <w:sz w:val="21"/>
          <w:szCs w:val="21"/>
          <w:color w:val="auto"/>
        </w:rPr>
        <w:t>, as well as any exculpatory, reimbursement and indemnification provisions set forth in any other Loan Document, shall continue in effect for the benefit of such retiring or removed Administrative Agent, its sub</w:t>
      </w:r>
      <w:r>
        <w:rPr>
          <w:rFonts w:ascii="MS PGothic" w:cs="MS PGothic" w:eastAsia="MS PGothic" w:hAnsi="MS PGothic"/>
          <w:sz w:val="21"/>
          <w:szCs w:val="21"/>
          <w:color w:val="auto"/>
        </w:rPr>
        <w:t>‑</w:t>
      </w:r>
      <w:r>
        <w:rPr>
          <w:rFonts w:ascii="Arial" w:cs="Arial" w:eastAsia="Arial" w:hAnsi="Arial"/>
          <w:sz w:val="21"/>
          <w:szCs w:val="21"/>
          <w:color w:val="auto"/>
        </w:rPr>
        <w:t>agents and their respective Related Parties in respect of any actions taken or omitted to be taken by any of them while it was acting as the Administrative Agent or while holding cash collateral as contemplated by the immediately preceding sentence.</w:t>
      </w:r>
    </w:p>
    <w:p>
      <w:pPr>
        <w:spacing w:after="0" w:line="160" w:lineRule="exact"/>
        <w:rPr>
          <w:sz w:val="20"/>
          <w:szCs w:val="20"/>
          <w:color w:val="auto"/>
        </w:rPr>
      </w:pPr>
    </w:p>
    <w:p>
      <w:pPr>
        <w:jc w:val="both"/>
        <w:ind w:left="100" w:right="99" w:firstLine="1296"/>
        <w:spacing w:after="0" w:line="241" w:lineRule="auto"/>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Lender and Issuing Bank acknowledges that it has, independently and without reliance upon the Administrative Agent, the Revolver Facility Arrangers, the Bridge Facility Arrangers or any other Lender or Issuing Bank, or any of the Related Parties of any of the foregoing, and based on such documents and information as it has deemed appropriate, made its own credit analysis and decision to enter into this Agreement. Each Lender and Issuing Bank also acknowledges that it will, independently and without reliance upon the Administrative Agent, the Revolver Facility Arrangers, the Bridge Facility Arrangers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by delivering its signature page to this Agreement, or delivering its signature page to an Assignment and Assumption or any other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or prior to such date and on the Effective Date.</w:t>
      </w:r>
    </w:p>
    <w:p>
      <w:pPr>
        <w:spacing w:after="0" w:line="379"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1"/>
          <w:szCs w:val="21"/>
          <w:color w:val="auto"/>
        </w:rPr>
        <w:t xml:space="preserve">SECTION 8.08 </w:t>
      </w:r>
      <w:r>
        <w:rPr>
          <w:rFonts w:ascii="Arial" w:cs="Arial" w:eastAsia="Arial" w:hAnsi="Arial"/>
          <w:sz w:val="21"/>
          <w:szCs w:val="21"/>
          <w:u w:val="single" w:color="auto"/>
          <w:color w:val="auto"/>
        </w:rPr>
        <w:t>Administrative Agent May File Proofs of Claim</w:t>
      </w:r>
      <w:r>
        <w:rPr>
          <w:rFonts w:ascii="Arial" w:cs="Arial" w:eastAsia="Arial" w:hAnsi="Arial"/>
          <w:sz w:val="21"/>
          <w:szCs w:val="21"/>
          <w:color w:val="auto"/>
        </w:rPr>
        <w:t>. In case of any proceeding with respect to the Company under any United States (Federal or state) or foreign bankruptcy, insolvency, receivership, winding-up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spacing w:after="0" w:line="158" w:lineRule="exact"/>
        <w:rPr>
          <w:sz w:val="20"/>
          <w:szCs w:val="20"/>
          <w:color w:val="auto"/>
        </w:rPr>
      </w:pPr>
    </w:p>
    <w:p>
      <w:pPr>
        <w:jc w:val="both"/>
        <w:ind w:left="760" w:right="99" w:firstLine="641"/>
        <w:spacing w:after="0" w:line="257" w:lineRule="auto"/>
        <w:tabs>
          <w:tab w:leader="none" w:pos="1864"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Letters of Credit and all other Obligations that are owing and unpaid and to file such other documents as may be necessary or advisable in order to have the claims of the Lenders, the Issuing Banks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307340</wp:posOffset>
            </wp:positionV>
            <wp:extent cx="5642610" cy="514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2" w:name="page283"/>
    <w:bookmarkEnd w:id="282"/>
    <w:p>
      <w:pPr>
        <w:jc w:val="right"/>
        <w:ind w:right="99"/>
        <w:spacing w:after="0"/>
        <w:rPr>
          <w:sz w:val="20"/>
          <w:szCs w:val="20"/>
          <w:color w:val="auto"/>
        </w:rPr>
      </w:pPr>
      <w:r>
        <w:rPr>
          <w:rFonts w:ascii="Arial" w:cs="Arial" w:eastAsia="Arial" w:hAnsi="Arial"/>
          <w:sz w:val="22"/>
          <w:szCs w:val="22"/>
          <w:color w:val="auto"/>
        </w:rPr>
        <w:t>96</w:t>
      </w:r>
    </w:p>
    <w:p>
      <w:pPr>
        <w:spacing w:after="0" w:line="396" w:lineRule="exact"/>
        <w:rPr>
          <w:sz w:val="20"/>
          <w:szCs w:val="20"/>
          <w:color w:val="auto"/>
        </w:rPr>
      </w:pPr>
    </w:p>
    <w:p>
      <w:pPr>
        <w:jc w:val="both"/>
        <w:ind w:left="760" w:right="99"/>
        <w:spacing w:after="0" w:line="232" w:lineRule="auto"/>
        <w:rPr>
          <w:sz w:val="20"/>
          <w:szCs w:val="20"/>
          <w:color w:val="auto"/>
        </w:rPr>
      </w:pPr>
      <w:r>
        <w:rPr>
          <w:rFonts w:ascii="Arial" w:cs="Arial" w:eastAsia="Arial" w:hAnsi="Arial"/>
          <w:sz w:val="22"/>
          <w:szCs w:val="22"/>
          <w:color w:val="auto"/>
        </w:rPr>
        <w:t xml:space="preserve">(including any claim under </w:t>
      </w:r>
      <w:r>
        <w:rPr>
          <w:rFonts w:ascii="Arial" w:cs="Arial" w:eastAsia="Arial" w:hAnsi="Arial"/>
          <w:sz w:val="22"/>
          <w:szCs w:val="22"/>
          <w:u w:val="single" w:color="auto"/>
          <w:color w:val="auto"/>
        </w:rPr>
        <w:t>Sections 2.14</w:t>
      </w:r>
      <w:r>
        <w:rPr>
          <w:rFonts w:ascii="Arial" w:cs="Arial" w:eastAsia="Arial" w:hAnsi="Arial"/>
          <w:sz w:val="22"/>
          <w:szCs w:val="22"/>
          <w:color w:val="auto"/>
        </w:rPr>
        <w:t xml:space="preserve">, </w:t>
      </w:r>
      <w:r>
        <w:rPr>
          <w:rFonts w:ascii="Arial" w:cs="Arial" w:eastAsia="Arial" w:hAnsi="Arial"/>
          <w:sz w:val="22"/>
          <w:szCs w:val="22"/>
          <w:u w:val="single" w:color="auto"/>
          <w:color w:val="auto"/>
        </w:rPr>
        <w:t>2.15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9.03</w:t>
      </w:r>
      <w:r>
        <w:rPr>
          <w:rFonts w:ascii="Arial" w:cs="Arial" w:eastAsia="Arial" w:hAnsi="Arial"/>
          <w:sz w:val="22"/>
          <w:szCs w:val="22"/>
          <w:color w:val="auto"/>
        </w:rPr>
        <w:t>) allowed in such judicial proceeding; and</w:t>
      </w:r>
    </w:p>
    <w:p>
      <w:pPr>
        <w:spacing w:after="0" w:line="159" w:lineRule="exact"/>
        <w:rPr>
          <w:sz w:val="20"/>
          <w:szCs w:val="20"/>
          <w:color w:val="auto"/>
        </w:rPr>
      </w:pPr>
    </w:p>
    <w:p>
      <w:pPr>
        <w:ind w:left="760" w:right="99" w:firstLine="641"/>
        <w:spacing w:after="0" w:line="232" w:lineRule="auto"/>
        <w:tabs>
          <w:tab w:leader="none" w:pos="1876"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159" w:lineRule="exact"/>
        <w:rPr>
          <w:sz w:val="20"/>
          <w:szCs w:val="20"/>
          <w:color w:val="auto"/>
        </w:rPr>
      </w:pPr>
    </w:p>
    <w:p>
      <w:pPr>
        <w:jc w:val="both"/>
        <w:ind w:left="100" w:right="99"/>
        <w:spacing w:after="0" w:line="249"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proceeding is hereby authorized by each Lender and Issuing Bank to make such payments to the Administrative Agent and, in the event that the Administrative Agent shall consent to the making of such payments directly to the Lenders, the Issuing Banks or other holders of any Obligations, to pay to the Administrative Agent any amount due to it, in its capacity as the Administrative Agent, under the Loan Documents (including under </w:t>
      </w:r>
      <w:r>
        <w:rPr>
          <w:rFonts w:ascii="Arial" w:cs="Arial" w:eastAsia="Arial" w:hAnsi="Arial"/>
          <w:sz w:val="19"/>
          <w:szCs w:val="19"/>
          <w:u w:val="single" w:color="auto"/>
          <w:color w:val="auto"/>
        </w:rPr>
        <w:t>Section 9.03</w:t>
      </w:r>
      <w:r>
        <w:rPr>
          <w:rFonts w:ascii="Arial" w:cs="Arial" w:eastAsia="Arial" w:hAnsi="Arial"/>
          <w:sz w:val="19"/>
          <w:szCs w:val="19"/>
          <w:color w:val="auto"/>
        </w:rPr>
        <w:t>).</w:t>
      </w:r>
    </w:p>
    <w:p>
      <w:pPr>
        <w:spacing w:after="0" w:line="153" w:lineRule="exact"/>
        <w:rPr>
          <w:sz w:val="20"/>
          <w:szCs w:val="20"/>
          <w:color w:val="auto"/>
        </w:rPr>
      </w:pPr>
    </w:p>
    <w:p>
      <w:pPr>
        <w:jc w:val="both"/>
        <w:ind w:left="100" w:right="99" w:firstLine="1296"/>
        <w:spacing w:after="0" w:line="219" w:lineRule="auto"/>
        <w:rPr>
          <w:sz w:val="20"/>
          <w:szCs w:val="20"/>
          <w:color w:val="auto"/>
        </w:rPr>
      </w:pPr>
      <w:r>
        <w:rPr>
          <w:rFonts w:ascii="Arial" w:cs="Arial" w:eastAsia="Arial" w:hAnsi="Arial"/>
          <w:sz w:val="21"/>
          <w:szCs w:val="21"/>
          <w:color w:val="auto"/>
        </w:rPr>
        <w:t xml:space="preserve">SECTION 8.09 </w:t>
      </w:r>
      <w:r>
        <w:rPr>
          <w:rFonts w:ascii="Arial" w:cs="Arial" w:eastAsia="Arial" w:hAnsi="Arial"/>
          <w:sz w:val="21"/>
          <w:szCs w:val="21"/>
          <w:u w:val="single" w:color="auto"/>
          <w:color w:val="auto"/>
        </w:rPr>
        <w:t>No Reliance on Administrative Agent’s Customer Identification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Program</w:t>
      </w:r>
      <w:r>
        <w:rPr>
          <w:rFonts w:ascii="Arial" w:cs="Arial" w:eastAsia="Arial" w:hAnsi="Arial"/>
          <w:sz w:val="21"/>
          <w:szCs w:val="21"/>
          <w:color w:val="auto"/>
        </w:rPr>
        <w:t>. Each Lender and Issuing Bank acknowledges and agrees that neither such Lender or Issuing Bank, nor any of its Affiliates, participants or assignees, may rely on the Administrative Agent to carry out such Lender’s, Issuing Bank’s,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Arial" w:cs="Arial" w:eastAsia="Arial" w:hAnsi="Arial"/>
          <w:sz w:val="21"/>
          <w:szCs w:val="21"/>
          <w:u w:val="single" w:color="auto"/>
          <w:color w:val="auto"/>
        </w:rPr>
        <w:t>CIP Regulations</w:t>
      </w:r>
      <w:r>
        <w:rPr>
          <w:rFonts w:ascii="Arial" w:cs="Arial" w:eastAsia="Arial" w:hAnsi="Arial"/>
          <w:sz w:val="21"/>
          <w:szCs w:val="21"/>
          <w:color w:val="auto"/>
        </w:rPr>
        <w:t>”), or any other Anti-Corruption Laws, including any programs involving any of the following items relating to or in connection with any of the Company, its Affiliates or its agents, the Loan Documents or the transactions hereunder or contemplated hereby: (a) any identity verification procedures, (b) any recordkeeping, (c) comparisons with government lists, (d) customer notices or (e) other procedures required under the CIP Regulations or such other laws.</w:t>
      </w:r>
    </w:p>
    <w:p>
      <w:pPr>
        <w:spacing w:after="0" w:line="165"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8.10</w:t>
      </w:r>
      <w:r>
        <w:rPr>
          <w:sz w:val="20"/>
          <w:szCs w:val="20"/>
          <w:color w:val="auto"/>
        </w:rPr>
        <w:tab/>
      </w:r>
      <w:r>
        <w:rPr>
          <w:rFonts w:ascii="Arial" w:cs="Arial" w:eastAsia="Arial" w:hAnsi="Arial"/>
          <w:sz w:val="19"/>
          <w:szCs w:val="19"/>
          <w:u w:val="single" w:color="auto"/>
          <w:color w:val="auto"/>
        </w:rPr>
        <w:t>Lender ERISA Representations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tabs>
          <w:tab w:leader="none" w:pos="1933" w:val="left"/>
        </w:tabs>
        <w:numPr>
          <w:ilvl w:val="0"/>
          <w:numId w:val="224"/>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Revolver Facility Arrangers, the Bridge Facility Arrangers and their respective Affiliates, and not, for the avoidance of doubt, to or for the benefit of the Company, that at least one of the following is and will be true: (i) such Lender is not using “plan assets” (within the meaning of 29 CFR § 2510.3-101, as modified by Section 3(42) of ERISA)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462280</wp:posOffset>
            </wp:positionV>
            <wp:extent cx="5642610" cy="514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3" w:name="page284"/>
    <w:bookmarkEnd w:id="283"/>
    <w:p>
      <w:pPr>
        <w:ind w:left="8700"/>
        <w:spacing w:after="0"/>
        <w:rPr>
          <w:sz w:val="20"/>
          <w:szCs w:val="20"/>
          <w:color w:val="auto"/>
        </w:rPr>
      </w:pPr>
      <w:r>
        <w:rPr>
          <w:rFonts w:ascii="Arial" w:cs="Arial" w:eastAsia="Arial" w:hAnsi="Arial"/>
          <w:sz w:val="19"/>
          <w:szCs w:val="19"/>
          <w:color w:val="auto"/>
        </w:rPr>
        <w:t>97</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line="245" w:lineRule="auto"/>
        <w:rPr>
          <w:sz w:val="20"/>
          <w:szCs w:val="20"/>
          <w:color w:val="auto"/>
        </w:rPr>
      </w:pPr>
      <w:r>
        <w:rPr>
          <w:rFonts w:ascii="Arial" w:cs="Arial" w:eastAsia="Arial" w:hAnsi="Arial"/>
          <w:sz w:val="19"/>
          <w:szCs w:val="19"/>
          <w:color w:val="auto"/>
        </w:rPr>
        <w:t>Asset Manager made the investment decision on behalf of such Lender to enter into, participate in, administer and perform the Loans, the Letters of Credit,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w:t>
      </w:r>
    </w:p>
    <w:p>
      <w:pPr>
        <w:spacing w:after="0" w:line="153" w:lineRule="exact"/>
        <w:rPr>
          <w:sz w:val="20"/>
          <w:szCs w:val="20"/>
          <w:color w:val="auto"/>
        </w:rPr>
      </w:pPr>
    </w:p>
    <w:p>
      <w:pPr>
        <w:jc w:val="both"/>
        <w:ind w:left="100" w:right="99" w:firstLine="1301"/>
        <w:spacing w:after="0" w:line="243" w:lineRule="auto"/>
        <w:tabs>
          <w:tab w:leader="none" w:pos="1864" w:val="left"/>
        </w:tabs>
        <w:numPr>
          <w:ilvl w:val="1"/>
          <w:numId w:val="225"/>
        </w:numPr>
        <w:rPr>
          <w:rFonts w:ascii="Arial" w:cs="Arial" w:eastAsia="Arial" w:hAnsi="Arial"/>
          <w:sz w:val="19"/>
          <w:szCs w:val="19"/>
          <w:color w:val="auto"/>
        </w:rPr>
      </w:pPr>
      <w:r>
        <w:rPr>
          <w:rFonts w:ascii="Arial" w:cs="Arial" w:eastAsia="Arial" w:hAnsi="Arial"/>
          <w:sz w:val="19"/>
          <w:szCs w:val="19"/>
          <w:color w:val="auto"/>
        </w:rPr>
        <w:t>In addition, unless either (1) clause (i) of the immediately preceding paragraph is true with respect to a Lender or (2) a Lender has provided another representation, warranty and covenant in accordance with clause (iv) of the immediately preceding paragraph, such Lender further</w:t>
      </w:r>
    </w:p>
    <w:p>
      <w:pPr>
        <w:spacing w:after="0" w:line="2" w:lineRule="exact"/>
        <w:rPr>
          <w:rFonts w:ascii="Arial" w:cs="Arial" w:eastAsia="Arial" w:hAnsi="Arial"/>
          <w:sz w:val="19"/>
          <w:szCs w:val="19"/>
          <w:color w:val="auto"/>
        </w:rPr>
      </w:pPr>
    </w:p>
    <w:p>
      <w:pPr>
        <w:jc w:val="both"/>
        <w:ind w:left="100" w:right="99" w:firstLine="5"/>
        <w:spacing w:after="0" w:line="218" w:lineRule="auto"/>
        <w:tabs>
          <w:tab w:leader="none" w:pos="438" w:val="left"/>
        </w:tabs>
        <w:numPr>
          <w:ilvl w:val="0"/>
          <w:numId w:val="226"/>
        </w:numPr>
        <w:rPr>
          <w:rFonts w:ascii="Arial" w:cs="Arial" w:eastAsia="Arial" w:hAnsi="Arial"/>
          <w:sz w:val="21"/>
          <w:szCs w:val="21"/>
          <w:color w:val="auto"/>
        </w:rPr>
      </w:pPr>
      <w:r>
        <w:rPr>
          <w:rFonts w:ascii="Arial" w:cs="Arial" w:eastAsia="Arial" w:hAnsi="Arial"/>
          <w:sz w:val="21"/>
          <w:szCs w:val="21"/>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the Revolver Facility Arrangers, the Bridge Facility Arrangers and their respective Affiliates, and not, for the avoidance of doubt, to or for the benefit of the Company, that none of the Administrative Agent, the Revolver Facility Arrangers or the Bridge Facility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62" w:lineRule="exact"/>
        <w:rPr>
          <w:sz w:val="20"/>
          <w:szCs w:val="20"/>
          <w:color w:val="auto"/>
        </w:rPr>
      </w:pPr>
    </w:p>
    <w:p>
      <w:pPr>
        <w:jc w:val="both"/>
        <w:ind w:left="100" w:right="99" w:firstLine="1296"/>
        <w:spacing w:after="0" w:line="224" w:lineRule="auto"/>
        <w:rPr>
          <w:sz w:val="20"/>
          <w:szCs w:val="20"/>
          <w:color w:val="auto"/>
        </w:rPr>
      </w:pPr>
      <w:r>
        <w:rPr>
          <w:rFonts w:ascii="Arial" w:cs="Arial" w:eastAsia="Arial" w:hAnsi="Arial"/>
          <w:sz w:val="21"/>
          <w:szCs w:val="21"/>
          <w:color w:val="auto"/>
        </w:rPr>
        <w:t xml:space="preserve">SECTION 8.11 </w:t>
      </w:r>
      <w:r>
        <w:rPr>
          <w:rFonts w:ascii="Arial" w:cs="Arial" w:eastAsia="Arial" w:hAnsi="Arial"/>
          <w:sz w:val="21"/>
          <w:szCs w:val="21"/>
          <w:u w:val="single" w:color="auto"/>
          <w:color w:val="auto"/>
        </w:rPr>
        <w:t>No Other Duties; Etc</w:t>
      </w:r>
      <w:r>
        <w:rPr>
          <w:rFonts w:ascii="Arial" w:cs="Arial" w:eastAsia="Arial" w:hAnsi="Arial"/>
          <w:sz w:val="21"/>
          <w:szCs w:val="21"/>
          <w:color w:val="auto"/>
        </w:rPr>
        <w:t>. Notwithstanding anything herein to the contrary, none of the Revolver Facility Arrangers, the Bridge Facility Arrangers, the Syndication Agent or the Documentation Agents shall have any duties or obligations under this Agreement or any other Loan Document (except in its capacity, as applicable, as the Administrative Agent, a Lender or an Issuing Bank), but all such Persons shall have the benefit of the indemnities and exculpatory provisions provided for hereunder or thereunder.</w:t>
      </w:r>
    </w:p>
    <w:p>
      <w:pPr>
        <w:spacing w:after="0" w:line="160" w:lineRule="exact"/>
        <w:rPr>
          <w:sz w:val="20"/>
          <w:szCs w:val="20"/>
          <w:color w:val="auto"/>
        </w:rPr>
      </w:pPr>
    </w:p>
    <w:p>
      <w:pPr>
        <w:jc w:val="both"/>
        <w:ind w:left="100" w:right="99" w:firstLine="1296"/>
        <w:spacing w:after="0" w:line="241" w:lineRule="auto"/>
        <w:rPr>
          <w:sz w:val="20"/>
          <w:szCs w:val="20"/>
          <w:color w:val="auto"/>
        </w:rPr>
      </w:pPr>
      <w:r>
        <w:rPr>
          <w:rFonts w:ascii="Arial" w:cs="Arial" w:eastAsia="Arial" w:hAnsi="Arial"/>
          <w:sz w:val="19"/>
          <w:szCs w:val="19"/>
          <w:color w:val="auto"/>
        </w:rPr>
        <w:t xml:space="preserve">SECTION 8.12 </w:t>
      </w:r>
      <w:r>
        <w:rPr>
          <w:rFonts w:ascii="Arial" w:cs="Arial" w:eastAsia="Arial" w:hAnsi="Arial"/>
          <w:sz w:val="19"/>
          <w:szCs w:val="19"/>
          <w:u w:val="single" w:color="auto"/>
          <w:color w:val="auto"/>
        </w:rPr>
        <w:t>Tax Withholdings</w:t>
      </w:r>
      <w:r>
        <w:rPr>
          <w:rFonts w:ascii="Arial" w:cs="Arial" w:eastAsia="Arial" w:hAnsi="Arial"/>
          <w:sz w:val="19"/>
          <w:szCs w:val="19"/>
          <w:color w:val="auto"/>
        </w:rPr>
        <w:t xml:space="preserve">. To the extent required by any applicable law, the Administrative Agent may withhold from any payment to any Lender or Issuing Bank an amount equivalent to any applicable withholding Tax. Without limiting or expanding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 each Lender and Issuing Bank shall indemnify and hold harmless the Administrative Agent against, within 10 days after written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or Issuing Bank, as applicable, for any reason (including, without limitation, because the appropriate form was not delivered or not properly executed, or because such Lender or Issuing Bank, as applicable, failed to notify the Administrative Agent of a change in circumstance that rendered the exemption from, or reduction of withholding Tax ineffective). A certificate as to the amount of such payment or liability delivered to any Lender or Issuing Bank by the Administrative Agent shall be conclusive absent manifest error. Each Lender and Issuing Bank hereby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320675</wp:posOffset>
            </wp:positionV>
            <wp:extent cx="5642610" cy="514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4" w:name="page285"/>
    <w:bookmarkEnd w:id="284"/>
    <w:p>
      <w:pPr>
        <w:jc w:val="right"/>
        <w:ind w:right="99"/>
        <w:spacing w:after="0"/>
        <w:rPr>
          <w:sz w:val="20"/>
          <w:szCs w:val="20"/>
          <w:color w:val="auto"/>
        </w:rPr>
      </w:pPr>
      <w:r>
        <w:rPr>
          <w:rFonts w:ascii="Arial" w:cs="Arial" w:eastAsia="Arial" w:hAnsi="Arial"/>
          <w:sz w:val="22"/>
          <w:szCs w:val="22"/>
          <w:color w:val="auto"/>
        </w:rPr>
        <w:t>98</w:t>
      </w:r>
    </w:p>
    <w:p>
      <w:pPr>
        <w:spacing w:after="0" w:line="396" w:lineRule="exact"/>
        <w:rPr>
          <w:sz w:val="20"/>
          <w:szCs w:val="20"/>
          <w:color w:val="auto"/>
        </w:rPr>
      </w:pPr>
    </w:p>
    <w:p>
      <w:pPr>
        <w:jc w:val="both"/>
        <w:ind w:left="100" w:right="99"/>
        <w:spacing w:after="0" w:line="224" w:lineRule="auto"/>
        <w:rPr>
          <w:sz w:val="20"/>
          <w:szCs w:val="20"/>
          <w:color w:val="auto"/>
        </w:rPr>
      </w:pPr>
      <w:r>
        <w:rPr>
          <w:rFonts w:ascii="Arial" w:cs="Arial" w:eastAsia="Arial" w:hAnsi="Arial"/>
          <w:sz w:val="21"/>
          <w:szCs w:val="21"/>
          <w:color w:val="auto"/>
        </w:rPr>
        <w:t>the Administrative Agent to set off and apply any and all amounts at any time owing to such Lender or Issuing Bank, as applicable,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or Issuing Bank, the termination of the Commitments and the repayment, satisfaction or discharge of all other Obligations.</w:t>
      </w:r>
    </w:p>
    <w:p>
      <w:pPr>
        <w:spacing w:after="0" w:line="160" w:lineRule="exact"/>
        <w:rPr>
          <w:sz w:val="20"/>
          <w:szCs w:val="20"/>
          <w:color w:val="auto"/>
        </w:rPr>
      </w:pPr>
    </w:p>
    <w:p>
      <w:pPr>
        <w:jc w:val="both"/>
        <w:ind w:left="100" w:right="99" w:firstLine="1296"/>
        <w:spacing w:after="0" w:line="268" w:lineRule="auto"/>
        <w:rPr>
          <w:sz w:val="20"/>
          <w:szCs w:val="20"/>
          <w:color w:val="auto"/>
        </w:rPr>
      </w:pPr>
      <w:r>
        <w:rPr>
          <w:rFonts w:ascii="Arial" w:cs="Arial" w:eastAsia="Arial" w:hAnsi="Arial"/>
          <w:sz w:val="19"/>
          <w:szCs w:val="19"/>
          <w:color w:val="auto"/>
        </w:rPr>
        <w:t xml:space="preserve">SECTION 8.13 </w:t>
      </w:r>
      <w:r>
        <w:rPr>
          <w:rFonts w:ascii="Arial" w:cs="Arial" w:eastAsia="Arial" w:hAnsi="Arial"/>
          <w:sz w:val="19"/>
          <w:szCs w:val="19"/>
          <w:u w:val="single" w:color="auto"/>
          <w:color w:val="auto"/>
        </w:rPr>
        <w:t>Beneficiaries</w:t>
      </w:r>
      <w:r>
        <w:rPr>
          <w:rFonts w:ascii="Arial" w:cs="Arial" w:eastAsia="Arial" w:hAnsi="Arial"/>
          <w:sz w:val="19"/>
          <w:szCs w:val="19"/>
          <w:color w:val="auto"/>
        </w:rPr>
        <w:t xml:space="preserve">. Except with respect to </w:t>
      </w:r>
      <w:r>
        <w:rPr>
          <w:rFonts w:ascii="Arial" w:cs="Arial" w:eastAsia="Arial" w:hAnsi="Arial"/>
          <w:sz w:val="19"/>
          <w:szCs w:val="19"/>
          <w:u w:val="single" w:color="auto"/>
          <w:color w:val="auto"/>
        </w:rPr>
        <w:t>Section 8.06</w:t>
      </w:r>
      <w:r>
        <w:rPr>
          <w:rFonts w:ascii="Arial" w:cs="Arial" w:eastAsia="Arial" w:hAnsi="Arial"/>
          <w:sz w:val="19"/>
          <w:szCs w:val="19"/>
          <w:color w:val="auto"/>
        </w:rPr>
        <w:t>, the provisions of this Article are solely for the benefit of the Administrative Agent, the Lenders and the Issuing Banks, and the Company shall not have any rights as a third party beneficiary of any such provisions.</w:t>
      </w:r>
    </w:p>
    <w:p>
      <w:pPr>
        <w:spacing w:after="0" w:line="132" w:lineRule="exact"/>
        <w:rPr>
          <w:sz w:val="20"/>
          <w:szCs w:val="20"/>
          <w:color w:val="auto"/>
        </w:rPr>
      </w:pPr>
    </w:p>
    <w:p>
      <w:pPr>
        <w:ind w:left="3920"/>
        <w:spacing w:after="0"/>
        <w:rPr>
          <w:sz w:val="20"/>
          <w:szCs w:val="20"/>
          <w:color w:val="auto"/>
        </w:rPr>
      </w:pPr>
      <w:r>
        <w:rPr>
          <w:rFonts w:ascii="Arial" w:cs="Arial" w:eastAsia="Arial" w:hAnsi="Arial"/>
          <w:sz w:val="22"/>
          <w:szCs w:val="22"/>
          <w:u w:val="single" w:color="auto"/>
          <w:color w:val="auto"/>
        </w:rPr>
        <w:t>ARTICLE IX</w:t>
      </w:r>
    </w:p>
    <w:p>
      <w:pPr>
        <w:spacing w:after="0" w:line="179" w:lineRule="exact"/>
        <w:rPr>
          <w:sz w:val="20"/>
          <w:szCs w:val="20"/>
          <w:color w:val="auto"/>
        </w:rPr>
      </w:pPr>
    </w:p>
    <w:p>
      <w:pPr>
        <w:ind w:left="3880"/>
        <w:spacing w:after="0"/>
        <w:rPr>
          <w:sz w:val="20"/>
          <w:szCs w:val="20"/>
          <w:color w:val="auto"/>
        </w:rPr>
      </w:pPr>
      <w:r>
        <w:rPr>
          <w:rFonts w:ascii="Arial" w:cs="Arial" w:eastAsia="Arial" w:hAnsi="Arial"/>
          <w:sz w:val="22"/>
          <w:szCs w:val="22"/>
          <w:u w:val="single" w:color="auto"/>
          <w:color w:val="auto"/>
        </w:rPr>
        <w:t>Miscellaneous</w:t>
      </w:r>
    </w:p>
    <w:p>
      <w:pPr>
        <w:spacing w:after="0" w:line="179"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179" w:lineRule="exact"/>
        <w:rPr>
          <w:sz w:val="20"/>
          <w:szCs w:val="20"/>
          <w:color w:val="auto"/>
        </w:rPr>
      </w:pPr>
    </w:p>
    <w:p>
      <w:pPr>
        <w:jc w:val="both"/>
        <w:ind w:left="100" w:right="99" w:firstLine="1301"/>
        <w:spacing w:after="0" w:line="216" w:lineRule="auto"/>
        <w:tabs>
          <w:tab w:leader="none" w:pos="1852" w:val="left"/>
        </w:tabs>
        <w:numPr>
          <w:ilvl w:val="0"/>
          <w:numId w:val="227"/>
        </w:numPr>
        <w:rPr>
          <w:rFonts w:ascii="Arial" w:cs="Arial" w:eastAsia="Arial" w:hAnsi="Arial"/>
          <w:sz w:val="22"/>
          <w:szCs w:val="22"/>
          <w:color w:val="auto"/>
        </w:rPr>
      </w:pPr>
      <w:r>
        <w:rPr>
          <w:rFonts w:ascii="Arial" w:cs="Arial" w:eastAsia="Arial" w:hAnsi="Arial"/>
          <w:sz w:val="22"/>
          <w:szCs w:val="22"/>
          <w:color w:val="auto"/>
        </w:rPr>
        <w:t>Except in the case of notices and other communications expressly permitted to be given by telephone and subject to paragraph (b) of this Section, all notices and other communications provided for herein shall be in writing and shall be delivered by hand or overnight courier service, mailed by certified or registered mail or sent by fax or other electronic communication (including email), as follows:</w:t>
      </w:r>
    </w:p>
    <w:p>
      <w:pPr>
        <w:spacing w:after="0" w:line="158" w:lineRule="exact"/>
        <w:rPr>
          <w:sz w:val="20"/>
          <w:szCs w:val="20"/>
          <w:color w:val="auto"/>
        </w:rPr>
      </w:pPr>
    </w:p>
    <w:p>
      <w:pPr>
        <w:ind w:left="760" w:right="99" w:firstLine="641"/>
        <w:spacing w:after="0" w:line="298" w:lineRule="auto"/>
        <w:tabs>
          <w:tab w:leader="none" w:pos="1828"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if to the Company, the Administrative Agent, or PNC in its capacity as an Issuing Bank or a Swingline Lender, to it at the address specified for such Person on </w:t>
      </w:r>
      <w:r>
        <w:rPr>
          <w:rFonts w:ascii="Arial" w:cs="Arial" w:eastAsia="Arial" w:hAnsi="Arial"/>
          <w:sz w:val="19"/>
          <w:szCs w:val="19"/>
          <w:u w:val="single" w:color="auto"/>
          <w:color w:val="auto"/>
        </w:rPr>
        <w:t>Schedule 9.01</w:t>
      </w:r>
      <w:r>
        <w:rPr>
          <w:rFonts w:ascii="Arial" w:cs="Arial" w:eastAsia="Arial" w:hAnsi="Arial"/>
          <w:sz w:val="19"/>
          <w:szCs w:val="19"/>
          <w:color w:val="auto"/>
        </w:rPr>
        <w:t>;</w:t>
      </w:r>
    </w:p>
    <w:p>
      <w:pPr>
        <w:spacing w:after="0" w:line="86" w:lineRule="exact"/>
        <w:rPr>
          <w:rFonts w:ascii="Arial" w:cs="Arial" w:eastAsia="Arial" w:hAnsi="Arial"/>
          <w:sz w:val="19"/>
          <w:szCs w:val="19"/>
          <w:color w:val="auto"/>
        </w:rPr>
      </w:pPr>
    </w:p>
    <w:p>
      <w:pPr>
        <w:ind w:left="2080" w:hanging="679"/>
        <w:spacing w:after="0"/>
        <w:tabs>
          <w:tab w:leader="none" w:pos="208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if to any other Lender, to it at its address set forth in its Administrative</w:t>
      </w:r>
    </w:p>
    <w:p>
      <w:pPr>
        <w:ind w:left="760"/>
        <w:spacing w:after="0"/>
        <w:rPr>
          <w:rFonts w:ascii="Arial" w:cs="Arial" w:eastAsia="Arial" w:hAnsi="Arial"/>
          <w:sz w:val="22"/>
          <w:szCs w:val="22"/>
          <w:color w:val="auto"/>
        </w:rPr>
      </w:pPr>
      <w:r>
        <w:rPr>
          <w:rFonts w:ascii="Arial" w:cs="Arial" w:eastAsia="Arial" w:hAnsi="Arial"/>
          <w:sz w:val="22"/>
          <w:szCs w:val="22"/>
          <w:color w:val="auto"/>
        </w:rPr>
        <w:t>Questionnaire;</w:t>
      </w:r>
    </w:p>
    <w:p>
      <w:pPr>
        <w:spacing w:after="0" w:line="161" w:lineRule="exact"/>
        <w:rPr>
          <w:rFonts w:ascii="Arial" w:cs="Arial" w:eastAsia="Arial" w:hAnsi="Arial"/>
          <w:sz w:val="22"/>
          <w:szCs w:val="22"/>
          <w:color w:val="auto"/>
        </w:rPr>
      </w:pPr>
    </w:p>
    <w:p>
      <w:pPr>
        <w:jc w:val="both"/>
        <w:ind w:left="760" w:right="99" w:firstLine="641"/>
        <w:spacing w:after="0" w:line="268" w:lineRule="auto"/>
        <w:tabs>
          <w:tab w:leader="none" w:pos="1962" w:val="left"/>
        </w:tabs>
        <w:numPr>
          <w:ilvl w:val="0"/>
          <w:numId w:val="228"/>
        </w:numPr>
        <w:rPr>
          <w:rFonts w:ascii="Arial" w:cs="Arial" w:eastAsia="Arial" w:hAnsi="Arial"/>
          <w:sz w:val="19"/>
          <w:szCs w:val="19"/>
          <w:color w:val="auto"/>
        </w:rPr>
      </w:pPr>
      <w:r>
        <w:rPr>
          <w:rFonts w:ascii="Arial" w:cs="Arial" w:eastAsia="Arial" w:hAnsi="Arial"/>
          <w:sz w:val="19"/>
          <w:szCs w:val="19"/>
          <w:color w:val="auto"/>
        </w:rPr>
        <w:t>if to any other Issuing Bank, to it at the address specified in clause (ii) above or, if such Issuing Bank shall not also be a Lender, to it at the address most recently specified by it in a notice delivered to the Administrative Agent and the Company; and</w:t>
      </w:r>
    </w:p>
    <w:p>
      <w:pPr>
        <w:spacing w:after="0" w:line="132" w:lineRule="exact"/>
        <w:rPr>
          <w:rFonts w:ascii="Arial" w:cs="Arial" w:eastAsia="Arial" w:hAnsi="Arial"/>
          <w:sz w:val="19"/>
          <w:szCs w:val="19"/>
          <w:color w:val="auto"/>
        </w:rPr>
      </w:pPr>
    </w:p>
    <w:p>
      <w:pPr>
        <w:jc w:val="both"/>
        <w:ind w:left="760" w:right="99" w:firstLine="641"/>
        <w:spacing w:after="0" w:line="268" w:lineRule="auto"/>
        <w:tabs>
          <w:tab w:leader="none" w:pos="2044" w:val="left"/>
        </w:tabs>
        <w:numPr>
          <w:ilvl w:val="0"/>
          <w:numId w:val="228"/>
        </w:numPr>
        <w:rPr>
          <w:rFonts w:ascii="Arial" w:cs="Arial" w:eastAsia="Arial" w:hAnsi="Arial"/>
          <w:sz w:val="19"/>
          <w:szCs w:val="19"/>
          <w:color w:val="auto"/>
        </w:rPr>
      </w:pPr>
      <w:r>
        <w:rPr>
          <w:rFonts w:ascii="Arial" w:cs="Arial" w:eastAsia="Arial" w:hAnsi="Arial"/>
          <w:sz w:val="19"/>
          <w:szCs w:val="19"/>
          <w:color w:val="auto"/>
        </w:rPr>
        <w:t>if to any other Swingline Lender, to it at the address specified in clause (ii) above or, if such Swingline Lender shall not also be a Lender, to it at the address most recently specified by it in a notice delivered to the Administrative Agent and the Company.</w:t>
      </w:r>
    </w:p>
    <w:p>
      <w:pPr>
        <w:spacing w:after="0" w:line="132" w:lineRule="exact"/>
        <w:rPr>
          <w:sz w:val="20"/>
          <w:szCs w:val="20"/>
          <w:color w:val="auto"/>
        </w:rPr>
      </w:pPr>
    </w:p>
    <w:p>
      <w:pPr>
        <w:jc w:val="both"/>
        <w:ind w:left="100" w:right="99" w:firstLine="1296"/>
        <w:spacing w:after="0" w:line="247" w:lineRule="auto"/>
        <w:rPr>
          <w:sz w:val="20"/>
          <w:szCs w:val="20"/>
          <w:color w:val="auto"/>
        </w:rPr>
      </w:pPr>
      <w:r>
        <w:rPr>
          <w:rFonts w:ascii="Arial" w:cs="Arial" w:eastAsia="Arial" w:hAnsi="Arial"/>
          <w:sz w:val="19"/>
          <w:szCs w:val="19"/>
          <w:color w:val="auto"/>
        </w:rPr>
        <w:t>Notices sent by hand or overnight courier service, or mailed by certified or registered mail, shall be deemed to have been given when received; notices sent by fax shall be deemed to have been given when sent (but if not given during normal business hours for the recipient, shall be deemed to have been given at the opening of business on the next business day for the recipient); and notices delivered through electronic communications to the extent provided in paragraph (b) of this Section shall be effective as provided in such paragraph. The term address as used above may refer to a physical or electronic address (or contact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313690</wp:posOffset>
            </wp:positionV>
            <wp:extent cx="5642610" cy="514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5" w:name="page286"/>
    <w:bookmarkEnd w:id="285"/>
    <w:p>
      <w:pPr>
        <w:ind w:left="8700"/>
        <w:spacing w:after="0"/>
        <w:rPr>
          <w:sz w:val="20"/>
          <w:szCs w:val="20"/>
          <w:color w:val="auto"/>
        </w:rPr>
      </w:pPr>
      <w:r>
        <w:rPr>
          <w:rFonts w:ascii="Arial" w:cs="Arial" w:eastAsia="Arial" w:hAnsi="Arial"/>
          <w:sz w:val="19"/>
          <w:szCs w:val="19"/>
          <w:color w:val="auto"/>
        </w:rPr>
        <w:t>99</w:t>
      </w:r>
    </w:p>
    <w:p>
      <w:pPr>
        <w:spacing w:after="0" w:line="200" w:lineRule="exact"/>
        <w:rPr>
          <w:sz w:val="20"/>
          <w:szCs w:val="20"/>
          <w:color w:val="auto"/>
        </w:rPr>
      </w:pPr>
    </w:p>
    <w:p>
      <w:pPr>
        <w:spacing w:after="0" w:line="231" w:lineRule="exact"/>
        <w:rPr>
          <w:sz w:val="20"/>
          <w:szCs w:val="20"/>
          <w:color w:val="auto"/>
        </w:rPr>
      </w:pPr>
    </w:p>
    <w:p>
      <w:pPr>
        <w:jc w:val="both"/>
        <w:ind w:left="100" w:right="99" w:firstLine="1301"/>
        <w:spacing w:after="0"/>
        <w:tabs>
          <w:tab w:leader="none" w:pos="2081"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the Lenders and the Issuing Banks hereunder may be delivered or furnished by electronic communications (including email and Internet and intranet websites) pursuant to procedures approved by the Administrative Agent (acting reasonably) (it being understood that, except as set forth in the following proviso, the Company may deliver notices and other communications to the Lenders and Issuing Banks by email);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under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to any Lender or Issuing Bank if such Lender or Issuing Bank, as applicable, has notified the Administrative Agent that it is incapable of receiving notices under such Article by electronic communication. Any notices or other communications to the Administrative Agent or the Company may be delivered or furnished by email. Unless the Administrative Agent otherwise prescribes, (i) notices and other communications sent to an email address shall be deemed received when sent unless the sender receives notice from the intended recipient that such recipient is not reachable at such address or is “out of office” or a response from the intended recipient of similar import;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388" w:lineRule="exact"/>
        <w:rPr>
          <w:rFonts w:ascii="Arial" w:cs="Arial" w:eastAsia="Arial" w:hAnsi="Arial"/>
          <w:sz w:val="19"/>
          <w:szCs w:val="19"/>
          <w:color w:val="auto"/>
        </w:rPr>
      </w:pPr>
    </w:p>
    <w:p>
      <w:pPr>
        <w:ind w:left="100" w:right="99" w:firstLine="1301"/>
        <w:spacing w:after="0" w:line="298" w:lineRule="auto"/>
        <w:tabs>
          <w:tab w:leader="none" w:pos="1987" w:val="left"/>
        </w:tabs>
        <w:numPr>
          <w:ilvl w:val="0"/>
          <w:numId w:val="229"/>
        </w:numPr>
        <w:rPr>
          <w:rFonts w:ascii="Arial" w:cs="Arial" w:eastAsia="Arial" w:hAnsi="Arial"/>
          <w:sz w:val="19"/>
          <w:szCs w:val="19"/>
          <w:color w:val="auto"/>
        </w:rPr>
      </w:pPr>
      <w:r>
        <w:rPr>
          <w:rFonts w:ascii="Arial" w:cs="Arial" w:eastAsia="Arial" w:hAnsi="Arial"/>
          <w:sz w:val="19"/>
          <w:szCs w:val="19"/>
          <w:color w:val="auto"/>
        </w:rPr>
        <w:t>Any party hereto may change its address, telephone or fax number or email address for notices and other communications hereunder by notice to the other parties hereto.</w:t>
      </w:r>
    </w:p>
    <w:p>
      <w:pPr>
        <w:spacing w:after="0" w:line="105" w:lineRule="exact"/>
        <w:rPr>
          <w:rFonts w:ascii="Arial" w:cs="Arial" w:eastAsia="Arial" w:hAnsi="Arial"/>
          <w:sz w:val="19"/>
          <w:szCs w:val="19"/>
          <w:color w:val="auto"/>
        </w:rPr>
      </w:pPr>
    </w:p>
    <w:p>
      <w:pPr>
        <w:jc w:val="both"/>
        <w:ind w:left="100" w:right="99" w:firstLine="1301"/>
        <w:spacing w:after="0"/>
        <w:tabs>
          <w:tab w:leader="none" w:pos="2108"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Administrative Agent may, but shall not be obligated to, make any Communication by posting such Communication on Debt Domain, IntraLinks, SyndTrak or a similar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xml:space="preserve">”). The Platform is provided “as is” and “as available”. None of the Company, the Administrative Agent nor any of their respective Related Parties warrants, or shall be deemed to warrant, the adequacy of the Platform, and the Company and the Administrative Agent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or shall be deemed to be made, by the Company, the Administrative Agent or any of their respective Related Parties in connection with the Communications or the Platform. In no event shall the Company or the Subsidiaries, the Administrative Agent or any of their respective Related Parties have any liability to the Company, any Lender, any Issuing Bank or any other Person for damages of any kind, including direct or indirect, special, incidental or consequential damages, losses or expenses (whether in tort, contract or otherwise), arising out of the Company’s or the Administrative Agent’s transmission of Communications through the Platform;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paragraph (d) shall limit the Company’s indemnity and reimbursement obligations set forth in </w:t>
      </w:r>
      <w:r>
        <w:rPr>
          <w:rFonts w:ascii="Arial" w:cs="Arial" w:eastAsia="Arial" w:hAnsi="Arial"/>
          <w:sz w:val="19"/>
          <w:szCs w:val="19"/>
          <w:u w:val="single" w:color="auto"/>
          <w:color w:val="auto"/>
        </w:rPr>
        <w:t>Section 9.03</w:t>
      </w:r>
      <w:r>
        <w:rPr>
          <w:rFonts w:ascii="Arial" w:cs="Arial" w:eastAsia="Arial" w:hAnsi="Arial"/>
          <w:sz w:val="19"/>
          <w:szCs w:val="19"/>
          <w:color w:val="auto"/>
        </w:rPr>
        <w:t>, including such indemnity and reimbursement obligations with respect to any damages, including direct or indirect, special, incidental or consequential damages, losses or expenses arising out of, in connection with or as a result of any claim, litigation, investigation or proceeding brought against any Indemnitee by any third party. Neither the Company nor the Administrative Agent is responsible for approving or vetting the representatives or contacts of any Lender or Issuing Bank that are added to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457835</wp:posOffset>
            </wp:positionV>
            <wp:extent cx="5642610" cy="514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6" w:name="page287"/>
    <w:bookmarkEnd w:id="286"/>
    <w:p>
      <w:pPr>
        <w:ind w:left="8600"/>
        <w:spacing w:after="0"/>
        <w:rPr>
          <w:sz w:val="20"/>
          <w:szCs w:val="20"/>
          <w:color w:val="auto"/>
        </w:rPr>
      </w:pPr>
      <w:r>
        <w:rPr>
          <w:rFonts w:ascii="Arial" w:cs="Arial" w:eastAsia="Arial" w:hAnsi="Arial"/>
          <w:sz w:val="19"/>
          <w:szCs w:val="19"/>
          <w:color w:val="auto"/>
        </w:rPr>
        <w:t>100</w:t>
      </w:r>
    </w:p>
    <w:p>
      <w:pPr>
        <w:spacing w:after="0" w:line="200" w:lineRule="exact"/>
        <w:rPr>
          <w:sz w:val="20"/>
          <w:szCs w:val="20"/>
          <w:color w:val="auto"/>
        </w:rPr>
      </w:pPr>
    </w:p>
    <w:p>
      <w:pPr>
        <w:spacing w:after="0" w:line="212" w:lineRule="exact"/>
        <w:rPr>
          <w:sz w:val="20"/>
          <w:szCs w:val="20"/>
          <w:color w:val="auto"/>
        </w:rPr>
      </w:pPr>
    </w:p>
    <w:p>
      <w:pPr>
        <w:ind w:left="1400"/>
        <w:spacing w:after="0"/>
        <w:tabs>
          <w:tab w:leader="none" w:pos="3340" w:val="left"/>
          <w:tab w:leader="none" w:pos="5720" w:val="left"/>
          <w:tab w:leader="none" w:pos="624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22"/>
          <w:szCs w:val="22"/>
          <w:u w:val="single" w:color="auto"/>
          <w:color w:val="auto"/>
        </w:rPr>
        <w:t>Waivers; Amendments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w:t>
      </w:r>
      <w:r>
        <w:rPr>
          <w:sz w:val="20"/>
          <w:szCs w:val="20"/>
          <w:color w:val="auto"/>
        </w:rPr>
        <w:tab/>
      </w:r>
      <w:r>
        <w:rPr>
          <w:rFonts w:ascii="Arial" w:cs="Arial" w:eastAsia="Arial" w:hAnsi="Arial"/>
          <w:sz w:val="21"/>
          <w:szCs w:val="21"/>
          <w:color w:val="auto"/>
        </w:rPr>
        <w:t>No  failure  or  delay  by  the</w:t>
      </w:r>
    </w:p>
    <w:p>
      <w:pPr>
        <w:jc w:val="both"/>
        <w:ind w:left="100" w:right="99"/>
        <w:spacing w:after="0"/>
        <w:rPr>
          <w:sz w:val="20"/>
          <w:szCs w:val="20"/>
          <w:color w:val="auto"/>
        </w:rPr>
      </w:pPr>
      <w:r>
        <w:rPr>
          <w:rFonts w:ascii="Arial" w:cs="Arial" w:eastAsia="Arial" w:hAnsi="Arial"/>
          <w:sz w:val="19"/>
          <w:szCs w:val="19"/>
          <w:color w:val="auto"/>
        </w:rPr>
        <w:t xml:space="preserve">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other Loan Document or consent to any departure by the Company therefrom shall in any event be effective unless the same shall be permitted by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9.02(c)</w:t>
      </w:r>
      <w:r>
        <w:rPr>
          <w:rFonts w:ascii="Arial" w:cs="Arial" w:eastAsia="Arial" w:hAnsi="Arial"/>
          <w:sz w:val="19"/>
          <w:szCs w:val="19"/>
          <w:color w:val="auto"/>
        </w:rPr>
        <w:t>, and then such waiver or consent shall be effective only in the specific instance and for the specific purpose for which given. Without limiting the generality of the foregoing, the execution and delivery of this Agreement or any other Loan Document, the making of a Loan or the issuance of a Letter of Credit shall not be construed as a waiver of any Default, regardless of whether the Administrative Agent, any Lender or any Issuing Bank or any Affiliate of any of the foregoing may have had notice or knowledge of such Default at the time.</w:t>
      </w:r>
    </w:p>
    <w:p>
      <w:pPr>
        <w:spacing w:after="0" w:line="381" w:lineRule="exact"/>
        <w:rPr>
          <w:sz w:val="20"/>
          <w:szCs w:val="20"/>
          <w:color w:val="auto"/>
        </w:rPr>
      </w:pPr>
    </w:p>
    <w:p>
      <w:pPr>
        <w:jc w:val="both"/>
        <w:ind w:left="100" w:right="99" w:firstLine="1301"/>
        <w:spacing w:after="0"/>
        <w:tabs>
          <w:tab w:leader="none" w:pos="1919"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none of this Agreement, any other Loan Document or any provision hereof or thereof may be waived, amended or modified except, in the case of this Agreement, pursuant to an agreement or agreements in writing entered into by the Company, the Administrative Agent and the Required Lenders and, in the case of any other Loan Document, pursuant to an agreement or agreements in writing entered into by the Company and the Administrative Agent, in each case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and adversely affected thereby (other than any waiver of any default interest applicable pursuant to </w:t>
      </w:r>
      <w:r>
        <w:rPr>
          <w:rFonts w:ascii="Arial" w:cs="Arial" w:eastAsia="Arial" w:hAnsi="Arial"/>
          <w:sz w:val="19"/>
          <w:szCs w:val="19"/>
          <w:u w:val="single" w:color="auto"/>
          <w:color w:val="auto"/>
        </w:rPr>
        <w:t>Section 2.12(d)</w:t>
      </w:r>
      <w:r>
        <w:rPr>
          <w:rFonts w:ascii="Arial" w:cs="Arial" w:eastAsia="Arial" w:hAnsi="Arial"/>
          <w:sz w:val="19"/>
          <w:szCs w:val="19"/>
          <w:color w:val="auto"/>
        </w:rPr>
        <w:t xml:space="preserve"> and waivers, amendments or modifications to any mandatory prepayments added to this Agreement after the Effective Date, including in connection with the Bridge Facility), (iii) postpone the scheduled maturity date of any Loan or the required date of reimbursement of any LC Disbursement or any scheduled date fixed for the payment of any principal, interest or fees payable under any Loan Document, or reduce the amount of, waive or excuse any such payment, or postpone the scheduled date of expiration of any Commitment, without the written consent of each Lender directly and adversely affected thereby, (iv) change </w:t>
      </w:r>
      <w:r>
        <w:rPr>
          <w:rFonts w:ascii="Arial" w:cs="Arial" w:eastAsia="Arial" w:hAnsi="Arial"/>
          <w:sz w:val="19"/>
          <w:szCs w:val="19"/>
          <w:u w:val="single" w:color="auto"/>
          <w:color w:val="auto"/>
        </w:rPr>
        <w:t>Section 2.17(b)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2.17(c)</w:t>
      </w:r>
      <w:r>
        <w:rPr>
          <w:rFonts w:ascii="Arial" w:cs="Arial" w:eastAsia="Arial" w:hAnsi="Arial"/>
          <w:sz w:val="19"/>
          <w:szCs w:val="19"/>
          <w:color w:val="auto"/>
        </w:rPr>
        <w:t xml:space="preserve"> in a manner that would alter the pro rata sharing of payments required thereby, without the written consent of each Lender directly and adversely affected thereby, (v) change any of the provisions of this paragraph or the percentage set forth in the definition of the term “Required Lenders” or “Majority in Interest” or any other provision of any Loan Document specifying the number or percentage of Lenders (or Lenders of any Class) required to waive, amend or modify any rights thereunder or make any determination or grant any consent thereunder, without the written consent of each directly and adversely affected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the consent of the Required Lenders or in accordance with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2.23</w:t>
      </w:r>
      <w:r>
        <w:rPr>
          <w:rFonts w:ascii="Arial" w:cs="Arial" w:eastAsia="Arial" w:hAnsi="Arial"/>
          <w:sz w:val="19"/>
          <w:szCs w:val="19"/>
          <w:color w:val="auto"/>
        </w:rPr>
        <w:t xml:space="preserve">, the provisions of this paragraph and the definition of the term “Required Lenders” or “Majority in Interest” may be amended to include references to any new class of commitments or loans created under this Agreement (or to lenders extending such commitments or loans);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no amendment, waiver or other modification of this Agreement or any other Loan Document shall amend, modify or otherwise directly and adversely affect the rights or duties of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445770</wp:posOffset>
            </wp:positionV>
            <wp:extent cx="5642610" cy="514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7" w:name="page288"/>
    <w:bookmarkEnd w:id="287"/>
    <w:p>
      <w:pPr>
        <w:jc w:val="right"/>
        <w:ind w:right="99"/>
        <w:spacing w:after="0"/>
        <w:rPr>
          <w:sz w:val="20"/>
          <w:szCs w:val="20"/>
          <w:color w:val="auto"/>
        </w:rPr>
      </w:pPr>
      <w:r>
        <w:rPr>
          <w:rFonts w:ascii="Arial" w:cs="Arial" w:eastAsia="Arial" w:hAnsi="Arial"/>
          <w:sz w:val="22"/>
          <w:szCs w:val="22"/>
          <w:color w:val="auto"/>
        </w:rPr>
        <w:t>101</w:t>
      </w:r>
    </w:p>
    <w:p>
      <w:pPr>
        <w:spacing w:after="0" w:line="396"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21"/>
          <w:szCs w:val="21"/>
          <w:color w:val="auto"/>
        </w:rPr>
        <w:t xml:space="preserve">Agent, any Swingline Lender or any Issuing Bank without the prior written consent of the Administrative Agent, such Swingline Lender or such Issuing Bank, as the case may be, and (B) prior to the Conversion Date, no amendment, waiver or other modification of this Agreement or any other Loan Document shall be made that (x) amends, waives or otherwise modifies the conditions to borrowing described in </w:t>
      </w:r>
      <w:r>
        <w:rPr>
          <w:rFonts w:ascii="Arial" w:cs="Arial" w:eastAsia="Arial" w:hAnsi="Arial"/>
          <w:sz w:val="21"/>
          <w:szCs w:val="21"/>
          <w:u w:val="single" w:color="auto"/>
          <w:color w:val="auto"/>
        </w:rPr>
        <w:t>Section 4.03</w:t>
      </w:r>
      <w:r>
        <w:rPr>
          <w:rFonts w:ascii="Arial" w:cs="Arial" w:eastAsia="Arial" w:hAnsi="Arial"/>
          <w:sz w:val="21"/>
          <w:szCs w:val="21"/>
          <w:color w:val="auto"/>
        </w:rPr>
        <w:t xml:space="preserve"> without the prior written consent of the Majority in Interest of the Tranche 2 Lenders and the Required Lenders or (y) amends, waives or otherwise modifies any provision of this Agreement or such other Loan Document in a manner that by its terms directly and adversely affects the rights in respect of payments due to Lenders holding Loans and Commitments under one Class differently than those holding Loans and Commitments under the other Class, without the prior written consent of the Majority in Interest of the Lenders of the directly and adversely affected Class.</w:t>
      </w:r>
    </w:p>
    <w:p>
      <w:pPr>
        <w:spacing w:after="0" w:line="158" w:lineRule="exact"/>
        <w:rPr>
          <w:sz w:val="20"/>
          <w:szCs w:val="20"/>
          <w:color w:val="auto"/>
        </w:rPr>
      </w:pPr>
    </w:p>
    <w:p>
      <w:pPr>
        <w:ind w:left="1400"/>
        <w:spacing w:after="0"/>
        <w:tabs>
          <w:tab w:leader="none" w:pos="1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Notwithstanding anything to the contrary in paragraph (a) or (b) of this Section:</w:t>
      </w:r>
    </w:p>
    <w:p>
      <w:pPr>
        <w:spacing w:after="0" w:line="179" w:lineRule="exact"/>
        <w:rPr>
          <w:sz w:val="20"/>
          <w:szCs w:val="20"/>
          <w:color w:val="auto"/>
        </w:rPr>
      </w:pPr>
    </w:p>
    <w:p>
      <w:pPr>
        <w:jc w:val="both"/>
        <w:ind w:left="760" w:right="99" w:firstLine="641"/>
        <w:spacing w:after="0" w:line="220" w:lineRule="auto"/>
        <w:tabs>
          <w:tab w:leader="none" w:pos="1923" w:val="left"/>
        </w:tabs>
        <w:numPr>
          <w:ilvl w:val="1"/>
          <w:numId w:val="231"/>
        </w:numPr>
        <w:rPr>
          <w:rFonts w:ascii="Arial" w:cs="Arial" w:eastAsia="Arial" w:hAnsi="Arial"/>
          <w:sz w:val="21"/>
          <w:szCs w:val="21"/>
          <w:color w:val="auto"/>
        </w:rPr>
      </w:pPr>
      <w:r>
        <w:rPr>
          <w:rFonts w:ascii="Arial" w:cs="Arial" w:eastAsia="Arial" w:hAnsi="Arial"/>
          <w:sz w:val="21"/>
          <w:szCs w:val="21"/>
          <w:color w:val="auto"/>
        </w:rPr>
        <w:t xml:space="preserve">without the consent of any other Person, the Company and the Administrative Agent (each in its sole discretion) may waive, amend or otherwise modify any Loan Document by an agreement in writing entered into by the Company and the Administrative Agent to (A) correct, amend, cure or resolve any ambiguity, omission, defect, typographical error, inconsistency, manifest error or mistake in such Loan Document, (B) make administrative and operational changes not adverse to any Lender or (C) otherwise enhance the rights and benefits of the Lenders and/or any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each case, any such waiver, amendment or modification shall become effective without any further action or the consent of any other Person if the same is not objected to in writing by the Required Lenders within five Business Days following receipt by the Lenders of written notice thereof;</w:t>
      </w:r>
    </w:p>
    <w:p>
      <w:pPr>
        <w:spacing w:after="0" w:line="158" w:lineRule="exact"/>
        <w:rPr>
          <w:rFonts w:ascii="Arial" w:cs="Arial" w:eastAsia="Arial" w:hAnsi="Arial"/>
          <w:sz w:val="21"/>
          <w:szCs w:val="21"/>
          <w:color w:val="auto"/>
        </w:rPr>
      </w:pPr>
    </w:p>
    <w:p>
      <w:pPr>
        <w:jc w:val="both"/>
        <w:ind w:left="760" w:right="99" w:firstLine="641"/>
        <w:spacing w:after="0" w:line="243" w:lineRule="auto"/>
        <w:tabs>
          <w:tab w:leader="none" w:pos="1929" w:val="left"/>
        </w:tabs>
        <w:numPr>
          <w:ilvl w:val="1"/>
          <w:numId w:val="231"/>
        </w:numPr>
        <w:rPr>
          <w:rFonts w:ascii="Arial" w:cs="Arial" w:eastAsia="Arial" w:hAnsi="Arial"/>
          <w:sz w:val="19"/>
          <w:szCs w:val="19"/>
          <w:color w:val="auto"/>
        </w:rPr>
      </w:pPr>
      <w:r>
        <w:rPr>
          <w:rFonts w:ascii="Arial" w:cs="Arial" w:eastAsia="Arial" w:hAnsi="Arial"/>
          <w:sz w:val="19"/>
          <w:szCs w:val="19"/>
          <w:color w:val="auto"/>
        </w:rPr>
        <w:t>no consent with respect to any amendment, waiver or other modification of this Agreement or any other Loan Document shall be required of any Defaulting Lender, except with respect to any amendment, waiver or other modification referred to in clause (i), (ii) or</w:t>
      </w:r>
    </w:p>
    <w:p>
      <w:pPr>
        <w:spacing w:after="0" w:line="2" w:lineRule="exact"/>
        <w:rPr>
          <w:rFonts w:ascii="Arial" w:cs="Arial" w:eastAsia="Arial" w:hAnsi="Arial"/>
          <w:sz w:val="19"/>
          <w:szCs w:val="19"/>
          <w:color w:val="auto"/>
        </w:rPr>
      </w:pPr>
    </w:p>
    <w:p>
      <w:pPr>
        <w:ind w:left="760" w:right="99" w:hanging="7"/>
        <w:spacing w:after="0" w:line="279" w:lineRule="auto"/>
        <w:tabs>
          <w:tab w:leader="none" w:pos="114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of the first proviso of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and then only in the event such Defaulting Lender shall be directly and adversely affected by such amendment, waiver or other modification;</w:t>
      </w:r>
    </w:p>
    <w:p>
      <w:pPr>
        <w:spacing w:after="0" w:line="122" w:lineRule="exact"/>
        <w:rPr>
          <w:rFonts w:ascii="Arial" w:cs="Arial" w:eastAsia="Arial" w:hAnsi="Arial"/>
          <w:sz w:val="19"/>
          <w:szCs w:val="19"/>
          <w:color w:val="auto"/>
        </w:rPr>
      </w:pPr>
    </w:p>
    <w:p>
      <w:pPr>
        <w:jc w:val="both"/>
        <w:ind w:left="760" w:right="99" w:firstLine="641"/>
        <w:spacing w:after="0" w:line="246" w:lineRule="auto"/>
        <w:tabs>
          <w:tab w:leader="none" w:pos="2016" w:val="left"/>
        </w:tabs>
        <w:numPr>
          <w:ilvl w:val="1"/>
          <w:numId w:val="232"/>
        </w:numPr>
        <w:rPr>
          <w:rFonts w:ascii="Arial" w:cs="Arial" w:eastAsia="Arial" w:hAnsi="Arial"/>
          <w:sz w:val="19"/>
          <w:szCs w:val="19"/>
          <w:color w:val="auto"/>
        </w:rPr>
      </w:pPr>
      <w:r>
        <w:rPr>
          <w:rFonts w:ascii="Arial" w:cs="Arial" w:eastAsia="Arial" w:hAnsi="Arial"/>
          <w:sz w:val="19"/>
          <w:szCs w:val="19"/>
          <w:color w:val="auto"/>
        </w:rPr>
        <w:t xml:space="preserve">in the case of any amendment, waiver or other modification referred to in the first proviso of </w:t>
      </w:r>
      <w:r>
        <w:rPr>
          <w:rFonts w:ascii="Arial" w:cs="Arial" w:eastAsia="Arial" w:hAnsi="Arial"/>
          <w:sz w:val="19"/>
          <w:szCs w:val="19"/>
          <w:u w:val="single" w:color="auto"/>
          <w:color w:val="auto"/>
        </w:rPr>
        <w:t>Section 9.02(b)</w:t>
      </w:r>
      <w:r>
        <w:rPr>
          <w:rFonts w:ascii="Arial" w:cs="Arial" w:eastAsia="Arial" w:hAnsi="Arial"/>
          <w:sz w:val="19"/>
          <w:szCs w:val="19"/>
          <w:color w:val="auto"/>
        </w:rPr>
        <w:t>, no consent with respect to any amendment, waiver or other modification of this Agreement or any other Loan Document shall be required of any Lender that receives payment in full of the principal of and interest accrued on each Loan made by such Lender, and all other amounts owing to or accrued for the account of such Lender under this Agreement and the other Loan Documents, at the time such amendment, waiver or other modification becomes effective and whose Commitments terminate by the terms and upon the effectiveness of such amendment, waiver or other modification;</w:t>
      </w:r>
    </w:p>
    <w:p>
      <w:pPr>
        <w:spacing w:after="0" w:line="153" w:lineRule="exact"/>
        <w:rPr>
          <w:rFonts w:ascii="Arial" w:cs="Arial" w:eastAsia="Arial" w:hAnsi="Arial"/>
          <w:sz w:val="19"/>
          <w:szCs w:val="19"/>
          <w:color w:val="auto"/>
        </w:rPr>
      </w:pPr>
    </w:p>
    <w:p>
      <w:pPr>
        <w:jc w:val="both"/>
        <w:ind w:left="760" w:right="99" w:firstLine="641"/>
        <w:spacing w:after="0" w:line="257" w:lineRule="auto"/>
        <w:tabs>
          <w:tab w:leader="none" w:pos="2017" w:val="left"/>
        </w:tabs>
        <w:numPr>
          <w:ilvl w:val="1"/>
          <w:numId w:val="232"/>
        </w:numPr>
        <w:rPr>
          <w:rFonts w:ascii="Arial" w:cs="Arial" w:eastAsia="Arial" w:hAnsi="Arial"/>
          <w:sz w:val="19"/>
          <w:szCs w:val="19"/>
          <w:color w:val="auto"/>
        </w:rPr>
      </w:pPr>
      <w:r>
        <w:rPr>
          <w:rFonts w:ascii="Arial" w:cs="Arial" w:eastAsia="Arial" w:hAnsi="Arial"/>
          <w:sz w:val="19"/>
          <w:szCs w:val="19"/>
          <w:color w:val="auto"/>
        </w:rPr>
        <w:t>any amendment, waiver or other modification of this Agreement or any other Loan Document that by its express terms affects the rights or duties hereunder or thereunder of the Lenders of one or more Classes (but not the Lenders of any other Class) may be effected by an agreement or agreements in writing entered into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307340</wp:posOffset>
            </wp:positionV>
            <wp:extent cx="5642610" cy="514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8" w:name="page289"/>
    <w:bookmarkEnd w:id="288"/>
    <w:p>
      <w:pPr>
        <w:ind w:left="8600"/>
        <w:spacing w:after="0"/>
        <w:rPr>
          <w:sz w:val="20"/>
          <w:szCs w:val="20"/>
          <w:color w:val="auto"/>
        </w:rPr>
      </w:pPr>
      <w:r>
        <w:rPr>
          <w:rFonts w:ascii="Arial" w:cs="Arial" w:eastAsia="Arial" w:hAnsi="Arial"/>
          <w:sz w:val="19"/>
          <w:szCs w:val="19"/>
          <w:color w:val="auto"/>
        </w:rPr>
        <w:t>102</w:t>
      </w:r>
    </w:p>
    <w:p>
      <w:pPr>
        <w:spacing w:after="0" w:line="200" w:lineRule="exact"/>
        <w:rPr>
          <w:sz w:val="20"/>
          <w:szCs w:val="20"/>
          <w:color w:val="auto"/>
        </w:rPr>
      </w:pPr>
    </w:p>
    <w:p>
      <w:pPr>
        <w:spacing w:after="0" w:line="231" w:lineRule="exact"/>
        <w:rPr>
          <w:sz w:val="20"/>
          <w:szCs w:val="20"/>
          <w:color w:val="auto"/>
        </w:rPr>
      </w:pPr>
    </w:p>
    <w:p>
      <w:pPr>
        <w:jc w:val="both"/>
        <w:ind w:left="760" w:right="99"/>
        <w:spacing w:after="0" w:line="234" w:lineRule="auto"/>
        <w:rPr>
          <w:sz w:val="20"/>
          <w:szCs w:val="20"/>
          <w:color w:val="auto"/>
        </w:rPr>
      </w:pPr>
      <w:r>
        <w:rPr>
          <w:rFonts w:ascii="Arial" w:cs="Arial" w:eastAsia="Arial" w:hAnsi="Arial"/>
          <w:sz w:val="21"/>
          <w:szCs w:val="21"/>
          <w:color w:val="auto"/>
        </w:rPr>
        <w:t>the Administrative Agent and the requisite number or percentage in interest of each affected Class of Lenders that would be required to consent thereto under this Section if such Class of Lenders were the only Class of Lenders hereunder at the time;</w:t>
      </w:r>
    </w:p>
    <w:p>
      <w:pPr>
        <w:spacing w:after="0" w:line="158" w:lineRule="exact"/>
        <w:rPr>
          <w:sz w:val="20"/>
          <w:szCs w:val="20"/>
          <w:color w:val="auto"/>
        </w:rPr>
      </w:pPr>
    </w:p>
    <w:p>
      <w:pPr>
        <w:jc w:val="both"/>
        <w:ind w:left="760" w:right="99" w:firstLine="641"/>
        <w:spacing w:after="0" w:line="234" w:lineRule="auto"/>
        <w:tabs>
          <w:tab w:leader="none" w:pos="193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 xml:space="preserve">this Agreement and the other Loan Documents may be amended in the manner provided in </w:t>
      </w:r>
      <w:r>
        <w:rPr>
          <w:rFonts w:ascii="Arial" w:cs="Arial" w:eastAsia="Arial" w:hAnsi="Arial"/>
          <w:sz w:val="21"/>
          <w:szCs w:val="21"/>
          <w:u w:val="single" w:color="auto"/>
          <w:color w:val="auto"/>
        </w:rPr>
        <w:t>Sections 2.04(e)</w:t>
      </w:r>
      <w:r>
        <w:rPr>
          <w:rFonts w:ascii="Arial" w:cs="Arial" w:eastAsia="Arial" w:hAnsi="Arial"/>
          <w:sz w:val="21"/>
          <w:szCs w:val="21"/>
          <w:color w:val="auto"/>
        </w:rPr>
        <w:t xml:space="preserve">, </w:t>
      </w:r>
      <w:r>
        <w:rPr>
          <w:rFonts w:ascii="Arial" w:cs="Arial" w:eastAsia="Arial" w:hAnsi="Arial"/>
          <w:sz w:val="21"/>
          <w:szCs w:val="21"/>
          <w:u w:val="single" w:color="auto"/>
          <w:color w:val="auto"/>
        </w:rPr>
        <w:t>2.05(i)</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2.13(b)</w:t>
      </w:r>
      <w:r>
        <w:rPr>
          <w:rFonts w:ascii="Arial" w:cs="Arial" w:eastAsia="Arial" w:hAnsi="Arial"/>
          <w:sz w:val="21"/>
          <w:szCs w:val="21"/>
          <w:color w:val="auto"/>
        </w:rPr>
        <w:t xml:space="preserve">, </w:t>
      </w:r>
      <w:r>
        <w:rPr>
          <w:rFonts w:ascii="Arial" w:cs="Arial" w:eastAsia="Arial" w:hAnsi="Arial"/>
          <w:sz w:val="21"/>
          <w:szCs w:val="21"/>
          <w:u w:val="single" w:color="auto"/>
          <w:color w:val="auto"/>
        </w:rPr>
        <w:t>2.19</w:t>
      </w:r>
      <w:r>
        <w:rPr>
          <w:rFonts w:ascii="Arial" w:cs="Arial" w:eastAsia="Arial" w:hAnsi="Arial"/>
          <w:sz w:val="21"/>
          <w:szCs w:val="21"/>
          <w:color w:val="auto"/>
        </w:rPr>
        <w:t xml:space="preserve">, </w:t>
      </w:r>
      <w:r>
        <w:rPr>
          <w:rFonts w:ascii="Arial" w:cs="Arial" w:eastAsia="Arial" w:hAnsi="Arial"/>
          <w:sz w:val="21"/>
          <w:szCs w:val="21"/>
          <w:u w:val="single" w:color="auto"/>
          <w:color w:val="auto"/>
        </w:rPr>
        <w:t>2.22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2.23</w:t>
      </w:r>
      <w:r>
        <w:rPr>
          <w:rFonts w:ascii="Arial" w:cs="Arial" w:eastAsia="Arial" w:hAnsi="Arial"/>
          <w:sz w:val="21"/>
          <w:szCs w:val="21"/>
          <w:color w:val="auto"/>
        </w:rPr>
        <w:t xml:space="preserve"> and as provided in the definition of the terms “LC Commitment” and “Swingline Commitment”;</w:t>
      </w:r>
    </w:p>
    <w:p>
      <w:pPr>
        <w:spacing w:after="0" w:line="158" w:lineRule="exact"/>
        <w:rPr>
          <w:rFonts w:ascii="Arial" w:cs="Arial" w:eastAsia="Arial" w:hAnsi="Arial"/>
          <w:sz w:val="21"/>
          <w:szCs w:val="21"/>
          <w:color w:val="auto"/>
        </w:rPr>
      </w:pPr>
    </w:p>
    <w:p>
      <w:pPr>
        <w:jc w:val="both"/>
        <w:ind w:left="760" w:right="99" w:firstLine="641"/>
        <w:spacing w:after="0" w:line="218" w:lineRule="auto"/>
        <w:tabs>
          <w:tab w:leader="none" w:pos="2098"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an amendment to this Agreement contemplated by the last sentence of the definition of the term “Applicable Rate” may be made pursuant to an agreement or agreements in writing entered into by the Company, the Administrative Agent and the Required Lenders; and</w:t>
      </w:r>
    </w:p>
    <w:p>
      <w:pPr>
        <w:spacing w:after="0" w:line="161" w:lineRule="exact"/>
        <w:rPr>
          <w:rFonts w:ascii="Arial" w:cs="Arial" w:eastAsia="Arial" w:hAnsi="Arial"/>
          <w:sz w:val="22"/>
          <w:szCs w:val="22"/>
          <w:color w:val="auto"/>
        </w:rPr>
      </w:pPr>
    </w:p>
    <w:p>
      <w:pPr>
        <w:jc w:val="both"/>
        <w:ind w:left="760" w:right="99" w:firstLine="641"/>
        <w:spacing w:after="0" w:line="247" w:lineRule="auto"/>
        <w:tabs>
          <w:tab w:leader="none" w:pos="2131" w:val="left"/>
        </w:tabs>
        <w:numPr>
          <w:ilvl w:val="0"/>
          <w:numId w:val="233"/>
        </w:numPr>
        <w:rPr>
          <w:rFonts w:ascii="Arial" w:cs="Arial" w:eastAsia="Arial" w:hAnsi="Arial"/>
          <w:sz w:val="19"/>
          <w:szCs w:val="19"/>
          <w:color w:val="auto"/>
        </w:rPr>
      </w:pPr>
      <w:r>
        <w:rPr>
          <w:rFonts w:ascii="Arial" w:cs="Arial" w:eastAsia="Arial" w:hAnsi="Arial"/>
          <w:sz w:val="19"/>
          <w:szCs w:val="19"/>
          <w:color w:val="auto"/>
        </w:rPr>
        <w:t>this Agreement may be amended (or amended and restated) with the prior written consent of the Required Lenders, the Administrative Agent and the Company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Loans and the accrued interest and fees in respect thereof and (B) to include appropriately the Lenders holding such credit facilities in any determination of the Required Lenders.</w:t>
      </w:r>
    </w:p>
    <w:p>
      <w:pPr>
        <w:spacing w:after="0" w:line="155" w:lineRule="exact"/>
        <w:rPr>
          <w:sz w:val="20"/>
          <w:szCs w:val="20"/>
          <w:color w:val="auto"/>
        </w:rPr>
      </w:pPr>
    </w:p>
    <w:p>
      <w:pPr>
        <w:jc w:val="both"/>
        <w:ind w:left="100" w:right="99" w:firstLine="1301"/>
        <w:spacing w:after="0" w:line="216" w:lineRule="auto"/>
        <w:tabs>
          <w:tab w:leader="none" w:pos="1891"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Administrative Agent may, but shall have no obligation to, with the consent of any Lender, execute amendments, waivers or other modifications on behalf of such Lender. Any amendment, waiver or other modification effected in accordance with this Section shall be binding upon each Person that is at the time thereof a Lender and each Person that subsequently becomes a Lender.</w:t>
      </w:r>
    </w:p>
    <w:p>
      <w:pPr>
        <w:spacing w:after="0" w:line="139" w:lineRule="exact"/>
        <w:rPr>
          <w:sz w:val="20"/>
          <w:szCs w:val="20"/>
          <w:color w:val="auto"/>
        </w:rPr>
      </w:pPr>
    </w:p>
    <w:p>
      <w:pPr>
        <w:ind w:left="1400"/>
        <w:spacing w:after="0"/>
        <w:tabs>
          <w:tab w:leader="none" w:pos="296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u w:val="single" w:color="auto"/>
          <w:color w:val="auto"/>
        </w:rPr>
        <w:t>Expenses; Indemnity; Damage Waiver</w:t>
      </w:r>
      <w:r>
        <w:rPr>
          <w:rFonts w:ascii="Arial" w:cs="Arial" w:eastAsia="Arial" w:hAnsi="Arial"/>
          <w:sz w:val="19"/>
          <w:szCs w:val="19"/>
          <w:color w:val="auto"/>
        </w:rPr>
        <w:t>. (a) The Company shall pay</w:t>
      </w:r>
    </w:p>
    <w:p>
      <w:pPr>
        <w:jc w:val="both"/>
        <w:ind w:left="100" w:right="99" w:firstLine="5"/>
        <w:spacing w:after="0" w:line="219" w:lineRule="exact"/>
        <w:tabs>
          <w:tab w:leader="none" w:pos="369" w:val="left"/>
        </w:tabs>
        <w:numPr>
          <w:ilvl w:val="0"/>
          <w:numId w:val="235"/>
        </w:numPr>
        <w:rPr>
          <w:rFonts w:ascii="Arial" w:cs="Arial" w:eastAsia="Arial" w:hAnsi="Arial"/>
          <w:sz w:val="19"/>
          <w:szCs w:val="19"/>
          <w:color w:val="auto"/>
        </w:rPr>
      </w:pPr>
      <w:r>
        <w:rPr>
          <w:rFonts w:ascii="Arial" w:cs="Arial" w:eastAsia="Arial" w:hAnsi="Arial"/>
          <w:sz w:val="19"/>
          <w:szCs w:val="19"/>
          <w:color w:val="auto"/>
        </w:rPr>
        <w:t>all reasonable and documented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 xml:space="preserve">pocket expenses incurred by the Administrative Agent, the Revolver Facility Arrangers, the Bridge Facility Arrangers (solely to the extent the Bridge Commitments are established under this Agreement pursuant to </w:t>
      </w:r>
      <w:r>
        <w:rPr>
          <w:rFonts w:ascii="Arial" w:cs="Arial" w:eastAsia="Arial" w:hAnsi="Arial"/>
          <w:sz w:val="19"/>
          <w:szCs w:val="19"/>
          <w:u w:val="single" w:color="auto"/>
          <w:color w:val="auto"/>
        </w:rPr>
        <w:t>Section 2.23</w:t>
      </w:r>
      <w:r>
        <w:rPr>
          <w:rFonts w:ascii="Arial" w:cs="Arial" w:eastAsia="Arial" w:hAnsi="Arial"/>
          <w:sz w:val="19"/>
          <w:szCs w:val="19"/>
          <w:color w:val="auto"/>
        </w:rPr>
        <w:t>) and their respective Affiliates, including the reasonable and documented fees, charges and disbursements of counsel for any of the foregoing (but limited to a single primary counsel and, if necessary, a single local counsel in each relevant material jurisdiction (which may be a single local counsel acting in multiple jurisdictions), in each case, for the Administrative Agent, the Revolver Facility Arrangers, the Bridge Facility Arrangers and their respective Affiliates taken as a whole), in connection with the structuring, arrangement and syndication of the credit facilities provided for herein, including the preparation, execution and delivery of the Engagement Letter, the Bridge Commitment Letter and the Fee Letters, as well as the preparation, execution, delivery and administration of this Agreement, the other Loan Documents or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reasonable and documented out-of-pocket expenses incurred by the Administrative Agent, any Revolver Facility Arranger, any Bridge Facility Arranger (solely to the extent the Bridge Commitments are established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452120</wp:posOffset>
            </wp:positionV>
            <wp:extent cx="5642610" cy="514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9" w:name="page290"/>
    <w:bookmarkEnd w:id="289"/>
    <w:p>
      <w:pPr>
        <w:jc w:val="right"/>
        <w:ind w:right="99"/>
        <w:spacing w:after="0"/>
        <w:rPr>
          <w:sz w:val="20"/>
          <w:szCs w:val="20"/>
          <w:color w:val="auto"/>
        </w:rPr>
      </w:pPr>
      <w:r>
        <w:rPr>
          <w:rFonts w:ascii="Arial" w:cs="Arial" w:eastAsia="Arial" w:hAnsi="Arial"/>
          <w:sz w:val="22"/>
          <w:szCs w:val="22"/>
          <w:color w:val="auto"/>
        </w:rPr>
        <w:t>103</w:t>
      </w:r>
    </w:p>
    <w:p>
      <w:pPr>
        <w:spacing w:after="0" w:line="396" w:lineRule="exact"/>
        <w:rPr>
          <w:sz w:val="20"/>
          <w:szCs w:val="20"/>
          <w:color w:val="auto"/>
        </w:rPr>
      </w:pPr>
    </w:p>
    <w:p>
      <w:pPr>
        <w:jc w:val="both"/>
        <w:ind w:left="100" w:right="99"/>
        <w:spacing w:after="0" w:line="226" w:lineRule="exact"/>
        <w:rPr>
          <w:sz w:val="20"/>
          <w:szCs w:val="20"/>
          <w:color w:val="auto"/>
        </w:rPr>
      </w:pPr>
      <w:r>
        <w:rPr>
          <w:rFonts w:ascii="Arial" w:cs="Arial" w:eastAsia="Arial" w:hAnsi="Arial"/>
          <w:sz w:val="22"/>
          <w:szCs w:val="22"/>
          <w:color w:val="auto"/>
        </w:rPr>
        <w:t xml:space="preserve">Agreement pursuant to </w:t>
      </w:r>
      <w:r>
        <w:rPr>
          <w:rFonts w:ascii="Arial" w:cs="Arial" w:eastAsia="Arial" w:hAnsi="Arial"/>
          <w:sz w:val="22"/>
          <w:szCs w:val="22"/>
          <w:u w:val="single" w:color="auto"/>
          <w:color w:val="auto"/>
        </w:rPr>
        <w:t>Section 2.23</w:t>
      </w:r>
      <w:r>
        <w:rPr>
          <w:rFonts w:ascii="Arial" w:cs="Arial" w:eastAsia="Arial" w:hAnsi="Arial"/>
          <w:sz w:val="22"/>
          <w:szCs w:val="22"/>
          <w:color w:val="auto"/>
        </w:rPr>
        <w:t>), any Issuing Bank or any Lender, including the fees, charges and disbursements of any counsel for any of the foregoing, in connection with the enforcement or protection of its rights in connection with the Loan Documents, including its rights under this Section, or in connection with the Loans made or Letters of Credit issued hereunder, including all such out-of</w:t>
      </w:r>
      <w:r>
        <w:rPr>
          <w:rFonts w:ascii="MS PGothic" w:cs="MS PGothic" w:eastAsia="MS PGothic" w:hAnsi="MS PGothic"/>
          <w:sz w:val="22"/>
          <w:szCs w:val="22"/>
          <w:color w:val="auto"/>
        </w:rPr>
        <w:t>‑</w:t>
      </w:r>
      <w:r>
        <w:rPr>
          <w:rFonts w:ascii="Arial" w:cs="Arial" w:eastAsia="Arial" w:hAnsi="Arial"/>
          <w:sz w:val="22"/>
          <w:szCs w:val="22"/>
          <w:color w:val="auto"/>
        </w:rPr>
        <w:t>pocket expenses incurred during any workout, restructuring or negotiations in respect of such Loans or Letters of Credit.</w:t>
      </w:r>
    </w:p>
    <w:p>
      <w:pPr>
        <w:spacing w:after="0" w:line="159" w:lineRule="exact"/>
        <w:rPr>
          <w:sz w:val="20"/>
          <w:szCs w:val="20"/>
          <w:color w:val="auto"/>
        </w:rPr>
      </w:pPr>
    </w:p>
    <w:p>
      <w:pPr>
        <w:jc w:val="both"/>
        <w:ind w:left="100" w:right="99" w:firstLine="1301"/>
        <w:spacing w:after="0"/>
        <w:tabs>
          <w:tab w:leader="none" w:pos="1905" w:val="left"/>
        </w:tabs>
        <w:numPr>
          <w:ilvl w:val="0"/>
          <w:numId w:val="236"/>
        </w:numPr>
        <w:rPr>
          <w:rFonts w:ascii="Arial" w:cs="Arial" w:eastAsia="Arial" w:hAnsi="Arial"/>
          <w:sz w:val="19"/>
          <w:szCs w:val="19"/>
          <w:color w:val="auto"/>
        </w:rPr>
      </w:pPr>
      <w:r>
        <w:rPr>
          <w:rFonts w:ascii="Arial" w:cs="Arial" w:eastAsia="Arial" w:hAnsi="Arial"/>
          <w:sz w:val="19"/>
          <w:szCs w:val="19"/>
          <w:color w:val="auto"/>
        </w:rPr>
        <w:t xml:space="preserve">The Company shall (i) indemnify and hold harmless each of the Administrative Agent (and any sub-agent thereof), the Revolver Facility Arrangers, the Bridge Facility Arrangers (solely to the extent the Bridge Commitments are established under this Agreement pursuant to </w:t>
      </w:r>
      <w:r>
        <w:rPr>
          <w:rFonts w:ascii="Arial" w:cs="Arial" w:eastAsia="Arial" w:hAnsi="Arial"/>
          <w:sz w:val="19"/>
          <w:szCs w:val="19"/>
          <w:u w:val="single" w:color="auto"/>
          <w:color w:val="auto"/>
        </w:rPr>
        <w:t>Section 2.23</w:t>
      </w:r>
      <w:r>
        <w:rPr>
          <w:rFonts w:ascii="Arial" w:cs="Arial" w:eastAsia="Arial" w:hAnsi="Arial"/>
          <w:sz w:val="19"/>
          <w:szCs w:val="19"/>
          <w:color w:val="auto"/>
        </w:rPr>
        <w:t>), the Syndication Agent, the Documentation Agents, each Lender and each Issuing Bank, and each Related Party of any of the foregoing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from and against any and all losses, claims, damages, liabilities and expenses, joint or several, that may be brought or asserted against any Indemnitee (the “</w:t>
      </w:r>
      <w:r>
        <w:rPr>
          <w:rFonts w:ascii="Arial" w:cs="Arial" w:eastAsia="Arial" w:hAnsi="Arial"/>
          <w:sz w:val="19"/>
          <w:szCs w:val="19"/>
          <w:u w:val="single" w:color="auto"/>
          <w:color w:val="auto"/>
        </w:rPr>
        <w:t>Indemnified Losses</w:t>
      </w:r>
      <w:r>
        <w:rPr>
          <w:rFonts w:ascii="Arial" w:cs="Arial" w:eastAsia="Arial" w:hAnsi="Arial"/>
          <w:sz w:val="19"/>
          <w:szCs w:val="19"/>
          <w:color w:val="auto"/>
        </w:rPr>
        <w:t>”) as a result of or arising out of or in connection with (A) the Engagement Letter, the Bridge Commitment Letter, the Fee Letters, this Agreement, the other Loan Documents or the Transactions or any other transactions contemplated thereby, (B)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(C) any actual or alleged presence or Release of Hazardous Materials at, under, on or from any property currently or formerly owned or operated by the Company or any Subsidiary, or any other liability under Environmental Laws related in any way to the Company or any Subsidiary or (D) any claim, litigation, investigation or proceeding relating to any of the foregoing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regardless of whether any such Indemnitee is a party thereto (and regardless of whether such Proceeding is initiated by a third party or by the Company, the PNG Acquired Company or any of their respective subsidiaries, Affiliates or equity holders), and (ii) reimburse each Indemnitee from time to time, upon presentation of a summary statement, for any reasonable and documented out-of-pocket legal or other expenses incurred in connection with investigating or defending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indemnity will not, as to any Indemnitee, apply to losses, claims, damages, liabilities or related expenses to the extent (A) they are found in a final, nonappealable judgment of a court of competent jurisdiction to have resulted from (1) the willful misconduct, gross negligence or bad faith of such Indemnitee or a Related Party of such Indemnitee or (2) a material breach by such Indemnitee or its Affiliates of their obligations under this Agreement or (B) arising out of or in connection with any Proceeding that does not involve an act or omission of the Company or any of its Affiliates and that is brought by an Indemnitee against any other Indemnitee (other than against the Revolver Facility Arrangers, the Bridge Facility Arrangers, the Administrative Agent or another named agent, in each case, acting in its capacity or fulfilling its role as such),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(x) such legal expenses shall be limited to the fees, disbursements and other charges of a single primary firm of counsel to the Indemnitees, taken as a whole, and, if necessary, a single local counsel to the Indemnitees, taken as a whole, in each relevant material jurisdiction (which may be a single local counsel acting in multiple jurisdictions) (and, in the case of an actual or perceived conflict of interest where the Indemnitee affected by such conflict informs the Company of such conflict and thereafter retains its own single firm of counsel (or, if necessary, its own single firm of local counsel in each relevant material jurisdiction (which may be a single local counsel acting in multiple jurisdictions)), of such conflict counsel for such affected Indemnitee and all similarly situated Indemnitees, taken as a whole) and (y)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431800</wp:posOffset>
            </wp:positionV>
            <wp:extent cx="5642610" cy="514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0" w:name="page291"/>
    <w:bookmarkEnd w:id="290"/>
    <w:p>
      <w:pPr>
        <w:ind w:left="8600"/>
        <w:spacing w:after="0"/>
        <w:rPr>
          <w:sz w:val="20"/>
          <w:szCs w:val="20"/>
          <w:color w:val="auto"/>
        </w:rPr>
      </w:pPr>
      <w:r>
        <w:rPr>
          <w:rFonts w:ascii="Arial" w:cs="Arial" w:eastAsia="Arial" w:hAnsi="Arial"/>
          <w:sz w:val="19"/>
          <w:szCs w:val="19"/>
          <w:color w:val="auto"/>
        </w:rPr>
        <w:t>104</w:t>
      </w:r>
    </w:p>
    <w:p>
      <w:pPr>
        <w:spacing w:after="0" w:line="200" w:lineRule="exact"/>
        <w:rPr>
          <w:sz w:val="20"/>
          <w:szCs w:val="20"/>
          <w:color w:val="auto"/>
        </w:rPr>
      </w:pPr>
    </w:p>
    <w:p>
      <w:pPr>
        <w:spacing w:after="0" w:line="231" w:lineRule="exact"/>
        <w:rPr>
          <w:sz w:val="20"/>
          <w:szCs w:val="20"/>
          <w:color w:val="auto"/>
        </w:rPr>
      </w:pPr>
    </w:p>
    <w:p>
      <w:pPr>
        <w:jc w:val="both"/>
        <w:ind w:left="100" w:right="99"/>
        <w:spacing w:after="0" w:line="218" w:lineRule="auto"/>
        <w:rPr>
          <w:sz w:val="20"/>
          <w:szCs w:val="20"/>
          <w:color w:val="auto"/>
        </w:rPr>
      </w:pPr>
      <w:r>
        <w:rPr>
          <w:rFonts w:ascii="Arial" w:cs="Arial" w:eastAsia="Arial" w:hAnsi="Arial"/>
          <w:sz w:val="22"/>
          <w:szCs w:val="22"/>
          <w:color w:val="auto"/>
        </w:rPr>
        <w:t>Indemnitee shall promptly repay to the Company all amounts previously paid by the Company pursuant to the foregoing provisions to the extent that such Indemnitee is found in a final, nonappealable judgment of a court of competent jurisdiction not to be entitled to indemnification hereunder as contemplated by the immediately preceding proviso.</w:t>
      </w:r>
    </w:p>
    <w:p>
      <w:pPr>
        <w:spacing w:after="0" w:line="161" w:lineRule="exact"/>
        <w:rPr>
          <w:sz w:val="20"/>
          <w:szCs w:val="20"/>
          <w:color w:val="auto"/>
        </w:rPr>
      </w:pPr>
    </w:p>
    <w:p>
      <w:pPr>
        <w:jc w:val="both"/>
        <w:ind w:left="100" w:right="99" w:firstLine="1301"/>
        <w:spacing w:after="0" w:line="242" w:lineRule="auto"/>
        <w:tabs>
          <w:tab w:leader="none" w:pos="1947"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To the extent that the Company fails indefeasibly to pay any amount required under paragraph (a) or (b) of this Section to the Administrative Agent (or any sub-agent thereof), any Issuing Bank, any Swingline Lender or any Related Party of any of the foregoing (and without limiting its obligation to do so), each Lender severally agrees to pay to the Administrative Agent (or any such sub-agent), such Issuing Bank, such Swingline Lender or such Related Party, as the case may be, such Lender’s Applicable Percentage (determined as of the time that the applicable unreimbursed expense or indemnity payment is sought and, solely for purposes of this paragraph, during the period from the Effective Date until the Conversion or termination in full of the Tranche 2 Commitments deeming each reference to the term “Tranche 1 Commitments” in the definition thereof to be a reference to “Commitments”)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such sub-agent), such Issuing Bank or such Swingline Lender in its capacity as such, or against any Related Party of any of the foregoing acting for the Administrative Agent (or any such sub-agent), such Issuing Bank or such Swingline Lender.</w:t>
      </w:r>
    </w:p>
    <w:p>
      <w:pPr>
        <w:spacing w:after="0" w:line="156" w:lineRule="exact"/>
        <w:rPr>
          <w:rFonts w:ascii="Arial" w:cs="Arial" w:eastAsia="Arial" w:hAnsi="Arial"/>
          <w:sz w:val="19"/>
          <w:szCs w:val="19"/>
          <w:color w:val="auto"/>
        </w:rPr>
      </w:pPr>
    </w:p>
    <w:p>
      <w:pPr>
        <w:jc w:val="both"/>
        <w:ind w:left="100" w:right="99" w:firstLine="1301"/>
        <w:spacing w:after="0" w:line="244" w:lineRule="auto"/>
        <w:tabs>
          <w:tab w:leader="none" w:pos="1919" w:val="left"/>
        </w:tabs>
        <w:numPr>
          <w:ilvl w:val="0"/>
          <w:numId w:val="237"/>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the Company shall not assert, or permit any of its controlled Related Parties to assert, and the Company hereby waives, any claim against any Indemnitee (i) for any damages arising from the use by others of information or other materials obtained through telecommunications, electronic or other information transmission systems (including the Internet), except to the extent arising from the gross negligence or willful misconduct of such Indemnitee, as determined by a court of competent jurisdiction in a final and nonappealable judgment,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55" w:lineRule="exact"/>
        <w:rPr>
          <w:rFonts w:ascii="Arial" w:cs="Arial" w:eastAsia="Arial" w:hAnsi="Arial"/>
          <w:sz w:val="19"/>
          <w:szCs w:val="19"/>
          <w:color w:val="auto"/>
        </w:rPr>
      </w:pPr>
    </w:p>
    <w:p>
      <w:pPr>
        <w:jc w:val="both"/>
        <w:ind w:left="100" w:right="99" w:firstLine="1301"/>
        <w:spacing w:after="0" w:line="219" w:lineRule="auto"/>
        <w:tabs>
          <w:tab w:leader="none" w:pos="1906" w:val="left"/>
        </w:tabs>
        <w:numPr>
          <w:ilvl w:val="0"/>
          <w:numId w:val="237"/>
        </w:numPr>
        <w:rPr>
          <w:rFonts w:ascii="Arial" w:cs="Arial" w:eastAsia="Arial" w:hAnsi="Arial"/>
          <w:sz w:val="21"/>
          <w:szCs w:val="21"/>
          <w:color w:val="auto"/>
        </w:rPr>
      </w:pPr>
      <w:r>
        <w:rPr>
          <w:rFonts w:ascii="Arial" w:cs="Arial" w:eastAsia="Arial" w:hAnsi="Arial"/>
          <w:sz w:val="21"/>
          <w:szCs w:val="21"/>
          <w:color w:val="auto"/>
        </w:rPr>
        <w:t xml:space="preserve">To the fullest extent permitted by applicable law, the Administrative Agent, the Revolver Facility Arrangers, the Bridge Facility Arrangers, the Issuing Banks, the Lenders, the Syndication Agent and the Documentation Agents shall not assert, or permit any of their respective controlled Related Parties to assert, and each of them hereby waives, any claim against the Company or any of its Related Parties,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paragraph (e) shall limit the Company’s indemnity and reimbursement obligations set forth in this </w:t>
      </w:r>
      <w:r>
        <w:rPr>
          <w:rFonts w:ascii="Arial" w:cs="Arial" w:eastAsia="Arial" w:hAnsi="Arial"/>
          <w:sz w:val="21"/>
          <w:szCs w:val="21"/>
          <w:u w:val="single" w:color="auto"/>
          <w:color w:val="auto"/>
        </w:rPr>
        <w:t>Section 9.03</w:t>
      </w:r>
      <w:r>
        <w:rPr>
          <w:rFonts w:ascii="Arial" w:cs="Arial" w:eastAsia="Arial" w:hAnsi="Arial"/>
          <w:sz w:val="21"/>
          <w:szCs w:val="21"/>
          <w:color w:val="auto"/>
        </w:rPr>
        <w:t>, including such indemnity and reimbursement obligations with respect to any special, indirect, consequential or punitive damages arising out of, in connection with or as a result of any claim, litigation, investigation or proceeding brought against any Indemnitee by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317500</wp:posOffset>
            </wp:positionV>
            <wp:extent cx="5642610" cy="514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1" w:name="page292"/>
    <w:bookmarkEnd w:id="291"/>
    <w:p>
      <w:pPr>
        <w:jc w:val="right"/>
        <w:ind w:right="99"/>
        <w:spacing w:after="0"/>
        <w:rPr>
          <w:sz w:val="20"/>
          <w:szCs w:val="20"/>
          <w:color w:val="auto"/>
        </w:rPr>
      </w:pPr>
      <w:r>
        <w:rPr>
          <w:rFonts w:ascii="Arial" w:cs="Arial" w:eastAsia="Arial" w:hAnsi="Arial"/>
          <w:sz w:val="22"/>
          <w:szCs w:val="22"/>
          <w:color w:val="auto"/>
        </w:rPr>
        <w:t>105</w:t>
      </w:r>
    </w:p>
    <w:p>
      <w:pPr>
        <w:spacing w:after="0" w:line="396" w:lineRule="exact"/>
        <w:rPr>
          <w:sz w:val="20"/>
          <w:szCs w:val="20"/>
          <w:color w:val="auto"/>
        </w:rPr>
      </w:pPr>
    </w:p>
    <w:p>
      <w:pPr>
        <w:ind w:left="1880" w:hanging="479"/>
        <w:spacing w:after="0"/>
        <w:tabs>
          <w:tab w:leader="none" w:pos="188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All amounts due under this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shall be payable promptly after written</w:t>
      </w:r>
    </w:p>
    <w:p>
      <w:pPr>
        <w:spacing w:after="0" w:line="15"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demand therefor.</w:t>
      </w:r>
    </w:p>
    <w:p>
      <w:pPr>
        <w:spacing w:after="0" w:line="161" w:lineRule="exact"/>
        <w:rPr>
          <w:sz w:val="20"/>
          <w:szCs w:val="20"/>
          <w:color w:val="auto"/>
        </w:rPr>
      </w:pPr>
    </w:p>
    <w:p>
      <w:pPr>
        <w:jc w:val="both"/>
        <w:ind w:left="100" w:right="99" w:firstLine="1296"/>
        <w:spacing w:after="0" w:line="241"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(a) The provisions of this Agreement shall be binding upon and inure to the benefit of the parties hereto and their respective successors and assigns permitted hereby (including any Affiliate of any Issuing Bank that issues any Letter of Credit), except that (i) other than as expressly permitted by </w:t>
      </w:r>
      <w:r>
        <w:rPr>
          <w:rFonts w:ascii="Arial" w:cs="Arial" w:eastAsia="Arial" w:hAnsi="Arial"/>
          <w:sz w:val="19"/>
          <w:szCs w:val="19"/>
          <w:u w:val="single" w:color="auto"/>
          <w:color w:val="auto"/>
        </w:rPr>
        <w:t>Section 6.02(a)(ii)(B)</w:t>
      </w:r>
      <w:r>
        <w:rPr>
          <w:rFonts w:ascii="Arial" w:cs="Arial" w:eastAsia="Arial" w:hAnsi="Arial"/>
          <w:sz w:val="19"/>
          <w:szCs w:val="19"/>
          <w:color w:val="auto"/>
        </w:rPr>
        <w:t xml:space="preserve">, the Company may not assign or otherwise transfer any of its rights or obligations hereunder without the prior written consent of the Administrative Agent and each Lender (and any attempted assignment or transfer by the Company without such consent shall be null and void) and (ii) no Lender may assign or otherwise transfer its rights or obligations hereunder except in accordance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any attempted assignment or transfer by any Lender not permitted by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sub-agents of the Administrative Agent, Participants (to the extent provided in paragraph (c) of this Section), the Revolver Facility Arrangers, the Bridge Facility Arrangers, the Syndication Agent, the Documentation Agents and, to the extent expressly contemplated hereby, the Related Parties of the foregoing) any legal or equitable right, remedy or claim under or by reason of this Agreement.</w:t>
      </w:r>
    </w:p>
    <w:p>
      <w:pPr>
        <w:spacing w:after="0" w:line="163" w:lineRule="exact"/>
        <w:rPr>
          <w:sz w:val="20"/>
          <w:szCs w:val="20"/>
          <w:color w:val="auto"/>
        </w:rPr>
      </w:pPr>
    </w:p>
    <w:p>
      <w:pPr>
        <w:jc w:val="both"/>
        <w:ind w:left="100" w:right="99" w:firstLine="1301"/>
        <w:spacing w:after="0" w:line="257" w:lineRule="auto"/>
        <w:tabs>
          <w:tab w:leader="none" w:pos="1864" w:val="left"/>
        </w:tabs>
        <w:numPr>
          <w:ilvl w:val="0"/>
          <w:numId w:val="239"/>
        </w:numPr>
        <w:rPr>
          <w:rFonts w:ascii="Arial" w:cs="Arial" w:eastAsia="Arial" w:hAnsi="Arial"/>
          <w:sz w:val="19"/>
          <w:szCs w:val="19"/>
          <w:color w:val="auto"/>
        </w:rPr>
      </w:pPr>
      <w:r>
        <w:rPr>
          <w:rFonts w:ascii="Arial" w:cs="Arial" w:eastAsia="Arial" w:hAnsi="Arial"/>
          <w:sz w:val="19"/>
          <w:szCs w:val="19"/>
          <w:color w:val="auto"/>
        </w:rPr>
        <w:t>(i) Subject to the conditions set forth in paragraph (b)(ii) below, any Lender may assign to one or more Eligible Assignees all or a portion of its rights and obligations under this Agreement (including all or a portion of its Commitments and the Loans at the time owing to it) with the prior written consent (such consent not to be unreasonably withheld, delayed or conditioned) of:</w:t>
      </w:r>
    </w:p>
    <w:p>
      <w:pPr>
        <w:spacing w:after="0" w:line="144" w:lineRule="exact"/>
        <w:rPr>
          <w:rFonts w:ascii="Arial" w:cs="Arial" w:eastAsia="Arial" w:hAnsi="Arial"/>
          <w:sz w:val="19"/>
          <w:szCs w:val="19"/>
          <w:color w:val="auto"/>
        </w:rPr>
      </w:pPr>
    </w:p>
    <w:p>
      <w:pPr>
        <w:jc w:val="both"/>
        <w:ind w:left="1400" w:right="99" w:firstLine="649"/>
        <w:spacing w:after="0" w:line="218" w:lineRule="auto"/>
        <w:tabs>
          <w:tab w:leader="none" w:pos="2564" w:val="left"/>
        </w:tabs>
        <w:numPr>
          <w:ilvl w:val="1"/>
          <w:numId w:val="239"/>
        </w:numPr>
        <w:rPr>
          <w:rFonts w:ascii="Arial" w:cs="Arial" w:eastAsia="Arial" w:hAnsi="Arial"/>
          <w:sz w:val="22"/>
          <w:szCs w:val="22"/>
          <w:color w:val="auto"/>
        </w:rPr>
      </w:pPr>
      <w:r>
        <w:rPr>
          <w:rFonts w:ascii="Arial" w:cs="Arial" w:eastAsia="Arial" w:hAnsi="Arial"/>
          <w:sz w:val="22"/>
          <w:szCs w:val="22"/>
          <w:color w:val="auto"/>
        </w:rPr>
        <w:t xml:space="preserve">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Company shall be required for an assignment to a Lender or an Affiliate of a Lender or, if a Payment or Bankruptcy Event of Default has occurred and is continuing, any other Eligible Assignee;</w:t>
      </w:r>
    </w:p>
    <w:p>
      <w:pPr>
        <w:spacing w:after="0" w:line="161" w:lineRule="exact"/>
        <w:rPr>
          <w:rFonts w:ascii="Arial" w:cs="Arial" w:eastAsia="Arial" w:hAnsi="Arial"/>
          <w:sz w:val="22"/>
          <w:szCs w:val="22"/>
          <w:color w:val="auto"/>
        </w:rPr>
      </w:pPr>
    </w:p>
    <w:p>
      <w:pPr>
        <w:ind w:left="2560" w:hanging="511"/>
        <w:spacing w:after="0"/>
        <w:tabs>
          <w:tab w:leader="none" w:pos="256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the Administrative Agent;</w:t>
      </w:r>
    </w:p>
    <w:p>
      <w:pPr>
        <w:spacing w:after="0" w:line="179" w:lineRule="exact"/>
        <w:rPr>
          <w:rFonts w:ascii="Arial" w:cs="Arial" w:eastAsia="Arial" w:hAnsi="Arial"/>
          <w:sz w:val="22"/>
          <w:szCs w:val="22"/>
          <w:color w:val="auto"/>
        </w:rPr>
      </w:pPr>
    </w:p>
    <w:p>
      <w:pPr>
        <w:ind w:left="2560" w:hanging="511"/>
        <w:spacing w:after="0"/>
        <w:tabs>
          <w:tab w:leader="none" w:pos="256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each Issuing Bank; and</w:t>
      </w:r>
    </w:p>
    <w:p>
      <w:pPr>
        <w:spacing w:after="0" w:line="179" w:lineRule="exact"/>
        <w:rPr>
          <w:rFonts w:ascii="Arial" w:cs="Arial" w:eastAsia="Arial" w:hAnsi="Arial"/>
          <w:sz w:val="22"/>
          <w:szCs w:val="22"/>
          <w:color w:val="auto"/>
        </w:rPr>
      </w:pPr>
    </w:p>
    <w:p>
      <w:pPr>
        <w:ind w:left="2560" w:hanging="511"/>
        <w:spacing w:after="0"/>
        <w:tabs>
          <w:tab w:leader="none" w:pos="256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each Swingline Lender.</w:t>
      </w:r>
    </w:p>
    <w:p>
      <w:pPr>
        <w:spacing w:after="0" w:line="179" w:lineRule="exact"/>
        <w:rPr>
          <w:sz w:val="20"/>
          <w:szCs w:val="20"/>
          <w:color w:val="auto"/>
        </w:rPr>
      </w:pPr>
    </w:p>
    <w:p>
      <w:pPr>
        <w:ind w:left="1880" w:hanging="479"/>
        <w:spacing w:after="0"/>
        <w:tabs>
          <w:tab w:leader="none" w:pos="188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179" w:lineRule="exact"/>
        <w:rPr>
          <w:rFonts w:ascii="Arial" w:cs="Arial" w:eastAsia="Arial" w:hAnsi="Arial"/>
          <w:sz w:val="22"/>
          <w:szCs w:val="22"/>
          <w:color w:val="auto"/>
        </w:rPr>
      </w:pPr>
    </w:p>
    <w:p>
      <w:pPr>
        <w:jc w:val="both"/>
        <w:ind w:left="1400" w:right="99" w:firstLine="649"/>
        <w:spacing w:after="0" w:line="246" w:lineRule="auto"/>
        <w:tabs>
          <w:tab w:leader="none" w:pos="2699" w:val="left"/>
        </w:tabs>
        <w:numPr>
          <w:ilvl w:val="1"/>
          <w:numId w:val="240"/>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$10,000,000 unless each of the Company and the Administrative Agent otherwise consents;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Company shall be required if a Payment or Bankruptcy Event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312420</wp:posOffset>
            </wp:positionV>
            <wp:extent cx="5642610" cy="514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2" w:name="page293"/>
    <w:bookmarkEnd w:id="292"/>
    <w:p>
      <w:pPr>
        <w:jc w:val="right"/>
        <w:ind w:right="99"/>
        <w:spacing w:after="0"/>
        <w:rPr>
          <w:sz w:val="20"/>
          <w:szCs w:val="20"/>
          <w:color w:val="auto"/>
        </w:rPr>
      </w:pPr>
      <w:r>
        <w:rPr>
          <w:rFonts w:ascii="Arial" w:cs="Arial" w:eastAsia="Arial" w:hAnsi="Arial"/>
          <w:sz w:val="22"/>
          <w:szCs w:val="22"/>
          <w:color w:val="auto"/>
        </w:rPr>
        <w:t>106</w:t>
      </w:r>
    </w:p>
    <w:p>
      <w:pPr>
        <w:spacing w:after="0" w:line="39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Default has occurred and is continuing;</w:t>
      </w:r>
    </w:p>
    <w:p>
      <w:pPr>
        <w:spacing w:after="0" w:line="179" w:lineRule="exact"/>
        <w:rPr>
          <w:sz w:val="20"/>
          <w:szCs w:val="20"/>
          <w:color w:val="auto"/>
        </w:rPr>
      </w:pPr>
    </w:p>
    <w:p>
      <w:pPr>
        <w:jc w:val="both"/>
        <w:ind w:left="1400" w:right="99" w:firstLine="649"/>
        <w:spacing w:after="0" w:line="216" w:lineRule="auto"/>
        <w:tabs>
          <w:tab w:leader="none" w:pos="289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 xml:space="preserve">each partial assignment shall be made as an assignment of a proportionate part of all the assigning Lender’s rights and obligations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this clause (B) shall not be construed to prohibit the assignment of a proportionate part of all the assigning Lender’s rights and obligations in respect of one Class of Commitments or Loans;</w:t>
      </w:r>
    </w:p>
    <w:p>
      <w:pPr>
        <w:spacing w:after="0" w:line="158" w:lineRule="exact"/>
        <w:rPr>
          <w:rFonts w:ascii="Arial" w:cs="Arial" w:eastAsia="Arial" w:hAnsi="Arial"/>
          <w:sz w:val="22"/>
          <w:szCs w:val="22"/>
          <w:color w:val="auto"/>
        </w:rPr>
      </w:pPr>
    </w:p>
    <w:p>
      <w:pPr>
        <w:jc w:val="both"/>
        <w:ind w:left="1400" w:right="99" w:firstLine="649"/>
        <w:spacing w:after="0" w:line="246" w:lineRule="auto"/>
        <w:tabs>
          <w:tab w:leader="none" w:pos="2850" w:val="left"/>
        </w:tabs>
        <w:numPr>
          <w:ilvl w:val="1"/>
          <w:numId w:val="241"/>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the Administrative Agent an Assignment and Assumption (or an agreement incorporating by reference a form of Assignment and Assumption posted on the Platform), together with a processing and recordation fee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only one such processing and recordation fee shall be payable in the event of simultaneous assignments from any Lender or its Approved Funds to one or more other Approved Funds of such Lender and (y) such processing and recordation fee may be waived by the Administrative Agent in its sole discretion; and</w:t>
      </w:r>
    </w:p>
    <w:p>
      <w:pPr>
        <w:spacing w:after="0" w:line="153" w:lineRule="exact"/>
        <w:rPr>
          <w:rFonts w:ascii="Arial" w:cs="Arial" w:eastAsia="Arial" w:hAnsi="Arial"/>
          <w:sz w:val="19"/>
          <w:szCs w:val="19"/>
          <w:color w:val="auto"/>
        </w:rPr>
      </w:pPr>
    </w:p>
    <w:p>
      <w:pPr>
        <w:jc w:val="both"/>
        <w:ind w:left="1400" w:right="99" w:firstLine="649"/>
        <w:spacing w:after="0" w:line="212" w:lineRule="auto"/>
        <w:tabs>
          <w:tab w:leader="none" w:pos="2713" w:val="left"/>
        </w:tabs>
        <w:numPr>
          <w:ilvl w:val="1"/>
          <w:numId w:val="241"/>
        </w:numPr>
        <w:rPr>
          <w:rFonts w:ascii="Arial" w:cs="Arial" w:eastAsia="Arial" w:hAnsi="Arial"/>
          <w:sz w:val="22"/>
          <w:szCs w:val="22"/>
          <w:color w:val="auto"/>
        </w:rPr>
      </w:pPr>
      <w:r>
        <w:rPr>
          <w:rFonts w:ascii="Arial" w:cs="Arial" w:eastAsia="Arial" w:hAnsi="Arial"/>
          <w:sz w:val="22"/>
          <w:szCs w:val="22"/>
          <w:color w:val="auto"/>
        </w:rPr>
        <w:t xml:space="preserve">the assignee, if it shall not already be a Lender, shall deliver to the Administrative Agent any tax forms required by </w:t>
      </w:r>
      <w:r>
        <w:rPr>
          <w:rFonts w:ascii="Arial" w:cs="Arial" w:eastAsia="Arial" w:hAnsi="Arial"/>
          <w:sz w:val="22"/>
          <w:szCs w:val="22"/>
          <w:u w:val="single" w:color="auto"/>
          <w:color w:val="auto"/>
        </w:rPr>
        <w:t>Section 2.16(f)</w:t>
      </w:r>
      <w:r>
        <w:rPr>
          <w:rFonts w:ascii="Arial" w:cs="Arial" w:eastAsia="Arial" w:hAnsi="Arial"/>
          <w:sz w:val="22"/>
          <w:szCs w:val="22"/>
          <w:color w:val="auto"/>
        </w:rPr>
        <w:t xml:space="preserve"> and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United States (Federal or State) and foreign securities laws.</w:t>
      </w:r>
    </w:p>
    <w:p>
      <w:pPr>
        <w:spacing w:after="0" w:line="164" w:lineRule="exact"/>
        <w:rPr>
          <w:rFonts w:ascii="Arial" w:cs="Arial" w:eastAsia="Arial" w:hAnsi="Arial"/>
          <w:sz w:val="22"/>
          <w:szCs w:val="22"/>
          <w:color w:val="auto"/>
        </w:rPr>
      </w:pPr>
    </w:p>
    <w:p>
      <w:pPr>
        <w:jc w:val="both"/>
        <w:ind w:left="760" w:right="99" w:firstLine="641"/>
        <w:spacing w:after="0" w:line="241" w:lineRule="auto"/>
        <w:tabs>
          <w:tab w:leader="none" w:pos="207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w:t>
      </w:r>
      <w:r>
        <w:rPr>
          <w:rFonts w:ascii="Arial" w:cs="Arial" w:eastAsia="Arial" w:hAnsi="Arial"/>
          <w:sz w:val="19"/>
          <w:szCs w:val="19"/>
          <w:u w:val="single" w:color="auto"/>
          <w:color w:val="auto"/>
        </w:rPr>
        <w:t>Section 9.04(b)(iv)</w:t>
      </w:r>
      <w:r>
        <w:rPr>
          <w:rFonts w:ascii="Arial" w:cs="Arial" w:eastAsia="Arial" w:hAnsi="Arial"/>
          <w:sz w:val="19"/>
          <w:szCs w:val="19"/>
          <w:color w:val="auto"/>
        </w:rPr>
        <w:t xml:space="preserve">, from and after the effective date specified in each Assignment and Assumption (or an agreement incorporating by reference a form of Assignment and Assumption posted on the Platform)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such Lender having been a Defaulting Lender. Any assignment or transfer by a Lender of rights or obligations under this Agreement that does not comply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Section 9.04(c)</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760" w:right="99" w:firstLine="641"/>
        <w:spacing w:after="0" w:line="257" w:lineRule="auto"/>
        <w:tabs>
          <w:tab w:leader="none" w:pos="2071"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 non-fiduciary agent of the Company, shall maintain at one of its offices a copy of each Assignment and Assumption delivered to it and records of the names and addresses of the Lenders, and the Commitments of, and principal amount (and stated interest) of the Loans and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307340</wp:posOffset>
            </wp:positionV>
            <wp:extent cx="5642610" cy="514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3" w:name="page294"/>
    <w:bookmarkEnd w:id="293"/>
    <w:p>
      <w:pPr>
        <w:jc w:val="right"/>
        <w:ind w:right="99"/>
        <w:spacing w:after="0"/>
        <w:rPr>
          <w:sz w:val="20"/>
          <w:szCs w:val="20"/>
          <w:color w:val="auto"/>
        </w:rPr>
      </w:pPr>
      <w:r>
        <w:rPr>
          <w:rFonts w:ascii="Arial" w:cs="Arial" w:eastAsia="Arial" w:hAnsi="Arial"/>
          <w:sz w:val="22"/>
          <w:szCs w:val="22"/>
          <w:color w:val="auto"/>
        </w:rPr>
        <w:t>107</w:t>
      </w:r>
    </w:p>
    <w:p>
      <w:pPr>
        <w:spacing w:after="0" w:line="396" w:lineRule="exact"/>
        <w:rPr>
          <w:sz w:val="20"/>
          <w:szCs w:val="20"/>
          <w:color w:val="auto"/>
        </w:rPr>
      </w:pPr>
    </w:p>
    <w:p>
      <w:pPr>
        <w:jc w:val="both"/>
        <w:ind w:left="760" w:right="99"/>
        <w:spacing w:after="0" w:line="222" w:lineRule="auto"/>
        <w:rPr>
          <w:sz w:val="20"/>
          <w:szCs w:val="20"/>
          <w:color w:val="auto"/>
        </w:rPr>
      </w:pPr>
      <w:r>
        <w:rPr>
          <w:rFonts w:ascii="Arial" w:cs="Arial" w:eastAsia="Arial" w:hAnsi="Arial"/>
          <w:sz w:val="21"/>
          <w:szCs w:val="21"/>
          <w:color w:val="auto"/>
        </w:rPr>
        <w:t>Disbursements owing to, each Lender pursuant to 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The entries in the Register shall be conclusive absent manifest error, and the Company,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and, as to entries pertaining to it, any Issuing Bank or Lender, at any reasonable time and from time to time upon reasonable prior notice.</w:t>
      </w:r>
    </w:p>
    <w:p>
      <w:pPr>
        <w:spacing w:after="0" w:line="158" w:lineRule="exact"/>
        <w:rPr>
          <w:sz w:val="20"/>
          <w:szCs w:val="20"/>
          <w:color w:val="auto"/>
        </w:rPr>
      </w:pPr>
    </w:p>
    <w:p>
      <w:pPr>
        <w:jc w:val="both"/>
        <w:ind w:left="760" w:right="99" w:firstLine="641"/>
        <w:spacing w:after="0"/>
        <w:tabs>
          <w:tab w:leader="none" w:pos="189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Upon receipt by the Administrative Agent of an Assignment and Assumption (or an agreement incorporating by reference a form of Assignment and Assumption posted on the Platform) executed by an assigning Lender and an assignee, the assignee’s completed Administrative Questionnaire and any tax forms required by </w:t>
      </w:r>
      <w:r>
        <w:rPr>
          <w:rFonts w:ascii="Arial" w:cs="Arial" w:eastAsia="Arial" w:hAnsi="Arial"/>
          <w:sz w:val="19"/>
          <w:szCs w:val="19"/>
          <w:u w:val="single" w:color="auto"/>
          <w:color w:val="auto"/>
        </w:rPr>
        <w:t>Section 2.16(f)</w:t>
      </w:r>
      <w:r>
        <w:rPr>
          <w:rFonts w:ascii="Arial" w:cs="Arial" w:eastAsia="Arial" w:hAnsi="Arial"/>
          <w:sz w:val="19"/>
          <w:szCs w:val="19"/>
          <w:color w:val="auto"/>
        </w:rPr>
        <w:t xml:space="preserve"> (unless the assignee shall already be a Lender hereunder) and the processing and recordation fee referred to in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accept such Assignment and Assumption or so record the information contained therein if the Administrative Agent reasonably believes that such Assignment and Assumption lacks any written consent required by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shall be effective for purposes of this Agreement unless it has been recorded in the Register as provided in this paragraph, and following such recording, unless otherwise determined by the Administrative Agent (such determination to be made in the sole discretion of the Administrative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shall be deemed to have represented to the Administrative Agent that all written consents required by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with respect thereto (other than the consent of the Administrative Agent) have been obtained and that such Assignment and Assumption is otherwise duly completed and in proper form, and each assignee, by its execution and delivery of an Assignment and Assumption, shall be deemed to have represented to the assigning Lender and the Administrative Agent that such assignee is an Eligible Assignee. The Administrative Agent shall have no responsibility or liability for an assignment to a Person that is not an Eligible Assignee.</w:t>
      </w:r>
    </w:p>
    <w:p>
      <w:pPr>
        <w:spacing w:after="0" w:line="365" w:lineRule="exact"/>
        <w:rPr>
          <w:sz w:val="20"/>
          <w:szCs w:val="20"/>
          <w:color w:val="auto"/>
        </w:rPr>
      </w:pPr>
    </w:p>
    <w:p>
      <w:pPr>
        <w:jc w:val="both"/>
        <w:ind w:left="100" w:right="99" w:firstLine="1301"/>
        <w:spacing w:after="0" w:line="247" w:lineRule="auto"/>
        <w:tabs>
          <w:tab w:leader="none" w:pos="196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 Any Lender may, without the consent of the Company, the Administrative Agent, any Swingline Lender or any Issuing Bank, sell participations to one or more Eligible Assignees (“</w:t>
      </w:r>
      <w:r>
        <w:rPr>
          <w:rFonts w:ascii="Arial" w:cs="Arial" w:eastAsia="Arial" w:hAnsi="Arial"/>
          <w:sz w:val="19"/>
          <w:szCs w:val="19"/>
          <w:u w:val="single" w:color="auto"/>
          <w:color w:val="auto"/>
        </w:rPr>
        <w:t>Participants</w:t>
      </w:r>
      <w:r>
        <w:rPr>
          <w:rFonts w:ascii="Arial" w:cs="Arial" w:eastAsia="Arial" w:hAnsi="Arial"/>
          <w:sz w:val="19"/>
          <w:szCs w:val="19"/>
          <w:color w:val="auto"/>
        </w:rPr>
        <w:t xml:space="preserve">”) in all or a portion of such Lender’s rights and/or obligations under this Agreement (including all or a portion of its Commitments and Loans of any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Company, the Administrative Agent, the Issuing Banks and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313690</wp:posOffset>
            </wp:positionV>
            <wp:extent cx="5642610" cy="514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4" w:name="page295"/>
    <w:bookmarkEnd w:id="294"/>
    <w:p>
      <w:pPr>
        <w:jc w:val="right"/>
        <w:ind w:right="99"/>
        <w:spacing w:after="0"/>
        <w:rPr>
          <w:sz w:val="20"/>
          <w:szCs w:val="20"/>
          <w:color w:val="auto"/>
        </w:rPr>
      </w:pPr>
      <w:r>
        <w:rPr>
          <w:rFonts w:ascii="Arial" w:cs="Arial" w:eastAsia="Arial" w:hAnsi="Arial"/>
          <w:sz w:val="22"/>
          <w:szCs w:val="22"/>
          <w:color w:val="auto"/>
        </w:rPr>
        <w:t>108</w:t>
      </w:r>
    </w:p>
    <w:p>
      <w:pPr>
        <w:spacing w:after="0" w:line="396" w:lineRule="exact"/>
        <w:rPr>
          <w:sz w:val="20"/>
          <w:szCs w:val="20"/>
          <w:color w:val="auto"/>
        </w:rPr>
      </w:pPr>
    </w:p>
    <w:p>
      <w:pPr>
        <w:jc w:val="both"/>
        <w:ind w:left="100" w:right="99"/>
        <w:spacing w:after="0"/>
        <w:rPr>
          <w:sz w:val="20"/>
          <w:szCs w:val="20"/>
          <w:color w:val="auto"/>
        </w:rPr>
      </w:pPr>
      <w:r>
        <w:rPr>
          <w:rFonts w:ascii="Arial" w:cs="Arial" w:eastAsia="Arial" w:hAnsi="Arial"/>
          <w:sz w:val="19"/>
          <w:szCs w:val="19"/>
          <w:color w:val="auto"/>
        </w:rPr>
        <w:t xml:space="preserve">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clause (i), (ii) or (iii) of the first proviso to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that directly and adversely affects such Participant. The Company agrees that each Participant shall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(subject to the requirements and limitations therein, including the requirements under </w:t>
      </w:r>
      <w:r>
        <w:rPr>
          <w:rFonts w:ascii="Arial" w:cs="Arial" w:eastAsia="Arial" w:hAnsi="Arial"/>
          <w:sz w:val="19"/>
          <w:szCs w:val="19"/>
          <w:u w:val="single" w:color="auto"/>
          <w:color w:val="auto"/>
        </w:rPr>
        <w:t>Section 2.16(f)</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 2.16(f)</w:t>
      </w:r>
      <w:r>
        <w:rPr>
          <w:rFonts w:ascii="Arial" w:cs="Arial" w:eastAsia="Arial" w:hAnsi="Arial"/>
          <w:sz w:val="19"/>
          <w:szCs w:val="19"/>
          <w:color w:val="auto"/>
        </w:rPr>
        <w:t xml:space="preserve"> shall be delivered to the participating Lender)) to the same extent as if it were a Lender and had acquired its interest by assignment pursuant to </w:t>
      </w:r>
      <w:r>
        <w:rPr>
          <w:rFonts w:ascii="Arial" w:cs="Arial" w:eastAsia="Arial" w:hAnsi="Arial"/>
          <w:sz w:val="19"/>
          <w:szCs w:val="19"/>
          <w:u w:val="single" w:color="auto"/>
          <w:color w:val="auto"/>
        </w:rPr>
        <w:t>Section 9.04(b)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(x) agrees to be subject to the provisions of </w:t>
      </w:r>
      <w:r>
        <w:rPr>
          <w:rFonts w:ascii="Arial" w:cs="Arial" w:eastAsia="Arial" w:hAnsi="Arial"/>
          <w:sz w:val="19"/>
          <w:szCs w:val="19"/>
          <w:u w:val="single" w:color="auto"/>
          <w:color w:val="auto"/>
        </w:rPr>
        <w:t>Sections 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2.18</w:t>
      </w:r>
      <w:r>
        <w:rPr>
          <w:rFonts w:ascii="Arial" w:cs="Arial" w:eastAsia="Arial" w:hAnsi="Arial"/>
          <w:sz w:val="19"/>
          <w:szCs w:val="19"/>
          <w:color w:val="auto"/>
        </w:rPr>
        <w:t xml:space="preserve"> as if it were an assignee under </w:t>
      </w:r>
      <w:r>
        <w:rPr>
          <w:rFonts w:ascii="Arial" w:cs="Arial" w:eastAsia="Arial" w:hAnsi="Arial"/>
          <w:sz w:val="19"/>
          <w:szCs w:val="19"/>
          <w:u w:val="single" w:color="auto"/>
          <w:color w:val="auto"/>
        </w:rPr>
        <w:t>Section 9.04(b)</w:t>
      </w:r>
      <w:r>
        <w:rPr>
          <w:rFonts w:ascii="Arial" w:cs="Arial" w:eastAsia="Arial" w:hAnsi="Arial"/>
          <w:sz w:val="19"/>
          <w:szCs w:val="19"/>
          <w:color w:val="auto"/>
        </w:rPr>
        <w:t xml:space="preserve"> and (y) shall not be entitled to receive any greater payment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with respect to any Participant. To the extent permitted by law, each Participant also shall be entitled to the benefits of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2.17(c)</w:t>
      </w:r>
      <w:r>
        <w:rPr>
          <w:rFonts w:ascii="Arial" w:cs="Arial" w:eastAsia="Arial" w:hAnsi="Arial"/>
          <w:sz w:val="19"/>
          <w:szCs w:val="19"/>
          <w:color w:val="auto"/>
        </w:rPr>
        <w:t xml:space="preserve"> as though it were a Lender.</w:t>
      </w:r>
    </w:p>
    <w:p>
      <w:pPr>
        <w:spacing w:after="0" w:line="382" w:lineRule="exact"/>
        <w:rPr>
          <w:sz w:val="20"/>
          <w:szCs w:val="20"/>
          <w:color w:val="auto"/>
        </w:rPr>
      </w:pPr>
    </w:p>
    <w:p>
      <w:pPr>
        <w:jc w:val="both"/>
        <w:ind w:left="760" w:right="99" w:firstLine="641"/>
        <w:spacing w:after="0" w:line="241" w:lineRule="auto"/>
        <w:tabs>
          <w:tab w:leader="none" w:pos="1969" w:val="left"/>
        </w:tabs>
        <w:numPr>
          <w:ilvl w:val="0"/>
          <w:numId w:val="245"/>
        </w:numPr>
        <w:rPr>
          <w:rFonts w:ascii="Arial" w:cs="Arial" w:eastAsia="Arial" w:hAnsi="Arial"/>
          <w:sz w:val="19"/>
          <w:szCs w:val="19"/>
          <w:color w:val="auto"/>
        </w:rPr>
      </w:pPr>
      <w:r>
        <w:rPr>
          <w:rFonts w:ascii="Arial" w:cs="Arial" w:eastAsia="Arial" w:hAnsi="Arial"/>
          <w:sz w:val="19"/>
          <w:szCs w:val="19"/>
          <w:color w:val="auto"/>
        </w:rPr>
        <w:t>Each Lender that sells a participation shall, acting solely for this purpose as a non-fiduciary agent of the Company, maintain records of the name and address of each Participant and the principal amounts (and stated interest) of each Participant’s interest in the Loans or other obligations under this Agreement or any other Loan Document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other rights and/or obligations under this Agreement or any other Loan Document) to any Person except to the extent that such disclosure is necessary to establish that any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such) shall have no responsibility for maintaining a Participant Register.</w:t>
      </w:r>
    </w:p>
    <w:p>
      <w:pPr>
        <w:spacing w:after="0" w:line="382" w:lineRule="exact"/>
        <w:rPr>
          <w:sz w:val="20"/>
          <w:szCs w:val="20"/>
          <w:color w:val="auto"/>
        </w:rPr>
      </w:pPr>
    </w:p>
    <w:p>
      <w:pPr>
        <w:jc w:val="both"/>
        <w:ind w:left="100" w:right="99" w:firstLine="1301"/>
        <w:spacing w:after="0" w:line="224" w:lineRule="auto"/>
        <w:tabs>
          <w:tab w:leader="none" w:pos="1973" w:val="left"/>
        </w:tabs>
        <w:numPr>
          <w:ilvl w:val="0"/>
          <w:numId w:val="246"/>
        </w:numPr>
        <w:rPr>
          <w:rFonts w:ascii="Arial" w:cs="Arial" w:eastAsia="Arial" w:hAnsi="Arial"/>
          <w:sz w:val="21"/>
          <w:szCs w:val="21"/>
          <w:color w:val="auto"/>
        </w:rPr>
      </w:pPr>
      <w:r>
        <w:rPr>
          <w:rFonts w:ascii="Arial" w:cs="Arial" w:eastAsia="Arial" w:hAnsi="Arial"/>
          <w:sz w:val="21"/>
          <w:szCs w:val="21"/>
          <w:color w:val="auto"/>
        </w:rPr>
        <w:t xml:space="preserve">Any Lender may at any time pledge or grant a security interest in all or any portion of its rights under this Agreement to secure obligations of such Lender, including any pledge or grant to secure obligations to a Federal Reserve Bank or other central bank, and this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shall not apply to any such pledge or grant of a security interest;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pledge or grant of a security interest shall release a Lender from any of its obligations hereunder or substitute any such pledgee or assignee for such Lender as a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316865</wp:posOffset>
            </wp:positionV>
            <wp:extent cx="5642610" cy="514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5" w:name="page296"/>
    <w:bookmarkEnd w:id="295"/>
    <w:p>
      <w:pPr>
        <w:jc w:val="right"/>
        <w:ind w:right="99"/>
        <w:spacing w:after="0"/>
        <w:rPr>
          <w:sz w:val="20"/>
          <w:szCs w:val="20"/>
          <w:color w:val="auto"/>
        </w:rPr>
      </w:pPr>
      <w:r>
        <w:rPr>
          <w:rFonts w:ascii="Arial" w:cs="Arial" w:eastAsia="Arial" w:hAnsi="Arial"/>
          <w:sz w:val="22"/>
          <w:szCs w:val="22"/>
          <w:color w:val="auto"/>
        </w:rPr>
        <w:t>109</w:t>
      </w:r>
    </w:p>
    <w:p>
      <w:pPr>
        <w:spacing w:after="0" w:line="396" w:lineRule="exact"/>
        <w:rPr>
          <w:sz w:val="20"/>
          <w:szCs w:val="20"/>
          <w:color w:val="auto"/>
        </w:rPr>
      </w:pPr>
    </w:p>
    <w:p>
      <w:pPr>
        <w:jc w:val="both"/>
        <w:ind w:left="100" w:right="99" w:firstLine="1296"/>
        <w:spacing w:after="0"/>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All representations and warranties made by the Company in the Loan Documents or other documents delivered in connection with or pursuant to this Agreement or any other Loan Document shall be considered to have been relied upon by the other parties hereto or thereto and shall survive the execution and delivery of this Agreement and the other Loan Documents and the making of any Loans and the issuance of any Letters of Credit, regardless of any investigation made by any such other party or on its behalf and notwithstanding that any of the Administrative Agent, the Revolver Facility Arrangers, the Bridge Facility Arrangers, the Syndication Agent, the Documentation Agents, the Issuing Banks, the Lenders or any Related Party of any of the foregoing may have had notice or knowledge of any Default or incorrect representation or warranty at the time any Loan Document was executed and delivered or any credit was extended hereunder, and all representations and warranties made by the Company and all covenants and agreements of the Company (for the avoidance of doubt, when in effect) contained in the Loan Documents or other documents delivered in connection with or pursuant to this Agreement or any other Loan Document shall continue in full force and effect as long as Payment in Full has not occurred. Notwithstanding the foregoing or anything else to the contrary set forth in this Agreement or any other Loan Document, in the event that, in connection with the refinancing or repayment in full of the Facilities, an Issuing Bank shall have provided to the Administrative Agent a written consent to the release of the Lenders from their obligations hereunder with respect to any Letter of Credit issued by such Issuing Bank (whether as a result of the obligations of the Company (and any other account party) in respect of such Letter of Credit having been collateralized in full by a deposit of cash with such Issuing Bank, or being supported by a letter of credit that names such Issuing Bank as the beneficiary thereunder, or other arrangements satisfactory to such Issuing Bank having been made), then from and after such time such Letter of Credit shall cease to be a “Letter of Credit” outstanding hereunder for all purposes of this Agreement and the other Loan Documents (including for purposes of determining whether the Company is required to comply with </w:t>
      </w:r>
      <w:r>
        <w:rPr>
          <w:rFonts w:ascii="Arial" w:cs="Arial" w:eastAsia="Arial" w:hAnsi="Arial"/>
          <w:sz w:val="19"/>
          <w:szCs w:val="19"/>
          <w:u w:val="single" w:color="auto"/>
          <w:color w:val="auto"/>
        </w:rPr>
        <w:t>Articles 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hereof, but excluding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and any expense reimbursement or indemnity provisions set forth in any other Loan Document), and the Tranche 1 Lenders shall be deemed to have no participations in such Letter of Credit, and no obligations with respect thereto, under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2.05(f)</w:t>
      </w:r>
      <w:r>
        <w:rPr>
          <w:rFonts w:ascii="Arial" w:cs="Arial" w:eastAsia="Arial" w:hAnsi="Arial"/>
          <w:sz w:val="19"/>
          <w:szCs w:val="19"/>
          <w:color w:val="auto"/>
        </w:rPr>
        <w:t xml:space="preserve">. The provisions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250" w:lineRule="exact"/>
        <w:rPr>
          <w:sz w:val="20"/>
          <w:szCs w:val="20"/>
          <w:color w:val="auto"/>
        </w:rPr>
      </w:pPr>
    </w:p>
    <w:p>
      <w:pPr>
        <w:ind w:left="1400"/>
        <w:spacing w:after="0"/>
        <w:tabs>
          <w:tab w:leader="none" w:pos="2940" w:val="left"/>
        </w:tabs>
        <w:rPr>
          <w:sz w:val="20"/>
          <w:szCs w:val="20"/>
          <w:color w:val="auto"/>
        </w:rPr>
      </w:pPr>
      <w:r>
        <w:rPr>
          <w:rFonts w:ascii="Arial" w:cs="Arial" w:eastAsia="Arial" w:hAnsi="Arial"/>
          <w:sz w:val="22"/>
          <w:szCs w:val="22"/>
          <w:color w:val="auto"/>
        </w:rPr>
        <w:t>SECTION 9.06</w:t>
      </w:r>
      <w:r>
        <w:rPr>
          <w:sz w:val="20"/>
          <w:szCs w:val="20"/>
          <w:color w:val="auto"/>
        </w:rPr>
        <w:tab/>
      </w:r>
      <w:r>
        <w:rPr>
          <w:rFonts w:ascii="Arial" w:cs="Arial" w:eastAsia="Arial" w:hAnsi="Arial"/>
          <w:sz w:val="19"/>
          <w:szCs w:val="19"/>
          <w:u w:val="single" w:color="auto"/>
          <w:color w:val="auto"/>
        </w:rPr>
        <w:t>Counterparts; Integration; Effectiveness; Electronic Execution</w:t>
      </w:r>
      <w:r>
        <w:rPr>
          <w:rFonts w:ascii="Arial" w:cs="Arial" w:eastAsia="Arial" w:hAnsi="Arial"/>
          <w:sz w:val="19"/>
          <w:szCs w:val="19"/>
          <w:color w:val="auto"/>
        </w:rPr>
        <w:t>.</w:t>
      </w:r>
    </w:p>
    <w:p>
      <w:pPr>
        <w:spacing w:after="0" w:line="71" w:lineRule="exact"/>
        <w:rPr>
          <w:sz w:val="20"/>
          <w:szCs w:val="20"/>
          <w:color w:val="auto"/>
        </w:rPr>
      </w:pPr>
    </w:p>
    <w:p>
      <w:pPr>
        <w:jc w:val="both"/>
        <w:ind w:left="100" w:right="99" w:firstLine="1301"/>
        <w:spacing w:after="0" w:line="243" w:lineRule="auto"/>
        <w:tabs>
          <w:tab w:leader="none" w:pos="1866"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w:t>
      </w:r>
    </w:p>
    <w:p>
      <w:pPr>
        <w:jc w:val="center"/>
        <w:spacing w:after="0" w:line="207" w:lineRule="auto"/>
        <w:rPr>
          <w:sz w:val="20"/>
          <w:szCs w:val="20"/>
          <w:color w:val="auto"/>
        </w:rPr>
      </w:pPr>
      <w:r>
        <w:rPr>
          <w:rFonts w:ascii="Arial" w:cs="Arial" w:eastAsia="Arial" w:hAnsi="Arial"/>
          <w:sz w:val="22"/>
          <w:szCs w:val="22"/>
          <w:color w:val="auto"/>
        </w:rPr>
        <w:t>separate letter agreements with respect to (i) fees payable to the Administrative Agent and</w:t>
      </w:r>
    </w:p>
    <w:p>
      <w:pPr>
        <w:jc w:val="both"/>
        <w:ind w:left="100" w:right="99" w:firstLine="5"/>
        <w:spacing w:after="0" w:line="237" w:lineRule="auto"/>
        <w:tabs>
          <w:tab w:leader="none" w:pos="462" w:val="left"/>
        </w:tabs>
        <w:numPr>
          <w:ilvl w:val="0"/>
          <w:numId w:val="248"/>
        </w:numPr>
        <w:rPr>
          <w:rFonts w:ascii="Arial" w:cs="Arial" w:eastAsia="Arial" w:hAnsi="Arial"/>
          <w:sz w:val="19"/>
          <w:szCs w:val="19"/>
          <w:color w:val="auto"/>
        </w:rPr>
      </w:pPr>
      <w:r>
        <w:rPr>
          <w:rFonts w:ascii="Arial" w:cs="Arial" w:eastAsia="Arial" w:hAnsi="Arial"/>
          <w:sz w:val="19"/>
          <w:szCs w:val="19"/>
          <w:color w:val="auto"/>
        </w:rPr>
        <w:t>changes to the LC Commitment of any Issuing Bank or the Swingline Commitment of any Swingline Lender constitute the entire contract among the parties relating to the subject matter hereof and supersede any and all previous agreements and understandings, oral or written, relating to the subject matter hereof (but notwithstanding anything herein to the contrary, do not supersede</w:t>
      </w:r>
    </w:p>
    <w:p>
      <w:pPr>
        <w:spacing w:after="0" w:line="1" w:lineRule="exact"/>
        <w:rPr>
          <w:rFonts w:ascii="Arial" w:cs="Arial" w:eastAsia="Arial" w:hAnsi="Arial"/>
          <w:sz w:val="19"/>
          <w:szCs w:val="19"/>
          <w:color w:val="auto"/>
        </w:rPr>
      </w:pPr>
    </w:p>
    <w:p>
      <w:pPr>
        <w:jc w:val="both"/>
        <w:ind w:left="100" w:right="99"/>
        <w:spacing w:after="0" w:line="258" w:lineRule="auto"/>
        <w:rPr>
          <w:rFonts w:ascii="Arial" w:cs="Arial" w:eastAsia="Arial" w:hAnsi="Arial"/>
          <w:sz w:val="19"/>
          <w:szCs w:val="19"/>
          <w:color w:val="auto"/>
        </w:rPr>
      </w:pPr>
      <w:r>
        <w:rPr>
          <w:rFonts w:ascii="Arial" w:cs="Arial" w:eastAsia="Arial" w:hAnsi="Arial"/>
          <w:sz w:val="19"/>
          <w:szCs w:val="19"/>
          <w:color w:val="auto"/>
        </w:rPr>
        <w:t>(A) except as may be set forth in the Bridge Facility Agreement, the commitments under the Bridge Commitment Letter with respect to the “Facility” as defined therein or any other provision of the Bridge Commitment Letter or any Fee Letter with respect to the “Facility” as defined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305435</wp:posOffset>
            </wp:positionV>
            <wp:extent cx="5642610" cy="514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6" w:name="page297"/>
    <w:bookmarkEnd w:id="296"/>
    <w:p>
      <w:pPr>
        <w:jc w:val="right"/>
        <w:ind w:right="99"/>
        <w:spacing w:after="0"/>
        <w:rPr>
          <w:sz w:val="20"/>
          <w:szCs w:val="20"/>
          <w:color w:val="auto"/>
        </w:rPr>
      </w:pPr>
      <w:r>
        <w:rPr>
          <w:rFonts w:ascii="Arial" w:cs="Arial" w:eastAsia="Arial" w:hAnsi="Arial"/>
          <w:sz w:val="22"/>
          <w:szCs w:val="22"/>
          <w:color w:val="auto"/>
        </w:rPr>
        <w:t>110</w:t>
      </w:r>
    </w:p>
    <w:p>
      <w:pPr>
        <w:spacing w:after="0" w:line="396" w:lineRule="exact"/>
        <w:rPr>
          <w:sz w:val="20"/>
          <w:szCs w:val="20"/>
          <w:color w:val="auto"/>
        </w:rPr>
      </w:pPr>
    </w:p>
    <w:p>
      <w:pPr>
        <w:jc w:val="both"/>
        <w:ind w:left="100" w:right="99" w:firstLine="5"/>
        <w:spacing w:after="0" w:line="222" w:lineRule="auto"/>
        <w:tabs>
          <w:tab w:leader="none" w:pos="458" w:val="left"/>
        </w:tabs>
        <w:numPr>
          <w:ilvl w:val="0"/>
          <w:numId w:val="249"/>
        </w:numPr>
        <w:rPr>
          <w:rFonts w:ascii="Arial" w:cs="Arial" w:eastAsia="Arial" w:hAnsi="Arial"/>
          <w:sz w:val="21"/>
          <w:szCs w:val="21"/>
          <w:color w:val="auto"/>
        </w:rPr>
      </w:pPr>
      <w:r>
        <w:rPr>
          <w:rFonts w:ascii="Arial" w:cs="Arial" w:eastAsia="Arial" w:hAnsi="Arial"/>
          <w:sz w:val="21"/>
          <w:szCs w:val="21"/>
          <w:color w:val="auto"/>
        </w:rPr>
        <w:t xml:space="preserve">any provisions of the Engagement Letter or any Fee Letter with respect to the Facilities that do not by the terms of such documents terminate upon the effectiveness of this Agreement, all of which provisions shall remain in full force and effect). This Agreement shall become effective when it shall have been executed by the Administrative Agent and the Administrative Agent shall have received counterparts hereof that, when taken together, bear the signatures of each of the other parties hereto and the conditions specified in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are satisfied (or waived in accordance with </w:t>
      </w:r>
      <w:r>
        <w:rPr>
          <w:rFonts w:ascii="Arial" w:cs="Arial" w:eastAsia="Arial" w:hAnsi="Arial"/>
          <w:sz w:val="21"/>
          <w:szCs w:val="21"/>
          <w:u w:val="single" w:color="auto"/>
          <w:color w:val="auto"/>
        </w:rPr>
        <w:t>Section 9.02</w:t>
      </w:r>
      <w:r>
        <w:rPr>
          <w:rFonts w:ascii="Arial" w:cs="Arial" w:eastAsia="Arial" w:hAnsi="Arial"/>
          <w:sz w:val="21"/>
          <w:szCs w:val="21"/>
          <w:color w:val="auto"/>
        </w:rPr>
        <w:t>), and thereafter shall be binding upon and inure to the benefit of the parties hereto and their respective successors and assigns.</w:t>
      </w:r>
    </w:p>
    <w:p>
      <w:pPr>
        <w:spacing w:after="0" w:line="157" w:lineRule="exact"/>
        <w:rPr>
          <w:rFonts w:ascii="Arial" w:cs="Arial" w:eastAsia="Arial" w:hAnsi="Arial"/>
          <w:sz w:val="21"/>
          <w:szCs w:val="21"/>
          <w:color w:val="auto"/>
        </w:rPr>
      </w:pPr>
    </w:p>
    <w:p>
      <w:pPr>
        <w:jc w:val="both"/>
        <w:ind w:left="100" w:right="99" w:firstLine="1301"/>
        <w:spacing w:after="0" w:line="241" w:lineRule="auto"/>
        <w:tabs>
          <w:tab w:leader="none" w:pos="1864" w:val="left"/>
        </w:tabs>
        <w:numPr>
          <w:ilvl w:val="1"/>
          <w:numId w:val="249"/>
        </w:numPr>
        <w:rPr>
          <w:rFonts w:ascii="Arial" w:cs="Arial" w:eastAsia="Arial" w:hAnsi="Arial"/>
          <w:sz w:val="19"/>
          <w:szCs w:val="19"/>
          <w:color w:val="auto"/>
        </w:rPr>
      </w:pPr>
      <w:r>
        <w:rPr>
          <w:rFonts w:ascii="Arial" w:cs="Arial" w:eastAsia="Arial" w:hAnsi="Arial"/>
          <w:sz w:val="19"/>
          <w:szCs w:val="19"/>
          <w:color w:val="auto"/>
        </w:rPr>
        <w:t xml:space="preserve">Delivery of an executed counterpart of a signature page of this Agreement by fax or other electronic imaging shall be effective as delivery of a manually executed counterpart of this Agreement. The words “execution”, “execute”, “signed”, “signature” and words of like import in or related to any document to be signed in connection with this Agreement (including any Assignment and Assumptions, amendments and other notices, waivers and consents) shall be deemed to include electronic signatures, the electronic matching of assignment terms and contract formations on the Platform,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that notwithstanding anything contained herein to the contrary, the Administrative Agent is not under any obligation to agree to accept electronic signatures in any form or in any format unless expressly agreed to by the Administrative Agent pursuant to procedures approved by it.</w:t>
      </w:r>
    </w:p>
    <w:p>
      <w:pPr>
        <w:spacing w:after="0" w:line="166" w:lineRule="exact"/>
        <w:rPr>
          <w:sz w:val="20"/>
          <w:szCs w:val="20"/>
          <w:color w:val="auto"/>
        </w:rPr>
      </w:pPr>
    </w:p>
    <w:p>
      <w:pPr>
        <w:jc w:val="both"/>
        <w:ind w:left="100" w:right="99" w:firstLine="1296"/>
        <w:spacing w:after="0" w:line="226" w:lineRule="auto"/>
        <w:rPr>
          <w:sz w:val="20"/>
          <w:szCs w:val="20"/>
          <w:color w:val="auto"/>
        </w:rPr>
      </w:pPr>
      <w:r>
        <w:rPr>
          <w:rFonts w:ascii="Arial" w:cs="Arial" w:eastAsia="Arial" w:hAnsi="Arial"/>
          <w:sz w:val="21"/>
          <w:szCs w:val="21"/>
          <w:color w:val="auto"/>
        </w:rPr>
        <w:t xml:space="preserve">SECTION 9.07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60" w:lineRule="exact"/>
        <w:rPr>
          <w:sz w:val="20"/>
          <w:szCs w:val="20"/>
          <w:color w:val="auto"/>
        </w:rPr>
      </w:pPr>
    </w:p>
    <w:p>
      <w:pPr>
        <w:jc w:val="both"/>
        <w:ind w:left="100" w:right="99" w:firstLine="1296"/>
        <w:spacing w:after="0" w:line="241"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Issuing Bank and each Affiliate of any of the foregoing is hereby authorized at any time and from time to time, to the fullest extent permitted by applicable law, to set off and apply any and all deposits (general or special, time or demand, provisional or final) at any time held and other obligations at any time owing by such Lender or Issuing Bank or by such an Affiliate to or for the credit or the account of the Company against any of and all the obligations of the Company then due to such Lender or Issuing Bank or any Affiliate of any of the foregoing now or hereafter existing under this Agreement or any other Loan Document held by such Lender or Issuing Bank, irrespective of whether or not such Lender or Issuing Bank shall have made any demand under this Agreement or any other Loan Document and although such obligations of the Company are owed to a branch, office or Affiliate of such Lender or Issuing Bank different from the branch, office or Affiliate holding such deposit or obligated on such indebtedness. The rights of each Lender and Issuing Bank and each Affiliate of any of the foregoing under this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are in addition to other rights and remedies (including other rights of setoff) that such Lender or Issuing Bank or such Affiliate may have. Each Lender and Issuing Bank agrees to promptly notify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320675</wp:posOffset>
            </wp:positionV>
            <wp:extent cx="5642610" cy="514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7" w:name="page298"/>
    <w:bookmarkEnd w:id="297"/>
    <w:p>
      <w:pPr>
        <w:jc w:val="right"/>
        <w:ind w:right="99"/>
        <w:spacing w:after="0"/>
        <w:rPr>
          <w:sz w:val="20"/>
          <w:szCs w:val="20"/>
          <w:color w:val="auto"/>
        </w:rPr>
      </w:pPr>
      <w:r>
        <w:rPr>
          <w:rFonts w:ascii="Arial" w:cs="Arial" w:eastAsia="Arial" w:hAnsi="Arial"/>
          <w:sz w:val="22"/>
          <w:szCs w:val="22"/>
          <w:color w:val="auto"/>
        </w:rPr>
        <w:t>111</w:t>
      </w:r>
    </w:p>
    <w:p>
      <w:pPr>
        <w:spacing w:after="0" w:line="396" w:lineRule="exact"/>
        <w:rPr>
          <w:sz w:val="20"/>
          <w:szCs w:val="20"/>
          <w:color w:val="auto"/>
        </w:rPr>
      </w:pPr>
    </w:p>
    <w:p>
      <w:pPr>
        <w:jc w:val="both"/>
        <w:ind w:left="100" w:right="99"/>
        <w:spacing w:after="0" w:line="232" w:lineRule="auto"/>
        <w:rPr>
          <w:sz w:val="20"/>
          <w:szCs w:val="20"/>
          <w:color w:val="auto"/>
        </w:rPr>
      </w:pPr>
      <w:r>
        <w:rPr>
          <w:rFonts w:ascii="Arial" w:cs="Arial" w:eastAsia="Arial" w:hAnsi="Arial"/>
          <w:sz w:val="22"/>
          <w:szCs w:val="22"/>
          <w:color w:val="auto"/>
        </w:rPr>
        <w:t xml:space="preserve">the Company and the Administrative Agent after any such setoff and application;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to give notice shall not affect the validity of such setoff and application.</w:t>
      </w:r>
    </w:p>
    <w:p>
      <w:pPr>
        <w:spacing w:after="0" w:line="159" w:lineRule="exact"/>
        <w:rPr>
          <w:sz w:val="20"/>
          <w:szCs w:val="20"/>
          <w:color w:val="auto"/>
        </w:rPr>
      </w:pPr>
    </w:p>
    <w:p>
      <w:pPr>
        <w:jc w:val="both"/>
        <w:ind w:left="100" w:right="99" w:firstLine="1296"/>
        <w:spacing w:after="0" w:line="242" w:lineRule="auto"/>
        <w:rPr>
          <w:sz w:val="20"/>
          <w:szCs w:val="20"/>
          <w:color w:val="auto"/>
        </w:rPr>
      </w:pPr>
      <w:r>
        <w:rPr>
          <w:rFonts w:ascii="Arial" w:cs="Arial" w:eastAsia="Arial" w:hAnsi="Arial"/>
          <w:sz w:val="19"/>
          <w:szCs w:val="19"/>
          <w:color w:val="auto"/>
        </w:rPr>
        <w:t xml:space="preserve">SECTION 9.09 </w:t>
      </w:r>
      <w:r>
        <w:rPr>
          <w:rFonts w:ascii="Arial" w:cs="Arial" w:eastAsia="Arial" w:hAnsi="Arial"/>
          <w:sz w:val="19"/>
          <w:szCs w:val="19"/>
          <w:u w:val="single" w:color="auto"/>
          <w:color w:val="auto"/>
        </w:rPr>
        <w:t>Governing Law; Jurisdiction; Consent to Service of Process</w:t>
      </w:r>
      <w:r>
        <w:rPr>
          <w:rFonts w:ascii="Arial" w:cs="Arial" w:eastAsia="Arial" w:hAnsi="Arial"/>
          <w:sz w:val="19"/>
          <w:szCs w:val="19"/>
          <w:color w:val="auto"/>
        </w:rPr>
        <w:t xml:space="preserve">. (a) This Agreement shall be governed by, and construed in accordance with, the law of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interpretation of the definition of Material Adverse Effect (as defined in the PNG Purchase Agreement) and/or whether or not a Material Adverse Effect (as defined in the PNG Purchase Agreement), or any state of facts, circumstances, effects, changes, events or developments that, individually or in the aggregate, would reasonably be expected to have a Material Adverse Effect (as defined in the PNG Purchase Agreement), has occurred and is continuing, (ii) the determination of the accuracy of any PNG Purchase Agreement Representations and whether as a result of any breach thereof the Company (or any of its Affiliates) has the right (taking into account any applicable cure periods) to terminate its obligations under the PNG Purchase Agreement or the right to elect not to consummate the PNG Acquisition and (iii) the determination of whether the PNG Acquisition has been consummated in all material respects in accordance with the terms of the PNG Purchase Agreement, in each case, shall be governed by, and construed and enforced in accordance with, the laws of the State of Delaware without giving effect to the choice of law principles thereof.</w:t>
      </w:r>
    </w:p>
    <w:p>
      <w:pPr>
        <w:spacing w:after="0" w:line="157" w:lineRule="exact"/>
        <w:rPr>
          <w:sz w:val="20"/>
          <w:szCs w:val="20"/>
          <w:color w:val="auto"/>
        </w:rPr>
      </w:pPr>
    </w:p>
    <w:p>
      <w:pPr>
        <w:jc w:val="both"/>
        <w:ind w:left="100" w:right="99" w:firstLine="1301"/>
        <w:spacing w:after="0" w:line="243" w:lineRule="auto"/>
        <w:tabs>
          <w:tab w:leader="none" w:pos="1891" w:val="left"/>
        </w:tabs>
        <w:numPr>
          <w:ilvl w:val="0"/>
          <w:numId w:val="250"/>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jurisdiction of the United States District Court of the Southern District of New York and of the Supreme Court of the State of New York sitting in New York County in the Borough of Manhattan, and any appellate court from any thereof, in any suit, action or proceeding arising out of or relating to this Agreement or any other Loan Document, or for recognition or enforcement of any judgment, and each party hereto hereby irrevocably and unconditionally agrees that all claims arising out of or relating to this Agreement or any other Loan Document brought by it or any of its Affiliates shall be brought, and shall be heard and determined, exclusively in such Federal court (or in the event such court lacks subject matter jurisdiction, such New York State court). Each party hereto agrees that a final judgment in any such suit, action or proceeding shall be conclusive and may be enforced in other jurisdictions by suit on the judgment or in any other manner provided by law.</w:t>
      </w:r>
    </w:p>
    <w:p>
      <w:pPr>
        <w:spacing w:after="0" w:line="159" w:lineRule="exact"/>
        <w:rPr>
          <w:rFonts w:ascii="Arial" w:cs="Arial" w:eastAsia="Arial" w:hAnsi="Arial"/>
          <w:sz w:val="19"/>
          <w:szCs w:val="19"/>
          <w:color w:val="auto"/>
        </w:rPr>
      </w:pPr>
    </w:p>
    <w:p>
      <w:pPr>
        <w:jc w:val="both"/>
        <w:ind w:left="100" w:right="99" w:firstLine="1301"/>
        <w:spacing w:after="0" w:line="224" w:lineRule="auto"/>
        <w:tabs>
          <w:tab w:leader="none" w:pos="1893" w:val="left"/>
        </w:tabs>
        <w:numPr>
          <w:ilvl w:val="0"/>
          <w:numId w:val="250"/>
        </w:numPr>
        <w:rPr>
          <w:rFonts w:ascii="Arial" w:cs="Arial" w:eastAsia="Arial" w:hAnsi="Arial"/>
          <w:sz w:val="21"/>
          <w:szCs w:val="21"/>
          <w:color w:val="auto"/>
        </w:rPr>
      </w:pPr>
      <w:r>
        <w:rPr>
          <w:rFonts w:ascii="Arial" w:cs="Arial" w:eastAsia="Arial" w:hAnsi="Arial"/>
          <w:sz w:val="21"/>
          <w:szCs w:val="21"/>
          <w:color w:val="auto"/>
        </w:rPr>
        <w:t xml:space="preserve">Each party to this Agreement hereby irrevocably and unconditionally waives, to the fullest extent permitted by law, any objection that it may now or hereafter have to the laying of venue of any suit, action or proceeding arising out of or relating to this Agreement or any other Loan Document in any court referred to in </w:t>
      </w:r>
      <w:r>
        <w:rPr>
          <w:rFonts w:ascii="Arial" w:cs="Arial" w:eastAsia="Arial" w:hAnsi="Arial"/>
          <w:sz w:val="21"/>
          <w:szCs w:val="21"/>
          <w:u w:val="single" w:color="auto"/>
          <w:color w:val="auto"/>
        </w:rPr>
        <w:t>Section 9.09(b)</w:t>
      </w:r>
      <w:r>
        <w:rPr>
          <w:rFonts w:ascii="Arial" w:cs="Arial" w:eastAsia="Arial" w:hAnsi="Arial"/>
          <w:sz w:val="21"/>
          <w:szCs w:val="21"/>
          <w:color w:val="auto"/>
        </w:rPr>
        <w:t>. Each of the parties hereto hereby irrevocably waives, to the fullest extent permitted by law, the defense of an inconvenient forum to the maintenance of such suit, action or proceeding in any such court.</w:t>
      </w:r>
    </w:p>
    <w:p>
      <w:pPr>
        <w:spacing w:after="0" w:line="160" w:lineRule="exact"/>
        <w:rPr>
          <w:rFonts w:ascii="Arial" w:cs="Arial" w:eastAsia="Arial" w:hAnsi="Arial"/>
          <w:sz w:val="21"/>
          <w:szCs w:val="21"/>
          <w:color w:val="auto"/>
        </w:rPr>
      </w:pPr>
    </w:p>
    <w:p>
      <w:pPr>
        <w:jc w:val="both"/>
        <w:ind w:left="100" w:right="99" w:firstLine="1301"/>
        <w:spacing w:after="0" w:line="218" w:lineRule="auto"/>
        <w:tabs>
          <w:tab w:leader="none" w:pos="1932" w:val="left"/>
        </w:tabs>
        <w:numPr>
          <w:ilvl w:val="0"/>
          <w:numId w:val="250"/>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9.01</w:t>
      </w:r>
      <w:r>
        <w:rPr>
          <w:rFonts w:ascii="Arial" w:cs="Arial" w:eastAsia="Arial" w:hAnsi="Arial"/>
          <w:sz w:val="22"/>
          <w:szCs w:val="22"/>
          <w:color w:val="auto"/>
        </w:rPr>
        <w:t>. Nothing in this Agreement or any other Loan Document will affect the right of any party to this Agreement to serve process in any other manner permitted by law.</w:t>
      </w:r>
    </w:p>
    <w:p>
      <w:pPr>
        <w:spacing w:after="0" w:line="161"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IRREVOCABLY WAIVES, TO THE FULLEST EXTENT PERMITTED BY APPLICABLE LAW, ANY RIGHT IT MAY HAVE TO A TRIAL BY JURY IN ANY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316230</wp:posOffset>
            </wp:positionV>
            <wp:extent cx="5642610" cy="514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8" w:name="page299"/>
    <w:bookmarkEnd w:id="298"/>
    <w:p>
      <w:pPr>
        <w:jc w:val="right"/>
        <w:ind w:right="99"/>
        <w:spacing w:after="0"/>
        <w:rPr>
          <w:sz w:val="20"/>
          <w:szCs w:val="20"/>
          <w:color w:val="auto"/>
        </w:rPr>
      </w:pPr>
      <w:r>
        <w:rPr>
          <w:rFonts w:ascii="Arial" w:cs="Arial" w:eastAsia="Arial" w:hAnsi="Arial"/>
          <w:sz w:val="22"/>
          <w:szCs w:val="22"/>
          <w:color w:val="auto"/>
        </w:rPr>
        <w:t>112</w:t>
      </w:r>
    </w:p>
    <w:p>
      <w:pPr>
        <w:spacing w:after="0" w:line="396"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21"/>
          <w:szCs w:val="21"/>
          <w:color w:val="auto"/>
        </w:rPr>
        <w:t>PROCEEDING DIRECTLY OR INDIRECTLY ARISING OUT OF OR RELATING TO THIS AGREEMENT, ANY OTHER LOAN DOCUMENT OR THE TRANSACTIONS CONTEMPLATED HEREBY OR THEREBY (WHETHER BASED ON CONTRACT, TORT OR</w:t>
      </w:r>
    </w:p>
    <w:p>
      <w:pPr>
        <w:spacing w:after="0" w:line="2" w:lineRule="exact"/>
        <w:rPr>
          <w:sz w:val="20"/>
          <w:szCs w:val="20"/>
          <w:color w:val="auto"/>
        </w:rPr>
      </w:pPr>
    </w:p>
    <w:p>
      <w:pPr>
        <w:jc w:val="both"/>
        <w:ind w:left="100" w:right="99"/>
        <w:spacing w:after="0" w:line="244" w:lineRule="auto"/>
        <w:rPr>
          <w:sz w:val="20"/>
          <w:szCs w:val="20"/>
          <w:color w:val="auto"/>
        </w:rPr>
      </w:pPr>
      <w:r>
        <w:rPr>
          <w:rFonts w:ascii="Arial" w:cs="Arial" w:eastAsia="Arial" w:hAnsi="Arial"/>
          <w:sz w:val="19"/>
          <w:szCs w:val="19"/>
          <w:color w:val="auto"/>
        </w:rPr>
        <w:t>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56" w:lineRule="exact"/>
        <w:rPr>
          <w:sz w:val="20"/>
          <w:szCs w:val="20"/>
          <w:color w:val="auto"/>
        </w:rPr>
      </w:pPr>
    </w:p>
    <w:p>
      <w:pPr>
        <w:jc w:val="both"/>
        <w:ind w:left="100" w:right="99" w:firstLine="1296"/>
        <w:spacing w:after="0" w:line="268"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Headings</w:t>
      </w:r>
      <w:r>
        <w:rPr>
          <w:rFonts w:ascii="Arial" w:cs="Arial" w:eastAsia="Arial" w:hAnsi="Arial"/>
          <w:sz w:val="19"/>
          <w:szCs w:val="19"/>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jc w:val="both"/>
        <w:ind w:left="100" w:right="99" w:firstLine="1296"/>
        <w:spacing w:after="0"/>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Each of the Administrative Agent, the Issuing Banks and the Lenders agrees to maintain the confidentiality of the Information (as defined below), except that Information may be disclosed (a) to its Related Parties, including accountants, legal counsel and other agents and advisors, it being understood that the Persons to whom such disclosure is made either are informed of the confidential nature of such Information and instructed to keep such Information confidential or are subject to customary confidentiality obligations of employment or professional practice, (b) to the extent required or requested by any Governmental Authority purporting to have jurisdiction over such Person or its Related Parties (including any self-regulatory authority, such as the National Association of Insurance Commissioners) (in which case such Person agrees to inform the Company promptly thereof prior to such disclosure to the extent practicable and not prohibited by applicable law (except with respect to any audit or examination conducted by bank accountants or any Governmental Authority exercising examination or regulatory authority)), (c) to the extent required by applicable law or by any subpoena or similar legal process (in which case such Person agrees to inform the Company promptly thereof prior to such disclosure to the extent practicable and not prohibited by applicable law), (d) to any other party to this Agreement, (e) in connection with the exercise of any remedies under this Agreement or any other Loan Document or any suit, action or proceeding relating to this Agreement or any other Loan Document, the enforcement of rights hereunder or thereunder or any Transactions, (f) subject to an agreement containing confidentiality undertakings substantially the same as those of this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(which shall be deemed to include those required to be made in order to obtain access to information posted on IntraLinks, SyndTrak or any other Platform), to any assignee of or Participant in (or its Related Parties), or any prospective assignee of or Participant in (or its Related Parties), any of its rights or obligations under this Agreement, (g) on a confidential basis to (i) any rating agency in connection with rating the Company or the Subsidiaries or the credit facilities provided for herein or (ii) the CUSIP Service Bureau or any similar agency to the extent required in connection with the issuance and monitoring of CUSIP numbers with respect to the credit facilities provided for herein, (h) with the consent of the Company, (i) to market data collectors, similar service providers to the lending industry and service providers to the Administrative Agent and the Lenders in connection with the administration and management of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information is limited to the information about this Agreement and the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445770</wp:posOffset>
            </wp:positionV>
            <wp:extent cx="5642610" cy="514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9" w:name="page300"/>
    <w:bookmarkEnd w:id="299"/>
    <w:p>
      <w:pPr>
        <w:jc w:val="right"/>
        <w:ind w:right="99"/>
        <w:spacing w:after="0"/>
        <w:rPr>
          <w:sz w:val="20"/>
          <w:szCs w:val="20"/>
          <w:color w:val="auto"/>
        </w:rPr>
      </w:pPr>
      <w:r>
        <w:rPr>
          <w:rFonts w:ascii="Arial" w:cs="Arial" w:eastAsia="Arial" w:hAnsi="Arial"/>
          <w:sz w:val="22"/>
          <w:szCs w:val="22"/>
          <w:color w:val="auto"/>
        </w:rPr>
        <w:t>113</w:t>
      </w:r>
    </w:p>
    <w:p>
      <w:pPr>
        <w:spacing w:after="0" w:line="396" w:lineRule="exact"/>
        <w:rPr>
          <w:sz w:val="20"/>
          <w:szCs w:val="20"/>
          <w:color w:val="auto"/>
        </w:rPr>
      </w:pPr>
    </w:p>
    <w:p>
      <w:pPr>
        <w:jc w:val="both"/>
        <w:ind w:left="100" w:right="99"/>
        <w:spacing w:after="0"/>
        <w:rPr>
          <w:sz w:val="20"/>
          <w:szCs w:val="20"/>
          <w:color w:val="auto"/>
        </w:rPr>
      </w:pPr>
      <w:r>
        <w:rPr>
          <w:rFonts w:ascii="Arial" w:cs="Arial" w:eastAsia="Arial" w:hAnsi="Arial"/>
          <w:sz w:val="19"/>
          <w:szCs w:val="19"/>
          <w:color w:val="auto"/>
        </w:rPr>
        <w:t xml:space="preserve">Documents, or (j) to the extent such Information (i) becomes publicly available other than as a result of a breach of this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or (ii) becomes available to the Administrative Agent, any Issuing Bank, any Lender or any Affiliate of any of the foregoing on a nonconfidential basis from a source other than the Company or any Subsidiary that is not known by the Administrative Agent, such Lender, such Issuing Bank or such Affiliate to be prohibited from disclosing such Information to such Persons by a legal, contractual, or fiduciary obligation to the Company or any Subsidiary. For purposes of this </w:t>
      </w:r>
      <w:r>
        <w:rPr>
          <w:rFonts w:ascii="Arial" w:cs="Arial" w:eastAsia="Arial" w:hAnsi="Arial"/>
          <w:sz w:val="19"/>
          <w:szCs w:val="19"/>
          <w:u w:val="single" w:color="auto"/>
          <w:color w:val="auto"/>
        </w:rPr>
        <w:t>Section 9.12</w:t>
      </w:r>
      <w:r>
        <w:rPr>
          <w:rFonts w:ascii="Arial" w:cs="Arial" w:eastAsia="Arial" w:hAnsi="Arial"/>
          <w:sz w:val="19"/>
          <w:szCs w:val="19"/>
          <w:color w:val="auto"/>
        </w:rPr>
        <w:t>,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the Company or any Subsidiary relating to the Company, the PNG Acquired Company or any of their respective subsidiaries or their businesses, other than any such information that is available to the Administrative Agent, any Issuing Bank, any Lender or any Affiliate of any of the foregoing on a nonconfidential basis prior to disclosure by the Company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Company or any Subsidiary after the Effective Date, such information is clearly identified at the time of delivery as confidential. Any Person required to maintain the confidentiality of Information as provided in this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shall be considered to have complied with its obligation to do so if such Person has exercised the same degree of care to maintain the confidentiality of such Information as such Person would accord to its own confidential information. It is agreed that, notwithstanding the restrictions of any prior confidentiality agreement binding on the Administrative Agent, any Revolver Facility Arranger or any Bridge Facility Arranger (solely to the extent the Bridge Commitments are established under this Agreement pursuant to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such Persons may disclose Information as provided in this </w:t>
      </w:r>
      <w:r>
        <w:rPr>
          <w:rFonts w:ascii="Arial" w:cs="Arial" w:eastAsia="Arial" w:hAnsi="Arial"/>
          <w:sz w:val="19"/>
          <w:szCs w:val="19"/>
          <w:u w:val="single" w:color="auto"/>
          <w:color w:val="auto"/>
        </w:rPr>
        <w:t>Section 9.12</w:t>
      </w:r>
      <w:r>
        <w:rPr>
          <w:rFonts w:ascii="Arial" w:cs="Arial" w:eastAsia="Arial" w:hAnsi="Arial"/>
          <w:sz w:val="19"/>
          <w:szCs w:val="19"/>
          <w:color w:val="auto"/>
        </w:rPr>
        <w:t>. The Company consents to the publication by the Administrative Agent or any Lender of customary advertising material relating to the transactions contemplated hereby using the name, product photographs, logo or trademark of the Company and the Subsidiaries.</w:t>
      </w:r>
    </w:p>
    <w:p>
      <w:pPr>
        <w:spacing w:after="0" w:line="379" w:lineRule="exact"/>
        <w:rPr>
          <w:sz w:val="20"/>
          <w:szCs w:val="20"/>
          <w:color w:val="auto"/>
        </w:rPr>
      </w:pPr>
    </w:p>
    <w:p>
      <w:pPr>
        <w:jc w:val="both"/>
        <w:ind w:left="100" w:right="99" w:firstLine="1296"/>
        <w:spacing w:after="0" w:line="242"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the interest rate applicable to any Loan, together with all fees, charges and other amounts that are treated as interest on such Loan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78" w:lineRule="exact"/>
        <w:rPr>
          <w:sz w:val="20"/>
          <w:szCs w:val="20"/>
          <w:color w:val="auto"/>
        </w:rPr>
      </w:pPr>
    </w:p>
    <w:p>
      <w:pPr>
        <w:jc w:val="both"/>
        <w:ind w:left="100" w:right="99" w:firstLine="1296"/>
        <w:spacing w:after="0" w:line="224"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u w:val="single" w:color="auto"/>
          <w:color w:val="auto"/>
        </w:rPr>
        <w:t>USA PATRIOT Act Notice</w:t>
      </w:r>
      <w:r>
        <w:rPr>
          <w:rFonts w:ascii="Arial" w:cs="Arial" w:eastAsia="Arial" w:hAnsi="Arial"/>
          <w:sz w:val="21"/>
          <w:szCs w:val="21"/>
          <w:color w:val="auto"/>
        </w:rPr>
        <w:t>. Each Lender and the Administrative Agent (for itself and not on behalf of any Lender) hereby notifies the Company that pursuant to the requirements of the USA PATRIOT Act it is required to obtain, verify and record information that identifies the Company, which information includes the name and address of the Company and other information that will allow such Lender or the Administrative Agent, as applicable, to identify the Company in accordance with the USA PATRIOT Act.</w:t>
      </w:r>
    </w:p>
    <w:p>
      <w:pPr>
        <w:spacing w:after="0" w:line="52" w:lineRule="exact"/>
        <w:rPr>
          <w:sz w:val="20"/>
          <w:szCs w:val="20"/>
          <w:color w:val="auto"/>
        </w:rPr>
      </w:pPr>
    </w:p>
    <w:p>
      <w:pPr>
        <w:jc w:val="both"/>
        <w:ind w:left="100" w:right="99" w:firstLine="1296"/>
        <w:spacing w:after="0" w:line="268"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No Fiduciary Relationship</w:t>
      </w:r>
      <w:r>
        <w:rPr>
          <w:rFonts w:ascii="Arial" w:cs="Arial" w:eastAsia="Arial" w:hAnsi="Arial"/>
          <w:sz w:val="19"/>
          <w:szCs w:val="19"/>
          <w:color w:val="auto"/>
        </w:rPr>
        <w:t>. The Company, on behalf of itself and the Subsidiaries, agrees that in connection with all aspects of the transactions contemplated hereby and any communications in connection therewith, the Company and its Affiliates,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299085</wp:posOffset>
            </wp:positionV>
            <wp:extent cx="5642610" cy="514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0" w:name="page301"/>
    <w:bookmarkEnd w:id="300"/>
    <w:p>
      <w:pPr>
        <w:jc w:val="right"/>
        <w:ind w:right="99"/>
        <w:spacing w:after="0"/>
        <w:rPr>
          <w:sz w:val="20"/>
          <w:szCs w:val="20"/>
          <w:color w:val="auto"/>
        </w:rPr>
      </w:pPr>
      <w:r>
        <w:rPr>
          <w:rFonts w:ascii="Arial" w:cs="Arial" w:eastAsia="Arial" w:hAnsi="Arial"/>
          <w:sz w:val="22"/>
          <w:szCs w:val="22"/>
          <w:color w:val="auto"/>
        </w:rPr>
        <w:t>114</w:t>
      </w:r>
    </w:p>
    <w:p>
      <w:pPr>
        <w:spacing w:after="0" w:line="396" w:lineRule="exact"/>
        <w:rPr>
          <w:sz w:val="20"/>
          <w:szCs w:val="20"/>
          <w:color w:val="auto"/>
        </w:rPr>
      </w:pPr>
    </w:p>
    <w:p>
      <w:pPr>
        <w:jc w:val="both"/>
        <w:ind w:left="100" w:right="99"/>
        <w:spacing w:after="0" w:line="241" w:lineRule="auto"/>
        <w:rPr>
          <w:sz w:val="20"/>
          <w:szCs w:val="20"/>
          <w:color w:val="auto"/>
        </w:rPr>
      </w:pPr>
      <w:r>
        <w:rPr>
          <w:rFonts w:ascii="Arial" w:cs="Arial" w:eastAsia="Arial" w:hAnsi="Arial"/>
          <w:sz w:val="19"/>
          <w:szCs w:val="19"/>
          <w:color w:val="auto"/>
        </w:rPr>
        <w:t>one hand, and the Administrative Agent, the Lenders, the Issuing Banks and their Affiliates, on the other hand, will have a business relationship that does not create, by implication or otherwise, any fiduciary duty on the part of the Administrative Agent, the Lenders, the Issuing Banks or their Affiliates, and no such duty will be deemed to have arisen in connection with any such transactions or communications. The Administrative Agent, the Revolver Facility Arrangers, the Bridge Facility Arrangers, the Lenders, the Issuing Banks and their Affiliates may be engaged, for their own accounts or the accounts of customers, in a broad range of transactions that involve interests that differ from those of the Company and its Affiliates, and none of the Administrative Agent, the Revolver Facility Arrangers, the Bridge Facility Arrangers, the Lenders, the Issuing Banks or their Affiliates has any obligation to disclose any of such interests to the Company or any of its Affiliates. To the fullest extent permitted by law, the Company hereby waives and releases any claims that it or any of its Affiliates may have against the Administrative Agent, the Revolver Facility Arrangers, the Bridge Facility Arrangers, the Lenders, the Issuing Banks or their respective Affiliates with respect to any breach or alleged breach of agency or fiduciary duty in connection with any aspect of any transaction contemplated hereby.</w:t>
      </w:r>
    </w:p>
    <w:p>
      <w:pPr>
        <w:spacing w:after="0" w:line="386" w:lineRule="exact"/>
        <w:rPr>
          <w:sz w:val="20"/>
          <w:szCs w:val="20"/>
          <w:color w:val="auto"/>
        </w:rPr>
      </w:pPr>
    </w:p>
    <w:p>
      <w:pPr>
        <w:jc w:val="both"/>
        <w:ind w:left="100" w:right="99" w:firstLine="1296"/>
        <w:spacing w:after="0" w:line="244" w:lineRule="auto"/>
        <w:rPr>
          <w:sz w:val="20"/>
          <w:szCs w:val="20"/>
          <w:color w:val="auto"/>
        </w:rPr>
      </w:pPr>
      <w:r>
        <w:rPr>
          <w:rFonts w:ascii="Arial" w:cs="Arial" w:eastAsia="Arial" w:hAnsi="Arial"/>
          <w:sz w:val="19"/>
          <w:szCs w:val="19"/>
          <w:color w:val="auto"/>
        </w:rPr>
        <w:t xml:space="preserve">SECTION 9.16 </w:t>
      </w:r>
      <w:r>
        <w:rPr>
          <w:rFonts w:ascii="Arial" w:cs="Arial" w:eastAsia="Arial" w:hAnsi="Arial"/>
          <w:sz w:val="19"/>
          <w:szCs w:val="19"/>
          <w:u w:val="single" w:color="auto"/>
          <w:color w:val="auto"/>
        </w:rPr>
        <w:t>Non-Public Information</w:t>
      </w:r>
      <w:r>
        <w:rPr>
          <w:rFonts w:ascii="Arial" w:cs="Arial" w:eastAsia="Arial" w:hAnsi="Arial"/>
          <w:sz w:val="19"/>
          <w:szCs w:val="19"/>
          <w:color w:val="auto"/>
        </w:rPr>
        <w:t>. (a) Each Lender and Issuing Bank acknowledges that all information, including requests for waivers and amendments, furnished by the Company or the Administrative Agent pursuant to or in connection with, or in the course of administering, this Agreement will be syndicate-level information, which may contain MNPI. Each Lender and Issuing Bank represents to the Company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United States (Federal or state) and foreign securities laws.</w:t>
      </w:r>
    </w:p>
    <w:p>
      <w:pPr>
        <w:spacing w:after="0" w:line="156" w:lineRule="exact"/>
        <w:rPr>
          <w:sz w:val="20"/>
          <w:szCs w:val="20"/>
          <w:color w:val="auto"/>
        </w:rPr>
      </w:pPr>
    </w:p>
    <w:p>
      <w:pPr>
        <w:jc w:val="both"/>
        <w:ind w:left="100" w:right="99" w:firstLine="1301"/>
        <w:spacing w:after="0" w:line="209" w:lineRule="auto"/>
        <w:tabs>
          <w:tab w:leader="none" w:pos="2135"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Company and each Lender and Issuing Bank acknowledge that, if information furnished by or on behalf of the Company pursuant to or in connection with this Agreement is being distributed by the Administrative Agent through the Platform, (i) the Administrative Agent may post any information that the Company has indicated as containing MNPI solely on that portion of the Platform designated for Private Side Lender Representatives and (ii) if the Company has not indicated whether any information furnished by it pursuant to or in connection with this Agreement contains MNPI, the Administrative Agent reserves the right to post such information solely on that portion of the Platform designated for Private Side Lender Representatives. The Company agrees to clearly designate all information provided to the Administrative Agent by or on behalf of the Company that is suitable to be made available to Public Side Lender Representatives, and the Administrative Agent shall be entitled to rely on any such designation by the Company without liability or responsibility for the independent verification thereof.</w:t>
      </w:r>
    </w:p>
    <w:p>
      <w:pPr>
        <w:spacing w:after="0" w:line="161" w:lineRule="exact"/>
        <w:rPr>
          <w:rFonts w:ascii="Arial" w:cs="Arial" w:eastAsia="Arial" w:hAnsi="Arial"/>
          <w:sz w:val="22"/>
          <w:szCs w:val="22"/>
          <w:color w:val="auto"/>
        </w:rPr>
      </w:pPr>
    </w:p>
    <w:p>
      <w:pPr>
        <w:jc w:val="both"/>
        <w:ind w:left="100" w:right="99" w:firstLine="1301"/>
        <w:spacing w:after="0" w:line="224" w:lineRule="auto"/>
        <w:tabs>
          <w:tab w:leader="none" w:pos="192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If the Company does not file this Agreement with the SEC, then the Company hereby authorizes the Administrative Agent to distribute the execution version of this Agreement and the Loan Documents to all Lenders and Issuing Banks, including their Public Side Lender Representatives. The Company acknowledges its understanding that Lenders and Issuing Banks, including their Public Side Lender Representatives, may be trading in securities of the Company and its Affiliates while in possession of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316865</wp:posOffset>
            </wp:positionV>
            <wp:extent cx="5642610" cy="514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1" w:name="page302"/>
    <w:bookmarkEnd w:id="301"/>
    <w:p>
      <w:pPr>
        <w:jc w:val="right"/>
        <w:ind w:right="99"/>
        <w:spacing w:after="0"/>
        <w:rPr>
          <w:sz w:val="20"/>
          <w:szCs w:val="20"/>
          <w:color w:val="auto"/>
        </w:rPr>
      </w:pPr>
      <w:r>
        <w:rPr>
          <w:rFonts w:ascii="Arial" w:cs="Arial" w:eastAsia="Arial" w:hAnsi="Arial"/>
          <w:sz w:val="22"/>
          <w:szCs w:val="22"/>
          <w:color w:val="auto"/>
        </w:rPr>
        <w:t>115</w:t>
      </w:r>
    </w:p>
    <w:p>
      <w:pPr>
        <w:spacing w:after="0" w:line="396" w:lineRule="exact"/>
        <w:rPr>
          <w:sz w:val="20"/>
          <w:szCs w:val="20"/>
          <w:color w:val="auto"/>
        </w:rPr>
      </w:pPr>
    </w:p>
    <w:p>
      <w:pPr>
        <w:jc w:val="both"/>
        <w:ind w:left="100" w:right="99" w:firstLine="1301"/>
        <w:spacing w:after="0" w:line="257" w:lineRule="auto"/>
        <w:tabs>
          <w:tab w:leader="none" w:pos="1891"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Company represents and warrants that none of the information contained in the Loan Documents constitutes or contains MNPI. To the extent that any of the executed Loan Documents at any time constitutes MNPI, the Company agrees that it will promptly make such information publicly available by press release or public filing with the SEC.</w:t>
      </w:r>
    </w:p>
    <w:p>
      <w:pPr>
        <w:spacing w:after="0" w:line="145" w:lineRule="exact"/>
        <w:rPr>
          <w:sz w:val="20"/>
          <w:szCs w:val="20"/>
          <w:color w:val="auto"/>
        </w:rPr>
      </w:pPr>
    </w:p>
    <w:p>
      <w:pPr>
        <w:jc w:val="both"/>
        <w:ind w:left="100" w:right="99" w:firstLine="1296"/>
        <w:spacing w:after="0" w:line="223" w:lineRule="auto"/>
        <w:rPr>
          <w:sz w:val="20"/>
          <w:szCs w:val="20"/>
          <w:color w:val="auto"/>
        </w:rPr>
      </w:pPr>
      <w:r>
        <w:rPr>
          <w:rFonts w:ascii="Arial" w:cs="Arial" w:eastAsia="Arial" w:hAnsi="Arial"/>
          <w:sz w:val="21"/>
          <w:szCs w:val="21"/>
          <w:color w:val="auto"/>
        </w:rPr>
        <w:t xml:space="preserve">SECTION 9.17 </w:t>
      </w:r>
      <w:r>
        <w:rPr>
          <w:rFonts w:ascii="Arial" w:cs="Arial" w:eastAsia="Arial" w:hAnsi="Arial"/>
          <w:sz w:val="21"/>
          <w:szCs w:val="21"/>
          <w:u w:val="single" w:color="auto"/>
          <w:color w:val="auto"/>
        </w:rPr>
        <w:t>Acknowledgement and Consent to Bail-In of EEA Financial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Institutions</w:t>
      </w:r>
      <w:r>
        <w:rPr>
          <w:rFonts w:ascii="Arial" w:cs="Arial" w:eastAsia="Arial" w:hAnsi="Arial"/>
          <w:sz w:val="21"/>
          <w:szCs w:val="21"/>
          <w:color w:val="auto"/>
        </w:rPr>
        <w:t>. Notwithstanding anything to the contrary in any Loan Document or in any other agreement, arrangement or understanding among the parties hereto, each party hereto acknowledges that any liability of any Lender or Issuing Bank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58" w:lineRule="exact"/>
        <w:rPr>
          <w:sz w:val="20"/>
          <w:szCs w:val="20"/>
          <w:color w:val="auto"/>
        </w:rPr>
      </w:pPr>
    </w:p>
    <w:p>
      <w:pPr>
        <w:jc w:val="both"/>
        <w:ind w:left="100" w:right="99" w:firstLine="1301"/>
        <w:spacing w:after="0" w:line="223" w:lineRule="auto"/>
        <w:tabs>
          <w:tab w:leader="none" w:pos="2109"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an EEA Resolution Authority to any such liabilities arising hereunder which may be payable to it by any Lender or Issuing Bank that is an EEA Financial Institution; and</w:t>
      </w:r>
    </w:p>
    <w:p>
      <w:pPr>
        <w:spacing w:after="0" w:line="159" w:lineRule="exact"/>
        <w:rPr>
          <w:rFonts w:ascii="Arial" w:cs="Arial" w:eastAsia="Arial" w:hAnsi="Arial"/>
          <w:sz w:val="22"/>
          <w:szCs w:val="22"/>
          <w:color w:val="auto"/>
        </w:rPr>
      </w:pPr>
    </w:p>
    <w:p>
      <w:pPr>
        <w:ind w:left="1860" w:hanging="459"/>
        <w:spacing w:after="0"/>
        <w:tabs>
          <w:tab w:leader="none" w:pos="1860" w:val="left"/>
        </w:tabs>
        <w:numPr>
          <w:ilvl w:val="0"/>
          <w:numId w:val="253"/>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191" w:lineRule="exact"/>
        <w:rPr>
          <w:sz w:val="20"/>
          <w:szCs w:val="20"/>
          <w:color w:val="auto"/>
        </w:rPr>
      </w:pPr>
    </w:p>
    <w:p>
      <w:pPr>
        <w:ind w:left="1820" w:hanging="419"/>
        <w:spacing w:after="0"/>
        <w:tabs>
          <w:tab w:leader="none" w:pos="182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79" w:lineRule="exact"/>
        <w:rPr>
          <w:rFonts w:ascii="Arial" w:cs="Arial" w:eastAsia="Arial" w:hAnsi="Arial"/>
          <w:sz w:val="22"/>
          <w:szCs w:val="22"/>
          <w:color w:val="auto"/>
        </w:rPr>
      </w:pPr>
    </w:p>
    <w:p>
      <w:pPr>
        <w:jc w:val="both"/>
        <w:ind w:left="760" w:right="99" w:firstLine="641"/>
        <w:spacing w:after="0" w:line="226" w:lineRule="auto"/>
        <w:tabs>
          <w:tab w:leader="none" w:pos="1902" w:val="left"/>
        </w:tabs>
        <w:numPr>
          <w:ilvl w:val="0"/>
          <w:numId w:val="254"/>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9" w:lineRule="exact"/>
        <w:rPr>
          <w:rFonts w:ascii="Arial" w:cs="Arial" w:eastAsia="Arial" w:hAnsi="Arial"/>
          <w:sz w:val="21"/>
          <w:szCs w:val="21"/>
          <w:color w:val="auto"/>
        </w:rPr>
      </w:pPr>
    </w:p>
    <w:p>
      <w:pPr>
        <w:ind w:left="760" w:right="99" w:firstLine="641"/>
        <w:spacing w:after="0" w:line="247" w:lineRule="auto"/>
        <w:tabs>
          <w:tab w:leader="none" w:pos="1962" w:val="left"/>
        </w:tabs>
        <w:numPr>
          <w:ilvl w:val="0"/>
          <w:numId w:val="254"/>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any EEA Resolution Authority.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466090</wp:posOffset>
            </wp:positionV>
            <wp:extent cx="5642610" cy="514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2" w:name="page303"/>
    <w:bookmarkEnd w:id="302"/>
    <w:p>
      <w:pPr>
        <w:ind w:left="100" w:right="139" w:firstLine="648"/>
        <w:spacing w:after="0" w:line="298" w:lineRule="auto"/>
        <w:rPr>
          <w:sz w:val="20"/>
          <w:szCs w:val="20"/>
          <w:color w:val="auto"/>
        </w:rPr>
      </w:pPr>
      <w:r>
        <w:rPr>
          <w:rFonts w:ascii="Arial" w:cs="Arial" w:eastAsia="Arial" w:hAnsi="Arial"/>
          <w:sz w:val="19"/>
          <w:szCs w:val="19"/>
          <w:color w:val="auto"/>
        </w:rPr>
        <w:t>IN WITNESS WHEREOF, the parties hereto have caused this Agreement to be duly executed and delivered by their respective authorized officers as of the day and year first above written.</w:t>
      </w:r>
    </w:p>
    <w:p>
      <w:pPr>
        <w:spacing w:after="0" w:line="119" w:lineRule="exact"/>
        <w:rPr>
          <w:sz w:val="20"/>
          <w:szCs w:val="20"/>
          <w:color w:val="auto"/>
        </w:rPr>
      </w:pPr>
    </w:p>
    <w:tbl>
      <w:tblPr>
        <w:tblLayout w:type="fixed"/>
        <w:tblInd w:w="3880" w:type="dxa"/>
        <w:tblCellMar>
          <w:top w:w="0" w:type="dxa"/>
          <w:left w:w="0" w:type="dxa"/>
          <w:bottom w:w="0" w:type="dxa"/>
          <w:right w:w="0" w:type="dxa"/>
        </w:tblCellMar>
      </w:tblPr>
      <w:tr>
        <w:trPr>
          <w:trHeight w:val="275"/>
        </w:trPr>
        <w:tc>
          <w:tcPr>
            <w:tcW w:w="920" w:type="dxa"/>
            <w:vAlign w:val="bottom"/>
          </w:tcPr>
          <w:p>
            <w:pPr>
              <w:spacing w:after="0"/>
              <w:rPr>
                <w:sz w:val="23"/>
                <w:szCs w:val="23"/>
                <w:color w:val="auto"/>
              </w:rPr>
            </w:pPr>
          </w:p>
        </w:tc>
        <w:tc>
          <w:tcPr>
            <w:tcW w:w="4120" w:type="dxa"/>
            <w:vAlign w:val="bottom"/>
          </w:tcPr>
          <w:p>
            <w:pPr>
              <w:ind w:left="120"/>
              <w:spacing w:after="0"/>
              <w:rPr>
                <w:sz w:val="20"/>
                <w:szCs w:val="20"/>
                <w:color w:val="auto"/>
              </w:rPr>
            </w:pPr>
            <w:r>
              <w:rPr>
                <w:rFonts w:ascii="Arial" w:cs="Arial" w:eastAsia="Arial" w:hAnsi="Arial"/>
                <w:sz w:val="22"/>
                <w:szCs w:val="22"/>
                <w:color w:val="auto"/>
              </w:rPr>
              <w:t>AQUA AMERICA, INC.</w:t>
            </w:r>
          </w:p>
        </w:tc>
        <w:tc>
          <w:tcPr>
            <w:tcW w:w="0" w:type="dxa"/>
            <w:vAlign w:val="bottom"/>
          </w:tcPr>
          <w:p>
            <w:pPr>
              <w:spacing w:after="0"/>
              <w:rPr>
                <w:sz w:val="1"/>
                <w:szCs w:val="1"/>
                <w:color w:val="auto"/>
              </w:rPr>
            </w:pPr>
          </w:p>
        </w:tc>
      </w:tr>
      <w:tr>
        <w:trPr>
          <w:trHeight w:val="590"/>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Daniel J. Schuller</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Daniel J. Schuller</w:t>
            </w:r>
          </w:p>
        </w:tc>
        <w:tc>
          <w:tcPr>
            <w:tcW w:w="0" w:type="dxa"/>
            <w:vAlign w:val="bottom"/>
          </w:tcPr>
          <w:p>
            <w:pPr>
              <w:spacing w:after="0"/>
              <w:rPr>
                <w:sz w:val="1"/>
                <w:szCs w:val="1"/>
                <w:color w:val="auto"/>
              </w:rPr>
            </w:pPr>
          </w:p>
        </w:tc>
      </w:tr>
      <w:tr>
        <w:trPr>
          <w:trHeight w:val="216"/>
        </w:trPr>
        <w:tc>
          <w:tcPr>
            <w:tcW w:w="920" w:type="dxa"/>
            <w:vAlign w:val="bottom"/>
          </w:tcPr>
          <w:p>
            <w:pPr>
              <w:spacing w:after="0" w:line="217" w:lineRule="exact"/>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line="217" w:lineRule="exact"/>
              <w:rPr>
                <w:sz w:val="20"/>
                <w:szCs w:val="20"/>
                <w:color w:val="auto"/>
              </w:rPr>
            </w:pPr>
            <w:r>
              <w:rPr>
                <w:rFonts w:ascii="Arial" w:cs="Arial" w:eastAsia="Arial" w:hAnsi="Arial"/>
                <w:sz w:val="22"/>
                <w:szCs w:val="22"/>
                <w:color w:val="auto"/>
              </w:rPr>
              <w:t>Executive Vice President and Chief</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3"/>
                <w:szCs w:val="23"/>
                <w:color w:val="auto"/>
              </w:rPr>
            </w:pPr>
          </w:p>
        </w:tc>
        <w:tc>
          <w:tcPr>
            <w:tcW w:w="4120" w:type="dxa"/>
            <w:vAlign w:val="bottom"/>
          </w:tcPr>
          <w:p>
            <w:pPr>
              <w:ind w:left="120"/>
              <w:spacing w:after="0"/>
              <w:rPr>
                <w:sz w:val="20"/>
                <w:szCs w:val="20"/>
                <w:color w:val="auto"/>
              </w:rPr>
            </w:pPr>
            <w:r>
              <w:rPr>
                <w:rFonts w:ascii="Arial" w:cs="Arial" w:eastAsia="Arial" w:hAnsi="Arial"/>
                <w:sz w:val="22"/>
                <w:szCs w:val="22"/>
                <w:color w:val="auto"/>
              </w:rPr>
              <w:t>Financial Officer</w:t>
            </w: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Aqua America,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323850</wp:posOffset>
            </wp:positionV>
            <wp:extent cx="5642610" cy="514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303" w:name="page304"/>
    <w:bookmarkEnd w:id="303"/>
    <w:tbl>
      <w:tblPr>
        <w:tblLayout w:type="fixed"/>
        <w:tblInd w:w="388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120" w:type="dxa"/>
            <w:vAlign w:val="bottom"/>
          </w:tcPr>
          <w:p>
            <w:pPr>
              <w:ind w:left="120"/>
              <w:spacing w:after="0"/>
              <w:rPr>
                <w:sz w:val="20"/>
                <w:szCs w:val="20"/>
                <w:color w:val="auto"/>
              </w:rPr>
            </w:pPr>
            <w:r>
              <w:rPr>
                <w:rFonts w:ascii="Arial" w:cs="Arial" w:eastAsia="Arial" w:hAnsi="Arial"/>
                <w:sz w:val="22"/>
                <w:szCs w:val="22"/>
                <w:color w:val="auto"/>
              </w:rPr>
              <w:t>PNC BANK, NATIONAL ASSOCIATION,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20" w:type="dxa"/>
            <w:vAlign w:val="bottom"/>
          </w:tcPr>
          <w:p>
            <w:pPr>
              <w:ind w:left="120"/>
              <w:spacing w:after="0" w:line="217" w:lineRule="exact"/>
              <w:rPr>
                <w:sz w:val="20"/>
                <w:szCs w:val="20"/>
                <w:color w:val="auto"/>
              </w:rPr>
            </w:pPr>
            <w:r>
              <w:rPr>
                <w:rFonts w:ascii="Arial" w:cs="Arial" w:eastAsia="Arial" w:hAnsi="Arial"/>
                <w:sz w:val="22"/>
                <w:szCs w:val="22"/>
                <w:color w:val="auto"/>
              </w:rPr>
              <w:t>as the Administrative Agent, a Swingline</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3"/>
                <w:szCs w:val="23"/>
                <w:color w:val="auto"/>
              </w:rPr>
            </w:pPr>
          </w:p>
        </w:tc>
        <w:tc>
          <w:tcPr>
            <w:tcW w:w="4120" w:type="dxa"/>
            <w:vAlign w:val="bottom"/>
          </w:tcPr>
          <w:p>
            <w:pPr>
              <w:ind w:left="120"/>
              <w:spacing w:after="0"/>
              <w:rPr>
                <w:sz w:val="20"/>
                <w:szCs w:val="20"/>
                <w:color w:val="auto"/>
              </w:rPr>
            </w:pPr>
            <w:r>
              <w:rPr>
                <w:rFonts w:ascii="Arial" w:cs="Arial" w:eastAsia="Arial" w:hAnsi="Arial"/>
                <w:sz w:val="22"/>
                <w:szCs w:val="22"/>
                <w:color w:val="auto"/>
              </w:rPr>
              <w:t>Lender, a Lender and an Issuing Bank,</w:t>
            </w:r>
          </w:p>
        </w:tc>
        <w:tc>
          <w:tcPr>
            <w:tcW w:w="0" w:type="dxa"/>
            <w:vAlign w:val="bottom"/>
          </w:tcPr>
          <w:p>
            <w:pPr>
              <w:spacing w:after="0"/>
              <w:rPr>
                <w:sz w:val="1"/>
                <w:szCs w:val="1"/>
                <w:color w:val="auto"/>
              </w:rPr>
            </w:pPr>
          </w:p>
        </w:tc>
      </w:tr>
      <w:tr>
        <w:trPr>
          <w:trHeight w:val="590"/>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Domenic D’Ginto</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Domenic D’Ginto</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rPr>
                <w:sz w:val="20"/>
                <w:szCs w:val="20"/>
                <w:color w:val="auto"/>
              </w:rPr>
            </w:pPr>
            <w:r>
              <w:rPr>
                <w:rFonts w:ascii="Arial" w:cs="Arial" w:eastAsia="Arial" w:hAnsi="Arial"/>
                <w:sz w:val="22"/>
                <w:szCs w:val="22"/>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Aqua America,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338455</wp:posOffset>
            </wp:positionV>
            <wp:extent cx="5231130" cy="514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0">
                      <a:extLst>
                        <a:ext uri="{28A0092B-C50C-407E-A947-70E740481C1C}"/>
                      </a:extLst>
                    </a:blip>
                    <a:srcRect/>
                    <a:stretch>
                      <a:fillRect/>
                    </a:stretch>
                  </pic:blipFill>
                  <pic:spPr bwMode="auto">
                    <a:xfrm>
                      <a:off x="0" y="0"/>
                      <a:ext cx="5231130" cy="51435"/>
                    </a:xfrm>
                    <a:prstGeom prst="rect">
                      <a:avLst/>
                    </a:prstGeom>
                    <a:noFill/>
                  </pic:spPr>
                </pic:pic>
              </a:graphicData>
            </a:graphic>
          </wp:anchor>
        </w:drawing>
      </w:r>
    </w:p>
    <w:p>
      <w:pPr>
        <w:sectPr>
          <w:pgSz w:w="11900" w:h="16838" w:orient="portrait"/>
          <w:cols w:equalWidth="0" w:num="1">
            <w:col w:w="9019"/>
          </w:cols>
          <w:pgMar w:left="1440" w:top="514" w:right="1440" w:bottom="1440" w:gutter="0" w:footer="0" w:header="0"/>
        </w:sectPr>
      </w:pPr>
    </w:p>
    <w:bookmarkStart w:id="304" w:name="page305"/>
    <w:bookmarkEnd w:id="304"/>
    <w:p>
      <w:pPr>
        <w:jc w:val="right"/>
        <w:ind w:right="419"/>
        <w:spacing w:after="0"/>
        <w:rPr>
          <w:sz w:val="20"/>
          <w:szCs w:val="20"/>
          <w:color w:val="auto"/>
        </w:rPr>
      </w:pPr>
      <w:r>
        <w:rPr>
          <w:rFonts w:ascii="Arial" w:cs="Arial" w:eastAsia="Arial" w:hAnsi="Arial"/>
          <w:sz w:val="22"/>
          <w:szCs w:val="22"/>
          <w:color w:val="auto"/>
        </w:rPr>
        <w:t>SIGNATURE PAGE TO</w:t>
      </w:r>
    </w:p>
    <w:p>
      <w:pPr>
        <w:jc w:val="right"/>
        <w:ind w:right="419"/>
        <w:spacing w:after="0" w:line="205" w:lineRule="auto"/>
        <w:rPr>
          <w:sz w:val="20"/>
          <w:szCs w:val="20"/>
          <w:color w:val="auto"/>
        </w:rPr>
      </w:pPr>
      <w:r>
        <w:rPr>
          <w:rFonts w:ascii="Arial" w:cs="Arial" w:eastAsia="Arial" w:hAnsi="Arial"/>
          <w:sz w:val="22"/>
          <w:szCs w:val="22"/>
          <w:color w:val="auto"/>
        </w:rPr>
        <w:t>CREDIT AGREEMENT OF</w:t>
      </w:r>
    </w:p>
    <w:p>
      <w:pPr>
        <w:jc w:val="right"/>
        <w:ind w:right="419"/>
        <w:spacing w:after="0"/>
        <w:rPr>
          <w:sz w:val="20"/>
          <w:szCs w:val="20"/>
          <w:color w:val="auto"/>
        </w:rPr>
      </w:pPr>
      <w:r>
        <w:rPr>
          <w:rFonts w:ascii="Arial" w:cs="Arial" w:eastAsia="Arial" w:hAnsi="Arial"/>
          <w:sz w:val="22"/>
          <w:szCs w:val="22"/>
          <w:color w:val="auto"/>
        </w:rPr>
        <w:t>AQUA AMERICA, INC.</w:t>
      </w:r>
    </w:p>
    <w:p>
      <w:pPr>
        <w:spacing w:after="0" w:line="391"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 of Institution: CoBank</w:t>
      </w:r>
    </w:p>
    <w:p>
      <w:pPr>
        <w:spacing w:after="0" w:line="358"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Bryan Ervin</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Bryan Ervin</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 of Institution: Bank of America</w:t>
      </w:r>
    </w:p>
    <w:p>
      <w:pPr>
        <w:spacing w:after="0" w:line="358"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Kevin Dobosz</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Kevin Dobosz</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rPr>
                <w:sz w:val="20"/>
                <w:szCs w:val="20"/>
                <w:color w:val="auto"/>
              </w:rPr>
            </w:pPr>
            <w:r>
              <w:rPr>
                <w:rFonts w:ascii="Arial" w:cs="Arial" w:eastAsia="Arial" w:hAnsi="Arial"/>
                <w:sz w:val="22"/>
                <w:szCs w:val="22"/>
                <w:color w:val="auto"/>
              </w:rPr>
              <w:t>Senior Vice President</w:t>
            </w:r>
          </w:p>
        </w:tc>
        <w:tc>
          <w:tcPr>
            <w:tcW w:w="0" w:type="dxa"/>
            <w:vAlign w:val="bottom"/>
          </w:tcPr>
          <w:p>
            <w:pPr>
              <w:spacing w:after="0"/>
              <w:rPr>
                <w:sz w:val="1"/>
                <w:szCs w:val="1"/>
                <w:color w:val="auto"/>
              </w:rPr>
            </w:pPr>
          </w:p>
        </w:tc>
      </w:tr>
      <w:tr>
        <w:trPr>
          <w:trHeight w:val="446"/>
        </w:trPr>
        <w:tc>
          <w:tcPr>
            <w:tcW w:w="5040" w:type="dxa"/>
            <w:vAlign w:val="bottom"/>
            <w:gridSpan w:val="2"/>
          </w:tcPr>
          <w:p>
            <w:pPr>
              <w:spacing w:after="0"/>
              <w:rPr>
                <w:sz w:val="20"/>
                <w:szCs w:val="20"/>
                <w:color w:val="auto"/>
              </w:rPr>
            </w:pPr>
            <w:r>
              <w:rPr>
                <w:rFonts w:ascii="Arial" w:cs="Arial" w:eastAsia="Arial" w:hAnsi="Arial"/>
                <w:sz w:val="22"/>
                <w:szCs w:val="22"/>
                <w:color w:val="auto"/>
              </w:rPr>
              <w:t>Name of Institution: Barclays</w:t>
            </w:r>
          </w:p>
        </w:tc>
        <w:tc>
          <w:tcPr>
            <w:tcW w:w="0" w:type="dxa"/>
            <w:vAlign w:val="bottom"/>
          </w:tcPr>
          <w:p>
            <w:pPr>
              <w:spacing w:after="0"/>
              <w:rPr>
                <w:sz w:val="1"/>
                <w:szCs w:val="1"/>
                <w:color w:val="auto"/>
              </w:rPr>
            </w:pPr>
          </w:p>
        </w:tc>
      </w:tr>
      <w:tr>
        <w:trPr>
          <w:trHeight w:val="590"/>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Sydney G. Dennis</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Sydney G. Dennis</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446"/>
        </w:trPr>
        <w:tc>
          <w:tcPr>
            <w:tcW w:w="5040" w:type="dxa"/>
            <w:vAlign w:val="bottom"/>
            <w:gridSpan w:val="2"/>
          </w:tcPr>
          <w:p>
            <w:pPr>
              <w:spacing w:after="0"/>
              <w:rPr>
                <w:sz w:val="20"/>
                <w:szCs w:val="20"/>
                <w:color w:val="auto"/>
              </w:rPr>
            </w:pPr>
            <w:r>
              <w:rPr>
                <w:rFonts w:ascii="Arial" w:cs="Arial" w:eastAsia="Arial" w:hAnsi="Arial"/>
                <w:sz w:val="22"/>
                <w:szCs w:val="22"/>
                <w:color w:val="auto"/>
              </w:rPr>
              <w:t>Name of Institution: Citizens</w:t>
            </w:r>
          </w:p>
        </w:tc>
        <w:tc>
          <w:tcPr>
            <w:tcW w:w="0" w:type="dxa"/>
            <w:vAlign w:val="bottom"/>
          </w:tcPr>
          <w:p>
            <w:pPr>
              <w:spacing w:after="0"/>
              <w:rPr>
                <w:sz w:val="1"/>
                <w:szCs w:val="1"/>
                <w:color w:val="auto"/>
              </w:rPr>
            </w:pPr>
          </w:p>
        </w:tc>
      </w:tr>
      <w:tr>
        <w:trPr>
          <w:trHeight w:val="590"/>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Leslie Broderick</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Leslie Broderick</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rPr>
                <w:sz w:val="20"/>
                <w:szCs w:val="20"/>
                <w:color w:val="auto"/>
              </w:rPr>
            </w:pPr>
            <w:r>
              <w:rPr>
                <w:rFonts w:ascii="Arial" w:cs="Arial" w:eastAsia="Arial" w:hAnsi="Arial"/>
                <w:sz w:val="22"/>
                <w:szCs w:val="22"/>
                <w:color w:val="auto"/>
              </w:rPr>
              <w:t>Senior Vice President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 of Institution: Morgan Stanley</w:t>
      </w:r>
    </w:p>
    <w:p>
      <w:pPr>
        <w:spacing w:after="0" w:line="358"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Michael King</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Michael King</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rPr>
                <w:sz w:val="20"/>
                <w:szCs w:val="20"/>
                <w:color w:val="auto"/>
              </w:rPr>
            </w:pPr>
            <w:r>
              <w:rPr>
                <w:rFonts w:ascii="Arial" w:cs="Arial" w:eastAsia="Arial" w:hAnsi="Arial"/>
                <w:sz w:val="22"/>
                <w:szCs w:val="22"/>
                <w:color w:val="auto"/>
              </w:rPr>
              <w:t>Authorized Signatory</w:t>
            </w:r>
          </w:p>
        </w:tc>
        <w:tc>
          <w:tcPr>
            <w:tcW w:w="0" w:type="dxa"/>
            <w:vAlign w:val="bottom"/>
          </w:tcPr>
          <w:p>
            <w:pPr>
              <w:spacing w:after="0"/>
              <w:rPr>
                <w:sz w:val="1"/>
                <w:szCs w:val="1"/>
                <w:color w:val="auto"/>
              </w:rPr>
            </w:pPr>
          </w:p>
        </w:tc>
      </w:tr>
      <w:tr>
        <w:trPr>
          <w:trHeight w:val="446"/>
        </w:trPr>
        <w:tc>
          <w:tcPr>
            <w:tcW w:w="5040" w:type="dxa"/>
            <w:vAlign w:val="bottom"/>
            <w:gridSpan w:val="2"/>
          </w:tcPr>
          <w:p>
            <w:pPr>
              <w:spacing w:after="0"/>
              <w:rPr>
                <w:sz w:val="20"/>
                <w:szCs w:val="20"/>
                <w:color w:val="auto"/>
              </w:rPr>
            </w:pPr>
            <w:r>
              <w:rPr>
                <w:rFonts w:ascii="Arial" w:cs="Arial" w:eastAsia="Arial" w:hAnsi="Arial"/>
                <w:sz w:val="22"/>
                <w:szCs w:val="22"/>
                <w:color w:val="auto"/>
              </w:rPr>
              <w:t>Name of Institution: MUFG</w:t>
            </w:r>
          </w:p>
        </w:tc>
        <w:tc>
          <w:tcPr>
            <w:tcW w:w="0" w:type="dxa"/>
            <w:vAlign w:val="bottom"/>
          </w:tcPr>
          <w:p>
            <w:pPr>
              <w:spacing w:after="0"/>
              <w:rPr>
                <w:sz w:val="1"/>
                <w:szCs w:val="1"/>
                <w:color w:val="auto"/>
              </w:rPr>
            </w:pPr>
          </w:p>
        </w:tc>
      </w:tr>
      <w:tr>
        <w:trPr>
          <w:trHeight w:val="590"/>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Paul Farrell</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Paul Farrell</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rPr>
                <w:sz w:val="20"/>
                <w:szCs w:val="20"/>
                <w:color w:val="auto"/>
              </w:rPr>
            </w:pPr>
            <w:r>
              <w:rPr>
                <w:rFonts w:ascii="Arial" w:cs="Arial" w:eastAsia="Arial" w:hAnsi="Arial"/>
                <w:sz w:val="22"/>
                <w:szCs w:val="22"/>
                <w:color w:val="auto"/>
              </w:rPr>
              <w:t>Managing Director</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Aqua America,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338455</wp:posOffset>
            </wp:positionV>
            <wp:extent cx="5231130" cy="514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1">
                      <a:extLst>
                        <a:ext uri="{28A0092B-C50C-407E-A947-70E740481C1C}"/>
                      </a:extLst>
                    </a:blip>
                    <a:srcRect/>
                    <a:stretch>
                      <a:fillRect/>
                    </a:stretch>
                  </pic:blipFill>
                  <pic:spPr bwMode="auto">
                    <a:xfrm>
                      <a:off x="0" y="0"/>
                      <a:ext cx="5231130" cy="5143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305" w:name="page306"/>
    <w:bookmarkEnd w:id="305"/>
    <w:p>
      <w:pPr>
        <w:ind w:left="3560"/>
        <w:spacing w:after="0"/>
        <w:rPr>
          <w:sz w:val="20"/>
          <w:szCs w:val="20"/>
          <w:color w:val="auto"/>
        </w:rPr>
      </w:pPr>
      <w:r>
        <w:rPr>
          <w:rFonts w:ascii="Arial" w:cs="Arial" w:eastAsia="Arial" w:hAnsi="Arial"/>
          <w:sz w:val="22"/>
          <w:szCs w:val="22"/>
          <w:color w:val="auto"/>
        </w:rPr>
        <w:t>Name of Institution: RBC</w:t>
      </w:r>
    </w:p>
    <w:p>
      <w:pPr>
        <w:spacing w:after="0" w:line="358"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Frank Lambrinos</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Frank Lambrinos</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rPr>
                <w:sz w:val="20"/>
                <w:szCs w:val="20"/>
                <w:color w:val="auto"/>
              </w:rPr>
            </w:pPr>
            <w:r>
              <w:rPr>
                <w:rFonts w:ascii="Arial" w:cs="Arial" w:eastAsia="Arial" w:hAnsi="Arial"/>
                <w:sz w:val="22"/>
                <w:szCs w:val="22"/>
                <w:color w:val="auto"/>
              </w:rPr>
              <w:t>Authorized Signatory</w:t>
            </w:r>
          </w:p>
        </w:tc>
        <w:tc>
          <w:tcPr>
            <w:tcW w:w="0" w:type="dxa"/>
            <w:vAlign w:val="bottom"/>
          </w:tcPr>
          <w:p>
            <w:pPr>
              <w:spacing w:after="0"/>
              <w:rPr>
                <w:sz w:val="1"/>
                <w:szCs w:val="1"/>
                <w:color w:val="auto"/>
              </w:rPr>
            </w:pPr>
          </w:p>
        </w:tc>
      </w:tr>
      <w:tr>
        <w:trPr>
          <w:trHeight w:val="446"/>
        </w:trPr>
        <w:tc>
          <w:tcPr>
            <w:tcW w:w="5040" w:type="dxa"/>
            <w:vAlign w:val="bottom"/>
            <w:gridSpan w:val="2"/>
          </w:tcPr>
          <w:p>
            <w:pPr>
              <w:spacing w:after="0"/>
              <w:rPr>
                <w:sz w:val="20"/>
                <w:szCs w:val="20"/>
                <w:color w:val="auto"/>
              </w:rPr>
            </w:pPr>
            <w:r>
              <w:rPr>
                <w:rFonts w:ascii="Arial" w:cs="Arial" w:eastAsia="Arial" w:hAnsi="Arial"/>
                <w:sz w:val="22"/>
                <w:szCs w:val="22"/>
                <w:color w:val="auto"/>
              </w:rPr>
              <w:t>Name of Institution: Huntington</w:t>
            </w:r>
          </w:p>
        </w:tc>
        <w:tc>
          <w:tcPr>
            <w:tcW w:w="0" w:type="dxa"/>
            <w:vAlign w:val="bottom"/>
          </w:tcPr>
          <w:p>
            <w:pPr>
              <w:spacing w:after="0"/>
              <w:rPr>
                <w:sz w:val="1"/>
                <w:szCs w:val="1"/>
                <w:color w:val="auto"/>
              </w:rPr>
            </w:pPr>
          </w:p>
        </w:tc>
      </w:tr>
      <w:tr>
        <w:trPr>
          <w:trHeight w:val="590"/>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Michael Kiss</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Michael Kiss</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r>
        <w:trPr>
          <w:trHeight w:val="446"/>
        </w:trPr>
        <w:tc>
          <w:tcPr>
            <w:tcW w:w="5040" w:type="dxa"/>
            <w:vAlign w:val="bottom"/>
            <w:gridSpan w:val="2"/>
          </w:tcPr>
          <w:p>
            <w:pPr>
              <w:spacing w:after="0"/>
              <w:rPr>
                <w:sz w:val="20"/>
                <w:szCs w:val="20"/>
                <w:color w:val="auto"/>
              </w:rPr>
            </w:pPr>
            <w:r>
              <w:rPr>
                <w:rFonts w:ascii="Arial" w:cs="Arial" w:eastAsia="Arial" w:hAnsi="Arial"/>
                <w:sz w:val="22"/>
                <w:szCs w:val="22"/>
                <w:color w:val="auto"/>
              </w:rPr>
              <w:t>Name of Institution: Wells Fargo</w:t>
            </w:r>
          </w:p>
        </w:tc>
        <w:tc>
          <w:tcPr>
            <w:tcW w:w="0" w:type="dxa"/>
            <w:vAlign w:val="bottom"/>
          </w:tcPr>
          <w:p>
            <w:pPr>
              <w:spacing w:after="0"/>
              <w:rPr>
                <w:sz w:val="1"/>
                <w:szCs w:val="1"/>
                <w:color w:val="auto"/>
              </w:rPr>
            </w:pPr>
          </w:p>
        </w:tc>
      </w:tr>
      <w:tr>
        <w:trPr>
          <w:trHeight w:val="590"/>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Sheila M. Shaffer</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Sheila M. Shaffer</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For any Lender requiring a second signature block:</w:t>
      </w:r>
    </w:p>
    <w:p>
      <w:pPr>
        <w:spacing w:after="0" w:line="358"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120"/>
              <w:spacing w:after="0"/>
              <w:rPr>
                <w:sz w:val="20"/>
                <w:szCs w:val="20"/>
                <w:color w:val="auto"/>
              </w:rPr>
            </w:pPr>
            <w:r>
              <w:rPr>
                <w:rFonts w:ascii="Arial" w:cs="Arial" w:eastAsia="Arial" w:hAnsi="Arial"/>
                <w:sz w:val="22"/>
                <w:szCs w:val="22"/>
                <w:color w:val="auto"/>
              </w:rPr>
              <w:t>/s/ Sheila M. Shaffer</w:t>
            </w:r>
          </w:p>
        </w:tc>
        <w:tc>
          <w:tcPr>
            <w:tcW w:w="0" w:type="dxa"/>
            <w:vAlign w:val="bottom"/>
          </w:tcPr>
          <w:p>
            <w:pPr>
              <w:spacing w:after="0"/>
              <w:rPr>
                <w:sz w:val="1"/>
                <w:szCs w:val="1"/>
                <w:color w:val="auto"/>
              </w:rPr>
            </w:pPr>
          </w:p>
        </w:tc>
      </w:tr>
      <w:tr>
        <w:trPr>
          <w:trHeight w:val="35"/>
        </w:trPr>
        <w:tc>
          <w:tcPr>
            <w:tcW w:w="920" w:type="dxa"/>
            <w:vAlign w:val="bottom"/>
            <w:vMerge w:val="restart"/>
          </w:tcPr>
          <w:p>
            <w:pPr>
              <w:spacing w:after="0" w:line="229" w:lineRule="exact"/>
              <w:rPr>
                <w:sz w:val="20"/>
                <w:szCs w:val="20"/>
                <w:color w:val="auto"/>
              </w:rPr>
            </w:pPr>
            <w:r>
              <w:rPr>
                <w:rFonts w:ascii="Arial" w:cs="Arial" w:eastAsia="Arial" w:hAnsi="Arial"/>
                <w:sz w:val="22"/>
                <w:szCs w:val="22"/>
                <w:color w:val="auto"/>
              </w:rPr>
              <w:t>Name:</w:t>
            </w: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120" w:type="dxa"/>
            <w:vAlign w:val="bottom"/>
          </w:tcPr>
          <w:p>
            <w:pPr>
              <w:ind w:left="120"/>
              <w:spacing w:after="0" w:line="174" w:lineRule="exact"/>
              <w:rPr>
                <w:sz w:val="20"/>
                <w:szCs w:val="20"/>
                <w:color w:val="auto"/>
              </w:rPr>
            </w:pPr>
            <w:r>
              <w:rPr>
                <w:rFonts w:ascii="Arial" w:cs="Arial" w:eastAsia="Arial" w:hAnsi="Arial"/>
                <w:sz w:val="19"/>
                <w:szCs w:val="19"/>
                <w:color w:val="auto"/>
              </w:rPr>
              <w:t>Sheila M. Shaffer</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1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Aqua America,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338455</wp:posOffset>
            </wp:positionV>
            <wp:extent cx="5231130" cy="514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2">
                      <a:extLst>
                        <a:ext uri="{28A0092B-C50C-407E-A947-70E740481C1C}"/>
                      </a:extLst>
                    </a:blip>
                    <a:srcRect/>
                    <a:stretch>
                      <a:fillRect/>
                    </a:stretch>
                  </pic:blipFill>
                  <pic:spPr bwMode="auto">
                    <a:xfrm>
                      <a:off x="0" y="0"/>
                      <a:ext cx="5231130" cy="5143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306" w:name="page307"/>
    <w:bookmarkEnd w:id="306"/>
    <w:p>
      <w:pPr>
        <w:jc w:val="right"/>
        <w:ind w:right="99"/>
        <w:spacing w:after="0"/>
        <w:rPr>
          <w:sz w:val="20"/>
          <w:szCs w:val="20"/>
          <w:color w:val="auto"/>
        </w:rPr>
      </w:pPr>
      <w:r>
        <w:rPr>
          <w:rFonts w:ascii="Arial" w:cs="Arial" w:eastAsia="Arial" w:hAnsi="Arial"/>
          <w:sz w:val="20"/>
          <w:szCs w:val="20"/>
          <w:b w:val="1"/>
          <w:bCs w:val="1"/>
          <w:color w:val="auto"/>
        </w:rPr>
        <w:t>Exhibit 10.11.1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OF CHANGE IN CONTROL AGREEMENTS</w:t>
      </w:r>
    </w:p>
    <w:p>
      <w:pPr>
        <w:spacing w:after="0" w:line="168" w:lineRule="exact"/>
        <w:rPr>
          <w:sz w:val="20"/>
          <w:szCs w:val="20"/>
          <w:color w:val="auto"/>
        </w:rPr>
      </w:pPr>
    </w:p>
    <w:p>
      <w:pPr>
        <w:ind w:left="100" w:right="479"/>
        <w:spacing w:after="0" w:line="232" w:lineRule="auto"/>
        <w:rPr>
          <w:sz w:val="20"/>
          <w:szCs w:val="20"/>
          <w:color w:val="auto"/>
        </w:rPr>
      </w:pPr>
      <w:r>
        <w:rPr>
          <w:rFonts w:ascii="Arial" w:cs="Arial" w:eastAsia="Arial" w:hAnsi="Arial"/>
          <w:sz w:val="20"/>
          <w:szCs w:val="20"/>
          <w:color w:val="auto"/>
        </w:rPr>
        <w:t>In accordance with Instruction 2 to Item 601 of Regulation S-K, Aqua America, Inc. (the “Company”) has omitted filing Change in Control Agreements by and between the Company and the following executive officers because the agreements are substantially identical in all material respects to the form of Change in Control Agreement filed as Exhibit 10.1 to the Company’s Quarterly Report on Form 10-Q for the fiscal quarter ended September 30, 2015:</w:t>
      </w:r>
    </w:p>
    <w:p>
      <w:pPr>
        <w:spacing w:after="0" w:line="158" w:lineRule="exact"/>
        <w:rPr>
          <w:sz w:val="20"/>
          <w:szCs w:val="20"/>
          <w:color w:val="auto"/>
        </w:rPr>
      </w:pPr>
    </w:p>
    <w:p>
      <w:pPr>
        <w:ind w:left="760" w:hanging="331"/>
        <w:spacing w:after="0"/>
        <w:tabs>
          <w:tab w:leader="none" w:pos="7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Daniel J. Schuller</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Christopher P. Luning</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Richard S. Fox</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Matthew R.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375285</wp:posOffset>
            </wp:positionV>
            <wp:extent cx="5642610" cy="514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7" w:name="page308"/>
    <w:bookmarkEnd w:id="307"/>
    <w:p>
      <w:pPr>
        <w:jc w:val="right"/>
        <w:ind w:right="99"/>
        <w:spacing w:after="0"/>
        <w:rPr>
          <w:sz w:val="20"/>
          <w:szCs w:val="20"/>
          <w:color w:val="auto"/>
        </w:rPr>
      </w:pPr>
      <w:r>
        <w:rPr>
          <w:rFonts w:ascii="Arial" w:cs="Arial" w:eastAsia="Arial" w:hAnsi="Arial"/>
          <w:sz w:val="22"/>
          <w:szCs w:val="22"/>
          <w:b w:val="1"/>
          <w:bCs w:val="1"/>
          <w:color w:val="auto"/>
        </w:rPr>
        <w:t>Exhibit 10.2.2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CREDIT AGREEMENT</w:t>
      </w:r>
    </w:p>
    <w:p>
      <w:pPr>
        <w:spacing w:after="0" w:line="212" w:lineRule="exact"/>
        <w:rPr>
          <w:sz w:val="20"/>
          <w:szCs w:val="20"/>
          <w:color w:val="auto"/>
        </w:rPr>
      </w:pPr>
    </w:p>
    <w:p>
      <w:pPr>
        <w:jc w:val="both"/>
        <w:ind w:left="100" w:right="99" w:firstLine="1296"/>
        <w:spacing w:after="0" w:line="236" w:lineRule="auto"/>
        <w:rPr>
          <w:sz w:val="20"/>
          <w:szCs w:val="20"/>
          <w:color w:val="auto"/>
        </w:rPr>
      </w:pPr>
      <w:r>
        <w:rPr>
          <w:rFonts w:ascii="Arial" w:cs="Arial" w:eastAsia="Arial" w:hAnsi="Arial"/>
          <w:sz w:val="22"/>
          <w:szCs w:val="22"/>
          <w:color w:val="auto"/>
        </w:rPr>
        <w:t>THIS SECOND AMENDMENT TO CREDIT AGREEMENT is made as of this 9</w:t>
      </w:r>
      <w:r>
        <w:rPr>
          <w:rFonts w:ascii="Arial" w:cs="Arial" w:eastAsia="Arial" w:hAnsi="Arial"/>
          <w:sz w:val="10"/>
          <w:szCs w:val="10"/>
          <w:color w:val="auto"/>
        </w:rPr>
        <w:t>th</w:t>
      </w:r>
      <w:r>
        <w:rPr>
          <w:rFonts w:ascii="Arial" w:cs="Arial" w:eastAsia="Arial" w:hAnsi="Arial"/>
          <w:sz w:val="22"/>
          <w:szCs w:val="22"/>
          <w:color w:val="auto"/>
        </w:rPr>
        <w:t xml:space="preserve"> day of November, 2018, by and among AQUA PENNSYLVANIA, INC., a Pennsylvania corporation (“Borrower”), the several banks which are parties to this Agreement (each a “Bank” and collectively, the “Banks”) and PNC BANK, NATIONAL ASSOCIATION in its capacity as agent for the Banks (in such capacity, the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BACKGROUND</w:t>
      </w:r>
    </w:p>
    <w:p>
      <w:pPr>
        <w:spacing w:after="0" w:line="206" w:lineRule="exact"/>
        <w:rPr>
          <w:sz w:val="20"/>
          <w:szCs w:val="20"/>
          <w:color w:val="auto"/>
        </w:rPr>
      </w:pPr>
    </w:p>
    <w:p>
      <w:pPr>
        <w:jc w:val="both"/>
        <w:ind w:left="100" w:right="99" w:firstLine="653"/>
        <w:spacing w:after="0" w:line="235" w:lineRule="auto"/>
        <w:tabs>
          <w:tab w:leader="none" w:pos="1485"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Borrower, the Agent and the Banks are parties to an Amended and Restated Credit Agreement, dated as of November 17, 2016 (as heretofore amended, supplemented, modified, or restated, the “Credit Agreement”), pursuant to which the Banks have made available to the Borrower a revolving credit facility in an aggregate amount of $100,000,000 (the “Facility”). The loans under the Facility are evidenced by the Borrower’s Notes to the Banks in the aggregate principal amount of $100,000,000.</w:t>
      </w:r>
    </w:p>
    <w:p>
      <w:pPr>
        <w:spacing w:after="0" w:line="188" w:lineRule="exact"/>
        <w:rPr>
          <w:rFonts w:ascii="Arial" w:cs="Arial" w:eastAsia="Arial" w:hAnsi="Arial"/>
          <w:sz w:val="22"/>
          <w:szCs w:val="22"/>
          <w:color w:val="auto"/>
        </w:rPr>
      </w:pPr>
    </w:p>
    <w:p>
      <w:pPr>
        <w:jc w:val="both"/>
        <w:ind w:left="100" w:right="99" w:firstLine="653"/>
        <w:spacing w:after="0"/>
        <w:tabs>
          <w:tab w:leader="none" w:pos="1446"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Borrower, the Agent and the Banks desire to extend the Termination Date of the Facility and modify certain other provisions of the Credit Agreement, all on the terms and subject to the conditions herein set forth.</w:t>
      </w:r>
    </w:p>
    <w:p>
      <w:pPr>
        <w:spacing w:after="0" w:line="186"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NOW THEREFORE, the parties hereto, intending to be legally bound hereby, agree as</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left="100" w:right="99" w:firstLine="1301"/>
        <w:spacing w:after="0" w:line="251" w:lineRule="auto"/>
        <w:tabs>
          <w:tab w:leader="none" w:pos="2085" w:val="left"/>
        </w:tabs>
        <w:numPr>
          <w:ilvl w:val="0"/>
          <w:numId w:val="257"/>
        </w:numPr>
        <w:rPr>
          <w:rFonts w:ascii="Arial" w:cs="Arial" w:eastAsia="Arial" w:hAnsi="Arial"/>
          <w:sz w:val="22"/>
          <w:szCs w:val="22"/>
          <w:color w:val="010000"/>
        </w:rPr>
      </w:pP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herein and not otherwise defined herein shall have the meanings given to such terms in the Credit Agreement.</w:t>
      </w:r>
    </w:p>
    <w:p>
      <w:pPr>
        <w:spacing w:after="0" w:line="173" w:lineRule="exact"/>
        <w:rPr>
          <w:rFonts w:ascii="Arial" w:cs="Arial" w:eastAsia="Arial" w:hAnsi="Arial"/>
          <w:sz w:val="22"/>
          <w:szCs w:val="22"/>
          <w:color w:val="010000"/>
        </w:rPr>
      </w:pPr>
    </w:p>
    <w:p>
      <w:pPr>
        <w:ind w:left="100" w:right="99" w:firstLine="1301"/>
        <w:spacing w:after="0" w:line="251" w:lineRule="auto"/>
        <w:tabs>
          <w:tab w:leader="none" w:pos="2112" w:val="left"/>
        </w:tabs>
        <w:numPr>
          <w:ilvl w:val="0"/>
          <w:numId w:val="257"/>
        </w:numPr>
        <w:rPr>
          <w:rFonts w:ascii="Arial" w:cs="Arial" w:eastAsia="Arial" w:hAnsi="Arial"/>
          <w:sz w:val="22"/>
          <w:szCs w:val="22"/>
          <w:color w:val="010000"/>
        </w:rPr>
      </w:pPr>
      <w:r>
        <w:rPr>
          <w:rFonts w:ascii="Arial" w:cs="Arial" w:eastAsia="Arial" w:hAnsi="Arial"/>
          <w:sz w:val="22"/>
          <w:szCs w:val="22"/>
          <w:u w:val="single" w:color="auto"/>
          <w:color w:val="auto"/>
        </w:rPr>
        <w:t>Amendment to Credit Agreement</w:t>
      </w:r>
      <w:r>
        <w:rPr>
          <w:rFonts w:ascii="Arial" w:cs="Arial" w:eastAsia="Arial" w:hAnsi="Arial"/>
          <w:sz w:val="22"/>
          <w:szCs w:val="22"/>
          <w:color w:val="auto"/>
        </w:rPr>
        <w:t>. Effective on November 14, 2018 (the “Effective Date”), the Credit Agreement is hereby amended as follows:</w:t>
      </w:r>
    </w:p>
    <w:p>
      <w:pPr>
        <w:spacing w:after="0" w:line="173" w:lineRule="exact"/>
        <w:rPr>
          <w:rFonts w:ascii="Arial" w:cs="Arial" w:eastAsia="Arial" w:hAnsi="Arial"/>
          <w:sz w:val="22"/>
          <w:szCs w:val="22"/>
          <w:color w:val="010000"/>
        </w:rPr>
      </w:pPr>
    </w:p>
    <w:p>
      <w:pPr>
        <w:ind w:left="2800" w:hanging="751"/>
        <w:spacing w:after="0"/>
        <w:tabs>
          <w:tab w:leader="none" w:pos="280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The following definitions shall be inserted in Section 1.1 in the</w:t>
      </w:r>
    </w:p>
    <w:p>
      <w:pPr>
        <w:spacing w:after="0" w:line="8" w:lineRule="exact"/>
        <w:rPr>
          <w:rFonts w:ascii="Arial" w:cs="Arial" w:eastAsia="Arial" w:hAnsi="Arial"/>
          <w:sz w:val="22"/>
          <w:szCs w:val="22"/>
          <w:color w:val="auto"/>
        </w:rPr>
      </w:pPr>
    </w:p>
    <w:p>
      <w:pPr>
        <w:ind w:left="100"/>
        <w:spacing w:after="0"/>
        <w:rPr>
          <w:rFonts w:ascii="Arial" w:cs="Arial" w:eastAsia="Arial" w:hAnsi="Arial"/>
          <w:sz w:val="22"/>
          <w:szCs w:val="22"/>
          <w:color w:val="auto"/>
        </w:rPr>
      </w:pPr>
      <w:r>
        <w:rPr>
          <w:rFonts w:ascii="Arial" w:cs="Arial" w:eastAsia="Arial" w:hAnsi="Arial"/>
          <w:sz w:val="22"/>
          <w:szCs w:val="22"/>
          <w:color w:val="auto"/>
        </w:rPr>
        <w:t>appropriate alphabetical order:</w:t>
      </w:r>
    </w:p>
    <w:p>
      <w:pPr>
        <w:spacing w:after="0" w:line="188" w:lineRule="exact"/>
        <w:rPr>
          <w:sz w:val="20"/>
          <w:szCs w:val="20"/>
          <w:color w:val="auto"/>
        </w:rPr>
      </w:pPr>
    </w:p>
    <w:p>
      <w:pPr>
        <w:jc w:val="both"/>
        <w:ind w:left="2040" w:right="9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for the Borrower, each of the following: (i) each individual, if any, who, directly or indirectly, owns 25% or more of the Borrower’s Capital Stock; and (ii) a single individual with significant responsibility to control, manage, or direct the Borrower.</w:t>
      </w:r>
    </w:p>
    <w:p>
      <w:pPr>
        <w:spacing w:after="0" w:line="185"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Regulations</w:t>
      </w:r>
      <w:r>
        <w:rPr>
          <w:rFonts w:ascii="Arial" w:cs="Arial" w:eastAsia="Arial" w:hAnsi="Arial"/>
          <w:sz w:val="22"/>
          <w:szCs w:val="22"/>
          <w:color w:val="auto"/>
        </w:rPr>
        <w:t>”: means 31 C.F.R. § 1010.230.</w:t>
      </w:r>
    </w:p>
    <w:p>
      <w:pPr>
        <w:spacing w:after="0" w:line="206" w:lineRule="exact"/>
        <w:rPr>
          <w:sz w:val="20"/>
          <w:szCs w:val="20"/>
          <w:color w:val="auto"/>
        </w:rPr>
      </w:pPr>
    </w:p>
    <w:p>
      <w:pPr>
        <w:jc w:val="both"/>
        <w:ind w:left="2040" w:right="9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 of Beneficial Ownership</w:t>
      </w:r>
      <w:r>
        <w:rPr>
          <w:rFonts w:ascii="Arial" w:cs="Arial" w:eastAsia="Arial" w:hAnsi="Arial"/>
          <w:sz w:val="22"/>
          <w:szCs w:val="22"/>
          <w:color w:val="auto"/>
        </w:rPr>
        <w:t>”: for the Borrower, a certificate in form and substance acceptable to the Agent (as amended or modified by the Agent from time to time in its sole discretion), certifying, among other things, the Beneficial Owner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118110</wp:posOffset>
            </wp:positionV>
            <wp:extent cx="5642610" cy="514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08" w:name="page309"/>
    <w:bookmarkEnd w:id="308"/>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Euro-Rate Termination Date</w:t>
      </w:r>
      <w:r>
        <w:rPr>
          <w:rFonts w:ascii="Arial" w:cs="Arial" w:eastAsia="Arial" w:hAnsi="Arial"/>
          <w:sz w:val="22"/>
          <w:szCs w:val="22"/>
          <w:color w:val="auto"/>
        </w:rPr>
        <w:t>”: as defined in subsection 2.10(d).</w:t>
      </w:r>
    </w:p>
    <w:p>
      <w:pPr>
        <w:spacing w:after="0" w:line="207" w:lineRule="exact"/>
        <w:rPr>
          <w:sz w:val="20"/>
          <w:szCs w:val="20"/>
          <w:color w:val="auto"/>
        </w:rPr>
      </w:pPr>
    </w:p>
    <w:p>
      <w:pPr>
        <w:jc w:val="both"/>
        <w:ind w:left="2040" w:right="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shall mean the Foreign Corrupt Practices Act of 1977, as amended, and the rules and regulations thereunder.</w:t>
      </w:r>
    </w:p>
    <w:p>
      <w:pPr>
        <w:spacing w:after="0" w:line="173" w:lineRule="exact"/>
        <w:rPr>
          <w:sz w:val="20"/>
          <w:szCs w:val="20"/>
          <w:color w:val="auto"/>
        </w:rPr>
      </w:pPr>
    </w:p>
    <w:p>
      <w:pPr>
        <w:jc w:val="both"/>
        <w:ind w:left="2040" w:right="9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for any day, the rate comprised of both overnight federal funds and overnight Eurocurrency borrowings by U.S.-managed banking offices of depository institutions, as such composite rate shall be determined by the Federal Reserve Bank of New York (“NYFRB”), as set forth on its public website from time to time, and as published on the next succeeding Business Day as the overnight bank funding rate by the NYFRB (or by such other recognized electronic source (such as Bloomberg) selected by the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exists, a comparable replacement rate determined by the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200" w:lineRule="exact"/>
        <w:rPr>
          <w:sz w:val="20"/>
          <w:szCs w:val="20"/>
          <w:color w:val="auto"/>
        </w:rPr>
      </w:pPr>
    </w:p>
    <w:p>
      <w:pPr>
        <w:spacing w:after="0" w:line="216" w:lineRule="exact"/>
        <w:rPr>
          <w:sz w:val="20"/>
          <w:szCs w:val="20"/>
          <w:color w:val="auto"/>
        </w:rPr>
      </w:pPr>
    </w:p>
    <w:p>
      <w:pPr>
        <w:ind w:left="100" w:right="99" w:firstLine="1949"/>
        <w:spacing w:after="0" w:line="251" w:lineRule="auto"/>
        <w:tabs>
          <w:tab w:leader="none" w:pos="2769"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The following definitions in Section 1.1 of the Credit Agreement are hereby amended and restated to read in full as follows:</w:t>
      </w:r>
    </w:p>
    <w:p>
      <w:pPr>
        <w:spacing w:after="0" w:line="173" w:lineRule="exact"/>
        <w:rPr>
          <w:sz w:val="20"/>
          <w:szCs w:val="20"/>
          <w:color w:val="auto"/>
        </w:rPr>
      </w:pPr>
    </w:p>
    <w:p>
      <w:pPr>
        <w:jc w:val="both"/>
        <w:ind w:left="2040" w:right="99"/>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Anti-Terrorism Laws</w:t>
      </w:r>
      <w:r>
        <w:rPr>
          <w:rFonts w:ascii="Arial" w:cs="Arial" w:eastAsia="Arial" w:hAnsi="Arial"/>
          <w:sz w:val="21"/>
          <w:szCs w:val="21"/>
          <w:color w:val="auto"/>
        </w:rPr>
        <w:t>”: any Laws relating to terrorism, trade sanctions programs and embargoes, import/export licensing, money laundering, bribery or anti-corruption (including the FCPA) and any regulation, order, or directive promulgated, issued or enforced pursuant to such Laws (including, without limitation, any of the foregoing promulgated by the U.S. Department of the Treasury's Office of Foreign Assets Control, the U.S. Department of State, the United Nations Security Council, the European Union and member states, Her Majesty's Treasury of the United Kingdom, the Hong Kong Monetary Authority, or other relevant sanctions authority), all as amended, supplemented or replaced from time to time.</w:t>
      </w:r>
    </w:p>
    <w:p>
      <w:pPr>
        <w:spacing w:after="0" w:line="182" w:lineRule="exact"/>
        <w:rPr>
          <w:sz w:val="20"/>
          <w:szCs w:val="20"/>
          <w:color w:val="auto"/>
        </w:rPr>
      </w:pPr>
    </w:p>
    <w:p>
      <w:pPr>
        <w:jc w:val="both"/>
        <w:ind w:left="2040" w:right="9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the earlier of (a) November 12, 2019 or any later date to which the Termination Date shall have been extended pursuant to subsection 2.8(d) hereof and (b) the date the Commitments are terminated as provided herein.</w:t>
      </w:r>
    </w:p>
    <w:p>
      <w:pPr>
        <w:spacing w:after="0" w:line="185" w:lineRule="exact"/>
        <w:rPr>
          <w:sz w:val="20"/>
          <w:szCs w:val="20"/>
          <w:color w:val="auto"/>
        </w:rPr>
      </w:pPr>
    </w:p>
    <w:p>
      <w:pPr>
        <w:ind w:left="2760" w:hanging="711"/>
        <w:spacing w:after="0"/>
        <w:tabs>
          <w:tab w:leader="none" w:pos="276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Section 2.10 of the Credit Agreement is hereby amended and restated</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to read in full as follows: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09" w:name="page310"/>
    <w:bookmarkEnd w:id="309"/>
    <w:p>
      <w:pPr>
        <w:ind w:left="2040" w:right="99"/>
        <w:spacing w:after="0" w:line="251"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Eurodollar Rate Unascertainable; Illegality; Increased Costs;</w:t>
      </w:r>
      <w:r>
        <w:rPr>
          <w:rFonts w:ascii="Arial" w:cs="Arial" w:eastAsia="Arial" w:hAnsi="Arial"/>
          <w:sz w:val="22"/>
          <w:szCs w:val="22"/>
          <w:color w:val="auto"/>
        </w:rPr>
        <w:t xml:space="preserve"> </w:t>
      </w:r>
      <w:r>
        <w:rPr>
          <w:rFonts w:ascii="Arial" w:cs="Arial" w:eastAsia="Arial" w:hAnsi="Arial"/>
          <w:sz w:val="22"/>
          <w:szCs w:val="22"/>
          <w:u w:val="single" w:color="auto"/>
          <w:color w:val="auto"/>
        </w:rPr>
        <w:t>Deposits Not Available; Successor Eurodollar Rate</w:t>
      </w:r>
      <w:r>
        <w:rPr>
          <w:rFonts w:ascii="Arial" w:cs="Arial" w:eastAsia="Arial" w:hAnsi="Arial"/>
          <w:sz w:val="22"/>
          <w:szCs w:val="22"/>
          <w:color w:val="auto"/>
        </w:rPr>
        <w:t>.</w:t>
      </w:r>
    </w:p>
    <w:p>
      <w:pPr>
        <w:spacing w:after="0" w:line="173" w:lineRule="exact"/>
        <w:rPr>
          <w:sz w:val="20"/>
          <w:szCs w:val="20"/>
          <w:color w:val="auto"/>
        </w:rPr>
      </w:pPr>
    </w:p>
    <w:p>
      <w:pPr>
        <w:jc w:val="both"/>
        <w:ind w:left="2040" w:right="99" w:firstLine="658"/>
        <w:spacing w:after="0"/>
        <w:tabs>
          <w:tab w:leader="none" w:pos="3374"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Agent shall have the rights specified in subsection 2.10(c) if on any date on which a Eurodollar Rate would otherwise be determined, the Agent shall have determined that:</w:t>
      </w:r>
    </w:p>
    <w:p>
      <w:pPr>
        <w:spacing w:after="0" w:line="186" w:lineRule="exact"/>
        <w:rPr>
          <w:rFonts w:ascii="Arial" w:cs="Arial" w:eastAsia="Arial" w:hAnsi="Arial"/>
          <w:sz w:val="22"/>
          <w:szCs w:val="22"/>
          <w:color w:val="auto"/>
        </w:rPr>
      </w:pPr>
    </w:p>
    <w:p>
      <w:pPr>
        <w:ind w:left="2700" w:right="99" w:firstLine="646"/>
        <w:spacing w:after="0" w:line="251" w:lineRule="auto"/>
        <w:tabs>
          <w:tab w:leader="none" w:pos="3998" w:val="left"/>
        </w:tabs>
        <w:numPr>
          <w:ilvl w:val="1"/>
          <w:numId w:val="260"/>
        </w:numPr>
        <w:rPr>
          <w:rFonts w:ascii="Arial" w:cs="Arial" w:eastAsia="Arial" w:hAnsi="Arial"/>
          <w:sz w:val="22"/>
          <w:szCs w:val="22"/>
          <w:color w:val="auto"/>
        </w:rPr>
      </w:pPr>
      <w:r>
        <w:rPr>
          <w:rFonts w:ascii="Arial" w:cs="Arial" w:eastAsia="Arial" w:hAnsi="Arial"/>
          <w:sz w:val="22"/>
          <w:szCs w:val="22"/>
          <w:color w:val="auto"/>
        </w:rPr>
        <w:t>adequate and reasonable means do not exist for ascertaining such Eurodollar Rate, or</w:t>
      </w:r>
    </w:p>
    <w:p>
      <w:pPr>
        <w:spacing w:after="0" w:line="173" w:lineRule="exact"/>
        <w:rPr>
          <w:rFonts w:ascii="Arial" w:cs="Arial" w:eastAsia="Arial" w:hAnsi="Arial"/>
          <w:sz w:val="22"/>
          <w:szCs w:val="22"/>
          <w:color w:val="auto"/>
        </w:rPr>
      </w:pPr>
    </w:p>
    <w:p>
      <w:pPr>
        <w:jc w:val="both"/>
        <w:ind w:left="2700" w:right="99" w:firstLine="646"/>
        <w:spacing w:after="0" w:line="252" w:lineRule="auto"/>
        <w:tabs>
          <w:tab w:leader="none" w:pos="3990" w:val="left"/>
        </w:tabs>
        <w:numPr>
          <w:ilvl w:val="1"/>
          <w:numId w:val="260"/>
        </w:numPr>
        <w:rPr>
          <w:rFonts w:ascii="Arial" w:cs="Arial" w:eastAsia="Arial" w:hAnsi="Arial"/>
          <w:sz w:val="21"/>
          <w:szCs w:val="21"/>
          <w:color w:val="auto"/>
        </w:rPr>
      </w:pPr>
      <w:r>
        <w:rPr>
          <w:rFonts w:ascii="Arial" w:cs="Arial" w:eastAsia="Arial" w:hAnsi="Arial"/>
          <w:sz w:val="21"/>
          <w:szCs w:val="21"/>
          <w:color w:val="auto"/>
        </w:rPr>
        <w:t>a contingency has occurred which materially and adversely affects the secondary market for negotiable certificates of deposit maintained by dealers of recognized standing relating to the London Interbank Market relating to the Eurodollar Rate.</w:t>
      </w:r>
    </w:p>
    <w:p>
      <w:pPr>
        <w:spacing w:after="0" w:line="174" w:lineRule="exact"/>
        <w:rPr>
          <w:rFonts w:ascii="Arial" w:cs="Arial" w:eastAsia="Arial" w:hAnsi="Arial"/>
          <w:sz w:val="21"/>
          <w:szCs w:val="21"/>
          <w:color w:val="auto"/>
        </w:rPr>
      </w:pPr>
    </w:p>
    <w:p>
      <w:pPr>
        <w:ind w:left="2040" w:right="99" w:firstLine="658"/>
        <w:spacing w:after="0" w:line="251" w:lineRule="auto"/>
        <w:tabs>
          <w:tab w:leader="none" w:pos="3386"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Agent shall have the rights specified in subsection 2.10(c) if at any time any Bank shall have determined that:</w:t>
      </w:r>
    </w:p>
    <w:p>
      <w:pPr>
        <w:spacing w:after="0" w:line="173" w:lineRule="exact"/>
        <w:rPr>
          <w:rFonts w:ascii="Arial" w:cs="Arial" w:eastAsia="Arial" w:hAnsi="Arial"/>
          <w:sz w:val="22"/>
          <w:szCs w:val="22"/>
          <w:color w:val="auto"/>
        </w:rPr>
      </w:pPr>
    </w:p>
    <w:p>
      <w:pPr>
        <w:jc w:val="both"/>
        <w:ind w:left="2700" w:right="99" w:firstLine="646"/>
        <w:spacing w:after="0" w:line="279" w:lineRule="auto"/>
        <w:tabs>
          <w:tab w:leader="none" w:pos="3998" w:val="left"/>
        </w:tabs>
        <w:numPr>
          <w:ilvl w:val="1"/>
          <w:numId w:val="260"/>
        </w:numPr>
        <w:rPr>
          <w:rFonts w:ascii="Arial" w:cs="Arial" w:eastAsia="Arial" w:hAnsi="Arial"/>
          <w:sz w:val="19"/>
          <w:szCs w:val="19"/>
          <w:color w:val="auto"/>
        </w:rPr>
      </w:pPr>
      <w:r>
        <w:rPr>
          <w:rFonts w:ascii="Arial" w:cs="Arial" w:eastAsia="Arial" w:hAnsi="Arial"/>
          <w:sz w:val="19"/>
          <w:szCs w:val="19"/>
          <w:color w:val="auto"/>
        </w:rPr>
        <w:t>the making, maintenance or funding of any Loan to which a Eurodollar Rate applies has been made impracticable or unlawful by compliance by such Bank in good faith with any Law or any interpretation or application thereof by any Governmental Authority or with any request or directive of any such Governmental Authority (whether or not having the force of Law), or</w:t>
      </w:r>
    </w:p>
    <w:p>
      <w:pPr>
        <w:spacing w:after="0" w:line="150" w:lineRule="exact"/>
        <w:rPr>
          <w:rFonts w:ascii="Arial" w:cs="Arial" w:eastAsia="Arial" w:hAnsi="Arial"/>
          <w:sz w:val="19"/>
          <w:szCs w:val="19"/>
          <w:color w:val="auto"/>
        </w:rPr>
      </w:pPr>
    </w:p>
    <w:p>
      <w:pPr>
        <w:jc w:val="both"/>
        <w:ind w:left="2700" w:right="99" w:firstLine="646"/>
        <w:spacing w:after="0"/>
        <w:tabs>
          <w:tab w:leader="none" w:pos="3990" w:val="left"/>
        </w:tabs>
        <w:numPr>
          <w:ilvl w:val="1"/>
          <w:numId w:val="260"/>
        </w:numPr>
        <w:rPr>
          <w:rFonts w:ascii="Arial" w:cs="Arial" w:eastAsia="Arial" w:hAnsi="Arial"/>
          <w:sz w:val="22"/>
          <w:szCs w:val="22"/>
          <w:color w:val="auto"/>
        </w:rPr>
      </w:pPr>
      <w:r>
        <w:rPr>
          <w:rFonts w:ascii="Arial" w:cs="Arial" w:eastAsia="Arial" w:hAnsi="Arial"/>
          <w:sz w:val="22"/>
          <w:szCs w:val="22"/>
          <w:color w:val="auto"/>
        </w:rPr>
        <w:t>such Eurodollar Rate will not adequately and fairly reflect the cost to such Bank of the establishment or maintenance of any such Loan, or</w:t>
      </w:r>
    </w:p>
    <w:p>
      <w:pPr>
        <w:spacing w:after="0" w:line="186" w:lineRule="exact"/>
        <w:rPr>
          <w:rFonts w:ascii="Arial" w:cs="Arial" w:eastAsia="Arial" w:hAnsi="Arial"/>
          <w:sz w:val="22"/>
          <w:szCs w:val="22"/>
          <w:color w:val="auto"/>
        </w:rPr>
      </w:pPr>
    </w:p>
    <w:p>
      <w:pPr>
        <w:jc w:val="both"/>
        <w:ind w:left="2700" w:right="99" w:firstLine="646"/>
        <w:spacing w:after="0" w:line="238" w:lineRule="auto"/>
        <w:tabs>
          <w:tab w:leader="none" w:pos="3996" w:val="left"/>
        </w:tabs>
        <w:numPr>
          <w:ilvl w:val="1"/>
          <w:numId w:val="260"/>
        </w:numPr>
        <w:rPr>
          <w:rFonts w:ascii="Arial" w:cs="Arial" w:eastAsia="Arial" w:hAnsi="Arial"/>
          <w:sz w:val="22"/>
          <w:szCs w:val="22"/>
          <w:color w:val="auto"/>
        </w:rPr>
      </w:pPr>
      <w:r>
        <w:rPr>
          <w:rFonts w:ascii="Arial" w:cs="Arial" w:eastAsia="Arial" w:hAnsi="Arial"/>
          <w:sz w:val="22"/>
          <w:szCs w:val="22"/>
          <w:color w:val="auto"/>
        </w:rPr>
        <w:t>after making all reasonable efforts, deposits of the relevant amount for the relevant Interest Period for a Loan to which a Eurodollar Rate applies are not available to such Bank in the London Interbank Market.</w:t>
      </w:r>
    </w:p>
    <w:p>
      <w:pPr>
        <w:spacing w:after="0" w:line="185" w:lineRule="exact"/>
        <w:rPr>
          <w:rFonts w:ascii="Arial" w:cs="Arial" w:eastAsia="Arial" w:hAnsi="Arial"/>
          <w:sz w:val="22"/>
          <w:szCs w:val="22"/>
          <w:color w:val="auto"/>
        </w:rPr>
      </w:pPr>
    </w:p>
    <w:p>
      <w:pPr>
        <w:jc w:val="both"/>
        <w:ind w:left="2040" w:right="99" w:firstLine="658"/>
        <w:spacing w:after="0" w:line="271" w:lineRule="auto"/>
        <w:tabs>
          <w:tab w:leader="none" w:pos="3374" w:val="left"/>
        </w:tabs>
        <w:numPr>
          <w:ilvl w:val="0"/>
          <w:numId w:val="260"/>
        </w:numPr>
        <w:rPr>
          <w:rFonts w:ascii="Arial" w:cs="Arial" w:eastAsia="Arial" w:hAnsi="Arial"/>
          <w:sz w:val="19"/>
          <w:szCs w:val="19"/>
          <w:color w:val="auto"/>
        </w:rPr>
      </w:pPr>
      <w:r>
        <w:rPr>
          <w:rFonts w:ascii="Arial" w:cs="Arial" w:eastAsia="Arial" w:hAnsi="Arial"/>
          <w:sz w:val="19"/>
          <w:szCs w:val="19"/>
          <w:color w:val="auto"/>
        </w:rPr>
        <w:t>In the case of any event specified in subsection 2.10(a) above, the Agent shall promptly so notify the Banks and the Borrowers thereof, and in the case of an event specified in subsection 2.10(b) above, such Bank shall promptly so notify the Agent and endorse a certificate to such notice as to the specific circumstances of such notice, and the Agent shall promptly send copies of such notice and certificate to the other Banks and the Borrower. Upon such date as shall be specified in such notice (which shall not be earlier than the date such notice is given), the obligation of (A) the Banks, in the case of such notice given by the Agent, or (B) such Bank, in the case of such notice given by such Bank, to allow the Borrower to select, convert to or renew a Eurodollar Rate shall be suspended until the Agent shall have later notified the Borrower, or such Bank shall have later notified the Agent, of the Agent's or such Bank's, as the case may be, determination that the circumstances giving rise to such previous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0" w:name="page311"/>
    <w:bookmarkEnd w:id="310"/>
    <w:p>
      <w:pPr>
        <w:jc w:val="both"/>
        <w:ind w:left="2040" w:right="99"/>
        <w:spacing w:after="0" w:line="269" w:lineRule="auto"/>
        <w:rPr>
          <w:sz w:val="20"/>
          <w:szCs w:val="20"/>
          <w:color w:val="auto"/>
        </w:rPr>
      </w:pPr>
      <w:r>
        <w:rPr>
          <w:rFonts w:ascii="Arial" w:cs="Arial" w:eastAsia="Arial" w:hAnsi="Arial"/>
          <w:sz w:val="19"/>
          <w:szCs w:val="19"/>
          <w:color w:val="auto"/>
        </w:rPr>
        <w:t>determination no longer exist. If at any time the Agent makes a determination under subsection 2.10(a) and the Borrower has previously notified the Agent of its selection of, conversion to or renewal of a Eurodollar Rate and such interest rate has not yet gone into effect, such notification shall be deemed to provide for selection of, conversion to or renewal of a Base Rate Loan to the extent permitted hereunder. If any Bank notifies the Agent of a determination under subsection 2.10(b), the Borrower shall, subject to the Borrowers' indemnification obligations under subsection 2.13 as to any Loan of the Bank to which a Eurodollar Rate applies, on the date specified in such notice either</w:t>
      </w:r>
    </w:p>
    <w:p>
      <w:pPr>
        <w:spacing w:after="0" w:line="2" w:lineRule="exact"/>
        <w:rPr>
          <w:sz w:val="20"/>
          <w:szCs w:val="20"/>
          <w:color w:val="auto"/>
        </w:rPr>
      </w:pPr>
    </w:p>
    <w:p>
      <w:pPr>
        <w:jc w:val="both"/>
        <w:ind w:left="2040" w:right="99" w:firstLine="9"/>
        <w:spacing w:after="0" w:line="233" w:lineRule="auto"/>
        <w:tabs>
          <w:tab w:leader="none" w:pos="2307" w:val="left"/>
        </w:tabs>
        <w:numPr>
          <w:ilvl w:val="0"/>
          <w:numId w:val="261"/>
        </w:numPr>
        <w:rPr>
          <w:rFonts w:ascii="Arial" w:cs="Arial" w:eastAsia="Arial" w:hAnsi="Arial"/>
          <w:sz w:val="22"/>
          <w:szCs w:val="22"/>
          <w:color w:val="auto"/>
        </w:rPr>
      </w:pPr>
      <w:r>
        <w:rPr>
          <w:rFonts w:ascii="Arial" w:cs="Arial" w:eastAsia="Arial" w:hAnsi="Arial"/>
          <w:sz w:val="22"/>
          <w:szCs w:val="22"/>
          <w:color w:val="auto"/>
        </w:rPr>
        <w:t>as applicable, convert such Loan to the Base Rate, or (ii) prepay such Loan in accordance with Section 2.9. Absent due notice from the Borrower of conversion or prepayment, such Loan shall automatically be converted to the Base Rate upon such specified date.</w:t>
      </w:r>
    </w:p>
    <w:p>
      <w:pPr>
        <w:spacing w:after="0" w:line="188" w:lineRule="exact"/>
        <w:rPr>
          <w:rFonts w:ascii="Arial" w:cs="Arial" w:eastAsia="Arial" w:hAnsi="Arial"/>
          <w:sz w:val="22"/>
          <w:szCs w:val="22"/>
          <w:color w:val="auto"/>
        </w:rPr>
      </w:pPr>
    </w:p>
    <w:p>
      <w:pPr>
        <w:jc w:val="both"/>
        <w:ind w:left="2040" w:right="99" w:firstLine="658"/>
        <w:spacing w:after="0" w:line="271" w:lineRule="auto"/>
        <w:tabs>
          <w:tab w:leader="none" w:pos="3386" w:val="left"/>
        </w:tabs>
        <w:numPr>
          <w:ilvl w:val="1"/>
          <w:numId w:val="261"/>
        </w:numPr>
        <w:rPr>
          <w:rFonts w:ascii="Arial" w:cs="Arial" w:eastAsia="Arial" w:hAnsi="Arial"/>
          <w:sz w:val="19"/>
          <w:szCs w:val="19"/>
          <w:color w:val="auto"/>
        </w:rPr>
      </w:pPr>
      <w:r>
        <w:rPr>
          <w:rFonts w:ascii="Arial" w:cs="Arial" w:eastAsia="Arial" w:hAnsi="Arial"/>
          <w:sz w:val="19"/>
          <w:szCs w:val="19"/>
          <w:color w:val="auto"/>
        </w:rPr>
        <w:t>(i) If the Agent determines (which determination shall be final and conclusive, absent manifest error) that either (A) (I) the circumstances set forth in subsection 2.10(a) have arisen and are unlikely to be temporary, or (II) the circumstances set forth in subsection 2.10(a) have not arisen but the applicable supervisor or administrator (if any) of the Eurodollar Rate or a Governmental Authority having jurisdiction over the Agent has made a public statement identifying the specific date after which the Eurodollar Rate shall no longer be used for determining interest rates for loans (either such date, a “Euro-Rate Termination Date”), or (B) a rate other than the Eurodollar Rate has become a widely recognized benchmark rate for newly originated loans in Dollars in the U.S. market, then the Agent may (in consultation with the Borrower) choose a replacement index for the Eurodollar Rate and make adjustments to applicable margins and related amendments to this Agreement as referred to below such that, to the extent practicable, the all-in interest rate based on the replacement index will be substantially equivalent to the all-in Eurodollar Rate-based interest rate in effect prior to its replacement.</w:t>
      </w:r>
    </w:p>
    <w:p>
      <w:pPr>
        <w:spacing w:after="0" w:line="158" w:lineRule="exact"/>
        <w:rPr>
          <w:rFonts w:ascii="Arial" w:cs="Arial" w:eastAsia="Arial" w:hAnsi="Arial"/>
          <w:sz w:val="19"/>
          <w:szCs w:val="19"/>
          <w:color w:val="auto"/>
        </w:rPr>
      </w:pPr>
    </w:p>
    <w:p>
      <w:pPr>
        <w:jc w:val="both"/>
        <w:ind w:left="2700" w:right="99" w:firstLine="646"/>
        <w:spacing w:after="0" w:line="272" w:lineRule="auto"/>
        <w:tabs>
          <w:tab w:leader="none" w:pos="3990" w:val="left"/>
        </w:tabs>
        <w:numPr>
          <w:ilvl w:val="2"/>
          <w:numId w:val="261"/>
        </w:numPr>
        <w:rPr>
          <w:rFonts w:ascii="Arial" w:cs="Arial" w:eastAsia="Arial" w:hAnsi="Arial"/>
          <w:sz w:val="19"/>
          <w:szCs w:val="19"/>
          <w:color w:val="auto"/>
        </w:rPr>
      </w:pPr>
      <w:r>
        <w:rPr>
          <w:rFonts w:ascii="Arial" w:cs="Arial" w:eastAsia="Arial" w:hAnsi="Arial"/>
          <w:sz w:val="19"/>
          <w:szCs w:val="19"/>
          <w:color w:val="auto"/>
        </w:rPr>
        <w:t>The Agent and the Borrower shall enter into an amendment to this Agreement to reflect the replacement index, the adjusted margins and such other related amendments as may be appropriate, in the discretion of the Agent, for the implementation and administration of the replacement index-based rate. Notwithstanding anything to the contrary in this Agreement or the other Loan Documents (including, without limitation, Section 9.1), such amendment shall become effective without any further action or consent of any other party to this Agreement at 5:00 p.m. Philadelphia time on the tenth (10th) Business Day after the date a draft of the amendment is provided to the Banks, unless the Agent receives, on or before such tenth (10th) Business Day, a written notice from the Required Banks stating that such Banks object to such amendment.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1" w:name="page312"/>
    <w:bookmarkEnd w:id="311"/>
    <w:p>
      <w:pPr>
        <w:jc w:val="both"/>
        <w:ind w:left="2700" w:right="99" w:firstLine="646"/>
        <w:spacing w:after="0" w:line="245" w:lineRule="auto"/>
        <w:tabs>
          <w:tab w:leader="none" w:pos="3996" w:val="left"/>
        </w:tabs>
        <w:numPr>
          <w:ilvl w:val="0"/>
          <w:numId w:val="262"/>
        </w:numPr>
        <w:rPr>
          <w:rFonts w:ascii="Arial" w:cs="Arial" w:eastAsia="Arial" w:hAnsi="Arial"/>
          <w:sz w:val="21"/>
          <w:szCs w:val="21"/>
          <w:color w:val="auto"/>
        </w:rPr>
      </w:pPr>
      <w:r>
        <w:rPr>
          <w:rFonts w:ascii="Arial" w:cs="Arial" w:eastAsia="Arial" w:hAnsi="Arial"/>
          <w:sz w:val="21"/>
          <w:szCs w:val="21"/>
          <w:color w:val="auto"/>
        </w:rPr>
        <w:t>Selection of the replacement index, adjustments to the applicable margins, and amendments to this Agreement (A) will be determined with due consideration to the then-current market practices for determining and implementing a rate of interest for newly originated loans in the United States and loans converted from a Eurodollar Rate-based rate to a replacement index-based rate, and (B) may also reflect adjustments to account for (I) the effects of the transition from the Eurodollar Rate to the replacement index and (II) yield- or risk-based differences between the Eurodollar Rate and the replacement index.</w:t>
      </w:r>
    </w:p>
    <w:p>
      <w:pPr>
        <w:spacing w:after="0" w:line="182" w:lineRule="exact"/>
        <w:rPr>
          <w:rFonts w:ascii="Arial" w:cs="Arial" w:eastAsia="Arial" w:hAnsi="Arial"/>
          <w:sz w:val="21"/>
          <w:szCs w:val="21"/>
          <w:color w:val="auto"/>
        </w:rPr>
      </w:pPr>
    </w:p>
    <w:p>
      <w:pPr>
        <w:jc w:val="both"/>
        <w:ind w:left="2700" w:right="99" w:firstLine="646"/>
        <w:spacing w:after="0" w:line="244" w:lineRule="auto"/>
        <w:tabs>
          <w:tab w:leader="none" w:pos="4038" w:val="left"/>
        </w:tabs>
        <w:numPr>
          <w:ilvl w:val="0"/>
          <w:numId w:val="262"/>
        </w:numPr>
        <w:rPr>
          <w:rFonts w:ascii="Arial" w:cs="Arial" w:eastAsia="Arial" w:hAnsi="Arial"/>
          <w:sz w:val="21"/>
          <w:szCs w:val="21"/>
          <w:color w:val="auto"/>
        </w:rPr>
      </w:pPr>
      <w:r>
        <w:rPr>
          <w:rFonts w:ascii="Arial" w:cs="Arial" w:eastAsia="Arial" w:hAnsi="Arial"/>
          <w:sz w:val="21"/>
          <w:szCs w:val="21"/>
          <w:color w:val="auto"/>
        </w:rPr>
        <w:t>Until an amendment reflecting a new replacement index in accordance with this Subsection 2.10(d) is effective, each advance, conversion and renewal of a Loan under the Eurodollar Rate Option will continue to bear interest with reference to the Eurodollar Rate; provided, however, that if the Agent determines (which determination shall be final and conclusive, absent manifest error) that a Euro-Rate Termination Date has occurred, then following the Euro-Rate Termination Date, all Loans as to which the Eurodollar Rate would otherwise apply shall automatically be converted to the Base Rate (which shall be determined without utilizing the Daily LIBOR Rate component thereof) until such time as an amendment reflecting a replacement index and related matters as described above is implemented.</w:t>
      </w:r>
    </w:p>
    <w:p>
      <w:pPr>
        <w:spacing w:after="0" w:line="184" w:lineRule="exact"/>
        <w:rPr>
          <w:rFonts w:ascii="Arial" w:cs="Arial" w:eastAsia="Arial" w:hAnsi="Arial"/>
          <w:sz w:val="21"/>
          <w:szCs w:val="21"/>
          <w:color w:val="auto"/>
        </w:rPr>
      </w:pPr>
    </w:p>
    <w:p>
      <w:pPr>
        <w:jc w:val="both"/>
        <w:ind w:left="2700" w:right="99" w:firstLine="646"/>
        <w:spacing w:after="0" w:line="238" w:lineRule="auto"/>
        <w:tabs>
          <w:tab w:leader="none" w:pos="4046" w:val="left"/>
        </w:tabs>
        <w:numPr>
          <w:ilvl w:val="0"/>
          <w:numId w:val="26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if at any time the replacement index is less than zero, at such times, such index shall be deemed to be zero for purposes of this Agreement.”</w:t>
      </w:r>
    </w:p>
    <w:p>
      <w:pPr>
        <w:spacing w:after="0" w:line="185" w:lineRule="exact"/>
        <w:rPr>
          <w:sz w:val="20"/>
          <w:szCs w:val="20"/>
          <w:color w:val="auto"/>
        </w:rPr>
      </w:pPr>
    </w:p>
    <w:p>
      <w:pPr>
        <w:ind w:left="2780" w:hanging="731"/>
        <w:spacing w:after="0"/>
        <w:tabs>
          <w:tab w:leader="none" w:pos="278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Section 3.21 of the Credit Agreement is hereby amended and restated</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to read in full as follows:</w:t>
      </w:r>
    </w:p>
    <w:p>
      <w:pPr>
        <w:spacing w:after="0" w:line="188" w:lineRule="exact"/>
        <w:rPr>
          <w:sz w:val="20"/>
          <w:szCs w:val="20"/>
          <w:color w:val="auto"/>
        </w:rPr>
      </w:pPr>
    </w:p>
    <w:p>
      <w:pPr>
        <w:jc w:val="both"/>
        <w:ind w:left="2040" w:right="99"/>
        <w:spacing w:after="0" w:line="245" w:lineRule="auto"/>
        <w:rPr>
          <w:sz w:val="20"/>
          <w:szCs w:val="20"/>
          <w:color w:val="auto"/>
        </w:rPr>
      </w:pPr>
      <w:r>
        <w:rPr>
          <w:rFonts w:ascii="Arial" w:cs="Arial" w:eastAsia="Arial" w:hAnsi="Arial"/>
          <w:sz w:val="21"/>
          <w:szCs w:val="21"/>
          <w:color w:val="auto"/>
        </w:rPr>
        <w:t xml:space="preserve">“3.21 </w:t>
      </w:r>
      <w:r>
        <w:rPr>
          <w:rFonts w:ascii="Arial" w:cs="Arial" w:eastAsia="Arial" w:hAnsi="Arial"/>
          <w:sz w:val="21"/>
          <w:szCs w:val="21"/>
          <w:u w:val="single" w:color="auto"/>
          <w:color w:val="auto"/>
        </w:rPr>
        <w:t>No Covered Entity is a Sanctioned Person</w:t>
      </w:r>
      <w:r>
        <w:rPr>
          <w:rFonts w:ascii="Arial" w:cs="Arial" w:eastAsia="Arial" w:hAnsi="Arial"/>
          <w:sz w:val="21"/>
          <w:szCs w:val="21"/>
          <w:color w:val="auto"/>
        </w:rPr>
        <w:t>. No Covered Entity, either in its own right or through any third party (a) has any of its assets in a Sanctioned Country or in the possession, custody or control of a Sanctioned Person in violation of any Anti-Terrorism Law; (b) does business in or with, or derives any of its income from investments in or transactions with, any Sanctioned Country or Sanctioned Person in violation of any Anti-Terrorism Law; or (c) engages in any dealings or transactions prohibited by any Anti-Terrorism Law. The Borrower has instituted and maintains policies and procedures designed to promote and achieve continued compliance with Anti-Terrorism Laws.”</w:t>
      </w:r>
    </w:p>
    <w:p>
      <w:pPr>
        <w:spacing w:after="0" w:line="182" w:lineRule="exact"/>
        <w:rPr>
          <w:sz w:val="20"/>
          <w:szCs w:val="20"/>
          <w:color w:val="auto"/>
        </w:rPr>
      </w:pPr>
    </w:p>
    <w:p>
      <w:pPr>
        <w:ind w:left="100" w:right="99" w:firstLine="1949"/>
        <w:spacing w:after="0" w:line="251" w:lineRule="auto"/>
        <w:tabs>
          <w:tab w:leader="none" w:pos="2744"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following two additional Sections 3.23 and 3.24 are hereby added at the end of Section 3 of the Credit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2" w:name="page313"/>
    <w:bookmarkEnd w:id="312"/>
    <w:p>
      <w:pPr>
        <w:jc w:val="both"/>
        <w:ind w:left="2040" w:right="99"/>
        <w:spacing w:after="0" w:line="234"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u w:val="single" w:color="auto"/>
          <w:color w:val="auto"/>
        </w:rPr>
        <w:t>Anti-Corruption</w:t>
      </w:r>
      <w:r>
        <w:rPr>
          <w:rFonts w:ascii="Arial" w:cs="Arial" w:eastAsia="Arial" w:hAnsi="Arial"/>
          <w:sz w:val="22"/>
          <w:szCs w:val="22"/>
          <w:color w:val="auto"/>
        </w:rPr>
        <w:t>. Neither the Borrower nor any of its Subsidiaries, nor, to the knowledge of any Responsible Officer of the Borrower, any director, officer, agent, employee or other person acting on behalf of the Borrower or any of its Subsidiaries, has taken any action, directly or indirectly, that would result in a violation by such persons of the FCPA or any other applicable anti-corruption law; and the Borrower has instituted and maintains policies and procedures designed to promote and achieve continued compliance therewith.</w:t>
      </w:r>
    </w:p>
    <w:p>
      <w:pPr>
        <w:spacing w:after="0" w:line="188" w:lineRule="exact"/>
        <w:rPr>
          <w:sz w:val="20"/>
          <w:szCs w:val="20"/>
          <w:color w:val="auto"/>
        </w:rPr>
      </w:pPr>
    </w:p>
    <w:p>
      <w:pPr>
        <w:jc w:val="both"/>
        <w:ind w:left="2040" w:right="99"/>
        <w:spacing w:after="0" w:line="275" w:lineRule="auto"/>
        <w:rPr>
          <w:sz w:val="20"/>
          <w:szCs w:val="20"/>
          <w:color w:val="auto"/>
        </w:rPr>
      </w:pPr>
      <w:r>
        <w:rPr>
          <w:rFonts w:ascii="Arial" w:cs="Arial" w:eastAsia="Arial" w:hAnsi="Arial"/>
          <w:sz w:val="19"/>
          <w:szCs w:val="19"/>
          <w:color w:val="auto"/>
        </w:rPr>
        <w:t xml:space="preserve">3.24 </w:t>
      </w:r>
      <w:r>
        <w:rPr>
          <w:rFonts w:ascii="Arial" w:cs="Arial" w:eastAsia="Arial" w:hAnsi="Arial"/>
          <w:sz w:val="19"/>
          <w:szCs w:val="19"/>
          <w:u w:val="single" w:color="auto"/>
          <w:color w:val="auto"/>
        </w:rPr>
        <w:t>Certificate of Beneficial Ownership</w:t>
      </w:r>
      <w:r>
        <w:rPr>
          <w:rFonts w:ascii="Arial" w:cs="Arial" w:eastAsia="Arial" w:hAnsi="Arial"/>
          <w:sz w:val="19"/>
          <w:szCs w:val="19"/>
          <w:color w:val="auto"/>
        </w:rPr>
        <w:t>. If the Borrower qualifies as a legal entity customer under the Beneficial Ownership Regulations, the Certificate of Beneficial Ownership for the Borrower executed and delivered to the Agent and the Banks on or prior to the date of this Agreement, as updated from time to time in accordance with this Agreement, is accurate, complete and correct as of the date hereof and as of the date any such update is delivered. The Borrower acknowledges and agrees that the Certificate of Beneficial Ownership is one of the Loan Documents.”</w:t>
      </w:r>
    </w:p>
    <w:p>
      <w:pPr>
        <w:spacing w:after="0" w:line="158" w:lineRule="exact"/>
        <w:rPr>
          <w:sz w:val="20"/>
          <w:szCs w:val="20"/>
          <w:color w:val="auto"/>
        </w:rPr>
      </w:pPr>
    </w:p>
    <w:p>
      <w:pPr>
        <w:ind w:left="100" w:right="99" w:firstLine="1949"/>
        <w:spacing w:after="0" w:line="251" w:lineRule="auto"/>
        <w:tabs>
          <w:tab w:leader="none" w:pos="2787" w:val="left"/>
        </w:tabs>
        <w:numPr>
          <w:ilvl w:val="0"/>
          <w:numId w:val="265"/>
        </w:numPr>
        <w:rPr>
          <w:rFonts w:ascii="Arial" w:cs="Arial" w:eastAsia="Arial" w:hAnsi="Arial"/>
          <w:sz w:val="22"/>
          <w:szCs w:val="22"/>
          <w:color w:val="auto"/>
        </w:rPr>
      </w:pPr>
      <w:r>
        <w:rPr>
          <w:rFonts w:ascii="Arial" w:cs="Arial" w:eastAsia="Arial" w:hAnsi="Arial"/>
          <w:sz w:val="22"/>
          <w:szCs w:val="22"/>
          <w:color w:val="auto"/>
        </w:rPr>
        <w:t>The following additional Section 5.13 shall be added at the end of Section 5 of the Credit Agreement:</w:t>
      </w:r>
    </w:p>
    <w:p>
      <w:pPr>
        <w:spacing w:after="0" w:line="173" w:lineRule="exact"/>
        <w:rPr>
          <w:sz w:val="20"/>
          <w:szCs w:val="20"/>
          <w:color w:val="auto"/>
        </w:rPr>
      </w:pPr>
    </w:p>
    <w:p>
      <w:pPr>
        <w:jc w:val="both"/>
        <w:ind w:left="2040" w:right="99"/>
        <w:spacing w:after="0" w:line="244" w:lineRule="auto"/>
        <w:rPr>
          <w:sz w:val="20"/>
          <w:szCs w:val="20"/>
          <w:color w:val="auto"/>
        </w:rPr>
      </w:pPr>
      <w:r>
        <w:rPr>
          <w:rFonts w:ascii="Arial" w:cs="Arial" w:eastAsia="Arial" w:hAnsi="Arial"/>
          <w:sz w:val="21"/>
          <w:szCs w:val="21"/>
          <w:color w:val="auto"/>
        </w:rPr>
        <w:t xml:space="preserve">“5.13 </w:t>
      </w:r>
      <w:r>
        <w:rPr>
          <w:rFonts w:ascii="Arial" w:cs="Arial" w:eastAsia="Arial" w:hAnsi="Arial"/>
          <w:sz w:val="21"/>
          <w:szCs w:val="21"/>
          <w:u w:val="single" w:color="auto"/>
          <w:color w:val="auto"/>
        </w:rPr>
        <w:t>Certificate of Beneficial Ownership and Other Additional Information</w:t>
      </w:r>
      <w:r>
        <w:rPr>
          <w:rFonts w:ascii="Arial" w:cs="Arial" w:eastAsia="Arial" w:hAnsi="Arial"/>
          <w:sz w:val="21"/>
          <w:szCs w:val="21"/>
          <w:color w:val="auto"/>
        </w:rPr>
        <w:t>. The Borrower shall provide to the Agent and the Banks: (i) confirmation of the accuracy of the information set forth in the most recent Certificate of Beneficial Ownership, if any, provided to the Agent and the Banks; (ii) if applicable, a new Certificate of Beneficial Ownership when the individual(s) to be identified as a Beneficial Owner have changed; and (iii) such other information and documentation as may reasonably be requested by the Agent or any Bank from time to time for purposes of compliance by the Agent or such Bank with applicable Laws (including without limitation the USA Patriot Act and other “know your customer” and anti-money laundering rules and regulations), and any policy or procedure implemented by the Agent or such Bank to comply therewith.”</w:t>
      </w:r>
    </w:p>
    <w:p>
      <w:pPr>
        <w:spacing w:after="0" w:line="187" w:lineRule="exact"/>
        <w:rPr>
          <w:sz w:val="20"/>
          <w:szCs w:val="20"/>
          <w:color w:val="auto"/>
        </w:rPr>
      </w:pPr>
    </w:p>
    <w:p>
      <w:pPr>
        <w:jc w:val="both"/>
        <w:ind w:left="100" w:right="99" w:firstLine="1301"/>
        <w:spacing w:after="0" w:line="238" w:lineRule="auto"/>
        <w:tabs>
          <w:tab w:leader="none" w:pos="2099" w:val="left"/>
        </w:tabs>
        <w:numPr>
          <w:ilvl w:val="0"/>
          <w:numId w:val="266"/>
        </w:numPr>
        <w:rPr>
          <w:rFonts w:ascii="Arial" w:cs="Arial" w:eastAsia="Arial" w:hAnsi="Arial"/>
          <w:sz w:val="22"/>
          <w:szCs w:val="22"/>
          <w:color w:val="010000"/>
        </w:rPr>
      </w:pPr>
      <w:r>
        <w:rPr>
          <w:rFonts w:ascii="Arial" w:cs="Arial" w:eastAsia="Arial" w:hAnsi="Arial"/>
          <w:sz w:val="22"/>
          <w:szCs w:val="22"/>
          <w:u w:val="single" w:color="auto"/>
          <w:color w:val="auto"/>
        </w:rPr>
        <w:t>Loan Documents</w:t>
      </w:r>
      <w:r>
        <w:rPr>
          <w:rFonts w:ascii="Arial" w:cs="Arial" w:eastAsia="Arial" w:hAnsi="Arial"/>
          <w:sz w:val="22"/>
          <w:szCs w:val="22"/>
          <w:color w:val="auto"/>
        </w:rPr>
        <w:t>. Except where the context clearly requires otherwise, all references to the Credit Agreement in any of the Loan Documents or any other document delivered to the Banks or the Agent in connection therewith shall be to the Credit Agreement as amended by this Agreement.</w:t>
      </w:r>
    </w:p>
    <w:p>
      <w:pPr>
        <w:spacing w:after="0" w:line="185" w:lineRule="exact"/>
        <w:rPr>
          <w:rFonts w:ascii="Arial" w:cs="Arial" w:eastAsia="Arial" w:hAnsi="Arial"/>
          <w:sz w:val="22"/>
          <w:szCs w:val="22"/>
          <w:color w:val="010000"/>
        </w:rPr>
      </w:pPr>
    </w:p>
    <w:p>
      <w:pPr>
        <w:jc w:val="both"/>
        <w:ind w:left="100" w:right="99" w:firstLine="1301"/>
        <w:spacing w:after="0" w:line="279" w:lineRule="auto"/>
        <w:tabs>
          <w:tab w:leader="none" w:pos="2085" w:val="left"/>
        </w:tabs>
        <w:numPr>
          <w:ilvl w:val="0"/>
          <w:numId w:val="266"/>
        </w:numPr>
        <w:rPr>
          <w:rFonts w:ascii="Arial" w:cs="Arial" w:eastAsia="Arial" w:hAnsi="Arial"/>
          <w:sz w:val="19"/>
          <w:szCs w:val="19"/>
          <w:color w:val="010000"/>
        </w:rPr>
      </w:pPr>
      <w:r>
        <w:rPr>
          <w:rFonts w:ascii="Arial" w:cs="Arial" w:eastAsia="Arial" w:hAnsi="Arial"/>
          <w:sz w:val="19"/>
          <w:szCs w:val="19"/>
          <w:u w:val="single" w:color="auto"/>
          <w:color w:val="auto"/>
        </w:rPr>
        <w:t>Borrower’s Ratification</w:t>
      </w:r>
      <w:r>
        <w:rPr>
          <w:rFonts w:ascii="Arial" w:cs="Arial" w:eastAsia="Arial" w:hAnsi="Arial"/>
          <w:sz w:val="19"/>
          <w:szCs w:val="19"/>
          <w:color w:val="auto"/>
        </w:rPr>
        <w:t>. The Borrower agrees that it has no defenses or set-offs against the Banks or the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its obligations under the Loan Documents as</w:t>
      </w:r>
    </w:p>
    <w:p>
      <w:pPr>
        <w:spacing w:after="0" w:line="151"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3" w:name="page314"/>
    <w:bookmarkEnd w:id="313"/>
    <w:p>
      <w:pPr>
        <w:ind w:left="100" w:right="99"/>
        <w:spacing w:after="0" w:line="251" w:lineRule="auto"/>
        <w:rPr>
          <w:sz w:val="20"/>
          <w:szCs w:val="20"/>
          <w:color w:val="auto"/>
        </w:rPr>
      </w:pPr>
      <w:r>
        <w:rPr>
          <w:rFonts w:ascii="Arial" w:cs="Arial" w:eastAsia="Arial" w:hAnsi="Arial"/>
          <w:sz w:val="22"/>
          <w:szCs w:val="22"/>
          <w:color w:val="auto"/>
        </w:rPr>
        <w:t>amended hereby and agrees that the execution and delivery of this Agreement does not in any way diminish or invalidate any of its obligations thereunder.</w:t>
      </w:r>
    </w:p>
    <w:p>
      <w:pPr>
        <w:spacing w:after="0" w:line="174" w:lineRule="exact"/>
        <w:rPr>
          <w:sz w:val="20"/>
          <w:szCs w:val="20"/>
          <w:color w:val="auto"/>
        </w:rPr>
      </w:pPr>
    </w:p>
    <w:p>
      <w:pPr>
        <w:ind w:left="100" w:right="99" w:firstLine="1301"/>
        <w:spacing w:after="0" w:line="251" w:lineRule="auto"/>
        <w:tabs>
          <w:tab w:leader="none" w:pos="2153" w:val="left"/>
        </w:tabs>
        <w:numPr>
          <w:ilvl w:val="0"/>
          <w:numId w:val="267"/>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hereby represents and warrants to the Agent and the Banks that:</w:t>
      </w:r>
    </w:p>
    <w:p>
      <w:pPr>
        <w:spacing w:after="0" w:line="173" w:lineRule="exact"/>
        <w:rPr>
          <w:rFonts w:ascii="Arial" w:cs="Arial" w:eastAsia="Arial" w:hAnsi="Arial"/>
          <w:sz w:val="22"/>
          <w:szCs w:val="22"/>
          <w:color w:val="010000"/>
        </w:rPr>
      </w:pPr>
    </w:p>
    <w:p>
      <w:pPr>
        <w:jc w:val="both"/>
        <w:ind w:left="100" w:right="99" w:firstLine="1949"/>
        <w:spacing w:after="0" w:line="287" w:lineRule="auto"/>
        <w:tabs>
          <w:tab w:leader="none" w:pos="2757"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The representations and warranties made in the Credit Agreement are true and correct in all material respects as of the date hereof; provided, however, that for purposes of the representations in Section 3.1 thereof, the annual and quarterly financial information referred to in such Section shall be deemed to be the most recent such information furnished to each Bank;</w:t>
      </w:r>
    </w:p>
    <w:p>
      <w:pPr>
        <w:spacing w:after="0" w:line="143" w:lineRule="exact"/>
        <w:rPr>
          <w:rFonts w:ascii="Arial" w:cs="Arial" w:eastAsia="Arial" w:hAnsi="Arial"/>
          <w:sz w:val="19"/>
          <w:szCs w:val="19"/>
          <w:color w:val="auto"/>
        </w:rPr>
      </w:pPr>
    </w:p>
    <w:p>
      <w:pPr>
        <w:ind w:left="2780" w:hanging="731"/>
        <w:spacing w:after="0"/>
        <w:tabs>
          <w:tab w:leader="none" w:pos="2780" w:val="left"/>
        </w:tabs>
        <w:numPr>
          <w:ilvl w:val="1"/>
          <w:numId w:val="267"/>
        </w:numPr>
        <w:rPr>
          <w:rFonts w:ascii="Arial" w:cs="Arial" w:eastAsia="Arial" w:hAnsi="Arial"/>
          <w:sz w:val="19"/>
          <w:szCs w:val="19"/>
          <w:color w:val="auto"/>
        </w:rPr>
      </w:pPr>
      <w:r>
        <w:rPr>
          <w:rFonts w:ascii="Arial" w:cs="Arial" w:eastAsia="Arial" w:hAnsi="Arial"/>
          <w:sz w:val="19"/>
          <w:szCs w:val="19"/>
          <w:color w:val="auto"/>
        </w:rPr>
        <w:t>No Default or Event of Default under the Credit Agreement exists on</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the date hereof; and</w:t>
      </w:r>
    </w:p>
    <w:p>
      <w:pPr>
        <w:spacing w:after="0" w:line="188" w:lineRule="exact"/>
        <w:rPr>
          <w:rFonts w:ascii="Arial" w:cs="Arial" w:eastAsia="Arial" w:hAnsi="Arial"/>
          <w:sz w:val="19"/>
          <w:szCs w:val="19"/>
          <w:color w:val="auto"/>
        </w:rPr>
      </w:pPr>
    </w:p>
    <w:p>
      <w:pPr>
        <w:jc w:val="both"/>
        <w:ind w:left="100" w:right="99" w:firstLine="1949"/>
        <w:spacing w:after="0"/>
        <w:tabs>
          <w:tab w:leader="none" w:pos="2757" w:val="left"/>
        </w:tabs>
        <w:numPr>
          <w:ilvl w:val="1"/>
          <w:numId w:val="267"/>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so as to constitute the legal, valid and binding obligation of the Borrower, enforceable in accordance with its terms.</w:t>
      </w:r>
    </w:p>
    <w:p>
      <w:pPr>
        <w:spacing w:after="0" w:line="186"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All of the above representations and warranties shall survive the making of this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left="100" w:right="99" w:firstLine="1301"/>
        <w:spacing w:after="0"/>
        <w:tabs>
          <w:tab w:leader="none" w:pos="2072"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The effectiveness of the amendments set forth herein is subject to the fulfillment, to the satisfaction of the Agent and its counsel, of the following conditions precedent on or before the Effective Date:</w:t>
      </w:r>
    </w:p>
    <w:p>
      <w:pPr>
        <w:spacing w:after="0" w:line="186" w:lineRule="exact"/>
        <w:rPr>
          <w:rFonts w:ascii="Arial" w:cs="Arial" w:eastAsia="Arial" w:hAnsi="Arial"/>
          <w:sz w:val="22"/>
          <w:szCs w:val="22"/>
          <w:color w:val="010000"/>
        </w:rPr>
      </w:pPr>
    </w:p>
    <w:p>
      <w:pPr>
        <w:jc w:val="both"/>
        <w:ind w:left="100" w:right="99" w:firstLine="1949"/>
        <w:spacing w:after="0" w:line="238" w:lineRule="auto"/>
        <w:tabs>
          <w:tab w:leader="none" w:pos="2771" w:val="left"/>
        </w:tabs>
        <w:numPr>
          <w:ilvl w:val="1"/>
          <w:numId w:val="268"/>
        </w:numPr>
        <w:rPr>
          <w:rFonts w:ascii="Arial" w:cs="Arial" w:eastAsia="Arial" w:hAnsi="Arial"/>
          <w:sz w:val="22"/>
          <w:szCs w:val="22"/>
          <w:color w:val="auto"/>
        </w:rPr>
      </w:pPr>
      <w:r>
        <w:rPr>
          <w:rFonts w:ascii="Arial" w:cs="Arial" w:eastAsia="Arial" w:hAnsi="Arial"/>
          <w:sz w:val="22"/>
          <w:szCs w:val="22"/>
          <w:color w:val="auto"/>
        </w:rPr>
        <w:t>The Agent shall have received, with copies or counterparts for each Bank as appropriate, the following, all of which shall be in form and substance satisfactory to the Agent and shall be duly completed and executed by the Borrower, the Agent and the Banks, as applicable:</w:t>
      </w:r>
    </w:p>
    <w:p>
      <w:pPr>
        <w:spacing w:after="0" w:line="185" w:lineRule="exact"/>
        <w:rPr>
          <w:rFonts w:ascii="Arial" w:cs="Arial" w:eastAsia="Arial" w:hAnsi="Arial"/>
          <w:sz w:val="22"/>
          <w:szCs w:val="22"/>
          <w:color w:val="auto"/>
        </w:rPr>
      </w:pPr>
    </w:p>
    <w:p>
      <w:pPr>
        <w:ind w:left="3340" w:hanging="642"/>
        <w:spacing w:after="0"/>
        <w:tabs>
          <w:tab w:leader="none" w:pos="3340" w:val="left"/>
        </w:tabs>
        <w:numPr>
          <w:ilvl w:val="2"/>
          <w:numId w:val="268"/>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06" w:lineRule="exact"/>
        <w:rPr>
          <w:rFonts w:ascii="Arial" w:cs="Arial" w:eastAsia="Arial" w:hAnsi="Arial"/>
          <w:sz w:val="22"/>
          <w:szCs w:val="22"/>
          <w:color w:val="auto"/>
        </w:rPr>
      </w:pPr>
    </w:p>
    <w:p>
      <w:pPr>
        <w:ind w:left="3340" w:right="299" w:hanging="642"/>
        <w:spacing w:after="0" w:line="248" w:lineRule="auto"/>
        <w:tabs>
          <w:tab w:leader="none" w:pos="3340" w:val="left"/>
        </w:tabs>
        <w:numPr>
          <w:ilvl w:val="2"/>
          <w:numId w:val="268"/>
        </w:numPr>
        <w:rPr>
          <w:rFonts w:ascii="Arial" w:cs="Arial" w:eastAsia="Arial" w:hAnsi="Arial"/>
          <w:sz w:val="21"/>
          <w:szCs w:val="21"/>
          <w:color w:val="auto"/>
        </w:rPr>
      </w:pPr>
      <w:r>
        <w:rPr>
          <w:rFonts w:ascii="Arial" w:cs="Arial" w:eastAsia="Arial" w:hAnsi="Arial"/>
          <w:sz w:val="21"/>
          <w:szCs w:val="21"/>
          <w:color w:val="auto"/>
        </w:rPr>
        <w:t>Copies, certified by the Secretary or an Assistant Secretary of the Borrower as of a recent date, of resolutions of the board of directors of the Borrower in effect on the date hereof authorizing the execution, delivery and performance of this Agreement and the other documents and transactions contemplated hereby;</w:t>
      </w:r>
    </w:p>
    <w:p>
      <w:pPr>
        <w:spacing w:after="0" w:line="177" w:lineRule="exact"/>
        <w:rPr>
          <w:rFonts w:ascii="Arial" w:cs="Arial" w:eastAsia="Arial" w:hAnsi="Arial"/>
          <w:sz w:val="21"/>
          <w:szCs w:val="21"/>
          <w:color w:val="auto"/>
        </w:rPr>
      </w:pPr>
    </w:p>
    <w:p>
      <w:pPr>
        <w:ind w:left="3340" w:right="119" w:hanging="642"/>
        <w:spacing w:after="0" w:line="235" w:lineRule="auto"/>
        <w:tabs>
          <w:tab w:leader="none" w:pos="3340" w:val="left"/>
        </w:tabs>
        <w:numPr>
          <w:ilvl w:val="2"/>
          <w:numId w:val="268"/>
        </w:numPr>
        <w:rPr>
          <w:rFonts w:ascii="Arial" w:cs="Arial" w:eastAsia="Arial" w:hAnsi="Arial"/>
          <w:sz w:val="22"/>
          <w:szCs w:val="22"/>
          <w:color w:val="auto"/>
        </w:rPr>
      </w:pPr>
      <w:r>
        <w:rPr>
          <w:rFonts w:ascii="Arial" w:cs="Arial" w:eastAsia="Arial" w:hAnsi="Arial"/>
          <w:sz w:val="22"/>
          <w:szCs w:val="22"/>
          <w:color w:val="auto"/>
        </w:rPr>
        <w:t>Copies, certified by its corporate secretary as of a recent date, of the articles of incorporation, certificate of formation, and by-laws of the Borrower as in effect, or a certificate stating that there have been no changes to any such documents since the most recent date, true and correct copies thereof were delivered to the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4" w:name="page315"/>
    <w:bookmarkEnd w:id="314"/>
    <w:p>
      <w:pPr>
        <w:ind w:left="3340" w:right="379" w:hanging="642"/>
        <w:spacing w:after="0" w:line="277" w:lineRule="auto"/>
        <w:tabs>
          <w:tab w:leader="none" w:pos="3340" w:val="left"/>
        </w:tabs>
        <w:numPr>
          <w:ilvl w:val="2"/>
          <w:numId w:val="269"/>
        </w:numPr>
        <w:rPr>
          <w:rFonts w:ascii="Arial" w:cs="Arial" w:eastAsia="Arial" w:hAnsi="Arial"/>
          <w:sz w:val="19"/>
          <w:szCs w:val="19"/>
          <w:color w:val="auto"/>
        </w:rPr>
      </w:pPr>
      <w:r>
        <w:rPr>
          <w:rFonts w:ascii="Arial" w:cs="Arial" w:eastAsia="Arial" w:hAnsi="Arial"/>
          <w:sz w:val="19"/>
          <w:szCs w:val="19"/>
          <w:color w:val="auto"/>
        </w:rPr>
        <w:t>If the Borrower qualifies as a legal entity customer under the Beneficial Ownership Regulations, an executed Certificate of Beneficial Ownership for the Borrower and such other documentation and other information requested by the Agent and the Banks in connection with applicable “know your customer” and anti-money laundering rules and regulations, including the USA Patriot Act; and</w:t>
      </w:r>
    </w:p>
    <w:p>
      <w:pPr>
        <w:spacing w:after="0" w:line="152" w:lineRule="exact"/>
        <w:rPr>
          <w:rFonts w:ascii="Arial" w:cs="Arial" w:eastAsia="Arial" w:hAnsi="Arial"/>
          <w:sz w:val="19"/>
          <w:szCs w:val="19"/>
          <w:color w:val="auto"/>
        </w:rPr>
      </w:pPr>
    </w:p>
    <w:p>
      <w:pPr>
        <w:ind w:left="3340" w:right="199" w:hanging="642"/>
        <w:spacing w:after="0"/>
        <w:tabs>
          <w:tab w:leader="none" w:pos="3340" w:val="left"/>
        </w:tabs>
        <w:numPr>
          <w:ilvl w:val="2"/>
          <w:numId w:val="269"/>
        </w:numPr>
        <w:rPr>
          <w:rFonts w:ascii="Arial" w:cs="Arial" w:eastAsia="Arial" w:hAnsi="Arial"/>
          <w:sz w:val="22"/>
          <w:szCs w:val="22"/>
          <w:color w:val="auto"/>
        </w:rPr>
      </w:pPr>
      <w:r>
        <w:rPr>
          <w:rFonts w:ascii="Arial" w:cs="Arial" w:eastAsia="Arial" w:hAnsi="Arial"/>
          <w:sz w:val="22"/>
          <w:szCs w:val="22"/>
          <w:color w:val="auto"/>
        </w:rPr>
        <w:t>Such additional documents, certificates and information as the Agent or the Banks may require pursuant to the terms hereof or otherwise reasonably request.</w:t>
      </w:r>
    </w:p>
    <w:p>
      <w:pPr>
        <w:spacing w:after="0" w:line="186" w:lineRule="exact"/>
        <w:rPr>
          <w:rFonts w:ascii="Arial" w:cs="Arial" w:eastAsia="Arial" w:hAnsi="Arial"/>
          <w:sz w:val="22"/>
          <w:szCs w:val="22"/>
          <w:color w:val="auto"/>
        </w:rPr>
      </w:pPr>
    </w:p>
    <w:p>
      <w:pPr>
        <w:jc w:val="both"/>
        <w:ind w:left="100" w:right="99" w:firstLine="1949"/>
        <w:spacing w:after="0" w:line="249" w:lineRule="auto"/>
        <w:tabs>
          <w:tab w:leader="none" w:pos="2850" w:val="left"/>
        </w:tabs>
        <w:numPr>
          <w:ilvl w:val="1"/>
          <w:numId w:val="270"/>
        </w:numPr>
        <w:rPr>
          <w:rFonts w:ascii="Arial" w:cs="Arial" w:eastAsia="Arial" w:hAnsi="Arial"/>
          <w:sz w:val="21"/>
          <w:szCs w:val="21"/>
          <w:color w:val="auto"/>
        </w:rPr>
      </w:pPr>
      <w:r>
        <w:rPr>
          <w:rFonts w:ascii="Arial" w:cs="Arial" w:eastAsia="Arial" w:hAnsi="Arial"/>
          <w:sz w:val="21"/>
          <w:szCs w:val="21"/>
          <w:color w:val="auto"/>
        </w:rPr>
        <w:t>After giving effect to this Agreement, the representations and warranties set forth in the Credit Agreement shall be true and correct in all material respects on and as of the date hereof; provided, however, that for purposes of the representations in Section 3.1 thereof, the annual and quarterly financial information referred to in such Section shall be deemed to be the most recent such information furnished to each Bank.</w:t>
      </w:r>
    </w:p>
    <w:p>
      <w:pPr>
        <w:spacing w:after="0" w:line="178" w:lineRule="exact"/>
        <w:rPr>
          <w:rFonts w:ascii="Arial" w:cs="Arial" w:eastAsia="Arial" w:hAnsi="Arial"/>
          <w:sz w:val="21"/>
          <w:szCs w:val="21"/>
          <w:color w:val="auto"/>
        </w:rPr>
      </w:pPr>
    </w:p>
    <w:p>
      <w:pPr>
        <w:ind w:left="2740" w:hanging="691"/>
        <w:spacing w:after="0"/>
        <w:tabs>
          <w:tab w:leader="none" w:pos="2740" w:val="left"/>
        </w:tabs>
        <w:numPr>
          <w:ilvl w:val="1"/>
          <w:numId w:val="270"/>
        </w:numPr>
        <w:rPr>
          <w:rFonts w:ascii="Arial" w:cs="Arial" w:eastAsia="Arial" w:hAnsi="Arial"/>
          <w:sz w:val="19"/>
          <w:szCs w:val="19"/>
          <w:color w:val="auto"/>
        </w:rPr>
      </w:pPr>
      <w:r>
        <w:rPr>
          <w:rFonts w:ascii="Arial" w:cs="Arial" w:eastAsia="Arial" w:hAnsi="Arial"/>
          <w:sz w:val="19"/>
          <w:szCs w:val="19"/>
          <w:color w:val="auto"/>
        </w:rPr>
        <w:t>No Default or Event of Default shall have occurred and be continuing</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as of the date hereof.</w:t>
      </w:r>
    </w:p>
    <w:p>
      <w:pPr>
        <w:spacing w:after="0" w:line="188" w:lineRule="exact"/>
        <w:rPr>
          <w:rFonts w:ascii="Arial" w:cs="Arial" w:eastAsia="Arial" w:hAnsi="Arial"/>
          <w:sz w:val="19"/>
          <w:szCs w:val="19"/>
          <w:color w:val="auto"/>
        </w:rPr>
      </w:pPr>
    </w:p>
    <w:p>
      <w:pPr>
        <w:ind w:left="2080" w:hanging="679"/>
        <w:spacing w:after="0"/>
        <w:tabs>
          <w:tab w:leader="none" w:pos="2080" w:val="left"/>
        </w:tabs>
        <w:numPr>
          <w:ilvl w:val="0"/>
          <w:numId w:val="271"/>
        </w:numPr>
        <w:rPr>
          <w:rFonts w:ascii="Arial" w:cs="Arial" w:eastAsia="Arial" w:hAnsi="Arial"/>
          <w:sz w:val="22"/>
          <w:szCs w:val="22"/>
          <w:color w:val="010000"/>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100" w:right="99" w:firstLine="1949"/>
        <w:spacing w:after="0" w:line="248" w:lineRule="auto"/>
        <w:tabs>
          <w:tab w:leader="none" w:pos="2852" w:val="left"/>
        </w:tabs>
        <w:numPr>
          <w:ilvl w:val="1"/>
          <w:numId w:val="271"/>
        </w:numPr>
        <w:rPr>
          <w:rFonts w:ascii="Arial" w:cs="Arial" w:eastAsia="Arial" w:hAnsi="Arial"/>
          <w:sz w:val="21"/>
          <w:szCs w:val="21"/>
          <w:color w:val="auto"/>
        </w:rPr>
      </w:pPr>
      <w:r>
        <w:rPr>
          <w:rFonts w:ascii="Arial" w:cs="Arial" w:eastAsia="Arial" w:hAnsi="Arial"/>
          <w:sz w:val="21"/>
          <w:szCs w:val="21"/>
          <w:color w:val="auto"/>
        </w:rPr>
        <w:t>All terms, conditions, provisions and covenants in the Loan Documents and all other documents delivered to the Agent and the Banks in connection therewith shall remain unaltered and in full force and effect except as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p>
      <w:pPr>
        <w:spacing w:after="0" w:line="177" w:lineRule="exact"/>
        <w:rPr>
          <w:rFonts w:ascii="Arial" w:cs="Arial" w:eastAsia="Arial" w:hAnsi="Arial"/>
          <w:sz w:val="21"/>
          <w:szCs w:val="21"/>
          <w:color w:val="auto"/>
        </w:rPr>
      </w:pPr>
    </w:p>
    <w:p>
      <w:pPr>
        <w:jc w:val="both"/>
        <w:ind w:left="100" w:right="99" w:firstLine="1949"/>
        <w:spacing w:after="0" w:line="258" w:lineRule="auto"/>
        <w:tabs>
          <w:tab w:leader="none" w:pos="2810" w:val="left"/>
        </w:tabs>
        <w:numPr>
          <w:ilvl w:val="1"/>
          <w:numId w:val="271"/>
        </w:numPr>
        <w:rPr>
          <w:rFonts w:ascii="Arial" w:cs="Arial" w:eastAsia="Arial" w:hAnsi="Arial"/>
          <w:sz w:val="21"/>
          <w:szCs w:val="21"/>
          <w:color w:val="auto"/>
        </w:rPr>
      </w:pPr>
      <w:r>
        <w:rPr>
          <w:rFonts w:ascii="Arial" w:cs="Arial" w:eastAsia="Arial" w:hAnsi="Arial"/>
          <w:sz w:val="21"/>
          <w:szCs w:val="21"/>
          <w:color w:val="auto"/>
        </w:rPr>
        <w:t>The execution, delivery and effectiveness of this Agreement shall neither operate as a waiver of any right, power or remedy of the Agent or the Banks under any of the Loan Documents nor constitute a waiver of any Default or Event of Default thereunder.</w:t>
      </w:r>
    </w:p>
    <w:p>
      <w:pPr>
        <w:spacing w:after="0" w:line="166" w:lineRule="exact"/>
        <w:rPr>
          <w:rFonts w:ascii="Arial" w:cs="Arial" w:eastAsia="Arial" w:hAnsi="Arial"/>
          <w:sz w:val="21"/>
          <w:szCs w:val="21"/>
          <w:color w:val="auto"/>
        </w:rPr>
      </w:pPr>
    </w:p>
    <w:p>
      <w:pPr>
        <w:jc w:val="both"/>
        <w:ind w:left="100" w:right="99" w:firstLine="1949"/>
        <w:spacing w:after="0" w:line="236" w:lineRule="auto"/>
        <w:tabs>
          <w:tab w:leader="none" w:pos="2744" w:val="left"/>
        </w:tabs>
        <w:numPr>
          <w:ilvl w:val="1"/>
          <w:numId w:val="271"/>
        </w:numPr>
        <w:rPr>
          <w:rFonts w:ascii="Arial" w:cs="Arial" w:eastAsia="Arial" w:hAnsi="Arial"/>
          <w:sz w:val="22"/>
          <w:szCs w:val="22"/>
          <w:color w:val="auto"/>
        </w:rPr>
      </w:pPr>
      <w:r>
        <w:rPr>
          <w:rFonts w:ascii="Arial" w:cs="Arial" w:eastAsia="Arial" w:hAnsi="Arial"/>
          <w:sz w:val="22"/>
          <w:szCs w:val="22"/>
          <w:color w:val="auto"/>
        </w:rPr>
        <w:t>In consideration of the Agent’s and the Banks’ agreement to amend the existing revolving credit facility, the Borrower hereby waives and releases the Agent and the Banks and their respective officers, attorneys, agents and employees from any liability, suit, damage, claim, loss or expense of any kind or failure whatsoever and howsoever arising that it ever had up until, or has as of, the date of this Agreement.</w:t>
      </w:r>
    </w:p>
    <w:p>
      <w:pPr>
        <w:spacing w:after="0" w:line="187" w:lineRule="exact"/>
        <w:rPr>
          <w:rFonts w:ascii="Arial" w:cs="Arial" w:eastAsia="Arial" w:hAnsi="Arial"/>
          <w:sz w:val="22"/>
          <w:szCs w:val="22"/>
          <w:color w:val="auto"/>
        </w:rPr>
      </w:pPr>
    </w:p>
    <w:p>
      <w:pPr>
        <w:jc w:val="both"/>
        <w:ind w:left="100" w:right="99" w:firstLine="1949"/>
        <w:spacing w:after="0"/>
        <w:tabs>
          <w:tab w:leader="none" w:pos="2783" w:val="left"/>
        </w:tabs>
        <w:numPr>
          <w:ilvl w:val="1"/>
          <w:numId w:val="271"/>
        </w:numPr>
        <w:rPr>
          <w:rFonts w:ascii="Arial" w:cs="Arial" w:eastAsia="Arial" w:hAnsi="Arial"/>
          <w:sz w:val="22"/>
          <w:szCs w:val="22"/>
          <w:color w:val="auto"/>
        </w:rPr>
      </w:pPr>
      <w:r>
        <w:rPr>
          <w:rFonts w:ascii="Arial" w:cs="Arial" w:eastAsia="Arial" w:hAnsi="Arial"/>
          <w:sz w:val="22"/>
          <w:szCs w:val="22"/>
          <w:color w:val="auto"/>
        </w:rPr>
        <w:t>This Agreement constitutes the entire agreement of the parties with respect to the subject matter hereof and supersedes all prior and contemporaneous understandings and agreements.</w:t>
      </w:r>
    </w:p>
    <w:p>
      <w:pPr>
        <w:spacing w:after="0" w:line="186" w:lineRule="exact"/>
        <w:rPr>
          <w:rFonts w:ascii="Arial" w:cs="Arial" w:eastAsia="Arial" w:hAnsi="Arial"/>
          <w:sz w:val="22"/>
          <w:szCs w:val="22"/>
          <w:color w:val="auto"/>
        </w:rPr>
      </w:pPr>
    </w:p>
    <w:p>
      <w:pPr>
        <w:jc w:val="both"/>
        <w:ind w:left="100" w:right="99" w:firstLine="1949"/>
        <w:spacing w:after="0"/>
        <w:tabs>
          <w:tab w:leader="none" w:pos="2757" w:val="left"/>
        </w:tabs>
        <w:numPr>
          <w:ilvl w:val="1"/>
          <w:numId w:val="271"/>
        </w:numPr>
        <w:rPr>
          <w:rFonts w:ascii="Arial" w:cs="Arial" w:eastAsia="Arial" w:hAnsi="Arial"/>
          <w:sz w:val="22"/>
          <w:szCs w:val="22"/>
          <w:color w:val="auto"/>
        </w:rPr>
      </w:pPr>
      <w:r>
        <w:rPr>
          <w:rFonts w:ascii="Arial" w:cs="Arial" w:eastAsia="Arial" w:hAnsi="Arial"/>
          <w:sz w:val="22"/>
          <w:szCs w:val="22"/>
          <w:color w:val="auto"/>
        </w:rPr>
        <w:t>In the event any provisions of this Agreement shall be held invalid or unenforceable by any court of competent jurisdiction, such holding shall not invalidate or render unenforceable any other provision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5" w:name="page316"/>
    <w:bookmarkEnd w:id="315"/>
    <w:p>
      <w:pPr>
        <w:ind w:left="100" w:right="99" w:firstLine="1949"/>
        <w:spacing w:after="0" w:line="251" w:lineRule="auto"/>
        <w:tabs>
          <w:tab w:leader="none" w:pos="2774"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according to the laws of the Commonwealth of Pennsylvania.</w:t>
      </w:r>
    </w:p>
    <w:p>
      <w:pPr>
        <w:spacing w:after="0" w:line="173" w:lineRule="exact"/>
        <w:rPr>
          <w:rFonts w:ascii="Arial" w:cs="Arial" w:eastAsia="Arial" w:hAnsi="Arial"/>
          <w:sz w:val="22"/>
          <w:szCs w:val="22"/>
          <w:color w:val="auto"/>
        </w:rPr>
      </w:pPr>
    </w:p>
    <w:p>
      <w:pPr>
        <w:jc w:val="both"/>
        <w:ind w:left="100" w:right="99" w:firstLine="1949"/>
        <w:spacing w:after="0" w:line="238" w:lineRule="auto"/>
        <w:tabs>
          <w:tab w:leader="none" w:pos="2756"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successors and assigns and may be executed in one or more counterparts, each of which shall be deemed an original, but all of which together shall constitute one and the same instrument.</w:t>
      </w:r>
    </w:p>
    <w:p>
      <w:pPr>
        <w:spacing w:after="0" w:line="185" w:lineRule="exact"/>
        <w:rPr>
          <w:rFonts w:ascii="Arial" w:cs="Arial" w:eastAsia="Arial" w:hAnsi="Arial"/>
          <w:sz w:val="22"/>
          <w:szCs w:val="22"/>
          <w:color w:val="auto"/>
        </w:rPr>
      </w:pPr>
    </w:p>
    <w:p>
      <w:pPr>
        <w:jc w:val="both"/>
        <w:ind w:left="100" w:right="99" w:firstLine="1949"/>
        <w:spacing w:after="0"/>
        <w:tabs>
          <w:tab w:leader="none" w:pos="2756"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The headings used in this Agreement are for convenience of reference only, do not form a part of this Agreement and shall not affect in any way the meaning or interpretation of this Agreement.</w:t>
      </w:r>
    </w:p>
    <w:p>
      <w:pPr>
        <w:spacing w:after="0" w:line="186" w:lineRule="exact"/>
        <w:rPr>
          <w:rFonts w:ascii="Arial" w:cs="Arial" w:eastAsia="Arial" w:hAnsi="Arial"/>
          <w:sz w:val="22"/>
          <w:szCs w:val="22"/>
          <w:color w:val="auto"/>
        </w:rPr>
      </w:pPr>
    </w:p>
    <w:p>
      <w:pPr>
        <w:jc w:val="both"/>
        <w:ind w:left="100" w:right="99" w:firstLine="1949"/>
        <w:spacing w:after="0" w:line="249" w:lineRule="auto"/>
        <w:tabs>
          <w:tab w:leader="none" w:pos="2762" w:val="left"/>
        </w:tabs>
        <w:numPr>
          <w:ilvl w:val="0"/>
          <w:numId w:val="272"/>
        </w:numPr>
        <w:rPr>
          <w:rFonts w:ascii="Arial" w:cs="Arial" w:eastAsia="Arial" w:hAnsi="Arial"/>
          <w:sz w:val="21"/>
          <w:szCs w:val="21"/>
          <w:color w:val="auto"/>
        </w:rPr>
      </w:pPr>
      <w:r>
        <w:rPr>
          <w:rFonts w:ascii="Arial" w:cs="Arial" w:eastAsia="Arial" w:hAnsi="Arial"/>
          <w:sz w:val="21"/>
          <w:szCs w:val="21"/>
          <w:color w:val="auto"/>
        </w:rPr>
        <w:t>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6" w:name="page317"/>
    <w:bookmarkEnd w:id="316"/>
    <w:p>
      <w:pPr>
        <w:ind w:left="100" w:right="99" w:firstLine="1296"/>
        <w:spacing w:after="0" w:line="328" w:lineRule="auto"/>
        <w:rPr>
          <w:sz w:val="20"/>
          <w:szCs w:val="20"/>
          <w:color w:val="auto"/>
        </w:rPr>
      </w:pPr>
      <w:r>
        <w:rPr>
          <w:rFonts w:ascii="Arial" w:cs="Arial" w:eastAsia="Arial" w:hAnsi="Arial"/>
          <w:sz w:val="19"/>
          <w:szCs w:val="19"/>
          <w:color w:val="auto"/>
        </w:rPr>
        <w:t>IN WITNESS WHEREOF, the Borrower, the Agent and the Banks have caused this Agreement to be executed by their duly authorized officers as of the date first above written.</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AQUA PENNSYLVANIA, INC.</w:t>
      </w:r>
    </w:p>
    <w:tbl>
      <w:tblPr>
        <w:tblLayout w:type="fixed"/>
        <w:tblInd w:w="220" w:type="dxa"/>
        <w:tblCellMar>
          <w:top w:w="0" w:type="dxa"/>
          <w:left w:w="0" w:type="dxa"/>
          <w:bottom w:w="0" w:type="dxa"/>
          <w:right w:w="0" w:type="dxa"/>
        </w:tblCellMar>
      </w:tblPr>
      <w:tr>
        <w:trPr>
          <w:trHeight w:val="247"/>
        </w:trPr>
        <w:tc>
          <w:tcPr>
            <w:tcW w:w="1540" w:type="dxa"/>
            <w:vAlign w:val="bottom"/>
          </w:tcPr>
          <w:p>
            <w:pPr>
              <w:spacing w:after="0" w:line="247" w:lineRule="exact"/>
              <w:rPr>
                <w:sz w:val="20"/>
                <w:szCs w:val="20"/>
                <w:color w:val="auto"/>
              </w:rPr>
            </w:pPr>
            <w:r>
              <w:rPr>
                <w:rFonts w:ascii="Arial" w:cs="Arial" w:eastAsia="Arial" w:hAnsi="Arial"/>
                <w:sz w:val="22"/>
                <w:szCs w:val="22"/>
                <w:color w:val="auto"/>
              </w:rPr>
              <w:t>By:</w:t>
            </w:r>
          </w:p>
        </w:tc>
        <w:tc>
          <w:tcPr>
            <w:tcW w:w="7160" w:type="dxa"/>
            <w:vAlign w:val="bottom"/>
          </w:tcPr>
          <w:p>
            <w:pPr>
              <w:ind w:left="100"/>
              <w:spacing w:after="0" w:line="247" w:lineRule="exact"/>
              <w:rPr>
                <w:sz w:val="20"/>
                <w:szCs w:val="20"/>
                <w:color w:val="auto"/>
              </w:rPr>
            </w:pPr>
            <w:r>
              <w:rPr>
                <w:rFonts w:ascii="Arial" w:cs="Arial" w:eastAsia="Arial" w:hAnsi="Arial"/>
                <w:sz w:val="22"/>
                <w:szCs w:val="22"/>
                <w:color w:val="auto"/>
              </w:rPr>
              <w:t>/s/ Daniel J. Schuller</w:t>
            </w:r>
          </w:p>
        </w:tc>
        <w:tc>
          <w:tcPr>
            <w:tcW w:w="0" w:type="dxa"/>
            <w:vAlign w:val="bottom"/>
          </w:tcPr>
          <w:p>
            <w:pPr>
              <w:spacing w:after="0"/>
              <w:rPr>
                <w:sz w:val="1"/>
                <w:szCs w:val="1"/>
                <w:color w:val="auto"/>
              </w:rPr>
            </w:pPr>
          </w:p>
        </w:tc>
      </w:tr>
      <w:tr>
        <w:trPr>
          <w:trHeight w:val="21"/>
        </w:trPr>
        <w:tc>
          <w:tcPr>
            <w:tcW w:w="15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7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540" w:type="dxa"/>
            <w:vAlign w:val="bottom"/>
            <w:vMerge w:val="continue"/>
          </w:tcPr>
          <w:p>
            <w:pPr>
              <w:spacing w:after="0"/>
              <w:rPr>
                <w:sz w:val="18"/>
                <w:szCs w:val="18"/>
                <w:color w:val="auto"/>
              </w:rPr>
            </w:pPr>
          </w:p>
        </w:tc>
        <w:tc>
          <w:tcPr>
            <w:tcW w:w="7160" w:type="dxa"/>
            <w:vAlign w:val="bottom"/>
          </w:tcPr>
          <w:p>
            <w:pPr>
              <w:ind w:left="100"/>
              <w:spacing w:after="0" w:line="216" w:lineRule="exact"/>
              <w:rPr>
                <w:sz w:val="20"/>
                <w:szCs w:val="20"/>
                <w:color w:val="auto"/>
              </w:rPr>
            </w:pPr>
            <w:r>
              <w:rPr>
                <w:rFonts w:ascii="Arial" w:cs="Arial" w:eastAsia="Arial" w:hAnsi="Arial"/>
                <w:sz w:val="22"/>
                <w:szCs w:val="22"/>
                <w:color w:val="auto"/>
              </w:rPr>
              <w:t>Daniel J. Schuller</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22"/>
                <w:szCs w:val="22"/>
                <w:color w:val="auto"/>
              </w:rPr>
              <w:t>Title:</w:t>
            </w:r>
          </w:p>
        </w:tc>
        <w:tc>
          <w:tcPr>
            <w:tcW w:w="7160" w:type="dxa"/>
            <w:vAlign w:val="bottom"/>
          </w:tcPr>
          <w:p>
            <w:pPr>
              <w:ind w:left="100"/>
              <w:spacing w:after="0"/>
              <w:rPr>
                <w:sz w:val="20"/>
                <w:szCs w:val="20"/>
                <w:color w:val="auto"/>
              </w:rPr>
            </w:pPr>
            <w:r>
              <w:rPr>
                <w:rFonts w:ascii="Arial" w:cs="Arial" w:eastAsia="Arial" w:hAnsi="Arial"/>
                <w:sz w:val="22"/>
                <w:szCs w:val="22"/>
                <w:color w:val="auto"/>
              </w:rPr>
              <w:t>Executive Vice President and Chief Financial Officer</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PNC BANK, NATIONAL ASSOCIATION,</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as Agent and as a Bank</w:t>
      </w:r>
    </w:p>
    <w:p>
      <w:pPr>
        <w:spacing w:after="0" w:line="219"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1660" w:type="dxa"/>
            <w:vAlign w:val="bottom"/>
          </w:tcPr>
          <w:p>
            <w:pPr>
              <w:ind w:left="120"/>
              <w:spacing w:after="0"/>
              <w:rPr>
                <w:sz w:val="20"/>
                <w:szCs w:val="20"/>
                <w:color w:val="auto"/>
              </w:rPr>
            </w:pPr>
            <w:r>
              <w:rPr>
                <w:rFonts w:ascii="Arial" w:cs="Arial" w:eastAsia="Arial" w:hAnsi="Arial"/>
                <w:sz w:val="22"/>
                <w:szCs w:val="22"/>
                <w:color w:val="auto"/>
              </w:rPr>
              <w:t>By:</w:t>
            </w:r>
          </w:p>
        </w:tc>
        <w:tc>
          <w:tcPr>
            <w:tcW w:w="7160" w:type="dxa"/>
            <w:vAlign w:val="bottom"/>
          </w:tcPr>
          <w:p>
            <w:pPr>
              <w:ind w:left="100"/>
              <w:spacing w:after="0"/>
              <w:rPr>
                <w:sz w:val="20"/>
                <w:szCs w:val="20"/>
                <w:color w:val="auto"/>
              </w:rPr>
            </w:pPr>
            <w:r>
              <w:rPr>
                <w:rFonts w:ascii="Arial" w:cs="Arial" w:eastAsia="Arial" w:hAnsi="Arial"/>
                <w:sz w:val="22"/>
                <w:szCs w:val="22"/>
                <w:color w:val="auto"/>
              </w:rPr>
              <w:t>/s/ Domenic D’Ginto</w:t>
            </w:r>
          </w:p>
        </w:tc>
        <w:tc>
          <w:tcPr>
            <w:tcW w:w="0" w:type="dxa"/>
            <w:vAlign w:val="bottom"/>
          </w:tcPr>
          <w:p>
            <w:pPr>
              <w:spacing w:after="0"/>
              <w:rPr>
                <w:sz w:val="1"/>
                <w:szCs w:val="1"/>
                <w:color w:val="auto"/>
              </w:rPr>
            </w:pPr>
          </w:p>
        </w:tc>
      </w:tr>
      <w:tr>
        <w:trPr>
          <w:trHeight w:val="21"/>
        </w:trPr>
        <w:tc>
          <w:tcPr>
            <w:tcW w:w="1660" w:type="dxa"/>
            <w:vAlign w:val="bottom"/>
            <w:vMerge w:val="restart"/>
          </w:tcPr>
          <w:p>
            <w:pPr>
              <w:ind w:left="120"/>
              <w:spacing w:after="0"/>
              <w:rPr>
                <w:sz w:val="20"/>
                <w:szCs w:val="20"/>
                <w:color w:val="auto"/>
              </w:rPr>
            </w:pPr>
            <w:r>
              <w:rPr>
                <w:rFonts w:ascii="Arial" w:cs="Arial" w:eastAsia="Arial" w:hAnsi="Arial"/>
                <w:sz w:val="22"/>
                <w:szCs w:val="22"/>
                <w:color w:val="auto"/>
              </w:rPr>
              <w:t>Name:</w:t>
            </w:r>
          </w:p>
        </w:tc>
        <w:tc>
          <w:tcPr>
            <w:tcW w:w="7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660" w:type="dxa"/>
            <w:vAlign w:val="bottom"/>
            <w:vMerge w:val="continue"/>
          </w:tcPr>
          <w:p>
            <w:pPr>
              <w:spacing w:after="0"/>
              <w:rPr>
                <w:sz w:val="18"/>
                <w:szCs w:val="18"/>
                <w:color w:val="auto"/>
              </w:rPr>
            </w:pPr>
          </w:p>
        </w:tc>
        <w:tc>
          <w:tcPr>
            <w:tcW w:w="7160" w:type="dxa"/>
            <w:vAlign w:val="bottom"/>
          </w:tcPr>
          <w:p>
            <w:pPr>
              <w:ind w:left="100"/>
              <w:spacing w:after="0" w:line="216" w:lineRule="exact"/>
              <w:rPr>
                <w:sz w:val="20"/>
                <w:szCs w:val="20"/>
                <w:color w:val="auto"/>
              </w:rPr>
            </w:pPr>
            <w:r>
              <w:rPr>
                <w:rFonts w:ascii="Arial" w:cs="Arial" w:eastAsia="Arial" w:hAnsi="Arial"/>
                <w:sz w:val="22"/>
                <w:szCs w:val="22"/>
                <w:color w:val="auto"/>
              </w:rPr>
              <w:t>Domenic D’Ginto</w:t>
            </w:r>
          </w:p>
        </w:tc>
        <w:tc>
          <w:tcPr>
            <w:tcW w:w="0" w:type="dxa"/>
            <w:vAlign w:val="bottom"/>
          </w:tcPr>
          <w:p>
            <w:pPr>
              <w:spacing w:after="0"/>
              <w:rPr>
                <w:sz w:val="1"/>
                <w:szCs w:val="1"/>
                <w:color w:val="auto"/>
              </w:rPr>
            </w:pPr>
          </w:p>
        </w:tc>
      </w:tr>
      <w:tr>
        <w:trPr>
          <w:trHeight w:val="275"/>
        </w:trPr>
        <w:tc>
          <w:tcPr>
            <w:tcW w:w="1660" w:type="dxa"/>
            <w:vAlign w:val="bottom"/>
          </w:tcPr>
          <w:p>
            <w:pPr>
              <w:ind w:left="120"/>
              <w:spacing w:after="0"/>
              <w:rPr>
                <w:sz w:val="20"/>
                <w:szCs w:val="20"/>
                <w:color w:val="auto"/>
              </w:rPr>
            </w:pPr>
            <w:r>
              <w:rPr>
                <w:rFonts w:ascii="Arial" w:cs="Arial" w:eastAsia="Arial" w:hAnsi="Arial"/>
                <w:sz w:val="22"/>
                <w:szCs w:val="22"/>
                <w:color w:val="auto"/>
              </w:rPr>
              <w:t>Title:</w:t>
            </w:r>
          </w:p>
        </w:tc>
        <w:tc>
          <w:tcPr>
            <w:tcW w:w="7160" w:type="dxa"/>
            <w:vAlign w:val="bottom"/>
          </w:tcPr>
          <w:p>
            <w:pPr>
              <w:ind w:left="100"/>
              <w:spacing w:after="0"/>
              <w:rPr>
                <w:sz w:val="20"/>
                <w:szCs w:val="20"/>
                <w:color w:val="auto"/>
              </w:rPr>
            </w:pPr>
            <w:r>
              <w:rPr>
                <w:rFonts w:ascii="Arial" w:cs="Arial" w:eastAsia="Arial" w:hAnsi="Arial"/>
                <w:sz w:val="22"/>
                <w:szCs w:val="22"/>
                <w:color w:val="auto"/>
              </w:rPr>
              <w:t>Senior Vice President</w:t>
            </w:r>
          </w:p>
        </w:tc>
        <w:tc>
          <w:tcPr>
            <w:tcW w:w="0" w:type="dxa"/>
            <w:vAlign w:val="bottom"/>
          </w:tcPr>
          <w:p>
            <w:pPr>
              <w:spacing w:after="0"/>
              <w:rPr>
                <w:sz w:val="1"/>
                <w:szCs w:val="1"/>
                <w:color w:val="auto"/>
              </w:rPr>
            </w:pPr>
          </w:p>
        </w:tc>
      </w:tr>
      <w:tr>
        <w:trPr>
          <w:trHeight w:val="455"/>
        </w:trPr>
        <w:tc>
          <w:tcPr>
            <w:tcW w:w="8820" w:type="dxa"/>
            <w:vAlign w:val="bottom"/>
            <w:gridSpan w:val="2"/>
          </w:tcPr>
          <w:p>
            <w:pPr>
              <w:spacing w:after="0"/>
              <w:rPr>
                <w:sz w:val="20"/>
                <w:szCs w:val="20"/>
                <w:color w:val="auto"/>
              </w:rPr>
            </w:pPr>
            <w:r>
              <w:rPr>
                <w:rFonts w:ascii="Arial" w:cs="Arial" w:eastAsia="Arial" w:hAnsi="Arial"/>
                <w:sz w:val="22"/>
                <w:szCs w:val="22"/>
                <w:color w:val="auto"/>
              </w:rPr>
              <w:t>CITIZENS BANK OF PENNSYLVANIA,</w:t>
            </w:r>
          </w:p>
        </w:tc>
        <w:tc>
          <w:tcPr>
            <w:tcW w:w="0" w:type="dxa"/>
            <w:vAlign w:val="bottom"/>
          </w:tcPr>
          <w:p>
            <w:pPr>
              <w:spacing w:after="0"/>
              <w:rPr>
                <w:sz w:val="1"/>
                <w:szCs w:val="1"/>
                <w:color w:val="auto"/>
              </w:rPr>
            </w:pP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as a Bank</w:t>
            </w:r>
          </w:p>
        </w:tc>
        <w:tc>
          <w:tcPr>
            <w:tcW w:w="7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1660" w:type="dxa"/>
            <w:vAlign w:val="bottom"/>
          </w:tcPr>
          <w:p>
            <w:pPr>
              <w:ind w:left="120"/>
              <w:spacing w:after="0"/>
              <w:rPr>
                <w:sz w:val="20"/>
                <w:szCs w:val="20"/>
                <w:color w:val="auto"/>
              </w:rPr>
            </w:pPr>
            <w:r>
              <w:rPr>
                <w:rFonts w:ascii="Arial" w:cs="Arial" w:eastAsia="Arial" w:hAnsi="Arial"/>
                <w:sz w:val="22"/>
                <w:szCs w:val="22"/>
                <w:color w:val="auto"/>
              </w:rPr>
              <w:t>By:</w:t>
            </w:r>
          </w:p>
        </w:tc>
        <w:tc>
          <w:tcPr>
            <w:tcW w:w="7160" w:type="dxa"/>
            <w:vAlign w:val="bottom"/>
          </w:tcPr>
          <w:p>
            <w:pPr>
              <w:ind w:left="100"/>
              <w:spacing w:after="0"/>
              <w:rPr>
                <w:sz w:val="20"/>
                <w:szCs w:val="20"/>
                <w:color w:val="auto"/>
              </w:rPr>
            </w:pPr>
            <w:r>
              <w:rPr>
                <w:rFonts w:ascii="Arial" w:cs="Arial" w:eastAsia="Arial" w:hAnsi="Arial"/>
                <w:sz w:val="22"/>
                <w:szCs w:val="22"/>
                <w:color w:val="auto"/>
              </w:rPr>
              <w:t>/s/ Hassan Shakeel</w:t>
            </w:r>
          </w:p>
        </w:tc>
        <w:tc>
          <w:tcPr>
            <w:tcW w:w="0" w:type="dxa"/>
            <w:vAlign w:val="bottom"/>
          </w:tcPr>
          <w:p>
            <w:pPr>
              <w:spacing w:after="0"/>
              <w:rPr>
                <w:sz w:val="1"/>
                <w:szCs w:val="1"/>
                <w:color w:val="auto"/>
              </w:rPr>
            </w:pPr>
          </w:p>
        </w:tc>
      </w:tr>
      <w:tr>
        <w:trPr>
          <w:trHeight w:val="21"/>
        </w:trPr>
        <w:tc>
          <w:tcPr>
            <w:tcW w:w="1660" w:type="dxa"/>
            <w:vAlign w:val="bottom"/>
            <w:vMerge w:val="restart"/>
          </w:tcPr>
          <w:p>
            <w:pPr>
              <w:ind w:left="120"/>
              <w:spacing w:after="0"/>
              <w:rPr>
                <w:sz w:val="20"/>
                <w:szCs w:val="20"/>
                <w:color w:val="auto"/>
              </w:rPr>
            </w:pPr>
            <w:r>
              <w:rPr>
                <w:rFonts w:ascii="Arial" w:cs="Arial" w:eastAsia="Arial" w:hAnsi="Arial"/>
                <w:sz w:val="22"/>
                <w:szCs w:val="22"/>
                <w:color w:val="auto"/>
              </w:rPr>
              <w:t>Name:</w:t>
            </w:r>
          </w:p>
        </w:tc>
        <w:tc>
          <w:tcPr>
            <w:tcW w:w="7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660" w:type="dxa"/>
            <w:vAlign w:val="bottom"/>
            <w:vMerge w:val="continue"/>
          </w:tcPr>
          <w:p>
            <w:pPr>
              <w:spacing w:after="0"/>
              <w:rPr>
                <w:sz w:val="18"/>
                <w:szCs w:val="18"/>
                <w:color w:val="auto"/>
              </w:rPr>
            </w:pPr>
          </w:p>
        </w:tc>
        <w:tc>
          <w:tcPr>
            <w:tcW w:w="7160" w:type="dxa"/>
            <w:vAlign w:val="bottom"/>
          </w:tcPr>
          <w:p>
            <w:pPr>
              <w:ind w:left="100"/>
              <w:spacing w:after="0" w:line="216" w:lineRule="exact"/>
              <w:rPr>
                <w:sz w:val="20"/>
                <w:szCs w:val="20"/>
                <w:color w:val="auto"/>
              </w:rPr>
            </w:pPr>
            <w:r>
              <w:rPr>
                <w:rFonts w:ascii="Arial" w:cs="Arial" w:eastAsia="Arial" w:hAnsi="Arial"/>
                <w:sz w:val="22"/>
                <w:szCs w:val="22"/>
                <w:color w:val="auto"/>
              </w:rPr>
              <w:t>Hassan Shakeel</w:t>
            </w:r>
          </w:p>
        </w:tc>
        <w:tc>
          <w:tcPr>
            <w:tcW w:w="0" w:type="dxa"/>
            <w:vAlign w:val="bottom"/>
          </w:tcPr>
          <w:p>
            <w:pPr>
              <w:spacing w:after="0"/>
              <w:rPr>
                <w:sz w:val="1"/>
                <w:szCs w:val="1"/>
                <w:color w:val="auto"/>
              </w:rPr>
            </w:pPr>
          </w:p>
        </w:tc>
      </w:tr>
      <w:tr>
        <w:trPr>
          <w:trHeight w:val="275"/>
        </w:trPr>
        <w:tc>
          <w:tcPr>
            <w:tcW w:w="1660" w:type="dxa"/>
            <w:vAlign w:val="bottom"/>
          </w:tcPr>
          <w:p>
            <w:pPr>
              <w:ind w:left="120"/>
              <w:spacing w:after="0"/>
              <w:rPr>
                <w:sz w:val="20"/>
                <w:szCs w:val="20"/>
                <w:color w:val="auto"/>
              </w:rPr>
            </w:pPr>
            <w:r>
              <w:rPr>
                <w:rFonts w:ascii="Arial" w:cs="Arial" w:eastAsia="Arial" w:hAnsi="Arial"/>
                <w:sz w:val="22"/>
                <w:szCs w:val="22"/>
                <w:color w:val="auto"/>
              </w:rPr>
              <w:t>Title:</w:t>
            </w:r>
          </w:p>
        </w:tc>
        <w:tc>
          <w:tcPr>
            <w:tcW w:w="7160" w:type="dxa"/>
            <w:vAlign w:val="bottom"/>
          </w:tcPr>
          <w:p>
            <w:pPr>
              <w:ind w:left="100"/>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r>
        <w:trPr>
          <w:trHeight w:val="486"/>
        </w:trPr>
        <w:tc>
          <w:tcPr>
            <w:tcW w:w="8820" w:type="dxa"/>
            <w:vAlign w:val="bottom"/>
            <w:gridSpan w:val="2"/>
          </w:tcPr>
          <w:p>
            <w:pPr>
              <w:spacing w:after="0"/>
              <w:rPr>
                <w:sz w:val="20"/>
                <w:szCs w:val="20"/>
                <w:color w:val="auto"/>
              </w:rPr>
            </w:pPr>
            <w:r>
              <w:rPr>
                <w:rFonts w:ascii="Arial" w:cs="Arial" w:eastAsia="Arial" w:hAnsi="Arial"/>
                <w:sz w:val="22"/>
                <w:szCs w:val="22"/>
                <w:color w:val="auto"/>
              </w:rPr>
              <w:t>TD BANK, N.A., as a Bank</w:t>
            </w:r>
          </w:p>
        </w:tc>
        <w:tc>
          <w:tcPr>
            <w:tcW w:w="0" w:type="dxa"/>
            <w:vAlign w:val="bottom"/>
          </w:tcPr>
          <w:p>
            <w:pPr>
              <w:spacing w:after="0"/>
              <w:rPr>
                <w:sz w:val="1"/>
                <w:szCs w:val="1"/>
                <w:color w:val="auto"/>
              </w:rPr>
            </w:pPr>
          </w:p>
        </w:tc>
      </w:tr>
      <w:tr>
        <w:trPr>
          <w:trHeight w:val="468"/>
        </w:trPr>
        <w:tc>
          <w:tcPr>
            <w:tcW w:w="1660" w:type="dxa"/>
            <w:vAlign w:val="bottom"/>
          </w:tcPr>
          <w:p>
            <w:pPr>
              <w:ind w:left="120"/>
              <w:spacing w:after="0"/>
              <w:rPr>
                <w:sz w:val="20"/>
                <w:szCs w:val="20"/>
                <w:color w:val="auto"/>
              </w:rPr>
            </w:pPr>
            <w:r>
              <w:rPr>
                <w:rFonts w:ascii="Arial" w:cs="Arial" w:eastAsia="Arial" w:hAnsi="Arial"/>
                <w:sz w:val="22"/>
                <w:szCs w:val="22"/>
                <w:color w:val="auto"/>
              </w:rPr>
              <w:t>By:</w:t>
            </w:r>
          </w:p>
        </w:tc>
        <w:tc>
          <w:tcPr>
            <w:tcW w:w="7160" w:type="dxa"/>
            <w:vAlign w:val="bottom"/>
          </w:tcPr>
          <w:p>
            <w:pPr>
              <w:ind w:left="100"/>
              <w:spacing w:after="0"/>
              <w:rPr>
                <w:sz w:val="20"/>
                <w:szCs w:val="20"/>
                <w:color w:val="auto"/>
              </w:rPr>
            </w:pPr>
            <w:r>
              <w:rPr>
                <w:rFonts w:ascii="Arial" w:cs="Arial" w:eastAsia="Arial" w:hAnsi="Arial"/>
                <w:sz w:val="22"/>
                <w:szCs w:val="22"/>
                <w:color w:val="auto"/>
              </w:rPr>
              <w:t>/s/ Jennifer L. Suspenski</w:t>
            </w:r>
          </w:p>
        </w:tc>
        <w:tc>
          <w:tcPr>
            <w:tcW w:w="0" w:type="dxa"/>
            <w:vAlign w:val="bottom"/>
          </w:tcPr>
          <w:p>
            <w:pPr>
              <w:spacing w:after="0"/>
              <w:rPr>
                <w:sz w:val="1"/>
                <w:szCs w:val="1"/>
                <w:color w:val="auto"/>
              </w:rPr>
            </w:pPr>
          </w:p>
        </w:tc>
      </w:tr>
      <w:tr>
        <w:trPr>
          <w:trHeight w:val="21"/>
        </w:trPr>
        <w:tc>
          <w:tcPr>
            <w:tcW w:w="1660" w:type="dxa"/>
            <w:vAlign w:val="bottom"/>
            <w:vMerge w:val="restart"/>
          </w:tcPr>
          <w:p>
            <w:pPr>
              <w:ind w:left="120"/>
              <w:spacing w:after="0"/>
              <w:rPr>
                <w:sz w:val="20"/>
                <w:szCs w:val="20"/>
                <w:color w:val="auto"/>
              </w:rPr>
            </w:pPr>
            <w:r>
              <w:rPr>
                <w:rFonts w:ascii="Arial" w:cs="Arial" w:eastAsia="Arial" w:hAnsi="Arial"/>
                <w:sz w:val="22"/>
                <w:szCs w:val="22"/>
                <w:color w:val="auto"/>
              </w:rPr>
              <w:t>Name:</w:t>
            </w:r>
          </w:p>
        </w:tc>
        <w:tc>
          <w:tcPr>
            <w:tcW w:w="7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660" w:type="dxa"/>
            <w:vAlign w:val="bottom"/>
            <w:vMerge w:val="continue"/>
          </w:tcPr>
          <w:p>
            <w:pPr>
              <w:spacing w:after="0"/>
              <w:rPr>
                <w:sz w:val="18"/>
                <w:szCs w:val="18"/>
                <w:color w:val="auto"/>
              </w:rPr>
            </w:pPr>
          </w:p>
        </w:tc>
        <w:tc>
          <w:tcPr>
            <w:tcW w:w="7160" w:type="dxa"/>
            <w:vAlign w:val="bottom"/>
          </w:tcPr>
          <w:p>
            <w:pPr>
              <w:ind w:left="100"/>
              <w:spacing w:after="0" w:line="216" w:lineRule="exact"/>
              <w:rPr>
                <w:sz w:val="20"/>
                <w:szCs w:val="20"/>
                <w:color w:val="auto"/>
              </w:rPr>
            </w:pPr>
            <w:r>
              <w:rPr>
                <w:rFonts w:ascii="Arial" w:cs="Arial" w:eastAsia="Arial" w:hAnsi="Arial"/>
                <w:sz w:val="22"/>
                <w:szCs w:val="22"/>
                <w:color w:val="auto"/>
              </w:rPr>
              <w:t>Jennifer L. Suspenski</w:t>
            </w:r>
          </w:p>
        </w:tc>
        <w:tc>
          <w:tcPr>
            <w:tcW w:w="0" w:type="dxa"/>
            <w:vAlign w:val="bottom"/>
          </w:tcPr>
          <w:p>
            <w:pPr>
              <w:spacing w:after="0"/>
              <w:rPr>
                <w:sz w:val="1"/>
                <w:szCs w:val="1"/>
                <w:color w:val="auto"/>
              </w:rPr>
            </w:pPr>
          </w:p>
        </w:tc>
      </w:tr>
      <w:tr>
        <w:trPr>
          <w:trHeight w:val="275"/>
        </w:trPr>
        <w:tc>
          <w:tcPr>
            <w:tcW w:w="1660" w:type="dxa"/>
            <w:vAlign w:val="bottom"/>
          </w:tcPr>
          <w:p>
            <w:pPr>
              <w:ind w:left="120"/>
              <w:spacing w:after="0"/>
              <w:rPr>
                <w:sz w:val="20"/>
                <w:szCs w:val="20"/>
                <w:color w:val="auto"/>
              </w:rPr>
            </w:pPr>
            <w:r>
              <w:rPr>
                <w:rFonts w:ascii="Arial" w:cs="Arial" w:eastAsia="Arial" w:hAnsi="Arial"/>
                <w:sz w:val="22"/>
                <w:szCs w:val="22"/>
                <w:color w:val="auto"/>
              </w:rPr>
              <w:t>Title:</w:t>
            </w:r>
          </w:p>
        </w:tc>
        <w:tc>
          <w:tcPr>
            <w:tcW w:w="7160" w:type="dxa"/>
            <w:vAlign w:val="bottom"/>
          </w:tcPr>
          <w:p>
            <w:pPr>
              <w:ind w:left="100"/>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r>
        <w:trPr>
          <w:trHeight w:val="455"/>
        </w:trPr>
        <w:tc>
          <w:tcPr>
            <w:tcW w:w="8820" w:type="dxa"/>
            <w:vAlign w:val="bottom"/>
            <w:gridSpan w:val="2"/>
          </w:tcPr>
          <w:p>
            <w:pPr>
              <w:spacing w:after="0"/>
              <w:rPr>
                <w:sz w:val="20"/>
                <w:szCs w:val="20"/>
                <w:color w:val="auto"/>
              </w:rPr>
            </w:pPr>
            <w:r>
              <w:rPr>
                <w:rFonts w:ascii="Arial" w:cs="Arial" w:eastAsia="Arial" w:hAnsi="Arial"/>
                <w:sz w:val="22"/>
                <w:szCs w:val="22"/>
                <w:color w:val="auto"/>
              </w:rPr>
              <w:t>THE HUNTINGTON NATIONAL BANK,</w:t>
            </w:r>
          </w:p>
        </w:tc>
        <w:tc>
          <w:tcPr>
            <w:tcW w:w="0" w:type="dxa"/>
            <w:vAlign w:val="bottom"/>
          </w:tcPr>
          <w:p>
            <w:pPr>
              <w:spacing w:after="0"/>
              <w:rPr>
                <w:sz w:val="1"/>
                <w:szCs w:val="1"/>
                <w:color w:val="auto"/>
              </w:rPr>
            </w:pP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as a Bank</w:t>
            </w:r>
          </w:p>
        </w:tc>
        <w:tc>
          <w:tcPr>
            <w:tcW w:w="7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1660" w:type="dxa"/>
            <w:vAlign w:val="bottom"/>
          </w:tcPr>
          <w:p>
            <w:pPr>
              <w:ind w:left="120"/>
              <w:spacing w:after="0"/>
              <w:rPr>
                <w:sz w:val="20"/>
                <w:szCs w:val="20"/>
                <w:color w:val="auto"/>
              </w:rPr>
            </w:pPr>
            <w:r>
              <w:rPr>
                <w:rFonts w:ascii="Arial" w:cs="Arial" w:eastAsia="Arial" w:hAnsi="Arial"/>
                <w:sz w:val="22"/>
                <w:szCs w:val="22"/>
                <w:color w:val="auto"/>
              </w:rPr>
              <w:t>By:</w:t>
            </w:r>
          </w:p>
        </w:tc>
        <w:tc>
          <w:tcPr>
            <w:tcW w:w="7160" w:type="dxa"/>
            <w:vAlign w:val="bottom"/>
          </w:tcPr>
          <w:p>
            <w:pPr>
              <w:ind w:left="100"/>
              <w:spacing w:after="0"/>
              <w:rPr>
                <w:sz w:val="20"/>
                <w:szCs w:val="20"/>
                <w:color w:val="auto"/>
              </w:rPr>
            </w:pPr>
            <w:r>
              <w:rPr>
                <w:rFonts w:ascii="Arial" w:cs="Arial" w:eastAsia="Arial" w:hAnsi="Arial"/>
                <w:sz w:val="22"/>
                <w:szCs w:val="22"/>
                <w:color w:val="auto"/>
              </w:rPr>
              <w:t>/s/ Michael Kiss</w:t>
            </w:r>
          </w:p>
        </w:tc>
        <w:tc>
          <w:tcPr>
            <w:tcW w:w="0" w:type="dxa"/>
            <w:vAlign w:val="bottom"/>
          </w:tcPr>
          <w:p>
            <w:pPr>
              <w:spacing w:after="0"/>
              <w:rPr>
                <w:sz w:val="1"/>
                <w:szCs w:val="1"/>
                <w:color w:val="auto"/>
              </w:rPr>
            </w:pPr>
          </w:p>
        </w:tc>
      </w:tr>
      <w:tr>
        <w:trPr>
          <w:trHeight w:val="21"/>
        </w:trPr>
        <w:tc>
          <w:tcPr>
            <w:tcW w:w="1660" w:type="dxa"/>
            <w:vAlign w:val="bottom"/>
            <w:vMerge w:val="restart"/>
          </w:tcPr>
          <w:p>
            <w:pPr>
              <w:ind w:left="120"/>
              <w:spacing w:after="0"/>
              <w:rPr>
                <w:sz w:val="20"/>
                <w:szCs w:val="20"/>
                <w:color w:val="auto"/>
              </w:rPr>
            </w:pPr>
            <w:r>
              <w:rPr>
                <w:rFonts w:ascii="Arial" w:cs="Arial" w:eastAsia="Arial" w:hAnsi="Arial"/>
                <w:sz w:val="22"/>
                <w:szCs w:val="22"/>
                <w:color w:val="auto"/>
              </w:rPr>
              <w:t>Name:</w:t>
            </w:r>
          </w:p>
        </w:tc>
        <w:tc>
          <w:tcPr>
            <w:tcW w:w="7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660" w:type="dxa"/>
            <w:vAlign w:val="bottom"/>
            <w:vMerge w:val="continue"/>
          </w:tcPr>
          <w:p>
            <w:pPr>
              <w:spacing w:after="0"/>
              <w:rPr>
                <w:sz w:val="18"/>
                <w:szCs w:val="18"/>
                <w:color w:val="auto"/>
              </w:rPr>
            </w:pPr>
          </w:p>
        </w:tc>
        <w:tc>
          <w:tcPr>
            <w:tcW w:w="7160" w:type="dxa"/>
            <w:vAlign w:val="bottom"/>
          </w:tcPr>
          <w:p>
            <w:pPr>
              <w:ind w:left="100"/>
              <w:spacing w:after="0" w:line="216" w:lineRule="exact"/>
              <w:rPr>
                <w:sz w:val="20"/>
                <w:szCs w:val="20"/>
                <w:color w:val="auto"/>
              </w:rPr>
            </w:pPr>
            <w:r>
              <w:rPr>
                <w:rFonts w:ascii="Arial" w:cs="Arial" w:eastAsia="Arial" w:hAnsi="Arial"/>
                <w:sz w:val="22"/>
                <w:szCs w:val="22"/>
                <w:color w:val="auto"/>
              </w:rPr>
              <w:t>Michael Kiss</w:t>
            </w:r>
          </w:p>
        </w:tc>
        <w:tc>
          <w:tcPr>
            <w:tcW w:w="0" w:type="dxa"/>
            <w:vAlign w:val="bottom"/>
          </w:tcPr>
          <w:p>
            <w:pPr>
              <w:spacing w:after="0"/>
              <w:rPr>
                <w:sz w:val="1"/>
                <w:szCs w:val="1"/>
                <w:color w:val="auto"/>
              </w:rPr>
            </w:pPr>
          </w:p>
        </w:tc>
      </w:tr>
      <w:tr>
        <w:trPr>
          <w:trHeight w:val="275"/>
        </w:trPr>
        <w:tc>
          <w:tcPr>
            <w:tcW w:w="1660" w:type="dxa"/>
            <w:vAlign w:val="bottom"/>
          </w:tcPr>
          <w:p>
            <w:pPr>
              <w:ind w:left="120"/>
              <w:spacing w:after="0"/>
              <w:rPr>
                <w:sz w:val="20"/>
                <w:szCs w:val="20"/>
                <w:color w:val="auto"/>
              </w:rPr>
            </w:pPr>
            <w:r>
              <w:rPr>
                <w:rFonts w:ascii="Arial" w:cs="Arial" w:eastAsia="Arial" w:hAnsi="Arial"/>
                <w:sz w:val="22"/>
                <w:szCs w:val="22"/>
                <w:color w:val="auto"/>
              </w:rPr>
              <w:t>Title:</w:t>
            </w:r>
          </w:p>
        </w:tc>
        <w:tc>
          <w:tcPr>
            <w:tcW w:w="7160" w:type="dxa"/>
            <w:vAlign w:val="bottom"/>
          </w:tcPr>
          <w:p>
            <w:pPr>
              <w:ind w:left="100"/>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217805</wp:posOffset>
            </wp:positionV>
            <wp:extent cx="5642610" cy="514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17" w:name="page318"/>
    <w:bookmarkEnd w:id="317"/>
    <w:p>
      <w:pPr>
        <w:jc w:val="right"/>
        <w:ind w:right="99"/>
        <w:spacing w:after="0"/>
        <w:rPr>
          <w:sz w:val="20"/>
          <w:szCs w:val="20"/>
          <w:color w:val="auto"/>
        </w:rPr>
      </w:pPr>
      <w:r>
        <w:rPr>
          <w:rFonts w:ascii="Arial" w:cs="Arial" w:eastAsia="Arial" w:hAnsi="Arial"/>
          <w:sz w:val="20"/>
          <w:szCs w:val="20"/>
          <w:color w:val="auto"/>
        </w:rPr>
        <w:t>Exhibit 21.1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AQUA AMERICA, INC. AND SUBSIDIARIES</w:t>
      </w:r>
    </w:p>
    <w:p>
      <w:pPr>
        <w:spacing w:after="0" w:line="31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The following table lists the significant subsidiaries and other active subsidiaries of Aqua America, Inc. at</w:t>
      </w:r>
    </w:p>
    <w:p>
      <w:pPr>
        <w:ind w:left="100"/>
        <w:spacing w:after="0"/>
        <w:rPr>
          <w:sz w:val="20"/>
          <w:szCs w:val="20"/>
          <w:color w:val="auto"/>
        </w:rPr>
      </w:pPr>
      <w:r>
        <w:rPr>
          <w:rFonts w:ascii="Arial" w:cs="Arial" w:eastAsia="Arial" w:hAnsi="Arial"/>
          <w:sz w:val="20"/>
          <w:szCs w:val="20"/>
          <w:color w:val="auto"/>
        </w:rPr>
        <w:t>December 31, 2018:</w:t>
      </w:r>
    </w:p>
    <w:p>
      <w:pPr>
        <w:spacing w:after="0" w:line="350"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Aqua Pennsylvania, Inc. (Pennsylvania)</w:t>
      </w:r>
    </w:p>
    <w:p>
      <w:pPr>
        <w:ind w:left="2080"/>
        <w:spacing w:after="0" w:line="197" w:lineRule="auto"/>
        <w:rPr>
          <w:sz w:val="20"/>
          <w:szCs w:val="20"/>
          <w:color w:val="auto"/>
        </w:rPr>
      </w:pPr>
      <w:r>
        <w:rPr>
          <w:rFonts w:ascii="Arial" w:cs="Arial" w:eastAsia="Arial" w:hAnsi="Arial"/>
          <w:sz w:val="20"/>
          <w:szCs w:val="20"/>
          <w:color w:val="auto"/>
        </w:rPr>
        <w:t>Aqua Resources, Inc. (Delaware)</w:t>
      </w:r>
    </w:p>
    <w:p>
      <w:pPr>
        <w:ind w:left="2080"/>
        <w:spacing w:after="0" w:line="197" w:lineRule="auto"/>
        <w:rPr>
          <w:sz w:val="20"/>
          <w:szCs w:val="20"/>
          <w:color w:val="auto"/>
        </w:rPr>
      </w:pPr>
      <w:r>
        <w:rPr>
          <w:rFonts w:ascii="Arial" w:cs="Arial" w:eastAsia="Arial" w:hAnsi="Arial"/>
          <w:sz w:val="20"/>
          <w:szCs w:val="20"/>
          <w:color w:val="auto"/>
        </w:rPr>
        <w:t>Aqua Services, Inc. (Pennsylvania)</w:t>
      </w:r>
    </w:p>
    <w:p>
      <w:pPr>
        <w:ind w:left="2080"/>
        <w:spacing w:after="0" w:line="197" w:lineRule="auto"/>
        <w:rPr>
          <w:sz w:val="20"/>
          <w:szCs w:val="20"/>
          <w:color w:val="auto"/>
        </w:rPr>
      </w:pPr>
      <w:r>
        <w:rPr>
          <w:rFonts w:ascii="Arial" w:cs="Arial" w:eastAsia="Arial" w:hAnsi="Arial"/>
          <w:sz w:val="20"/>
          <w:szCs w:val="20"/>
          <w:color w:val="auto"/>
        </w:rPr>
        <w:t>Aqua Infrastructure, LLC (Pennsylvania)</w:t>
      </w:r>
    </w:p>
    <w:p>
      <w:pPr>
        <w:ind w:left="2080"/>
        <w:spacing w:after="0" w:line="198" w:lineRule="auto"/>
        <w:rPr>
          <w:sz w:val="20"/>
          <w:szCs w:val="20"/>
          <w:color w:val="auto"/>
        </w:rPr>
      </w:pPr>
      <w:r>
        <w:rPr>
          <w:rFonts w:ascii="Arial" w:cs="Arial" w:eastAsia="Arial" w:hAnsi="Arial"/>
          <w:sz w:val="20"/>
          <w:szCs w:val="20"/>
          <w:color w:val="auto"/>
        </w:rPr>
        <w:t>Aqua Ohio, Inc. (Ohio)</w:t>
      </w:r>
    </w:p>
    <w:p>
      <w:pPr>
        <w:ind w:left="2080"/>
        <w:spacing w:after="0" w:line="197" w:lineRule="auto"/>
        <w:rPr>
          <w:sz w:val="20"/>
          <w:szCs w:val="20"/>
          <w:color w:val="auto"/>
        </w:rPr>
      </w:pPr>
      <w:r>
        <w:rPr>
          <w:rFonts w:ascii="Arial" w:cs="Arial" w:eastAsia="Arial" w:hAnsi="Arial"/>
          <w:sz w:val="20"/>
          <w:szCs w:val="20"/>
          <w:color w:val="auto"/>
        </w:rPr>
        <w:t>Aqua Illinois, Inc. (Illinois)</w:t>
      </w:r>
    </w:p>
    <w:p>
      <w:pPr>
        <w:ind w:left="2080"/>
        <w:spacing w:after="0" w:line="197" w:lineRule="auto"/>
        <w:rPr>
          <w:sz w:val="20"/>
          <w:szCs w:val="20"/>
          <w:color w:val="auto"/>
        </w:rPr>
      </w:pPr>
      <w:r>
        <w:rPr>
          <w:rFonts w:ascii="Arial" w:cs="Arial" w:eastAsia="Arial" w:hAnsi="Arial"/>
          <w:sz w:val="20"/>
          <w:szCs w:val="20"/>
          <w:color w:val="auto"/>
        </w:rPr>
        <w:t>Aqua New Jersey, Inc. (New Jersey)</w:t>
      </w:r>
    </w:p>
    <w:p>
      <w:pPr>
        <w:ind w:left="2080"/>
        <w:spacing w:after="0" w:line="198" w:lineRule="auto"/>
        <w:rPr>
          <w:sz w:val="20"/>
          <w:szCs w:val="20"/>
          <w:color w:val="auto"/>
        </w:rPr>
      </w:pPr>
      <w:r>
        <w:rPr>
          <w:rFonts w:ascii="Arial" w:cs="Arial" w:eastAsia="Arial" w:hAnsi="Arial"/>
          <w:sz w:val="20"/>
          <w:szCs w:val="20"/>
          <w:color w:val="auto"/>
        </w:rPr>
        <w:t>Aqua North Carolina, Inc. (North Carolina)</w:t>
      </w:r>
    </w:p>
    <w:p>
      <w:pPr>
        <w:ind w:left="2080"/>
        <w:spacing w:after="0" w:line="197" w:lineRule="auto"/>
        <w:rPr>
          <w:sz w:val="20"/>
          <w:szCs w:val="20"/>
          <w:color w:val="auto"/>
        </w:rPr>
      </w:pPr>
      <w:r>
        <w:rPr>
          <w:rFonts w:ascii="Arial" w:cs="Arial" w:eastAsia="Arial" w:hAnsi="Arial"/>
          <w:sz w:val="20"/>
          <w:szCs w:val="20"/>
          <w:color w:val="auto"/>
        </w:rPr>
        <w:t>Aqua Texas, Inc. (Texas)</w:t>
      </w:r>
    </w:p>
    <w:p>
      <w:pPr>
        <w:ind w:left="2080"/>
        <w:spacing w:after="0" w:line="197" w:lineRule="auto"/>
        <w:rPr>
          <w:sz w:val="20"/>
          <w:szCs w:val="20"/>
          <w:color w:val="auto"/>
        </w:rPr>
      </w:pPr>
      <w:r>
        <w:rPr>
          <w:rFonts w:ascii="Arial" w:cs="Arial" w:eastAsia="Arial" w:hAnsi="Arial"/>
          <w:sz w:val="20"/>
          <w:szCs w:val="20"/>
          <w:color w:val="auto"/>
        </w:rPr>
        <w:t>Aqua Indiana, Inc. (Indiana)</w:t>
      </w:r>
    </w:p>
    <w:p>
      <w:pPr>
        <w:spacing w:after="0" w:line="1"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Aqua Virginia, Inc.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219075</wp:posOffset>
            </wp:positionV>
            <wp:extent cx="5642610" cy="514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81" w:right="1440" w:bottom="1440" w:gutter="0" w:footer="0" w:header="0"/>
        </w:sectPr>
      </w:pPr>
    </w:p>
    <w:bookmarkStart w:id="318" w:name="page319"/>
    <w:bookmarkEnd w:id="318"/>
    <w:p>
      <w:pPr>
        <w:jc w:val="right"/>
        <w:ind w:right="99"/>
        <w:spacing w:after="0"/>
        <w:rPr>
          <w:sz w:val="20"/>
          <w:szCs w:val="20"/>
          <w:color w:val="auto"/>
        </w:rPr>
      </w:pPr>
      <w:r>
        <w:rPr>
          <w:rFonts w:ascii="Arial" w:cs="Arial" w:eastAsia="Arial" w:hAnsi="Arial"/>
          <w:sz w:val="20"/>
          <w:szCs w:val="20"/>
          <w:color w:val="auto"/>
        </w:rPr>
        <w:t>Exhibit 23.1</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94" w:lineRule="exact"/>
        <w:rPr>
          <w:sz w:val="20"/>
          <w:szCs w:val="20"/>
          <w:color w:val="auto"/>
        </w:rPr>
      </w:pPr>
    </w:p>
    <w:p>
      <w:pPr>
        <w:jc w:val="both"/>
        <w:ind w:left="100" w:right="99"/>
        <w:spacing w:after="0" w:line="199" w:lineRule="exact"/>
        <w:rPr>
          <w:sz w:val="20"/>
          <w:szCs w:val="20"/>
          <w:color w:val="auto"/>
        </w:rPr>
      </w:pPr>
      <w:r>
        <w:rPr>
          <w:rFonts w:ascii="Arial" w:cs="Arial" w:eastAsia="Arial" w:hAnsi="Arial"/>
          <w:sz w:val="19"/>
          <w:szCs w:val="19"/>
          <w:color w:val="auto"/>
        </w:rPr>
        <w:t>We hereby consent to the incorporation by reference in the Registration Statements on Form S-3 (No. 333</w:t>
      </w:r>
      <w:r>
        <w:rPr>
          <w:rFonts w:ascii="MS PGothic" w:cs="MS PGothic" w:eastAsia="MS PGothic" w:hAnsi="MS PGothic"/>
          <w:sz w:val="19"/>
          <w:szCs w:val="19"/>
          <w:color w:val="auto"/>
        </w:rPr>
        <w:t>‑</w:t>
      </w:r>
      <w:r>
        <w:rPr>
          <w:rFonts w:ascii="Arial" w:cs="Arial" w:eastAsia="Arial" w:hAnsi="Arial"/>
          <w:sz w:val="19"/>
          <w:szCs w:val="19"/>
          <w:color w:val="auto"/>
        </w:rPr>
        <w:t>219545, 333-223306), on Form S-4 (No. 333-202393), and on Form S-8 (Nos. 033-52557, 033</w:t>
      </w:r>
      <w:r>
        <w:rPr>
          <w:rFonts w:ascii="MS PGothic" w:cs="MS PGothic" w:eastAsia="MS PGothic" w:hAnsi="MS PGothic"/>
          <w:sz w:val="19"/>
          <w:szCs w:val="19"/>
          <w:color w:val="auto"/>
        </w:rPr>
        <w:t>‑</w:t>
      </w:r>
      <w:r>
        <w:rPr>
          <w:rFonts w:ascii="Arial" w:cs="Arial" w:eastAsia="Arial" w:hAnsi="Arial"/>
          <w:sz w:val="19"/>
          <w:szCs w:val="19"/>
          <w:color w:val="auto"/>
        </w:rPr>
        <w:t>53689, 333-26613, 333-70859, 333-81085, 333-61768, 333-107673, 333-113502, 333-116776, 333</w:t>
      </w:r>
      <w:r>
        <w:rPr>
          <w:rFonts w:ascii="MS PGothic" w:cs="MS PGothic" w:eastAsia="MS PGothic" w:hAnsi="MS PGothic"/>
          <w:sz w:val="19"/>
          <w:szCs w:val="19"/>
          <w:color w:val="auto"/>
        </w:rPr>
        <w:t>‑</w:t>
      </w:r>
      <w:r>
        <w:rPr>
          <w:rFonts w:ascii="Arial" w:cs="Arial" w:eastAsia="Arial" w:hAnsi="Arial"/>
          <w:sz w:val="19"/>
          <w:szCs w:val="19"/>
          <w:color w:val="auto"/>
        </w:rPr>
        <w:t>126042, 333-148206, 333-156047, 333-159897, and 333-181389) of Aqua America, Inc. of our report dated February 26, 2019 relating to the financial statements and financial statement schedules and the effectiveness of internal control over financial reporting, which appears in this Form 10-K.</w:t>
      </w:r>
    </w:p>
    <w:p>
      <w:pPr>
        <w:spacing w:after="0" w:line="29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-6350</wp:posOffset>
            </wp:positionV>
            <wp:extent cx="25730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PRICEWATERHOUSECOOPERS LLP</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Philadelphia, Pennsylvania</w:t>
      </w:r>
    </w:p>
    <w:p>
      <w:pPr>
        <w:ind w:left="100"/>
        <w:spacing w:after="0"/>
        <w:rPr>
          <w:sz w:val="20"/>
          <w:szCs w:val="20"/>
          <w:color w:val="auto"/>
        </w:rPr>
      </w:pPr>
      <w:r>
        <w:rPr>
          <w:rFonts w:ascii="Arial" w:cs="Arial" w:eastAsia="Arial" w:hAnsi="Arial"/>
          <w:sz w:val="20"/>
          <w:szCs w:val="20"/>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107950</wp:posOffset>
            </wp:positionV>
            <wp:extent cx="5642610" cy="514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81" w:right="1440" w:bottom="1440" w:gutter="0" w:footer="0" w:header="0"/>
        </w:sectPr>
      </w:pPr>
    </w:p>
    <w:bookmarkStart w:id="319" w:name="page320"/>
    <w:bookmarkEnd w:id="319"/>
    <w:p>
      <w:pPr>
        <w:jc w:val="right"/>
        <w:ind w:right="99"/>
        <w:spacing w:after="0"/>
        <w:rPr>
          <w:sz w:val="20"/>
          <w:szCs w:val="20"/>
          <w:color w:val="auto"/>
        </w:rPr>
      </w:pPr>
      <w:r>
        <w:rPr>
          <w:rFonts w:ascii="Arial" w:cs="Arial" w:eastAsia="Arial" w:hAnsi="Arial"/>
          <w:sz w:val="20"/>
          <w:szCs w:val="20"/>
          <w:color w:val="auto"/>
        </w:rPr>
        <w:t>Exhibit 31.1</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CERTIFICATION OF CHIEF EXECUTIVE OFFICER, PURSUANT TO RULE 13A-14(A) AS ADOPTED</w:t>
      </w:r>
    </w:p>
    <w:p>
      <w:pPr>
        <w:ind w:left="1960"/>
        <w:spacing w:after="0"/>
        <w:rPr>
          <w:sz w:val="20"/>
          <w:szCs w:val="20"/>
          <w:color w:val="auto"/>
        </w:rPr>
      </w:pPr>
      <w:r>
        <w:rPr>
          <w:rFonts w:ascii="Arial" w:cs="Arial" w:eastAsia="Arial" w:hAnsi="Arial"/>
          <w:sz w:val="20"/>
          <w:szCs w:val="20"/>
          <w:color w:val="auto"/>
        </w:rPr>
        <w:t>UNDER THE SECURITIES AND EXCHANGE ACT OF 1934</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 Christopher H. Franklin, certify that:</w:t>
      </w:r>
    </w:p>
    <w:p>
      <w:pPr>
        <w:spacing w:after="0" w:line="148" w:lineRule="exact"/>
        <w:rPr>
          <w:sz w:val="20"/>
          <w:szCs w:val="20"/>
          <w:color w:val="auto"/>
        </w:rPr>
      </w:pPr>
    </w:p>
    <w:p>
      <w:pPr>
        <w:ind w:left="420" w:hanging="315"/>
        <w:spacing w:after="0"/>
        <w:tabs>
          <w:tab w:leader="none" w:pos="42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Aqua America, Inc.;</w:t>
      </w:r>
    </w:p>
    <w:p>
      <w:pPr>
        <w:spacing w:after="0" w:line="148" w:lineRule="exact"/>
        <w:rPr>
          <w:rFonts w:ascii="Arial" w:cs="Arial" w:eastAsia="Arial" w:hAnsi="Arial"/>
          <w:sz w:val="20"/>
          <w:szCs w:val="20"/>
          <w:color w:val="auto"/>
        </w:rPr>
      </w:pPr>
    </w:p>
    <w:p>
      <w:pPr>
        <w:ind w:left="420" w:right="99" w:hanging="315"/>
        <w:spacing w:after="0" w:line="230" w:lineRule="auto"/>
        <w:tabs>
          <w:tab w:leader="none" w:pos="42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9"/>
          <w:szCs w:val="19"/>
          <w:color w:val="auto"/>
        </w:rPr>
      </w:pPr>
    </w:p>
    <w:p>
      <w:pPr>
        <w:ind w:left="420" w:right="259" w:hanging="315"/>
        <w:spacing w:after="0" w:line="218" w:lineRule="auto"/>
        <w:tabs>
          <w:tab w:leader="none" w:pos="42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20"/>
          <w:szCs w:val="20"/>
          <w:color w:val="auto"/>
        </w:rPr>
      </w:pPr>
    </w:p>
    <w:p>
      <w:pPr>
        <w:ind w:left="420" w:right="219" w:hanging="315"/>
        <w:spacing w:after="0" w:line="213" w:lineRule="auto"/>
        <w:tabs>
          <w:tab w:leader="none" w:pos="42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20"/>
          <w:szCs w:val="20"/>
          <w:color w:val="auto"/>
        </w:rPr>
      </w:pPr>
    </w:p>
    <w:p>
      <w:pPr>
        <w:ind w:left="760" w:right="259" w:hanging="331"/>
        <w:spacing w:after="0" w:line="224" w:lineRule="auto"/>
        <w:tabs>
          <w:tab w:leader="none" w:pos="76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760" w:right="259" w:hanging="331"/>
        <w:spacing w:after="0" w:line="224" w:lineRule="auto"/>
        <w:tabs>
          <w:tab w:leader="none" w:pos="76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jc w:val="both"/>
        <w:ind w:left="760" w:right="219" w:hanging="331"/>
        <w:spacing w:after="0" w:line="230" w:lineRule="auto"/>
        <w:tabs>
          <w:tab w:leader="none" w:pos="76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9"/>
          <w:szCs w:val="19"/>
          <w:color w:val="auto"/>
        </w:rPr>
      </w:pPr>
    </w:p>
    <w:p>
      <w:pPr>
        <w:ind w:left="760" w:right="339" w:hanging="331"/>
        <w:spacing w:after="0" w:line="224" w:lineRule="auto"/>
        <w:tabs>
          <w:tab w:leader="none" w:pos="76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420" w:right="699" w:hanging="315"/>
        <w:spacing w:after="0" w:line="244" w:lineRule="auto"/>
        <w:tabs>
          <w:tab w:leader="none" w:pos="4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8"/>
          <w:szCs w:val="18"/>
          <w:color w:val="auto"/>
        </w:rPr>
      </w:pPr>
    </w:p>
    <w:p>
      <w:pPr>
        <w:ind w:left="760" w:right="179" w:hanging="331"/>
        <w:spacing w:after="0" w:line="218" w:lineRule="auto"/>
        <w:tabs>
          <w:tab w:leader="none" w:pos="760" w:val="left"/>
        </w:tabs>
        <w:numPr>
          <w:ilvl w:val="1"/>
          <w:numId w:val="27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20"/>
          <w:szCs w:val="20"/>
          <w:color w:val="auto"/>
        </w:rPr>
      </w:pPr>
    </w:p>
    <w:p>
      <w:pPr>
        <w:ind w:left="760" w:right="819" w:hanging="331"/>
        <w:spacing w:after="0" w:line="229" w:lineRule="auto"/>
        <w:tabs>
          <w:tab w:leader="none" w:pos="760" w:val="left"/>
        </w:tabs>
        <w:numPr>
          <w:ilvl w:val="1"/>
          <w:numId w:val="27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-6350</wp:posOffset>
            </wp:positionV>
            <wp:extent cx="27184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Christopher H. Franklin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Chairman, President and Chief Executive Officer</w:t>
      </w:r>
    </w:p>
    <w:p>
      <w:pPr>
        <w:ind w:left="100"/>
        <w:spacing w:after="0"/>
        <w:rPr>
          <w:sz w:val="20"/>
          <w:szCs w:val="20"/>
          <w:color w:val="auto"/>
        </w:rPr>
      </w:pPr>
      <w:r>
        <w:rPr>
          <w:rFonts w:ascii="Arial" w:cs="Arial" w:eastAsia="Arial" w:hAnsi="Arial"/>
          <w:sz w:val="20"/>
          <w:szCs w:val="20"/>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227965</wp:posOffset>
            </wp:positionV>
            <wp:extent cx="5642610" cy="514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0" w:name="page321"/>
    <w:bookmarkEnd w:id="320"/>
    <w:p>
      <w:pPr>
        <w:jc w:val="right"/>
        <w:ind w:right="99"/>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9"/>
          <w:szCs w:val="19"/>
          <w:color w:val="auto"/>
        </w:rPr>
        <w:t>CERTIFICATION OF CHIEF FINANCIAL OFFICER, PURSUANT TO RULE 13A-14(A) AS ADOPTED</w:t>
      </w:r>
    </w:p>
    <w:p>
      <w:pPr>
        <w:ind w:left="1960"/>
        <w:spacing w:after="0"/>
        <w:rPr>
          <w:sz w:val="20"/>
          <w:szCs w:val="20"/>
          <w:color w:val="auto"/>
        </w:rPr>
      </w:pPr>
      <w:r>
        <w:rPr>
          <w:rFonts w:ascii="Arial" w:cs="Arial" w:eastAsia="Arial" w:hAnsi="Arial"/>
          <w:sz w:val="20"/>
          <w:szCs w:val="20"/>
          <w:color w:val="auto"/>
        </w:rPr>
        <w:t>UNDER THE SECURITIES AND EXCHANGE ACT OF 1934</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 Daniel J. Schuller, certify that:</w:t>
      </w:r>
    </w:p>
    <w:p>
      <w:pPr>
        <w:spacing w:after="0" w:line="148" w:lineRule="exact"/>
        <w:rPr>
          <w:sz w:val="20"/>
          <w:szCs w:val="20"/>
          <w:color w:val="auto"/>
        </w:rPr>
      </w:pPr>
    </w:p>
    <w:p>
      <w:pPr>
        <w:ind w:left="420" w:hanging="315"/>
        <w:spacing w:after="0"/>
        <w:tabs>
          <w:tab w:leader="none" w:pos="42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Aqua America, Inc.;</w:t>
      </w:r>
    </w:p>
    <w:p>
      <w:pPr>
        <w:spacing w:after="0" w:line="148" w:lineRule="exact"/>
        <w:rPr>
          <w:rFonts w:ascii="Arial" w:cs="Arial" w:eastAsia="Arial" w:hAnsi="Arial"/>
          <w:sz w:val="20"/>
          <w:szCs w:val="20"/>
          <w:color w:val="auto"/>
        </w:rPr>
      </w:pPr>
    </w:p>
    <w:p>
      <w:pPr>
        <w:ind w:left="420" w:right="99" w:hanging="315"/>
        <w:spacing w:after="0" w:line="230" w:lineRule="auto"/>
        <w:tabs>
          <w:tab w:leader="none" w:pos="42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9"/>
          <w:szCs w:val="19"/>
          <w:color w:val="auto"/>
        </w:rPr>
      </w:pPr>
    </w:p>
    <w:p>
      <w:pPr>
        <w:ind w:left="420" w:right="259" w:hanging="315"/>
        <w:spacing w:after="0" w:line="218" w:lineRule="auto"/>
        <w:tabs>
          <w:tab w:leader="none" w:pos="42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20"/>
          <w:szCs w:val="20"/>
          <w:color w:val="auto"/>
        </w:rPr>
      </w:pPr>
    </w:p>
    <w:p>
      <w:pPr>
        <w:ind w:left="420" w:right="219" w:hanging="315"/>
        <w:spacing w:after="0" w:line="213" w:lineRule="auto"/>
        <w:tabs>
          <w:tab w:leader="none" w:pos="42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20"/>
          <w:szCs w:val="20"/>
          <w:color w:val="auto"/>
        </w:rPr>
      </w:pPr>
    </w:p>
    <w:p>
      <w:pPr>
        <w:ind w:left="760" w:right="259" w:hanging="331"/>
        <w:spacing w:after="0" w:line="224" w:lineRule="auto"/>
        <w:tabs>
          <w:tab w:leader="none" w:pos="760" w:val="left"/>
        </w:tabs>
        <w:numPr>
          <w:ilvl w:val="1"/>
          <w:numId w:val="27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760" w:right="259" w:hanging="331"/>
        <w:spacing w:after="0" w:line="224" w:lineRule="auto"/>
        <w:tabs>
          <w:tab w:leader="none" w:pos="760" w:val="left"/>
        </w:tabs>
        <w:numPr>
          <w:ilvl w:val="1"/>
          <w:numId w:val="27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jc w:val="both"/>
        <w:ind w:left="760" w:right="219" w:hanging="331"/>
        <w:spacing w:after="0" w:line="230" w:lineRule="auto"/>
        <w:tabs>
          <w:tab w:leader="none" w:pos="760" w:val="left"/>
        </w:tabs>
        <w:numPr>
          <w:ilvl w:val="1"/>
          <w:numId w:val="274"/>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9"/>
          <w:szCs w:val="19"/>
          <w:color w:val="auto"/>
        </w:rPr>
      </w:pPr>
    </w:p>
    <w:p>
      <w:pPr>
        <w:ind w:left="760" w:right="339" w:hanging="331"/>
        <w:spacing w:after="0" w:line="224" w:lineRule="auto"/>
        <w:tabs>
          <w:tab w:leader="none" w:pos="760" w:val="left"/>
        </w:tabs>
        <w:numPr>
          <w:ilvl w:val="1"/>
          <w:numId w:val="27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420" w:right="699" w:hanging="315"/>
        <w:spacing w:after="0" w:line="244" w:lineRule="auto"/>
        <w:tabs>
          <w:tab w:leader="none" w:pos="4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8"/>
          <w:szCs w:val="18"/>
          <w:color w:val="auto"/>
        </w:rPr>
      </w:pPr>
    </w:p>
    <w:p>
      <w:pPr>
        <w:ind w:left="760" w:right="179" w:hanging="331"/>
        <w:spacing w:after="0" w:line="218" w:lineRule="auto"/>
        <w:tabs>
          <w:tab w:leader="none" w:pos="760" w:val="left"/>
        </w:tabs>
        <w:numPr>
          <w:ilvl w:val="1"/>
          <w:numId w:val="27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20"/>
          <w:szCs w:val="20"/>
          <w:color w:val="auto"/>
        </w:rPr>
      </w:pPr>
    </w:p>
    <w:p>
      <w:pPr>
        <w:ind w:left="760" w:right="819" w:hanging="331"/>
        <w:spacing w:after="0" w:line="229" w:lineRule="auto"/>
        <w:tabs>
          <w:tab w:leader="none" w:pos="760" w:val="left"/>
        </w:tabs>
        <w:numPr>
          <w:ilvl w:val="1"/>
          <w:numId w:val="27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-6350</wp:posOffset>
            </wp:positionV>
            <wp:extent cx="30530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Daniel J. Schuller</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Executive Vice President and Chief Financial Officer</w:t>
      </w:r>
    </w:p>
    <w:p>
      <w:pPr>
        <w:ind w:left="100"/>
        <w:spacing w:after="0"/>
        <w:rPr>
          <w:sz w:val="20"/>
          <w:szCs w:val="20"/>
          <w:color w:val="auto"/>
        </w:rPr>
      </w:pPr>
      <w:r>
        <w:rPr>
          <w:rFonts w:ascii="Arial" w:cs="Arial" w:eastAsia="Arial" w:hAnsi="Arial"/>
          <w:sz w:val="20"/>
          <w:szCs w:val="20"/>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107950</wp:posOffset>
            </wp:positionV>
            <wp:extent cx="5642610" cy="514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1" w:name="page322"/>
    <w:bookmarkEnd w:id="321"/>
    <w:p>
      <w:pPr>
        <w:jc w:val="right"/>
        <w:ind w:right="99"/>
        <w:spacing w:after="0"/>
        <w:rPr>
          <w:sz w:val="20"/>
          <w:szCs w:val="20"/>
          <w:color w:val="auto"/>
        </w:rPr>
      </w:pPr>
      <w:r>
        <w:rPr>
          <w:rFonts w:ascii="Arial" w:cs="Arial" w:eastAsia="Arial" w:hAnsi="Arial"/>
          <w:sz w:val="20"/>
          <w:szCs w:val="20"/>
          <w:color w:val="auto"/>
        </w:rPr>
        <w:t>Exhibit 32.1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OF CHIEF EXECUTIVE OFFICER</w:t>
      </w:r>
    </w:p>
    <w:p>
      <w:pPr>
        <w:jc w:val="center"/>
        <w:spacing w:after="0"/>
        <w:rPr>
          <w:sz w:val="20"/>
          <w:szCs w:val="20"/>
          <w:color w:val="auto"/>
        </w:rPr>
      </w:pPr>
      <w:r>
        <w:rPr>
          <w:rFonts w:ascii="Arial" w:cs="Arial" w:eastAsia="Arial" w:hAnsi="Arial"/>
          <w:sz w:val="20"/>
          <w:szCs w:val="20"/>
          <w:color w:val="auto"/>
        </w:rPr>
        <w:t>PURSUANT TO 18 U.S.C. SECTION 1350</w:t>
      </w:r>
    </w:p>
    <w:p>
      <w:pPr>
        <w:spacing w:after="0" w:line="51" w:lineRule="exact"/>
        <w:rPr>
          <w:sz w:val="20"/>
          <w:szCs w:val="20"/>
          <w:color w:val="auto"/>
        </w:rPr>
      </w:pPr>
    </w:p>
    <w:p>
      <w:pPr>
        <w:ind w:left="100" w:right="119"/>
        <w:spacing w:after="0" w:line="201" w:lineRule="auto"/>
        <w:rPr>
          <w:sz w:val="20"/>
          <w:szCs w:val="20"/>
          <w:color w:val="auto"/>
        </w:rPr>
      </w:pPr>
      <w:r>
        <w:rPr>
          <w:rFonts w:ascii="Arial" w:cs="Arial" w:eastAsia="Arial" w:hAnsi="Arial"/>
          <w:sz w:val="18"/>
          <w:szCs w:val="18"/>
          <w:color w:val="auto"/>
        </w:rPr>
        <w:t>In connection with the Annual Report on Form 10-K for the year ended December 31, 2018 of Aqua America, Inc. (the “Company”) as filed with the Securities and Exchange Commission on the date hereof (the “Report”), I, Christopher H. Franklin, Chief Executive Officer of the Company, certify, pursuant to 18 U.S.C. Section 1350, as adopted pursuant to Section 906 of the Sarbanes-Oxley Act of 2002, that, to my knowledge:</w:t>
      </w:r>
    </w:p>
    <w:p>
      <w:pPr>
        <w:spacing w:after="0" w:line="49" w:lineRule="exact"/>
        <w:rPr>
          <w:sz w:val="20"/>
          <w:szCs w:val="20"/>
          <w:color w:val="auto"/>
        </w:rPr>
      </w:pPr>
    </w:p>
    <w:p>
      <w:pPr>
        <w:ind w:left="420" w:right="919" w:hanging="315"/>
        <w:spacing w:after="0" w:line="219" w:lineRule="auto"/>
        <w:tabs>
          <w:tab w:leader="none" w:pos="42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The Report of the Company fully complies with the requirements of section 13(a) or 15(d) of the Securities Exchange Act of 1934 (15 U.S.C. Section 78m(a) or Section 78o(d)); and</w:t>
      </w:r>
    </w:p>
    <w:p>
      <w:pPr>
        <w:spacing w:after="0" w:line="46" w:lineRule="exact"/>
        <w:rPr>
          <w:rFonts w:ascii="Arial" w:cs="Arial" w:eastAsia="Arial" w:hAnsi="Arial"/>
          <w:sz w:val="19"/>
          <w:szCs w:val="19"/>
          <w:color w:val="auto"/>
        </w:rPr>
      </w:pPr>
    </w:p>
    <w:p>
      <w:pPr>
        <w:ind w:left="420" w:right="119" w:hanging="315"/>
        <w:spacing w:after="0" w:line="208" w:lineRule="auto"/>
        <w:tabs>
          <w:tab w:leader="none" w:pos="42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-6350</wp:posOffset>
            </wp:positionV>
            <wp:extent cx="271843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Christopher H. Franklin</w:t>
      </w:r>
    </w:p>
    <w:p>
      <w:pPr>
        <w:ind w:left="100"/>
        <w:spacing w:after="0" w:line="227" w:lineRule="auto"/>
        <w:rPr>
          <w:sz w:val="20"/>
          <w:szCs w:val="20"/>
          <w:color w:val="auto"/>
        </w:rPr>
      </w:pPr>
      <w:r>
        <w:rPr>
          <w:rFonts w:ascii="Arial" w:cs="Arial" w:eastAsia="Arial" w:hAnsi="Arial"/>
          <w:sz w:val="20"/>
          <w:szCs w:val="20"/>
          <w:color w:val="auto"/>
        </w:rPr>
        <w:t>Chairman, President and Chief Executive Officer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210820</wp:posOffset>
            </wp:positionV>
            <wp:extent cx="5642610" cy="514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2" w:name="page323"/>
    <w:bookmarkEnd w:id="322"/>
    <w:p>
      <w:pPr>
        <w:ind w:left="7880"/>
        <w:spacing w:after="0"/>
        <w:rPr>
          <w:sz w:val="20"/>
          <w:szCs w:val="20"/>
          <w:color w:val="auto"/>
        </w:rPr>
      </w:pPr>
      <w:r>
        <w:rPr>
          <w:rFonts w:ascii="Arial" w:cs="Arial" w:eastAsia="Arial" w:hAnsi="Arial"/>
          <w:sz w:val="19"/>
          <w:szCs w:val="19"/>
          <w:color w:val="auto"/>
        </w:rPr>
        <w:t>Exhibit 32.2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OF CHIEF FINANCIAL OFFICER</w:t>
      </w:r>
    </w:p>
    <w:p>
      <w:pPr>
        <w:jc w:val="center"/>
        <w:spacing w:after="0"/>
        <w:rPr>
          <w:sz w:val="20"/>
          <w:szCs w:val="20"/>
          <w:color w:val="auto"/>
        </w:rPr>
      </w:pPr>
      <w:r>
        <w:rPr>
          <w:rFonts w:ascii="Arial" w:cs="Arial" w:eastAsia="Arial" w:hAnsi="Arial"/>
          <w:sz w:val="20"/>
          <w:szCs w:val="20"/>
          <w:color w:val="auto"/>
        </w:rPr>
        <w:t>PURSUANT TO 18 U.S.C. SECTION 1350</w:t>
      </w:r>
    </w:p>
    <w:p>
      <w:pPr>
        <w:spacing w:after="0" w:line="51" w:lineRule="exact"/>
        <w:rPr>
          <w:sz w:val="20"/>
          <w:szCs w:val="20"/>
          <w:color w:val="auto"/>
        </w:rPr>
      </w:pPr>
    </w:p>
    <w:p>
      <w:pPr>
        <w:ind w:left="100" w:right="119"/>
        <w:spacing w:after="0" w:line="185" w:lineRule="auto"/>
        <w:rPr>
          <w:sz w:val="20"/>
          <w:szCs w:val="20"/>
          <w:color w:val="auto"/>
        </w:rPr>
      </w:pPr>
      <w:r>
        <w:rPr>
          <w:rFonts w:ascii="Arial" w:cs="Arial" w:eastAsia="Arial" w:hAnsi="Arial"/>
          <w:sz w:val="19"/>
          <w:szCs w:val="19"/>
          <w:color w:val="auto"/>
        </w:rPr>
        <w:t>In connection with the Annual Report on Form 10-K for the year ended December 31, 2018 of Aqua America, Inc. (the “Company”) as filed with the Securities and Exchange Commission on the date hereof (the “Report”), I, Daniel J. Schuller, Executive Vice President and Chief Financial Officer of the Company, certify, pursuant to 18 U.S.C. Section 1350, as adopted pursuant to Section 906 of the Sarbanes-Oxley Act of 2002, that, to my knowledge:</w:t>
      </w:r>
    </w:p>
    <w:p>
      <w:pPr>
        <w:spacing w:after="0" w:line="49" w:lineRule="exact"/>
        <w:rPr>
          <w:sz w:val="20"/>
          <w:szCs w:val="20"/>
          <w:color w:val="auto"/>
        </w:rPr>
      </w:pPr>
    </w:p>
    <w:p>
      <w:pPr>
        <w:ind w:left="420" w:right="239" w:hanging="315"/>
        <w:spacing w:after="0" w:line="208" w:lineRule="auto"/>
        <w:tabs>
          <w:tab w:leader="none" w:pos="42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(15 U.S.C. Section 78m(a) or Section 78o(d)); and</w:t>
      </w:r>
    </w:p>
    <w:p>
      <w:pPr>
        <w:spacing w:after="0" w:line="47" w:lineRule="exact"/>
        <w:rPr>
          <w:rFonts w:ascii="Arial" w:cs="Arial" w:eastAsia="Arial" w:hAnsi="Arial"/>
          <w:sz w:val="20"/>
          <w:szCs w:val="20"/>
          <w:color w:val="auto"/>
        </w:rPr>
      </w:pPr>
    </w:p>
    <w:p>
      <w:pPr>
        <w:ind w:left="420" w:right="119" w:hanging="315"/>
        <w:spacing w:after="0" w:line="208" w:lineRule="auto"/>
        <w:tabs>
          <w:tab w:leader="none" w:pos="42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-6350</wp:posOffset>
            </wp:positionV>
            <wp:extent cx="30441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Daniel J. Schuller</w:t>
      </w:r>
    </w:p>
    <w:p>
      <w:pPr>
        <w:ind w:left="100"/>
        <w:spacing w:after="0" w:line="227" w:lineRule="auto"/>
        <w:rPr>
          <w:sz w:val="20"/>
          <w:szCs w:val="20"/>
          <w:color w:val="auto"/>
        </w:rPr>
      </w:pPr>
      <w:r>
        <w:rPr>
          <w:rFonts w:ascii="Arial" w:cs="Arial" w:eastAsia="Arial" w:hAnsi="Arial"/>
          <w:sz w:val="20"/>
          <w:szCs w:val="20"/>
          <w:color w:val="auto"/>
        </w:rPr>
        <w:t>Executive Vice President and Chief Financial Officer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210820</wp:posOffset>
            </wp:positionV>
            <wp:extent cx="5642610" cy="514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34C574C"/>
    <w:multiLevelType w:val="hybridMultilevel"/>
    <w:lvl w:ilvl="0">
      <w:lvlJc w:val="left"/>
      <w:lvlText w:val="þ"/>
      <w:numFmt w:val="bullet"/>
      <w:start w:val="1"/>
    </w:lvl>
  </w:abstractNum>
  <w:abstractNum w:abstractNumId="1">
    <w:nsid w:val="24E99DD7"/>
    <w:multiLevelType w:val="hybridMultilevel"/>
    <w:lvl w:ilvl="0">
      <w:lvlJc w:val="left"/>
      <w:lvlText w:val="¨"/>
      <w:numFmt w:val="bullet"/>
      <w:start w:val="1"/>
    </w:lvl>
  </w:abstractNum>
  <w:abstractNum w:abstractNumId="2">
    <w:nsid w:val="2A31B62D"/>
    <w:multiLevelType w:val="hybridMultilevel"/>
    <w:lvl w:ilvl="0">
      <w:lvlJc w:val="left"/>
      <w:lvlText w:val="☑"/>
      <w:numFmt w:val="bullet"/>
      <w:start w:val="1"/>
    </w:lvl>
  </w:abstractNum>
  <w:abstractNum w:abstractNumId="3">
    <w:nsid w:val="1849C29B"/>
    <w:multiLevelType w:val="hybridMultilevel"/>
    <w:lvl w:ilvl="0">
      <w:lvlJc w:val="left"/>
      <w:lvlText w:val="☐"/>
      <w:numFmt w:val="bullet"/>
      <w:start w:val="1"/>
    </w:lvl>
  </w:abstractNum>
  <w:abstractNum w:abstractNumId="4">
    <w:nsid w:val="7DFF9D09"/>
    <w:multiLevelType w:val="hybridMultilevel"/>
    <w:lvl w:ilvl="0">
      <w:lvlJc w:val="left"/>
      <w:lvlText w:val="☑"/>
      <w:numFmt w:val="bullet"/>
      <w:start w:val="1"/>
    </w:lvl>
  </w:abstractNum>
  <w:abstractNum w:abstractNumId="5">
    <w:nsid w:val="754342"/>
    <w:multiLevelType w:val="hybridMultilevel"/>
    <w:lvl w:ilvl="0">
      <w:lvlJc w:val="left"/>
      <w:lvlText w:val="(%1)"/>
      <w:numFmt w:val="decimal"/>
      <w:start w:val="1"/>
    </w:lvl>
  </w:abstractNum>
  <w:abstractNum w:abstractNumId="6">
    <w:nsid w:val="69E7F3E5"/>
    <w:multiLevelType w:val="hybridMultilevel"/>
    <w:lvl w:ilvl="0">
      <w:lvlJc w:val="left"/>
      <w:lvlText w:val="·"/>
      <w:numFmt w:val="bullet"/>
      <w:start w:val="1"/>
    </w:lvl>
  </w:abstractNum>
  <w:abstractNum w:abstractNumId="7">
    <w:nsid w:val="2A6DE806"/>
    <w:multiLevelType w:val="hybridMultilevel"/>
    <w:lvl w:ilvl="0">
      <w:lvlJc w:val="left"/>
      <w:lvlText w:val="·"/>
      <w:numFmt w:val="bullet"/>
      <w:start w:val="1"/>
    </w:lvl>
  </w:abstractNum>
  <w:abstractNum w:abstractNumId="8">
    <w:nsid w:val="1816F8C4"/>
    <w:multiLevelType w:val="hybridMultilevel"/>
    <w:lvl w:ilvl="0">
      <w:lvlJc w:val="left"/>
      <w:lvlText w:val="·"/>
      <w:numFmt w:val="bullet"/>
      <w:start w:val="1"/>
    </w:lvl>
  </w:abstractNum>
  <w:abstractNum w:abstractNumId="9">
    <w:nsid w:val="37DF2233"/>
    <w:multiLevelType w:val="hybridMultilevel"/>
    <w:lvl w:ilvl="0">
      <w:lvlJc w:val="left"/>
      <w:lvlText w:val="·"/>
      <w:numFmt w:val="bullet"/>
      <w:start w:val="1"/>
    </w:lvl>
  </w:abstractNum>
  <w:abstractNum w:abstractNumId="10">
    <w:nsid w:val="7AB49DAF"/>
    <w:multiLevelType w:val="hybridMultilevel"/>
    <w:lvl w:ilvl="0">
      <w:lvlJc w:val="left"/>
      <w:lvlText w:val="·"/>
      <w:numFmt w:val="bullet"/>
      <w:start w:val="1"/>
    </w:lvl>
  </w:abstractNum>
  <w:abstractNum w:abstractNumId="11">
    <w:nsid w:val="759F82CD"/>
    <w:multiLevelType w:val="hybridMultilevel"/>
    <w:lvl w:ilvl="0">
      <w:lvlJc w:val="left"/>
      <w:lvlText w:val="A"/>
      <w:numFmt w:val="bullet"/>
      <w:start w:val="1"/>
    </w:lvl>
  </w:abstractNum>
  <w:abstractNum w:abstractNumId="12">
    <w:nsid w:val="61E74EA3"/>
    <w:multiLevelType w:val="hybridMultilevel"/>
    <w:lvl w:ilvl="0">
      <w:lvlJc w:val="left"/>
      <w:lvlText w:val="·"/>
      <w:numFmt w:val="bullet"/>
      <w:start w:val="1"/>
    </w:lvl>
  </w:abstractNum>
  <w:abstractNum w:abstractNumId="13">
    <w:nsid w:val="597B4D84"/>
    <w:multiLevelType w:val="hybridMultilevel"/>
    <w:lvl w:ilvl="0">
      <w:lvlJc w:val="left"/>
      <w:lvlText w:val="·"/>
      <w:numFmt w:val="bullet"/>
      <w:start w:val="1"/>
    </w:lvl>
  </w:abstractNum>
  <w:abstractNum w:abstractNumId="14">
    <w:nsid w:val="F819E7F"/>
    <w:multiLevelType w:val="hybridMultilevel"/>
    <w:lvl w:ilvl="0">
      <w:lvlJc w:val="left"/>
      <w:lvlText w:val="·"/>
      <w:numFmt w:val="bullet"/>
      <w:start w:val="1"/>
    </w:lvl>
  </w:abstractNum>
  <w:abstractNum w:abstractNumId="15">
    <w:nsid w:val="57C7D42D"/>
    <w:multiLevelType w:val="hybridMultilevel"/>
    <w:lvl w:ilvl="0">
      <w:lvlJc w:val="left"/>
      <w:lvlText w:val="·"/>
      <w:numFmt w:val="bullet"/>
      <w:start w:val="1"/>
    </w:lvl>
  </w:abstractNum>
  <w:abstractNum w:abstractNumId="16">
    <w:nsid w:val="312167AD"/>
    <w:multiLevelType w:val="hybridMultilevel"/>
    <w:lvl w:ilvl="0">
      <w:lvlJc w:val="left"/>
      <w:lvlText w:val="·"/>
      <w:numFmt w:val="bullet"/>
      <w:start w:val="1"/>
    </w:lvl>
  </w:abstractNum>
  <w:abstractNum w:abstractNumId="17">
    <w:nsid w:val="631B64D4"/>
    <w:multiLevelType w:val="hybridMultilevel"/>
    <w:lvl w:ilvl="0">
      <w:lvlJc w:val="left"/>
      <w:lvlText w:val="·"/>
      <w:numFmt w:val="bullet"/>
      <w:start w:val="1"/>
    </w:lvl>
  </w:abstractNum>
  <w:abstractNum w:abstractNumId="18">
    <w:nsid w:val="78B5E776"/>
    <w:multiLevelType w:val="hybridMultilevel"/>
    <w:lvl w:ilvl="0">
      <w:lvlJc w:val="left"/>
      <w:lvlText w:val="·"/>
      <w:numFmt w:val="bullet"/>
      <w:start w:val="1"/>
    </w:lvl>
  </w:abstractNum>
  <w:abstractNum w:abstractNumId="19">
    <w:nsid w:val="75486E47"/>
    <w:multiLevelType w:val="hybridMultilevel"/>
    <w:lvl w:ilvl="0">
      <w:lvlJc w:val="left"/>
      <w:lvlText w:val="·"/>
      <w:numFmt w:val="bullet"/>
      <w:start w:val="1"/>
    </w:lvl>
  </w:abstractNum>
  <w:abstractNum w:abstractNumId="20">
    <w:nsid w:val="6E534CDE"/>
    <w:multiLevelType w:val="hybridMultilevel"/>
    <w:lvl w:ilvl="0">
      <w:lvlJc w:val="left"/>
      <w:lvlText w:val="·"/>
      <w:numFmt w:val="bullet"/>
      <w:start w:val="1"/>
    </w:lvl>
  </w:abstractNum>
  <w:abstractNum w:abstractNumId="21">
    <w:nsid w:val="1A0DDE32"/>
    <w:multiLevelType w:val="hybridMultilevel"/>
    <w:lvl w:ilvl="0">
      <w:lvlJc w:val="left"/>
      <w:lvlText w:val="(%1)"/>
      <w:numFmt w:val="decimal"/>
      <w:start w:val="1"/>
    </w:lvl>
  </w:abstractNum>
  <w:abstractNum w:abstractNumId="22">
    <w:nsid w:val="65968C1C"/>
    <w:multiLevelType w:val="hybridMultilevel"/>
    <w:lvl w:ilvl="0">
      <w:lvlJc w:val="left"/>
      <w:lvlText w:val="(%1)"/>
      <w:numFmt w:val="decimal"/>
      <w:start w:val="1"/>
    </w:lvl>
  </w:abstractNum>
  <w:abstractNum w:abstractNumId="23">
    <w:nsid w:val="46263DEC"/>
    <w:multiLevelType w:val="hybridMultilevel"/>
    <w:lvl w:ilvl="0">
      <w:lvlJc w:val="left"/>
      <w:lvlText w:val="·"/>
      <w:numFmt w:val="bullet"/>
      <w:start w:val="1"/>
    </w:lvl>
  </w:abstractNum>
  <w:abstractNum w:abstractNumId="24">
    <w:nsid w:val="260D8C4A"/>
    <w:multiLevelType w:val="hybridMultilevel"/>
    <w:lvl w:ilvl="0">
      <w:lvlJc w:val="left"/>
      <w:lvlText w:val="·"/>
      <w:numFmt w:val="bullet"/>
      <w:start w:val="1"/>
    </w:lvl>
  </w:abstractNum>
  <w:abstractNum w:abstractNumId="25">
    <w:nsid w:val="73D4D3C4"/>
    <w:multiLevelType w:val="hybridMultilevel"/>
    <w:lvl w:ilvl="0">
      <w:lvlJc w:val="left"/>
      <w:lvlText w:val="·"/>
      <w:numFmt w:val="bullet"/>
      <w:start w:val="1"/>
    </w:lvl>
  </w:abstractNum>
  <w:abstractNum w:abstractNumId="26">
    <w:nsid w:val="746F2E30"/>
    <w:multiLevelType w:val="hybridMultilevel"/>
    <w:lvl w:ilvl="0">
      <w:lvlJc w:val="left"/>
      <w:lvlText w:val="·"/>
      <w:numFmt w:val="bullet"/>
      <w:start w:val="1"/>
    </w:lvl>
  </w:abstractNum>
  <w:abstractNum w:abstractNumId="27">
    <w:nsid w:val="6FDE8AF6"/>
    <w:multiLevelType w:val="hybridMultilevel"/>
    <w:lvl w:ilvl="0">
      <w:lvlJc w:val="left"/>
      <w:lvlText w:val="·"/>
      <w:numFmt w:val="bullet"/>
      <w:start w:val="1"/>
    </w:lvl>
  </w:abstractNum>
  <w:abstractNum w:abstractNumId="28">
    <w:nsid w:val="3FC32E20"/>
    <w:multiLevelType w:val="hybridMultilevel"/>
    <w:lvl w:ilvl="0">
      <w:lvlJc w:val="left"/>
      <w:lvlText w:val="·"/>
      <w:numFmt w:val="bullet"/>
      <w:start w:val="1"/>
    </w:lvl>
  </w:abstractNum>
  <w:abstractNum w:abstractNumId="29">
    <w:nsid w:val="49C0E823"/>
    <w:multiLevelType w:val="hybridMultilevel"/>
    <w:lvl w:ilvl="0">
      <w:lvlJc w:val="left"/>
      <w:lvlText w:val="·"/>
      <w:numFmt w:val="bullet"/>
      <w:start w:val="1"/>
    </w:lvl>
  </w:abstractNum>
  <w:abstractNum w:abstractNumId="30">
    <w:nsid w:val="14D53685"/>
    <w:multiLevelType w:val="hybridMultilevel"/>
    <w:lvl w:ilvl="0">
      <w:lvlJc w:val="left"/>
      <w:lvlText w:val="·"/>
      <w:numFmt w:val="bullet"/>
      <w:start w:val="1"/>
    </w:lvl>
  </w:abstractNum>
  <w:abstractNum w:abstractNumId="31">
    <w:nsid w:val="230F856C"/>
    <w:multiLevelType w:val="hybridMultilevel"/>
    <w:lvl w:ilvl="0">
      <w:lvlJc w:val="left"/>
      <w:lvlText w:val="(%1)"/>
      <w:numFmt w:val="decimal"/>
      <w:start w:val="1"/>
    </w:lvl>
  </w:abstractNum>
  <w:abstractNum w:abstractNumId="32">
    <w:nsid w:val="6EAA85FB"/>
    <w:multiLevelType w:val="hybridMultilevel"/>
    <w:lvl w:ilvl="0">
      <w:lvlJc w:val="left"/>
      <w:lvlText w:val="·"/>
      <w:numFmt w:val="bullet"/>
      <w:start w:val="1"/>
    </w:lvl>
  </w:abstractNum>
  <w:abstractNum w:abstractNumId="33">
    <w:nsid w:val="3F06ECB2"/>
    <w:multiLevelType w:val="hybridMultilevel"/>
    <w:lvl w:ilvl="0">
      <w:lvlJc w:val="left"/>
      <w:lvlText w:val="·"/>
      <w:numFmt w:val="bullet"/>
      <w:start w:val="1"/>
    </w:lvl>
  </w:abstractNum>
  <w:abstractNum w:abstractNumId="34">
    <w:nsid w:val="3B594807"/>
    <w:multiLevelType w:val="hybridMultilevel"/>
    <w:lvl w:ilvl="0">
      <w:lvlJc w:val="left"/>
      <w:lvlText w:val="·"/>
      <w:numFmt w:val="bullet"/>
      <w:start w:val="1"/>
    </w:lvl>
  </w:abstractNum>
  <w:abstractNum w:abstractNumId="35">
    <w:nsid w:val="6CAA2304"/>
    <w:multiLevelType w:val="hybridMultilevel"/>
    <w:lvl w:ilvl="0">
      <w:lvlJc w:val="left"/>
      <w:lvlText w:val="%1"/>
      <w:numFmt w:val="decimal"/>
      <w:start w:val="163"/>
    </w:lvl>
  </w:abstractNum>
  <w:abstractNum w:abstractNumId="36">
    <w:nsid w:val="3F7C2FF4"/>
    <w:multiLevelType w:val="hybridMultilevel"/>
    <w:lvl w:ilvl="0">
      <w:lvlJc w:val="left"/>
      <w:lvlText w:val="(%1)"/>
      <w:numFmt w:val="decimal"/>
      <w:start w:val="116"/>
    </w:lvl>
  </w:abstractNum>
  <w:abstractNum w:abstractNumId="37">
    <w:nsid w:val="25413BEC"/>
    <w:multiLevelType w:val="hybridMultilevel"/>
    <w:lvl w:ilvl="0">
      <w:lvlJc w:val="left"/>
      <w:lvlText w:val="(%1)"/>
      <w:numFmt w:val="decimal"/>
      <w:start w:val="573"/>
    </w:lvl>
  </w:abstractNum>
  <w:abstractNum w:abstractNumId="38">
    <w:nsid w:val="17180B0B"/>
    <w:multiLevelType w:val="hybridMultilevel"/>
    <w:lvl w:ilvl="0">
      <w:lvlJc w:val="left"/>
      <w:lvlText w:val="·"/>
      <w:numFmt w:val="bullet"/>
      <w:start w:val="1"/>
    </w:lvl>
  </w:abstractNum>
  <w:abstractNum w:abstractNumId="39">
    <w:nsid w:val="579328B9"/>
    <w:multiLevelType w:val="hybridMultilevel"/>
    <w:lvl w:ilvl="0">
      <w:lvlJc w:val="left"/>
      <w:lvlText w:val="·"/>
      <w:numFmt w:val="bullet"/>
      <w:start w:val="1"/>
    </w:lvl>
  </w:abstractNum>
  <w:abstractNum w:abstractNumId="40">
    <w:nsid w:val="5D205E20"/>
    <w:multiLevelType w:val="hybridMultilevel"/>
    <w:lvl w:ilvl="0">
      <w:lvlJc w:val="left"/>
      <w:lvlText w:val="·"/>
      <w:numFmt w:val="bullet"/>
      <w:start w:val="1"/>
    </w:lvl>
  </w:abstractNum>
  <w:abstractNum w:abstractNumId="41">
    <w:nsid w:val="11CCA8BA"/>
    <w:multiLevelType w:val="hybridMultilevel"/>
    <w:lvl w:ilvl="0">
      <w:lvlJc w:val="left"/>
      <w:lvlText w:val="(%1)"/>
      <w:numFmt w:val="decimal"/>
      <w:start w:val="1"/>
    </w:lvl>
  </w:abstractNum>
  <w:abstractNum w:abstractNumId="42">
    <w:nsid w:val="4D32AB86"/>
    <w:multiLevelType w:val="hybridMultilevel"/>
    <w:lvl w:ilvl="0">
      <w:lvlJc w:val="left"/>
      <w:lvlText w:val="(%1)"/>
      <w:numFmt w:val="decimal"/>
      <w:start w:val="1"/>
    </w:lvl>
  </w:abstractNum>
  <w:abstractNum w:abstractNumId="43">
    <w:nsid w:val="3F07ACC3"/>
    <w:multiLevelType w:val="hybridMultilevel"/>
    <w:lvl w:ilvl="0">
      <w:lvlJc w:val="left"/>
      <w:lvlText w:val="-"/>
      <w:numFmt w:val="bullet"/>
      <w:start w:val="1"/>
    </w:lvl>
  </w:abstractNum>
  <w:abstractNum w:abstractNumId="44">
    <w:nsid w:val="6B47F63E"/>
    <w:multiLevelType w:val="hybridMultilevel"/>
    <w:lvl w:ilvl="0">
      <w:lvlJc w:val="left"/>
      <w:lvlText w:val="(%1)"/>
      <w:numFmt w:val="decimal"/>
      <w:start w:val="1"/>
    </w:lvl>
  </w:abstractNum>
  <w:abstractNum w:abstractNumId="45">
    <w:nsid w:val="5CB44A05"/>
    <w:multiLevelType w:val="hybridMultilevel"/>
    <w:lvl w:ilvl="0">
      <w:lvlJc w:val="left"/>
      <w:lvlText w:val="·"/>
      <w:numFmt w:val="bullet"/>
      <w:start w:val="1"/>
    </w:lvl>
  </w:abstractNum>
  <w:abstractNum w:abstractNumId="46">
    <w:nsid w:val="16CF80F1"/>
    <w:multiLevelType w:val="hybridMultilevel"/>
    <w:lvl w:ilvl="0">
      <w:lvlJc w:val="left"/>
      <w:lvlText w:val="·"/>
      <w:numFmt w:val="bullet"/>
      <w:start w:val="1"/>
    </w:lvl>
  </w:abstractNum>
  <w:abstractNum w:abstractNumId="47">
    <w:nsid w:val="1C695DEC"/>
    <w:multiLevelType w:val="hybridMultilevel"/>
    <w:lvl w:ilvl="0">
      <w:lvlJc w:val="left"/>
      <w:lvlText w:val="·"/>
      <w:numFmt w:val="bullet"/>
      <w:start w:val="1"/>
    </w:lvl>
  </w:abstractNum>
  <w:abstractNum w:abstractNumId="48">
    <w:nsid w:val="3FCFAED9"/>
    <w:multiLevelType w:val="hybridMultilevel"/>
    <w:lvl w:ilvl="0">
      <w:lvlJc w:val="left"/>
      <w:lvlText w:val="·"/>
      <w:numFmt w:val="bullet"/>
      <w:start w:val="1"/>
    </w:lvl>
  </w:abstractNum>
  <w:abstractNum w:abstractNumId="49">
    <w:nsid w:val="F856867"/>
    <w:multiLevelType w:val="hybridMultilevel"/>
    <w:lvl w:ilvl="0">
      <w:lvlJc w:val="left"/>
      <w:lvlText w:val="(%1)"/>
      <w:numFmt w:val="lowerLetter"/>
      <w:start w:val="1"/>
    </w:lvl>
  </w:abstractNum>
  <w:abstractNum w:abstractNumId="50">
    <w:nsid w:val="11B1CC33"/>
    <w:multiLevelType w:val="hybridMultilevel"/>
    <w:lvl w:ilvl="0">
      <w:lvlJc w:val="left"/>
      <w:lvlText w:val="(%1)"/>
      <w:numFmt w:val="lowerLetter"/>
      <w:start w:val="1"/>
    </w:lvl>
  </w:abstractNum>
  <w:abstractNum w:abstractNumId="51">
    <w:nsid w:val="2E22FBB7"/>
    <w:multiLevelType w:val="hybridMultilevel"/>
    <w:lvl w:ilvl="0">
      <w:lvlJc w:val="left"/>
      <w:lvlText w:val="·"/>
      <w:numFmt w:val="bullet"/>
      <w:start w:val="1"/>
    </w:lvl>
  </w:abstractNum>
  <w:abstractNum w:abstractNumId="52">
    <w:nsid w:val="29934699"/>
    <w:multiLevelType w:val="hybridMultilevel"/>
    <w:lvl w:ilvl="0">
      <w:lvlJc w:val="left"/>
      <w:lvlText w:val="·"/>
      <w:numFmt w:val="bullet"/>
      <w:start w:val="1"/>
    </w:lvl>
    <w:lvl w:ilvl="1">
      <w:lvlJc w:val="left"/>
      <w:lvlText w:val="o"/>
      <w:numFmt w:val="bullet"/>
      <w:start w:val="1"/>
    </w:lvl>
  </w:abstractNum>
  <w:abstractNum w:abstractNumId="53">
    <w:nsid w:val="77485850"/>
    <w:multiLevelType w:val="hybridMultilevel"/>
    <w:lvl w:ilvl="0">
      <w:lvlJc w:val="left"/>
      <w:lvlText w:val="(%1)"/>
      <w:numFmt w:val="lowerLetter"/>
      <w:start w:val="1"/>
    </w:lvl>
  </w:abstractNum>
  <w:abstractNum w:abstractNumId="54">
    <w:nsid w:val="744939A3"/>
    <w:multiLevelType w:val="hybridMultilevel"/>
    <w:lvl w:ilvl="0">
      <w:lvlJc w:val="left"/>
      <w:lvlText w:val="(%1)"/>
      <w:numFmt w:val="lowerLetter"/>
      <w:start w:val="35"/>
    </w:lvl>
  </w:abstractNum>
  <w:abstractNum w:abstractNumId="55">
    <w:nsid w:val="4FA0D2E3"/>
    <w:multiLevelType w:val="hybridMultilevel"/>
    <w:lvl w:ilvl="0">
      <w:lvlJc w:val="left"/>
      <w:lvlText w:val="(%1)"/>
      <w:numFmt w:val="lowerLetter"/>
      <w:start w:val="2"/>
    </w:lvl>
  </w:abstractNum>
  <w:abstractNum w:abstractNumId="56">
    <w:nsid w:val="6B1D2C14"/>
    <w:multiLevelType w:val="hybridMultilevel"/>
    <w:lvl w:ilvl="0">
      <w:lvlJc w:val="left"/>
      <w:lvlText w:val="(%1)"/>
      <w:numFmt w:val="decimal"/>
      <w:start w:val="1"/>
    </w:lvl>
  </w:abstractNum>
  <w:abstractNum w:abstractNumId="57">
    <w:nsid w:val="68B867D3"/>
    <w:multiLevelType w:val="hybridMultilevel"/>
    <w:lvl w:ilvl="0">
      <w:lvlJc w:val="left"/>
      <w:lvlText w:val="(%1)"/>
      <w:numFmt w:val="lowerLetter"/>
      <w:start w:val="3"/>
    </w:lvl>
  </w:abstractNum>
  <w:abstractNum w:abstractNumId="58">
    <w:nsid w:val="3F7F5DD9"/>
    <w:multiLevelType w:val="hybridMultilevel"/>
    <w:lvl w:ilvl="0">
      <w:lvlJc w:val="left"/>
      <w:lvlText w:val="(%1)"/>
      <w:numFmt w:val="decimal"/>
      <w:start w:val="1"/>
    </w:lvl>
  </w:abstractNum>
  <w:abstractNum w:abstractNumId="59">
    <w:nsid w:val="2AE05A34"/>
    <w:multiLevelType w:val="hybridMultilevel"/>
    <w:lvl w:ilvl="0">
      <w:lvlJc w:val="left"/>
      <w:lvlText w:val="(%1)"/>
      <w:numFmt w:val="decimal"/>
      <w:start w:val="1"/>
    </w:lvl>
  </w:abstractNum>
  <w:abstractNum w:abstractNumId="60">
    <w:nsid w:val="32794FF7"/>
    <w:multiLevelType w:val="hybridMultilevel"/>
    <w:lvl w:ilvl="0">
      <w:lvlJc w:val="left"/>
      <w:lvlText w:val="^"/>
      <w:numFmt w:val="bullet"/>
      <w:start w:val="1"/>
    </w:lvl>
  </w:abstractNum>
  <w:abstractNum w:abstractNumId="61">
    <w:nsid w:val="5454945E"/>
    <w:multiLevelType w:val="hybridMultilevel"/>
    <w:lvl w:ilvl="0">
      <w:lvlJc w:val="left"/>
      <w:lvlText w:val="%1."/>
      <w:numFmt w:val="decimal"/>
      <w:start w:val="1"/>
    </w:lvl>
  </w:abstractNum>
  <w:abstractNum w:abstractNumId="62">
    <w:nsid w:val="4DEFDFA0"/>
    <w:multiLevelType w:val="hybridMultilevel"/>
    <w:lvl w:ilvl="0">
      <w:lvlJc w:val="left"/>
      <w:lvlText w:val="(%1)"/>
      <w:numFmt w:val="lowerRoman"/>
      <w:start w:val="2"/>
    </w:lvl>
  </w:abstractNum>
  <w:abstractNum w:abstractNumId="63">
    <w:nsid w:val="2123D5F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4">
    <w:nsid w:val="135B8110"/>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1"/>
    </w:lvl>
  </w:abstractNum>
  <w:abstractNum w:abstractNumId="65">
    <w:nsid w:val="94927A8"/>
    <w:multiLevelType w:val="hybridMultilevel"/>
    <w:lvl w:ilvl="0">
      <w:lvlJc w:val="left"/>
      <w:lvlText w:val="(%1)"/>
      <w:numFmt w:val="lowerLetter"/>
      <w:start w:val="3"/>
    </w:lvl>
  </w:abstractNum>
  <w:abstractNum w:abstractNumId="66">
    <w:nsid w:val="DCDF8F6"/>
    <w:multiLevelType w:val="hybridMultilevel"/>
    <w:lvl w:ilvl="0">
      <w:lvlJc w:val="left"/>
      <w:lvlText w:val="(%1)"/>
      <w:numFmt w:val="lowerLetter"/>
      <w:start w:val="2"/>
    </w:lvl>
  </w:abstractNum>
  <w:abstractNum w:abstractNumId="67">
    <w:nsid w:val="52D7B105"/>
    <w:multiLevelType w:val="hybridMultilevel"/>
    <w:lvl w:ilvl="0">
      <w:lvlJc w:val="left"/>
      <w:lvlText w:val="(%1)"/>
      <w:numFmt w:val="lowerLetter"/>
      <w:start w:val="2"/>
    </w:lvl>
  </w:abstractNum>
  <w:abstractNum w:abstractNumId="68">
    <w:nsid w:val="2E8A6394"/>
    <w:multiLevelType w:val="hybridMultilevel"/>
    <w:lvl w:ilvl="0">
      <w:lvlJc w:val="left"/>
      <w:lvlText w:val="(%1)"/>
      <w:numFmt w:val="lowerRoman"/>
      <w:start w:val="2"/>
    </w:lvl>
  </w:abstractNum>
  <w:abstractNum w:abstractNumId="69">
    <w:nsid w:val="24E60401"/>
    <w:multiLevelType w:val="hybridMultilevel"/>
    <w:lvl w:ilvl="0">
      <w:lvlJc w:val="left"/>
      <w:lvlText w:val="%1"/>
      <w:numFmt w:val="upperLetter"/>
      <w:start w:val="1"/>
    </w:lvl>
    <w:lvl w:ilvl="1">
      <w:lvlJc w:val="left"/>
      <w:lvlText w:val="(%2)"/>
      <w:numFmt w:val="lowerRoman"/>
      <w:start w:val="1"/>
    </w:lvl>
  </w:abstractNum>
  <w:abstractNum w:abstractNumId="70">
    <w:nsid w:val="2A6AD9BE"/>
    <w:multiLevelType w:val="hybridMultilevel"/>
    <w:lvl w:ilvl="0">
      <w:lvlJc w:val="left"/>
      <w:lvlText w:val="(%1)"/>
      <w:numFmt w:val="upperLetter"/>
      <w:start w:val="2"/>
    </w:lvl>
    <w:lvl w:ilvl="1">
      <w:lvlJc w:val="left"/>
      <w:lvlText w:val="(%2)"/>
      <w:numFmt w:val="lowerRoman"/>
      <w:start w:val="2"/>
    </w:lvl>
  </w:abstractNum>
  <w:abstractNum w:abstractNumId="71">
    <w:nsid w:val="BAAC1B4"/>
    <w:multiLevelType w:val="hybridMultilevel"/>
    <w:lvl w:ilvl="0">
      <w:lvlJc w:val="left"/>
      <w:lvlText w:val="(%1)"/>
      <w:numFmt w:val="lowerLetter"/>
      <w:start w:val="1"/>
    </w:lvl>
  </w:abstractNum>
  <w:abstractNum w:abstractNumId="72">
    <w:nsid w:val="36B2ACBC"/>
    <w:multiLevelType w:val="hybridMultilevel"/>
    <w:lvl w:ilvl="0">
      <w:lvlJc w:val="left"/>
      <w:lvlText w:val="(%1)"/>
      <w:numFmt w:val="lowerLetter"/>
      <w:start w:val="2"/>
    </w:lvl>
  </w:abstractNum>
  <w:abstractNum w:abstractNumId="73">
    <w:nsid w:val="779D8544"/>
    <w:multiLevelType w:val="hybridMultilevel"/>
    <w:lvl w:ilvl="0">
      <w:lvlJc w:val="left"/>
      <w:lvlText w:val="(%1)"/>
      <w:numFmt w:val="lowerLetter"/>
      <w:start w:val="1"/>
    </w:lvl>
  </w:abstractNum>
  <w:abstractNum w:abstractNumId="74">
    <w:nsid w:val="4AB26E78"/>
    <w:multiLevelType w:val="hybridMultilevel"/>
    <w:lvl w:ilvl="0">
      <w:lvlJc w:val="left"/>
      <w:lvlText w:val="(%1)"/>
      <w:numFmt w:val="lowerLetter"/>
      <w:start w:val="5"/>
    </w:lvl>
    <w:lvl w:ilvl="1">
      <w:lvlJc w:val="left"/>
      <w:lvlText w:val="(%2)"/>
      <w:numFmt w:val="lowerLetter"/>
      <w:start w:val="6"/>
    </w:lvl>
  </w:abstractNum>
  <w:abstractNum w:abstractNumId="75">
    <w:nsid w:val="21FAA2FA"/>
    <w:multiLevelType w:val="hybridMultilevel"/>
    <w:lvl w:ilvl="0">
      <w:lvlJc w:val="left"/>
      <w:lvlText w:val="(%1)"/>
      <w:numFmt w:val="lowerLetter"/>
      <w:start w:val="1"/>
    </w:lvl>
    <w:lvl w:ilvl="1">
      <w:lvlJc w:val="left"/>
      <w:lvlText w:val="(%2)"/>
      <w:numFmt w:val="lowerLetter"/>
      <w:start w:val="9"/>
    </w:lvl>
  </w:abstractNum>
  <w:abstractNum w:abstractNumId="76">
    <w:nsid w:val="5451CF49"/>
    <w:multiLevelType w:val="hybridMultilevel"/>
    <w:lvl w:ilvl="0">
      <w:lvlJc w:val="left"/>
      <w:lvlText w:val="(%1)"/>
      <w:numFmt w:val="lowerRoman"/>
      <w:start w:val="2"/>
    </w:lvl>
  </w:abstractNum>
  <w:abstractNum w:abstractNumId="77">
    <w:nsid w:val="6181EF69"/>
    <w:multiLevelType w:val="hybridMultilevel"/>
    <w:lvl w:ilvl="0">
      <w:lvlJc w:val="left"/>
      <w:lvlText w:val="(%1)"/>
      <w:numFmt w:val="lowerLetter"/>
      <w:start w:val="2"/>
    </w:lvl>
    <w:lvl w:ilvl="1">
      <w:lvlJc w:val="left"/>
      <w:lvlText w:val="(%2)"/>
      <w:numFmt w:val="lowerLetter"/>
      <w:start w:val="9"/>
    </w:lvl>
  </w:abstractNum>
  <w:abstractNum w:abstractNumId="78">
    <w:nsid w:val="3E6400E6"/>
    <w:multiLevelType w:val="hybridMultilevel"/>
    <w:lvl w:ilvl="0">
      <w:lvlJc w:val="left"/>
      <w:lvlText w:val="(%1)"/>
      <w:numFmt w:val="lowerRoman"/>
      <w:start w:val="2"/>
    </w:lvl>
  </w:abstractNum>
  <w:abstractNum w:abstractNumId="79">
    <w:nsid w:val="14217E23"/>
    <w:multiLevelType w:val="hybridMultilevel"/>
    <w:lvl w:ilvl="0">
      <w:lvlJc w:val="left"/>
      <w:lvlText w:val="%1"/>
      <w:numFmt w:val="lowerLetter"/>
      <w:start w:val="1"/>
    </w:lvl>
    <w:lvl w:ilvl="1">
      <w:lvlJc w:val="left"/>
      <w:lvlText w:val="(%2)"/>
      <w:numFmt w:val="lowerLetter"/>
      <w:start w:val="3"/>
    </w:lvl>
  </w:abstractNum>
  <w:abstractNum w:abstractNumId="80">
    <w:nsid w:val="710757D0"/>
    <w:multiLevelType w:val="hybridMultilevel"/>
    <w:lvl w:ilvl="0">
      <w:lvlJc w:val="left"/>
      <w:lvlText w:val="(%1)"/>
      <w:numFmt w:val="lowerLetter"/>
      <w:start w:val="9"/>
    </w:lvl>
    <w:lvl w:ilvl="1">
      <w:lvlJc w:val="left"/>
      <w:lvlText w:val="%2"/>
      <w:numFmt w:val="lowerLetter"/>
      <w:start w:val="1"/>
    </w:lvl>
  </w:abstractNum>
  <w:abstractNum w:abstractNumId="81">
    <w:nsid w:val="5015CD1A"/>
    <w:multiLevelType w:val="hybridMultilevel"/>
    <w:lvl w:ilvl="0">
      <w:lvlJc w:val="left"/>
      <w:lvlText w:val="(%1)"/>
      <w:numFmt w:val="lowerLetter"/>
      <w:start w:val="4"/>
    </w:lvl>
    <w:lvl w:ilvl="1">
      <w:lvlJc w:val="left"/>
      <w:lvlText w:val="(%2)"/>
      <w:numFmt w:val="lowerLetter"/>
      <w:start w:val="9"/>
    </w:lvl>
  </w:abstractNum>
  <w:abstractNum w:abstractNumId="82">
    <w:nsid w:val="424479DA"/>
    <w:multiLevelType w:val="hybridMultilevel"/>
    <w:lvl w:ilvl="0">
      <w:lvlJc w:val="left"/>
      <w:lvlText w:val="(%1)"/>
      <w:numFmt w:val="lowerRoman"/>
      <w:start w:val="2"/>
    </w:lvl>
  </w:abstractNum>
  <w:abstractNum w:abstractNumId="83">
    <w:nsid w:val="1A9A9E69"/>
    <w:multiLevelType w:val="hybridMultilevel"/>
    <w:lvl w:ilvl="0">
      <w:lvlJc w:val="left"/>
      <w:lvlText w:val="%1"/>
      <w:numFmt w:val="lowerLetter"/>
      <w:start w:val="1"/>
    </w:lvl>
    <w:lvl w:ilvl="1">
      <w:lvlJc w:val="left"/>
      <w:lvlText w:val="(%2)"/>
      <w:numFmt w:val="lowerLetter"/>
      <w:start w:val="61"/>
    </w:lvl>
  </w:abstractNum>
  <w:abstractNum w:abstractNumId="84">
    <w:nsid w:val="475E256A"/>
    <w:multiLevelType w:val="hybridMultilevel"/>
    <w:lvl w:ilvl="0">
      <w:lvlJc w:val="left"/>
      <w:lvlText w:val="(%1)"/>
      <w:numFmt w:val="lowerLetter"/>
      <w:start w:val="6"/>
    </w:lvl>
    <w:lvl w:ilvl="1">
      <w:lvlJc w:val="left"/>
      <w:lvlText w:val="%2"/>
      <w:numFmt w:val="lowerLetter"/>
      <w:start w:val="1"/>
    </w:lvl>
  </w:abstractNum>
  <w:abstractNum w:abstractNumId="85">
    <w:nsid w:val="368DB37E"/>
    <w:multiLevelType w:val="hybridMultilevel"/>
    <w:lvl w:ilvl="0">
      <w:lvlJc w:val="left"/>
      <w:lvlText w:val="(%1)"/>
      <w:numFmt w:val="lowerLetter"/>
      <w:start w:val="8"/>
    </w:lvl>
  </w:abstractNum>
  <w:abstractNum w:abstractNumId="86">
    <w:nsid w:val="6A3B714C"/>
    <w:multiLevelType w:val="hybridMultilevel"/>
    <w:lvl w:ilvl="0">
      <w:lvlJc w:val="left"/>
      <w:lvlText w:val="(%1)"/>
      <w:numFmt w:val="lowerLetter"/>
      <w:start w:val="1"/>
    </w:lvl>
  </w:abstractNum>
  <w:abstractNum w:abstractNumId="87">
    <w:nsid w:val="327B517E"/>
    <w:multiLevelType w:val="hybridMultilevel"/>
    <w:lvl w:ilvl="0">
      <w:lvlJc w:val="left"/>
      <w:lvlText w:val="(%1)"/>
      <w:numFmt w:val="lowerLetter"/>
      <w:start w:val="2"/>
    </w:lvl>
  </w:abstractNum>
  <w:abstractNum w:abstractNumId="88">
    <w:nsid w:val="1F461B51"/>
    <w:multiLevelType w:val="hybridMultilevel"/>
    <w:lvl w:ilvl="0">
      <w:lvlJc w:val="left"/>
      <w:lvlText w:val="(%1)"/>
      <w:numFmt w:val="lowerLetter"/>
      <w:start w:val="1"/>
    </w:lvl>
  </w:abstractNum>
  <w:abstractNum w:abstractNumId="89">
    <w:nsid w:val="29BACF25"/>
    <w:multiLevelType w:val="hybridMultilevel"/>
    <w:lvl w:ilvl="0">
      <w:lvlJc w:val="left"/>
      <w:lvlText w:val="(%1)"/>
      <w:numFmt w:val="lowerLetter"/>
      <w:start w:val="2"/>
    </w:lvl>
  </w:abstractNum>
  <w:abstractNum w:abstractNumId="90">
    <w:nsid w:val="5D5BABB3"/>
    <w:multiLevelType w:val="hybridMultilevel"/>
    <w:lvl w:ilvl="0">
      <w:lvlJc w:val="left"/>
      <w:lvlText w:val="(%1)"/>
      <w:numFmt w:val="lowerLetter"/>
      <w:start w:val="1"/>
    </w:lvl>
  </w:abstractNum>
  <w:abstractNum w:abstractNumId="91">
    <w:nsid w:val="51BF6B48"/>
    <w:multiLevelType w:val="hybridMultilevel"/>
    <w:lvl w:ilvl="0">
      <w:lvlJc w:val="left"/>
      <w:lvlText w:val="(%1)"/>
      <w:numFmt w:val="lowerRoman"/>
      <w:start w:val="1"/>
    </w:lvl>
  </w:abstractNum>
  <w:abstractNum w:abstractNumId="92">
    <w:nsid w:val="7E0F6384"/>
    <w:multiLevelType w:val="hybridMultilevel"/>
    <w:lvl w:ilvl="0">
      <w:lvlJc w:val="left"/>
      <w:lvlText w:val="(%1)"/>
      <w:numFmt w:val="lowerRoman"/>
      <w:start w:val="2"/>
    </w:lvl>
  </w:abstractNum>
  <w:abstractNum w:abstractNumId="93">
    <w:nsid w:val="2B4B8B53"/>
    <w:multiLevelType w:val="hybridMultilevel"/>
    <w:lvl w:ilvl="0">
      <w:lvlJc w:val="left"/>
      <w:lvlText w:val="(%1)"/>
      <w:numFmt w:val="lowerRoman"/>
      <w:start w:val="3"/>
    </w:lvl>
  </w:abstractNum>
  <w:abstractNum w:abstractNumId="94">
    <w:nsid w:val="72E3413A"/>
    <w:multiLevelType w:val="hybridMultilevel"/>
    <w:lvl w:ilvl="0">
      <w:lvlJc w:val="left"/>
      <w:lvlText w:val="(%1)"/>
      <w:numFmt w:val="lowerLetter"/>
      <w:start w:val="1"/>
    </w:lvl>
  </w:abstractNum>
  <w:abstractNum w:abstractNumId="95">
    <w:nsid w:val="116AE494"/>
    <w:multiLevelType w:val="hybridMultilevel"/>
    <w:lvl w:ilvl="0">
      <w:lvlJc w:val="left"/>
      <w:lvlText w:val="(%1)"/>
      <w:numFmt w:val="lowerLetter"/>
      <w:start w:val="4"/>
    </w:lvl>
  </w:abstractNum>
  <w:abstractNum w:abstractNumId="96">
    <w:nsid w:val="3494B2FB"/>
    <w:multiLevelType w:val="hybridMultilevel"/>
    <w:lvl w:ilvl="0">
      <w:lvlJc w:val="left"/>
      <w:lvlText w:val="(%1)"/>
      <w:numFmt w:val="lowerLetter"/>
      <w:start w:val="1"/>
    </w:lvl>
  </w:abstractNum>
  <w:abstractNum w:abstractNumId="97">
    <w:nsid w:val="B13A31"/>
    <w:multiLevelType w:val="hybridMultilevel"/>
    <w:lvl w:ilvl="0">
      <w:lvlJc w:val="left"/>
      <w:lvlText w:val="(%1)"/>
      <w:numFmt w:val="lowerLetter"/>
      <w:start w:val="7"/>
    </w:lvl>
  </w:abstractNum>
  <w:abstractNum w:abstractNumId="98">
    <w:nsid w:val="64429599"/>
    <w:multiLevelType w:val="hybridMultilevel"/>
    <w:lvl w:ilvl="0">
      <w:lvlJc w:val="left"/>
      <w:lvlText w:val="(%1)"/>
      <w:numFmt w:val="lowerLetter"/>
      <w:start w:val="1"/>
    </w:lvl>
    <w:lvl w:ilvl="1">
      <w:lvlJc w:val="left"/>
      <w:lvlText w:val="(%2)"/>
      <w:numFmt w:val="lowerLetter"/>
      <w:start w:val="9"/>
    </w:lvl>
  </w:abstractNum>
  <w:abstractNum w:abstractNumId="99">
    <w:nsid w:val="631F1690"/>
    <w:multiLevelType w:val="hybridMultilevel"/>
    <w:lvl w:ilvl="0">
      <w:lvlJc w:val="left"/>
      <w:lvlText w:val="(%1)"/>
      <w:numFmt w:val="lowerRoman"/>
      <w:start w:val="2"/>
    </w:lvl>
  </w:abstractNum>
  <w:abstractNum w:abstractNumId="100">
    <w:nsid w:val="25973E32"/>
    <w:multiLevelType w:val="hybridMultilevel"/>
    <w:lvl w:ilvl="0">
      <w:lvlJc w:val="left"/>
      <w:lvlText w:val="(%1)"/>
      <w:numFmt w:val="lowerLetter"/>
      <w:start w:val="2"/>
    </w:lvl>
  </w:abstractNum>
  <w:abstractNum w:abstractNumId="101">
    <w:nsid w:val="EAD6F57"/>
    <w:multiLevelType w:val="hybridMultilevel"/>
    <w:lvl w:ilvl="0">
      <w:lvlJc w:val="left"/>
      <w:lvlText w:val="(%1)"/>
      <w:numFmt w:val="lowerLetter"/>
      <w:start w:val="1"/>
    </w:lvl>
  </w:abstractNum>
  <w:abstractNum w:abstractNumId="102">
    <w:nsid w:val="6EC9D844"/>
    <w:multiLevelType w:val="hybridMultilevel"/>
    <w:lvl w:ilvl="0">
      <w:lvlJc w:val="left"/>
      <w:lvlText w:val="(%1)"/>
      <w:numFmt w:val="lowerLetter"/>
      <w:start w:val="2"/>
    </w:lvl>
  </w:abstractNum>
  <w:abstractNum w:abstractNumId="103">
    <w:nsid w:val="5C49EAEE"/>
    <w:multiLevelType w:val="hybridMultilevel"/>
    <w:lvl w:ilvl="0">
      <w:lvlJc w:val="left"/>
      <w:lvlText w:val="(%1)"/>
      <w:numFmt w:val="lowerRoman"/>
      <w:start w:val="1"/>
    </w:lvl>
  </w:abstractNum>
  <w:abstractNum w:abstractNumId="104">
    <w:nsid w:val="64AF49B"/>
    <w:multiLevelType w:val="hybridMultilevel"/>
    <w:lvl w:ilvl="0">
      <w:lvlJc w:val="left"/>
      <w:lvlText w:val="%1."/>
      <w:numFmt w:val="decimal"/>
      <w:start w:val="1"/>
    </w:lvl>
  </w:abstractNum>
  <w:abstractNum w:abstractNumId="105">
    <w:nsid w:val="397C46BC"/>
    <w:multiLevelType w:val="hybridMultilevel"/>
    <w:lvl w:ilvl="0">
      <w:lvlJc w:val="left"/>
      <w:lvlText w:val="*"/>
      <w:numFmt w:val="bullet"/>
      <w:start w:val="1"/>
    </w:lvl>
  </w:abstractNum>
  <w:abstractNum w:abstractNumId="106">
    <w:nsid w:val="7E448DE9"/>
    <w:multiLevelType w:val="hybridMultilevel"/>
    <w:lvl w:ilvl="0">
      <w:lvlJc w:val="left"/>
      <w:lvlText w:val="(%1)"/>
      <w:numFmt w:val="lowerRoman"/>
      <w:start w:val="1"/>
    </w:lvl>
  </w:abstractNum>
  <w:abstractNum w:abstractNumId="107">
    <w:nsid w:val="5A9CC3E5"/>
    <w:multiLevelType w:val="hybridMultilevel"/>
    <w:lvl w:ilvl="0">
      <w:lvlJc w:val="left"/>
      <w:lvlText w:val="1"/>
      <w:numFmt w:val="bullet"/>
      <w:start w:val="1"/>
    </w:lvl>
  </w:abstractNum>
  <w:abstractNum w:abstractNumId="108">
    <w:nsid w:val="1AFE3625"/>
    <w:multiLevelType w:val="hybridMultilevel"/>
    <w:lvl w:ilvl="0">
      <w:lvlJc w:val="left"/>
      <w:lvlText w:val="(%1)"/>
      <w:numFmt w:val="lowerLetter"/>
      <w:start w:val="1"/>
    </w:lvl>
  </w:abstractNum>
  <w:abstractNum w:abstractNumId="109">
    <w:nsid w:val="3CA88ECF"/>
    <w:multiLevelType w:val="hybridMultilevel"/>
    <w:lvl w:ilvl="0">
      <w:lvlJc w:val="left"/>
      <w:lvlText w:val="(%1)"/>
      <w:numFmt w:val="lowerLetter"/>
      <w:start w:val="1"/>
    </w:lvl>
  </w:abstractNum>
  <w:abstractNum w:abstractNumId="110">
    <w:nsid w:val="6EBE4208"/>
    <w:multiLevelType w:val="hybridMultilevel"/>
    <w:lvl w:ilvl="0">
      <w:lvlJc w:val="left"/>
      <w:lvlText w:val="(%1)"/>
      <w:numFmt w:val="lowerRoman"/>
      <w:start w:val="2"/>
    </w:lvl>
  </w:abstractNum>
  <w:abstractNum w:abstractNumId="111">
    <w:nsid w:val="C058DF5"/>
    <w:multiLevelType w:val="hybridMultilevel"/>
    <w:lvl w:ilvl="0">
      <w:lvlJc w:val="left"/>
      <w:lvlText w:val="(%1)"/>
      <w:numFmt w:val="lowerLetter"/>
      <w:start w:val="3"/>
    </w:lvl>
  </w:abstractNum>
  <w:abstractNum w:abstractNumId="112">
    <w:nsid w:val="CBE5BE9"/>
    <w:multiLevelType w:val="hybridMultilevel"/>
    <w:lvl w:ilvl="0">
      <w:lvlJc w:val="left"/>
      <w:lvlText w:val="(%1)"/>
      <w:numFmt w:val="lowerLetter"/>
      <w:start w:val="2"/>
    </w:lvl>
  </w:abstractNum>
  <w:abstractNum w:abstractNumId="113">
    <w:nsid w:val="3102BBE2"/>
    <w:multiLevelType w:val="hybridMultilevel"/>
    <w:lvl w:ilvl="0">
      <w:lvlJc w:val="left"/>
      <w:lvlText w:val="(%1)"/>
      <w:numFmt w:val="lowerLetter"/>
      <w:start w:val="2"/>
    </w:lvl>
  </w:abstractNum>
  <w:abstractNum w:abstractNumId="114">
    <w:nsid w:val="26A02C5E"/>
    <w:multiLevelType w:val="hybridMultilevel"/>
    <w:lvl w:ilvl="0">
      <w:lvlJc w:val="left"/>
      <w:lvlText w:val="(%1)"/>
      <w:numFmt w:val="lowerLetter"/>
      <w:start w:val="3"/>
    </w:lvl>
  </w:abstractNum>
  <w:abstractNum w:abstractNumId="115">
    <w:nsid w:val="541C8153"/>
    <w:multiLevelType w:val="hybridMultilevel"/>
    <w:lvl w:ilvl="0">
      <w:lvlJc w:val="left"/>
      <w:lvlText w:val="(%1)"/>
      <w:numFmt w:val="lowerLetter"/>
      <w:start w:val="3"/>
    </w:lvl>
  </w:abstractNum>
  <w:abstractNum w:abstractNumId="116">
    <w:nsid w:val="67906F60"/>
    <w:multiLevelType w:val="hybridMultilevel"/>
    <w:lvl w:ilvl="0">
      <w:lvlJc w:val="left"/>
      <w:lvlText w:val="(%1)"/>
      <w:numFmt w:val="lowerLetter"/>
      <w:start w:val="2"/>
    </w:lvl>
  </w:abstractNum>
  <w:abstractNum w:abstractNumId="117">
    <w:nsid w:val="10DB9DAA"/>
    <w:multiLevelType w:val="hybridMultilevel"/>
    <w:lvl w:ilvl="0">
      <w:lvlJc w:val="left"/>
      <w:lvlText w:val="(%1)"/>
      <w:numFmt w:val="lowerRoman"/>
      <w:start w:val="1"/>
    </w:lvl>
  </w:abstractNum>
  <w:abstractNum w:abstractNumId="118">
    <w:nsid w:val="697D2D2"/>
    <w:multiLevelType w:val="hybridMultilevel"/>
    <w:lvl w:ilvl="0">
      <w:lvlJc w:val="left"/>
      <w:lvlText w:val="(%1)"/>
      <w:numFmt w:val="lowerLetter"/>
      <w:start w:val="6"/>
    </w:lvl>
  </w:abstractNum>
  <w:abstractNum w:abstractNumId="119">
    <w:nsid w:val="6D68AB2"/>
    <w:multiLevelType w:val="hybridMultilevel"/>
    <w:lvl w:ilvl="0">
      <w:lvlJc w:val="left"/>
      <w:lvlText w:val="(%1)"/>
      <w:numFmt w:val="lowerLetter"/>
      <w:start w:val="2"/>
    </w:lvl>
  </w:abstractNum>
  <w:abstractNum w:abstractNumId="120">
    <w:nsid w:val="3A966CD0"/>
    <w:multiLevelType w:val="hybridMultilevel"/>
    <w:lvl w:ilvl="0">
      <w:lvlJc w:val="left"/>
      <w:lvlText w:val="(%1)"/>
      <w:numFmt w:val="lowerLetter"/>
      <w:start w:val="2"/>
    </w:lvl>
  </w:abstractNum>
  <w:abstractNum w:abstractNumId="121">
    <w:nsid w:val="63F37E85"/>
    <w:multiLevelType w:val="hybridMultilevel"/>
    <w:lvl w:ilvl="0">
      <w:lvlJc w:val="left"/>
      <w:lvlText w:val="(%1)"/>
      <w:numFmt w:val="lowerLetter"/>
      <w:start w:val="2"/>
    </w:lvl>
  </w:abstractNum>
  <w:abstractNum w:abstractNumId="122">
    <w:nsid w:val="5895F5FA"/>
    <w:multiLevelType w:val="hybridMultilevel"/>
    <w:lvl w:ilvl="0">
      <w:lvlJc w:val="left"/>
      <w:lvlText w:val="(%1)"/>
      <w:numFmt w:val="lowerLetter"/>
      <w:start w:val="1"/>
    </w:lvl>
  </w:abstractNum>
  <w:abstractNum w:abstractNumId="123">
    <w:nsid w:val="38A5D054"/>
    <w:multiLevelType w:val="hybridMultilevel"/>
    <w:lvl w:ilvl="0">
      <w:lvlJc w:val="left"/>
      <w:lvlText w:val="(%1)"/>
      <w:numFmt w:val="lowerLetter"/>
      <w:start w:val="5"/>
    </w:lvl>
  </w:abstractNum>
  <w:abstractNum w:abstractNumId="124">
    <w:nsid w:val="F3F09D8"/>
    <w:multiLevelType w:val="hybridMultilevel"/>
    <w:lvl w:ilvl="0">
      <w:lvlJc w:val="left"/>
      <w:lvlText w:val="(%1)"/>
      <w:numFmt w:val="lowerLetter"/>
      <w:start w:val="14"/>
    </w:lvl>
  </w:abstractNum>
  <w:abstractNum w:abstractNumId="125">
    <w:nsid w:val="4B793735"/>
    <w:multiLevelType w:val="hybridMultilevel"/>
    <w:lvl w:ilvl="0">
      <w:lvlJc w:val="left"/>
      <w:lvlText w:val="(%1)"/>
      <w:numFmt w:val="lowerLetter"/>
      <w:start w:val="1"/>
    </w:lvl>
  </w:abstractNum>
  <w:abstractNum w:abstractNumId="126">
    <w:nsid w:val="4A10B4E8"/>
    <w:multiLevelType w:val="hybridMultilevel"/>
    <w:lvl w:ilvl="0">
      <w:lvlJc w:val="left"/>
      <w:lvlText w:val="1"/>
      <w:numFmt w:val="bullet"/>
      <w:start w:val="1"/>
    </w:lvl>
  </w:abstractNum>
  <w:abstractNum w:abstractNumId="127">
    <w:nsid w:val="43D3BCD4"/>
    <w:multiLevelType w:val="hybridMultilevel"/>
    <w:lvl w:ilvl="0">
      <w:lvlJc w:val="left"/>
      <w:lvlText w:val="%1."/>
      <w:numFmt w:val="upperLetter"/>
      <w:start w:val="4"/>
    </w:lvl>
  </w:abstractNum>
  <w:abstractNum w:abstractNumId="128">
    <w:nsid w:val="4C2A7166"/>
    <w:multiLevelType w:val="hybridMultilevel"/>
    <w:lvl w:ilvl="0">
      <w:lvlJc w:val="left"/>
      <w:lvlText w:val="(%1)"/>
      <w:numFmt w:val="lowerLetter"/>
      <w:start w:val="1"/>
    </w:lvl>
  </w:abstractNum>
  <w:abstractNum w:abstractNumId="129">
    <w:nsid w:val="2E534A82"/>
    <w:multiLevelType w:val="hybridMultilevel"/>
    <w:lvl w:ilvl="0">
      <w:lvlJc w:val="left"/>
      <w:lvlText w:val="(%1)"/>
      <w:numFmt w:val="lowerLetter"/>
      <w:start w:val="2"/>
    </w:lvl>
  </w:abstractNum>
  <w:abstractNum w:abstractNumId="130">
    <w:nsid w:val="26F2D364"/>
    <w:multiLevelType w:val="hybridMultilevel"/>
    <w:lvl w:ilvl="0">
      <w:lvlJc w:val="left"/>
      <w:lvlText w:val="(%1)"/>
      <w:numFmt w:val="lowerLetter"/>
      <w:start w:val="1"/>
    </w:lvl>
  </w:abstractNum>
  <w:abstractNum w:abstractNumId="131">
    <w:nsid w:val="71C1AF98"/>
    <w:multiLevelType w:val="hybridMultilevel"/>
    <w:lvl w:ilvl="0">
      <w:lvlJc w:val="left"/>
      <w:lvlText w:val="(%1)"/>
      <w:numFmt w:val="lowerLetter"/>
      <w:start w:val="3"/>
    </w:lvl>
  </w:abstractNum>
  <w:abstractNum w:abstractNumId="132">
    <w:nsid w:val="3D00B9D9"/>
    <w:multiLevelType w:val="hybridMultilevel"/>
    <w:lvl w:ilvl="0">
      <w:lvlJc w:val="left"/>
      <w:lvlText w:val="(%1)"/>
      <w:numFmt w:val="lowerRoman"/>
      <w:start w:val="1"/>
    </w:lvl>
  </w:abstractNum>
  <w:abstractNum w:abstractNumId="133">
    <w:nsid w:val="15BCABA8"/>
    <w:multiLevelType w:val="hybridMultilevel"/>
    <w:lvl w:ilvl="0">
      <w:lvlJc w:val="left"/>
      <w:lvlText w:val="(%1)"/>
      <w:numFmt w:val="lowerRoman"/>
      <w:start w:val="6"/>
    </w:lvl>
  </w:abstractNum>
  <w:abstractNum w:abstractNumId="134">
    <w:nsid w:val="4E0B9A87"/>
    <w:multiLevelType w:val="hybridMultilevel"/>
    <w:lvl w:ilvl="0">
      <w:lvlJc w:val="left"/>
      <w:lvlText w:val="(%1)"/>
      <w:numFmt w:val="lowerLetter"/>
      <w:start w:val="1"/>
    </w:lvl>
  </w:abstractNum>
  <w:abstractNum w:abstractNumId="135">
    <w:nsid w:val="434BAE75"/>
    <w:multiLevelType w:val="hybridMultilevel"/>
    <w:lvl w:ilvl="0">
      <w:lvlJc w:val="left"/>
      <w:lvlText w:val="(%1)"/>
      <w:numFmt w:val="lowerLetter"/>
      <w:start w:val="3"/>
    </w:lvl>
  </w:abstractNum>
  <w:abstractNum w:abstractNumId="136">
    <w:nsid w:val="4F38F265"/>
    <w:multiLevelType w:val="hybridMultilevel"/>
    <w:lvl w:ilvl="0">
      <w:lvlJc w:val="left"/>
      <w:lvlText w:val="%1"/>
      <w:numFmt w:val="lowerLetter"/>
      <w:start w:val="1"/>
    </w:lvl>
    <w:lvl w:ilvl="1">
      <w:lvlJc w:val="left"/>
      <w:lvlText w:val="(%2)"/>
      <w:numFmt w:val="lowerLetter"/>
      <w:start w:val="4"/>
    </w:lvl>
  </w:abstractNum>
  <w:abstractNum w:abstractNumId="137">
    <w:nsid w:val="4C502870"/>
    <w:multiLevelType w:val="hybridMultilevel"/>
    <w:lvl w:ilvl="0">
      <w:lvlJc w:val="left"/>
      <w:lvlText w:val="(%1)"/>
      <w:numFmt w:val="lowerLetter"/>
      <w:start w:val="22"/>
    </w:lvl>
    <w:lvl w:ilvl="1">
      <w:lvlJc w:val="left"/>
      <w:lvlText w:val="(%2)"/>
      <w:numFmt w:val="lowerLetter"/>
      <w:start w:val="5"/>
    </w:lvl>
  </w:abstractNum>
  <w:abstractNum w:abstractNumId="138">
    <w:nsid w:val="1DE8725A"/>
    <w:multiLevelType w:val="hybridMultilevel"/>
    <w:lvl w:ilvl="0">
      <w:lvlJc w:val="left"/>
      <w:lvlText w:val="(%1)"/>
      <w:numFmt w:val="lowerLetter"/>
      <w:start w:val="6"/>
    </w:lvl>
  </w:abstractNum>
  <w:abstractNum w:abstractNumId="139">
    <w:nsid w:val="6A37288A"/>
    <w:multiLevelType w:val="hybridMultilevel"/>
    <w:lvl w:ilvl="0">
      <w:lvlJc w:val="left"/>
      <w:lvlText w:val="(%1)"/>
      <w:numFmt w:val="lowerLetter"/>
      <w:start w:val="1"/>
    </w:lvl>
  </w:abstractNum>
  <w:abstractNum w:abstractNumId="140">
    <w:nsid w:val="8F8B73F"/>
    <w:multiLevelType w:val="hybridMultilevel"/>
    <w:lvl w:ilvl="0">
      <w:lvlJc w:val="left"/>
      <w:lvlText w:val="(%1)"/>
      <w:numFmt w:val="lowerLetter"/>
      <w:start w:val="2"/>
    </w:lvl>
  </w:abstractNum>
  <w:abstractNum w:abstractNumId="141">
    <w:nsid w:val="CA6B462"/>
    <w:multiLevelType w:val="hybridMultilevel"/>
    <w:lvl w:ilvl="0">
      <w:lvlJc w:val="left"/>
      <w:lvlText w:val="(%1)"/>
      <w:numFmt w:val="lowerLetter"/>
      <w:start w:val="4"/>
    </w:lvl>
  </w:abstractNum>
  <w:abstractNum w:abstractNumId="142">
    <w:nsid w:val="763CB680"/>
    <w:multiLevelType w:val="hybridMultilevel"/>
    <w:lvl w:ilvl="0">
      <w:lvlJc w:val="left"/>
      <w:lvlText w:val="(%1)"/>
      <w:numFmt w:val="lowerLetter"/>
      <w:start w:val="6"/>
    </w:lvl>
  </w:abstractNum>
  <w:abstractNum w:abstractNumId="143">
    <w:nsid w:val="15B71329"/>
    <w:multiLevelType w:val="hybridMultilevel"/>
    <w:lvl w:ilvl="0">
      <w:lvlJc w:val="left"/>
      <w:lvlText w:val="(%1)"/>
      <w:numFmt w:val="lowerLetter"/>
      <w:start w:val="8"/>
    </w:lvl>
  </w:abstractNum>
  <w:abstractNum w:abstractNumId="144">
    <w:nsid w:val="3DA97044"/>
    <w:multiLevelType w:val="hybridMultilevel"/>
    <w:lvl w:ilvl="0">
      <w:lvlJc w:val="left"/>
      <w:lvlText w:val="%1"/>
      <w:numFmt w:val="lowerLetter"/>
      <w:start w:val="1"/>
    </w:lvl>
    <w:lvl w:ilvl="1">
      <w:lvlJc w:val="left"/>
      <w:lvlText w:val="(%2)"/>
      <w:numFmt w:val="lowerLetter"/>
      <w:start w:val="10"/>
    </w:lvl>
  </w:abstractNum>
  <w:abstractNum w:abstractNumId="145">
    <w:nsid w:val="1CDCE2DE"/>
    <w:multiLevelType w:val="hybridMultilevel"/>
    <w:lvl w:ilvl="0">
      <w:lvlJc w:val="left"/>
      <w:lvlText w:val="(%1)"/>
      <w:numFmt w:val="lowerLetter"/>
      <w:start w:val="61"/>
    </w:lvl>
    <w:lvl w:ilvl="1">
      <w:lvlJc w:val="left"/>
      <w:lvlText w:val="(%2)"/>
      <w:numFmt w:val="lowerLetter"/>
      <w:start w:val="12"/>
    </w:lvl>
  </w:abstractNum>
  <w:abstractNum w:abstractNumId="146">
    <w:nsid w:val="69D3947C"/>
    <w:multiLevelType w:val="hybridMultilevel"/>
    <w:lvl w:ilvl="0">
      <w:lvlJc w:val="left"/>
      <w:lvlText w:val="(%1)"/>
      <w:numFmt w:val="lowerLetter"/>
      <w:start w:val="14"/>
    </w:lvl>
  </w:abstractNum>
  <w:abstractNum w:abstractNumId="147">
    <w:nsid w:val="2539DFA5"/>
    <w:multiLevelType w:val="hybridMultilevel"/>
    <w:lvl w:ilvl="0">
      <w:lvlJc w:val="left"/>
      <w:lvlText w:val="(%1)"/>
      <w:numFmt w:val="lowerLetter"/>
      <w:start w:val="1"/>
    </w:lvl>
  </w:abstractNum>
  <w:abstractNum w:abstractNumId="148">
    <w:nsid w:val="2DB88089"/>
    <w:multiLevelType w:val="hybridMultilevel"/>
    <w:lvl w:ilvl="0">
      <w:lvlJc w:val="left"/>
      <w:lvlText w:val="(%1)"/>
      <w:numFmt w:val="lowerLetter"/>
      <w:start w:val="1"/>
    </w:lvl>
  </w:abstractNum>
  <w:abstractNum w:abstractNumId="149">
    <w:nsid w:val="706B674E"/>
    <w:multiLevelType w:val="hybridMultilevel"/>
    <w:lvl w:ilvl="0">
      <w:lvlJc w:val="left"/>
      <w:lvlText w:val="(%1)"/>
      <w:numFmt w:val="lowerRoman"/>
      <w:start w:val="1"/>
    </w:lvl>
  </w:abstractNum>
  <w:abstractNum w:abstractNumId="150">
    <w:nsid w:val="2C106A57"/>
    <w:multiLevelType w:val="hybridMultilevel"/>
    <w:lvl w:ilvl="0">
      <w:lvlJc w:val="left"/>
      <w:lvlText w:val="(%1)"/>
      <w:numFmt w:val="lowerLetter"/>
      <w:start w:val="3"/>
    </w:lvl>
  </w:abstractNum>
  <w:abstractNum w:abstractNumId="151">
    <w:nsid w:val="684EED59"/>
    <w:multiLevelType w:val="hybridMultilevel"/>
    <w:lvl w:ilvl="0">
      <w:lvlJc w:val="left"/>
      <w:lvlText w:val="(%1)"/>
      <w:numFmt w:val="lowerLetter"/>
      <w:start w:val="2"/>
    </w:lvl>
  </w:abstractNum>
  <w:abstractNum w:abstractNumId="152">
    <w:nsid w:val="545EE5D3"/>
    <w:multiLevelType w:val="hybridMultilevel"/>
    <w:lvl w:ilvl="0">
      <w:lvlJc w:val="left"/>
      <w:lvlText w:val="(%1)"/>
      <w:numFmt w:val="lowerLetter"/>
      <w:start w:val="2"/>
    </w:lvl>
  </w:abstractNum>
  <w:abstractNum w:abstractNumId="153">
    <w:nsid w:val="4A66051"/>
    <w:multiLevelType w:val="hybridMultilevel"/>
    <w:lvl w:ilvl="0">
      <w:lvlJc w:val="left"/>
      <w:lvlText w:val="(%1)"/>
      <w:numFmt w:val="lowerLetter"/>
      <w:start w:val="3"/>
    </w:lvl>
  </w:abstractNum>
  <w:abstractNum w:abstractNumId="154">
    <w:nsid w:val="20F4BDAD"/>
    <w:multiLevelType w:val="hybridMultilevel"/>
    <w:lvl w:ilvl="0">
      <w:lvlJc w:val="left"/>
      <w:lvlText w:val="%1"/>
      <w:numFmt w:val="lowerLetter"/>
      <w:start w:val="1"/>
    </w:lvl>
    <w:lvl w:ilvl="1">
      <w:lvlJc w:val="left"/>
      <w:lvlText w:val="(%2)"/>
      <w:numFmt w:val="lowerLetter"/>
      <w:start w:val="2"/>
    </w:lvl>
  </w:abstractNum>
  <w:abstractNum w:abstractNumId="155">
    <w:nsid w:val="639DEFAC"/>
    <w:multiLevelType w:val="hybridMultilevel"/>
    <w:lvl w:ilvl="0">
      <w:lvlJc w:val="left"/>
      <w:lvlText w:val="(%1)"/>
      <w:numFmt w:val="lowerLetter"/>
      <w:start w:val="35"/>
    </w:lvl>
    <w:lvl w:ilvl="1">
      <w:lvlJc w:val="left"/>
      <w:lvlText w:val="(%2)"/>
      <w:numFmt w:val="lowerLetter"/>
      <w:start w:val="3"/>
    </w:lvl>
  </w:abstractNum>
  <w:abstractNum w:abstractNumId="156">
    <w:nsid w:val="501F9786"/>
    <w:multiLevelType w:val="hybridMultilevel"/>
    <w:lvl w:ilvl="0">
      <w:lvlJc w:val="left"/>
      <w:lvlText w:val="(%1)"/>
      <w:numFmt w:val="lowerLetter"/>
      <w:start w:val="2"/>
    </w:lvl>
  </w:abstractNum>
  <w:abstractNum w:abstractNumId="157">
    <w:nsid w:val="6B057295"/>
    <w:multiLevelType w:val="hybridMultilevel"/>
    <w:lvl w:ilvl="0">
      <w:lvlJc w:val="left"/>
      <w:lvlText w:val="(%1)"/>
      <w:numFmt w:val="lowerLetter"/>
      <w:start w:val="4"/>
    </w:lvl>
  </w:abstractNum>
  <w:abstractNum w:abstractNumId="158">
    <w:nsid w:val="2771AC80"/>
    <w:multiLevelType w:val="hybridMultilevel"/>
    <w:lvl w:ilvl="0">
      <w:lvlJc w:val="left"/>
      <w:lvlText w:val="(%1)"/>
      <w:numFmt w:val="lowerLetter"/>
      <w:start w:val="2"/>
    </w:lvl>
  </w:abstractNum>
  <w:abstractNum w:abstractNumId="159">
    <w:nsid w:val="1C4A08EC"/>
    <w:multiLevelType w:val="hybridMultilevel"/>
    <w:lvl w:ilvl="0">
      <w:lvlJc w:val="left"/>
      <w:lvlText w:val="%1"/>
      <w:numFmt w:val="lowerLetter"/>
      <w:start w:val="1"/>
    </w:lvl>
    <w:lvl w:ilvl="1">
      <w:lvlJc w:val="left"/>
      <w:lvlText w:val="(%2)"/>
      <w:numFmt w:val="lowerLetter"/>
      <w:start w:val="5"/>
    </w:lvl>
  </w:abstractNum>
  <w:abstractNum w:abstractNumId="160">
    <w:nsid w:val="1958BD17"/>
    <w:multiLevelType w:val="hybridMultilevel"/>
    <w:lvl w:ilvl="0">
      <w:lvlJc w:val="left"/>
      <w:lvlText w:val="(%1)"/>
      <w:numFmt w:val="lowerLetter"/>
      <w:start w:val="61"/>
    </w:lvl>
    <w:lvl w:ilvl="1">
      <w:lvlJc w:val="left"/>
      <w:lvlText w:val="(%2)"/>
      <w:numFmt w:val="lowerLetter"/>
      <w:start w:val="6"/>
    </w:lvl>
  </w:abstractNum>
  <w:abstractNum w:abstractNumId="161">
    <w:nsid w:val="4E647FE4"/>
    <w:multiLevelType w:val="hybridMultilevel"/>
    <w:lvl w:ilvl="0">
      <w:lvlJc w:val="left"/>
      <w:lvlText w:val="(%1)"/>
      <w:numFmt w:val="lowerLetter"/>
      <w:start w:val="1"/>
    </w:lvl>
  </w:abstractNum>
  <w:abstractNum w:abstractNumId="162">
    <w:nsid w:val="E0BB885"/>
    <w:multiLevelType w:val="hybridMultilevel"/>
    <w:lvl w:ilvl="0">
      <w:lvlJc w:val="left"/>
      <w:lvlText w:val="(%1)"/>
      <w:numFmt w:val="lowerRoman"/>
      <w:start w:val="1"/>
    </w:lvl>
  </w:abstractNum>
  <w:abstractNum w:abstractNumId="163">
    <w:nsid w:val="565976F1"/>
    <w:multiLevelType w:val="hybridMultilevel"/>
    <w:lvl w:ilvl="0">
      <w:lvlJc w:val="left"/>
      <w:lvlText w:val="(%1)"/>
      <w:numFmt w:val="upperLetter"/>
      <w:start w:val="2"/>
    </w:lvl>
    <w:lvl w:ilvl="1">
      <w:lvlJc w:val="left"/>
      <w:lvlText w:val="(%2)"/>
      <w:numFmt w:val="lowerLetter"/>
      <w:start w:val="2"/>
    </w:lvl>
  </w:abstractNum>
  <w:abstractNum w:abstractNumId="164">
    <w:nsid w:val="64212B8C"/>
    <w:multiLevelType w:val="hybridMultilevel"/>
    <w:lvl w:ilvl="0">
      <w:lvlJc w:val="left"/>
      <w:lvlText w:val="(%1)"/>
      <w:numFmt w:val="lowerRoman"/>
      <w:start w:val="1"/>
    </w:lvl>
  </w:abstractNum>
  <w:abstractNum w:abstractNumId="165">
    <w:nsid w:val="5C17530C"/>
    <w:multiLevelType w:val="hybridMultilevel"/>
    <w:lvl w:ilvl="0">
      <w:lvlJc w:val="left"/>
      <w:lvlText w:val="(%1)"/>
      <w:numFmt w:val="lowerRoman"/>
      <w:start w:val="2"/>
    </w:lvl>
  </w:abstractNum>
  <w:abstractNum w:abstractNumId="166">
    <w:nsid w:val="19A52566"/>
    <w:multiLevelType w:val="hybridMultilevel"/>
    <w:lvl w:ilvl="0">
      <w:lvlJc w:val="left"/>
      <w:lvlText w:val="(%1)"/>
      <w:numFmt w:val="lowerLetter"/>
      <w:start w:val="2"/>
    </w:lvl>
  </w:abstractNum>
  <w:abstractNum w:abstractNumId="167">
    <w:nsid w:val="335A1DF1"/>
    <w:multiLevelType w:val="hybridMultilevel"/>
    <w:lvl w:ilvl="0">
      <w:lvlJc w:val="left"/>
      <w:lvlText w:val="(%1)"/>
      <w:numFmt w:val="lowerLetter"/>
      <w:start w:val="4"/>
    </w:lvl>
  </w:abstractNum>
  <w:abstractNum w:abstractNumId="168">
    <w:nsid w:val="28677B7C"/>
    <w:multiLevelType w:val="hybridMultilevel"/>
    <w:lvl w:ilvl="0">
      <w:lvlJc w:val="left"/>
      <w:lvlText w:val="(%1)"/>
      <w:numFmt w:val="lowerLetter"/>
      <w:start w:val="5"/>
    </w:lvl>
  </w:abstractNum>
  <w:abstractNum w:abstractNumId="169">
    <w:nsid w:val="378D97C0"/>
    <w:multiLevelType w:val="hybridMultilevel"/>
    <w:lvl w:ilvl="0">
      <w:lvlJc w:val="left"/>
      <w:lvlText w:val="(%1)"/>
      <w:numFmt w:val="lowerLetter"/>
      <w:start w:val="2"/>
    </w:lvl>
  </w:abstractNum>
  <w:abstractNum w:abstractNumId="170">
    <w:nsid w:val="1D91467C"/>
    <w:multiLevelType w:val="hybridMultilevel"/>
    <w:lvl w:ilvl="0">
      <w:lvlJc w:val="left"/>
      <w:lvlText w:val="(%1)"/>
      <w:numFmt w:val="lowerLetter"/>
      <w:start w:val="4"/>
    </w:lvl>
  </w:abstractNum>
  <w:abstractNum w:abstractNumId="171">
    <w:nsid w:val="316032BB"/>
    <w:multiLevelType w:val="hybridMultilevel"/>
    <w:lvl w:ilvl="0">
      <w:lvlJc w:val="left"/>
      <w:lvlText w:val="(%1)"/>
      <w:numFmt w:val="lowerRoman"/>
      <w:start w:val="1"/>
    </w:lvl>
  </w:abstractNum>
  <w:abstractNum w:abstractNumId="172">
    <w:nsid w:val="44344C2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73">
    <w:nsid w:val="13CDFCFC"/>
    <w:multiLevelType w:val="hybridMultilevel"/>
    <w:lvl w:ilvl="0">
      <w:lvlJc w:val="left"/>
      <w:lvlText w:val="(%1)"/>
      <w:numFmt w:val="upperLetter"/>
      <w:start w:val="3"/>
    </w:lvl>
  </w:abstractNum>
  <w:abstractNum w:abstractNumId="174">
    <w:nsid w:val="471745E4"/>
    <w:multiLevelType w:val="hybridMultilevel"/>
    <w:lvl w:ilvl="0">
      <w:lvlJc w:val="left"/>
      <w:lvlText w:val="(%1)"/>
      <w:numFmt w:val="lowerLetter"/>
      <w:start w:val="7"/>
    </w:lvl>
  </w:abstractNum>
  <w:abstractNum w:abstractNumId="175">
    <w:nsid w:val="1DDBC66"/>
    <w:multiLevelType w:val="hybridMultilevel"/>
    <w:lvl w:ilvl="0">
      <w:lvlJc w:val="left"/>
      <w:lvlText w:val="(%1)"/>
      <w:numFmt w:val="lowerLetter"/>
      <w:start w:val="8"/>
    </w:lvl>
  </w:abstractNum>
  <w:abstractNum w:abstractNumId="176">
    <w:nsid w:val="30AADFDA"/>
    <w:multiLevelType w:val="hybridMultilevel"/>
    <w:lvl w:ilvl="0">
      <w:lvlJc w:val="left"/>
      <w:lvlText w:val="(%1)"/>
      <w:numFmt w:val="lowerLetter"/>
      <w:start w:val="1"/>
    </w:lvl>
    <w:lvl w:ilvl="1">
      <w:lvlJc w:val="left"/>
      <w:lvlText w:val="(%2)"/>
      <w:numFmt w:val="lowerLetter"/>
      <w:start w:val="2"/>
    </w:lvl>
  </w:abstractNum>
  <w:abstractNum w:abstractNumId="177">
    <w:nsid w:val="30EADA61"/>
    <w:multiLevelType w:val="hybridMultilevel"/>
    <w:lvl w:ilvl="0">
      <w:lvlJc w:val="left"/>
      <w:lvlText w:val="(%1)"/>
      <w:numFmt w:val="lowerLetter"/>
      <w:start w:val="3"/>
    </w:lvl>
  </w:abstractNum>
  <w:abstractNum w:abstractNumId="178">
    <w:nsid w:val="27179C0B"/>
    <w:multiLevelType w:val="hybridMultilevel"/>
    <w:lvl w:ilvl="0">
      <w:lvlJc w:val="left"/>
      <w:lvlText w:val="(%1)"/>
      <w:numFmt w:val="lowerLetter"/>
      <w:start w:val="2"/>
    </w:lvl>
  </w:abstractNum>
  <w:abstractNum w:abstractNumId="179">
    <w:nsid w:val="5E636063"/>
    <w:multiLevelType w:val="hybridMultilevel"/>
    <w:lvl w:ilvl="0">
      <w:lvlJc w:val="left"/>
      <w:lvlText w:val="(%1)"/>
      <w:numFmt w:val="lowerLetter"/>
      <w:start w:val="1"/>
    </w:lvl>
  </w:abstractNum>
  <w:abstractNum w:abstractNumId="180">
    <w:nsid w:val="215641AF"/>
    <w:multiLevelType w:val="hybridMultilevel"/>
    <w:lvl w:ilvl="0">
      <w:lvlJc w:val="left"/>
      <w:lvlText w:val="(%1)"/>
      <w:numFmt w:val="upperLetter"/>
      <w:start w:val="2"/>
    </w:lvl>
    <w:lvl w:ilvl="1">
      <w:lvlJc w:val="left"/>
      <w:lvlText w:val="(%2)"/>
      <w:numFmt w:val="lowerLetter"/>
      <w:start w:val="3"/>
    </w:lvl>
  </w:abstractNum>
  <w:abstractNum w:abstractNumId="181">
    <w:nsid w:val="53280662"/>
    <w:multiLevelType w:val="hybridMultilevel"/>
    <w:lvl w:ilvl="0">
      <w:lvlJc w:val="left"/>
      <w:lvlText w:val="(%1)"/>
      <w:numFmt w:val="lowerLetter"/>
      <w:start w:val="1"/>
    </w:lvl>
  </w:abstractNum>
  <w:abstractNum w:abstractNumId="182">
    <w:nsid w:val="46B24DBC"/>
    <w:multiLevelType w:val="hybridMultilevel"/>
    <w:lvl w:ilvl="0">
      <w:lvlJc w:val="left"/>
      <w:lvlText w:val="(%1)"/>
      <w:numFmt w:val="lowerRoman"/>
      <w:start w:val="1"/>
    </w:lvl>
  </w:abstractNum>
  <w:abstractNum w:abstractNumId="183">
    <w:nsid w:val="75B52783"/>
    <w:multiLevelType w:val="hybridMultilevel"/>
    <w:lvl w:ilvl="0">
      <w:lvlJc w:val="left"/>
      <w:lvlText w:val="(%1)"/>
      <w:numFmt w:val="lowerRoman"/>
      <w:start w:val="4"/>
    </w:lvl>
  </w:abstractNum>
  <w:abstractNum w:abstractNumId="184">
    <w:nsid w:val="57CE66B4"/>
    <w:multiLevelType w:val="hybridMultilevel"/>
    <w:lvl w:ilvl="0">
      <w:lvlJc w:val="left"/>
      <w:lvlText w:val="(%1)"/>
      <w:numFmt w:val="lowerLetter"/>
      <w:start w:val="4"/>
    </w:lvl>
  </w:abstractNum>
  <w:abstractNum w:abstractNumId="185">
    <w:nsid w:val="67A70B69"/>
    <w:multiLevelType w:val="hybridMultilevel"/>
    <w:lvl w:ilvl="0">
      <w:lvlJc w:val="left"/>
      <w:lvlText w:val="(%1)"/>
      <w:numFmt w:val="lowerLetter"/>
      <w:start w:val="1"/>
    </w:lvl>
  </w:abstractNum>
  <w:abstractNum w:abstractNumId="186">
    <w:nsid w:val="5953172F"/>
    <w:multiLevelType w:val="hybridMultilevel"/>
    <w:lvl w:ilvl="0">
      <w:lvlJc w:val="left"/>
      <w:lvlText w:val="(%1)"/>
      <w:numFmt w:val="lowerLetter"/>
      <w:start w:val="1"/>
    </w:lvl>
  </w:abstractNum>
  <w:abstractNum w:abstractNumId="187">
    <w:nsid w:val="27EDFE3A"/>
    <w:multiLevelType w:val="hybridMultilevel"/>
    <w:lvl w:ilvl="0">
      <w:lvlJc w:val="left"/>
      <w:lvlText w:val="(%1)"/>
      <w:numFmt w:val="upperLetter"/>
      <w:start w:val="1"/>
    </w:lvl>
    <w:lvl w:ilvl="1">
      <w:lvlJc w:val="left"/>
      <w:lvlText w:val="(%2)"/>
      <w:numFmt w:val="lowerLetter"/>
      <w:start w:val="2"/>
    </w:lvl>
  </w:abstractNum>
  <w:abstractNum w:abstractNumId="188">
    <w:nsid w:val="52AC7DFF"/>
    <w:multiLevelType w:val="hybridMultilevel"/>
    <w:lvl w:ilvl="0">
      <w:lvlJc w:val="left"/>
      <w:lvlText w:val="%1"/>
      <w:numFmt w:val="upperLetter"/>
      <w:start w:val="1"/>
    </w:lvl>
    <w:lvl w:ilvl="1">
      <w:lvlJc w:val="left"/>
      <w:lvlText w:val="(%2)"/>
      <w:numFmt w:val="lowerLetter"/>
      <w:start w:val="4"/>
    </w:lvl>
  </w:abstractNum>
  <w:abstractNum w:abstractNumId="189">
    <w:nsid w:val="C4C3AF"/>
    <w:multiLevelType w:val="hybridMultilevel"/>
    <w:lvl w:ilvl="0">
      <w:lvlJc w:val="left"/>
      <w:lvlText w:val="(%1)"/>
      <w:numFmt w:val="upperLetter"/>
      <w:start w:val="1"/>
    </w:lvl>
    <w:lvl w:ilvl="1">
      <w:lvlJc w:val="left"/>
      <w:lvlText w:val="%2"/>
      <w:numFmt w:val="lowerLetter"/>
      <w:start w:val="1"/>
    </w:lvl>
  </w:abstractNum>
  <w:abstractNum w:abstractNumId="190">
    <w:nsid w:val="44380727"/>
    <w:multiLevelType w:val="hybridMultilevel"/>
    <w:lvl w:ilvl="0">
      <w:lvlJc w:val="left"/>
      <w:lvlText w:val="(%1)"/>
      <w:numFmt w:val="lowerLetter"/>
      <w:start w:val="6"/>
    </w:lvl>
  </w:abstractNum>
  <w:abstractNum w:abstractNumId="191">
    <w:nsid w:val="6C053B16"/>
    <w:multiLevelType w:val="hybridMultilevel"/>
    <w:lvl w:ilvl="0">
      <w:lvlJc w:val="left"/>
      <w:lvlText w:val="(%1)"/>
      <w:numFmt w:val="lowerLetter"/>
      <w:start w:val="1"/>
    </w:lvl>
  </w:abstractNum>
  <w:abstractNum w:abstractNumId="192">
    <w:nsid w:val="4F294393"/>
    <w:multiLevelType w:val="hybridMultilevel"/>
    <w:lvl w:ilvl="0">
      <w:lvlJc w:val="left"/>
      <w:lvlText w:val="(%1)"/>
      <w:numFmt w:val="lowerLetter"/>
      <w:start w:val="4"/>
    </w:lvl>
  </w:abstractNum>
  <w:abstractNum w:abstractNumId="193">
    <w:nsid w:val="5243BFAC"/>
    <w:multiLevelType w:val="hybridMultilevel"/>
    <w:lvl w:ilvl="0">
      <w:lvlJc w:val="left"/>
      <w:lvlText w:val="(%1)"/>
      <w:numFmt w:val="lowerRoman"/>
      <w:start w:val="2"/>
    </w:lvl>
  </w:abstractNum>
  <w:abstractNum w:abstractNumId="194">
    <w:nsid w:val="425EB207"/>
    <w:multiLevelType w:val="hybridMultilevel"/>
    <w:lvl w:ilvl="0">
      <w:lvlJc w:val="left"/>
      <w:lvlText w:val="(%1)"/>
      <w:numFmt w:val="lowerLetter"/>
      <w:start w:val="1"/>
    </w:lvl>
  </w:abstractNum>
  <w:abstractNum w:abstractNumId="195">
    <w:nsid w:val="334A6F1F"/>
    <w:multiLevelType w:val="hybridMultilevel"/>
    <w:lvl w:ilvl="0">
      <w:lvlJc w:val="left"/>
      <w:lvlText w:val="(%1)"/>
      <w:numFmt w:val="lowerLetter"/>
      <w:start w:val="1"/>
    </w:lvl>
  </w:abstractNum>
  <w:abstractNum w:abstractNumId="196">
    <w:nsid w:val="2E5B12B8"/>
    <w:multiLevelType w:val="hybridMultilevel"/>
    <w:lvl w:ilvl="0">
      <w:lvlJc w:val="left"/>
      <w:lvlText w:val="%1"/>
      <w:numFmt w:val="lowerRoman"/>
      <w:start w:val="1"/>
    </w:lvl>
    <w:lvl w:ilvl="1">
      <w:lvlJc w:val="left"/>
      <w:lvlText w:val="(%2)"/>
      <w:numFmt w:val="lowerLetter"/>
      <w:start w:val="1"/>
    </w:lvl>
  </w:abstractNum>
  <w:abstractNum w:abstractNumId="197">
    <w:nsid w:val="5C03D76D"/>
    <w:multiLevelType w:val="hybridMultilevel"/>
    <w:lvl w:ilvl="0">
      <w:lvlJc w:val="left"/>
      <w:lvlText w:val="(%1)"/>
      <w:numFmt w:val="lowerRoman"/>
      <w:start w:val="4"/>
    </w:lvl>
    <w:lvl w:ilvl="1">
      <w:lvlJc w:val="left"/>
      <w:lvlText w:val="%2"/>
      <w:numFmt w:val="lowerLetter"/>
      <w:start w:val="1"/>
    </w:lvl>
  </w:abstractNum>
  <w:abstractNum w:abstractNumId="198">
    <w:nsid w:val="66A48D11"/>
    <w:multiLevelType w:val="hybridMultilevel"/>
    <w:lvl w:ilvl="0">
      <w:lvlJc w:val="left"/>
      <w:lvlText w:val="(%1)"/>
      <w:numFmt w:val="lowerLetter"/>
      <w:start w:val="1"/>
    </w:lvl>
  </w:abstractNum>
  <w:abstractNum w:abstractNumId="199">
    <w:nsid w:val="56C28E34"/>
    <w:multiLevelType w:val="hybridMultilevel"/>
    <w:lvl w:ilvl="0">
      <w:lvlJc w:val="left"/>
      <w:lvlText w:val="(%1)"/>
      <w:numFmt w:val="lowerLetter"/>
      <w:start w:val="1"/>
    </w:lvl>
  </w:abstractNum>
  <w:abstractNum w:abstractNumId="200">
    <w:nsid w:val="13916F2D"/>
    <w:multiLevelType w:val="hybridMultilevel"/>
    <w:lvl w:ilvl="0">
      <w:lvlJc w:val="left"/>
      <w:lvlText w:val="(%1)"/>
      <w:numFmt w:val="lowerLetter"/>
      <w:start w:val="2"/>
    </w:lvl>
  </w:abstractNum>
  <w:abstractNum w:abstractNumId="201">
    <w:nsid w:val="435D38D"/>
    <w:multiLevelType w:val="hybridMultilevel"/>
    <w:lvl w:ilvl="0">
      <w:lvlJc w:val="left"/>
      <w:lvlText w:val="(%1)"/>
      <w:numFmt w:val="lowerLetter"/>
      <w:start w:val="1"/>
    </w:lvl>
  </w:abstractNum>
  <w:abstractNum w:abstractNumId="202">
    <w:nsid w:val="822C0EF"/>
    <w:multiLevelType w:val="hybridMultilevel"/>
    <w:lvl w:ilvl="0">
      <w:lvlJc w:val="left"/>
      <w:lvlText w:val="(%1)"/>
      <w:numFmt w:val="lowerLetter"/>
      <w:start w:val="5"/>
    </w:lvl>
  </w:abstractNum>
  <w:abstractNum w:abstractNumId="203">
    <w:nsid w:val="57C5BB4F"/>
    <w:multiLevelType w:val="hybridMultilevel"/>
    <w:lvl w:ilvl="0">
      <w:lvlJc w:val="left"/>
      <w:lvlText w:val="(%1)"/>
      <w:numFmt w:val="lowerLetter"/>
      <w:start w:val="1"/>
    </w:lvl>
  </w:abstractNum>
  <w:abstractNum w:abstractNumId="204">
    <w:nsid w:val="1803D089"/>
    <w:multiLevelType w:val="hybridMultilevel"/>
    <w:lvl w:ilvl="0">
      <w:lvlJc w:val="left"/>
      <w:lvlText w:val="(%1)"/>
      <w:numFmt w:val="lowerLetter"/>
      <w:start w:val="2"/>
    </w:lvl>
  </w:abstractNum>
  <w:abstractNum w:abstractNumId="205">
    <w:nsid w:val="4F3A06D4"/>
    <w:multiLevelType w:val="hybridMultilevel"/>
    <w:lvl w:ilvl="0">
      <w:lvlJc w:val="left"/>
      <w:lvlText w:val="(%1)"/>
      <w:numFmt w:val="lowerLetter"/>
      <w:start w:val="1"/>
    </w:lvl>
  </w:abstractNum>
  <w:abstractNum w:abstractNumId="206">
    <w:nsid w:val="59A377B6"/>
    <w:multiLevelType w:val="hybridMultilevel"/>
    <w:lvl w:ilvl="0">
      <w:lvlJc w:val="left"/>
      <w:lvlText w:val="(%1)"/>
      <w:numFmt w:val="lowerLetter"/>
      <w:start w:val="3"/>
    </w:lvl>
  </w:abstractNum>
  <w:abstractNum w:abstractNumId="207">
    <w:nsid w:val="48AEB063"/>
    <w:multiLevelType w:val="hybridMultilevel"/>
    <w:lvl w:ilvl="0">
      <w:lvlJc w:val="left"/>
      <w:lvlText w:val="(%1)"/>
      <w:numFmt w:val="lowerLetter"/>
      <w:start w:val="1"/>
    </w:lvl>
  </w:abstractNum>
  <w:abstractNum w:abstractNumId="208">
    <w:nsid w:val="24E135"/>
    <w:multiLevelType w:val="hybridMultilevel"/>
    <w:lvl w:ilvl="0">
      <w:lvlJc w:val="left"/>
      <w:lvlText w:val="(%1)"/>
      <w:numFmt w:val="lowerLetter"/>
      <w:start w:val="1"/>
    </w:lvl>
  </w:abstractNum>
  <w:abstractNum w:abstractNumId="209">
    <w:nsid w:val="BB13C1"/>
    <w:multiLevelType w:val="hybridMultilevel"/>
    <w:lvl w:ilvl="0">
      <w:lvlJc w:val="left"/>
      <w:lvlText w:val="(%1)"/>
      <w:numFmt w:val="lowerRoman"/>
      <w:start w:val="1"/>
    </w:lvl>
  </w:abstractNum>
  <w:abstractNum w:abstractNumId="210">
    <w:nsid w:val="271210C7"/>
    <w:multiLevelType w:val="hybridMultilevel"/>
    <w:lvl w:ilvl="0">
      <w:lvlJc w:val="left"/>
      <w:lvlText w:val="(%1)"/>
      <w:numFmt w:val="lowerLetter"/>
      <w:start w:val="2"/>
    </w:lvl>
  </w:abstractNum>
  <w:abstractNum w:abstractNumId="211">
    <w:nsid w:val="217B22E4"/>
    <w:multiLevelType w:val="hybridMultilevel"/>
    <w:lvl w:ilvl="0">
      <w:lvlJc w:val="left"/>
      <w:lvlText w:val="(%1)"/>
      <w:numFmt w:val="lowerLetter"/>
      <w:start w:val="1"/>
    </w:lvl>
  </w:abstractNum>
  <w:abstractNum w:abstractNumId="212">
    <w:nsid w:val="53E31A24"/>
    <w:multiLevelType w:val="hybridMultilevel"/>
    <w:lvl w:ilvl="0">
      <w:lvlJc w:val="left"/>
      <w:lvlText w:val="%1"/>
      <w:numFmt w:val="lowerLetter"/>
      <w:start w:val="1"/>
    </w:lvl>
    <w:lvl w:ilvl="1">
      <w:lvlJc w:val="left"/>
      <w:lvlText w:val="(%2)"/>
      <w:numFmt w:val="lowerLetter"/>
      <w:start w:val="1"/>
    </w:lvl>
  </w:abstractNum>
  <w:abstractNum w:abstractNumId="213">
    <w:nsid w:val="6DC45E83"/>
    <w:multiLevelType w:val="hybridMultilevel"/>
    <w:lvl w:ilvl="0">
      <w:lvlJc w:val="left"/>
      <w:lvlText w:val="(%1)"/>
      <w:numFmt w:val="lowerLetter"/>
      <w:start w:val="35"/>
    </w:lvl>
    <w:lvl w:ilvl="1">
      <w:lvlJc w:val="left"/>
      <w:lvlText w:val="%2"/>
      <w:numFmt w:val="lowerLetter"/>
      <w:start w:val="1"/>
    </w:lvl>
  </w:abstractNum>
  <w:abstractNum w:abstractNumId="214">
    <w:nsid w:val="17304A67"/>
    <w:multiLevelType w:val="hybridMultilevel"/>
    <w:lvl w:ilvl="0">
      <w:lvlJc w:val="left"/>
      <w:lvlText w:val="(%1)"/>
      <w:numFmt w:val="lowerLetter"/>
      <w:start w:val="5"/>
    </w:lvl>
  </w:abstractNum>
  <w:abstractNum w:abstractNumId="215">
    <w:nsid w:val="2BB180D8"/>
    <w:multiLevelType w:val="hybridMultilevel"/>
    <w:lvl w:ilvl="0">
      <w:lvlJc w:val="left"/>
      <w:lvlText w:val="(%1)"/>
      <w:numFmt w:val="lowerLetter"/>
      <w:start w:val="1"/>
    </w:lvl>
  </w:abstractNum>
  <w:abstractNum w:abstractNumId="216">
    <w:nsid w:val="556B69ED"/>
    <w:multiLevelType w:val="hybridMultilevel"/>
    <w:lvl w:ilvl="0">
      <w:lvlJc w:val="left"/>
      <w:lvlText w:val="(%1)"/>
      <w:numFmt w:val="lowerLetter"/>
      <w:start w:val="1"/>
    </w:lvl>
  </w:abstractNum>
  <w:abstractNum w:abstractNumId="217">
    <w:nsid w:val="70836196"/>
    <w:multiLevelType w:val="hybridMultilevel"/>
    <w:lvl w:ilvl="0">
      <w:lvlJc w:val="left"/>
      <w:lvlText w:val="(%1)"/>
      <w:numFmt w:val="lowerLetter"/>
      <w:start w:val="4"/>
    </w:lvl>
  </w:abstractNum>
  <w:abstractNum w:abstractNumId="218">
    <w:nsid w:val="539F7F12"/>
    <w:multiLevelType w:val="hybridMultilevel"/>
    <w:lvl w:ilvl="0">
      <w:lvlJc w:val="left"/>
      <w:lvlText w:val="(%1)"/>
      <w:numFmt w:val="lowerLetter"/>
      <w:start w:val="22"/>
    </w:lvl>
    <w:lvl w:ilvl="1">
      <w:lvlJc w:val="left"/>
      <w:lvlText w:val="(%2)"/>
      <w:numFmt w:val="lowerLetter"/>
      <w:start w:val="10"/>
    </w:lvl>
  </w:abstractNum>
  <w:abstractNum w:abstractNumId="219">
    <w:nsid w:val="2817E7EC"/>
    <w:multiLevelType w:val="hybridMultilevel"/>
    <w:lvl w:ilvl="0">
      <w:lvlJc w:val="left"/>
      <w:lvlText w:val="(%1)"/>
      <w:numFmt w:val="lowerRoman"/>
      <w:start w:val="1"/>
    </w:lvl>
  </w:abstractNum>
  <w:abstractNum w:abstractNumId="220">
    <w:nsid w:val="71482545"/>
    <w:multiLevelType w:val="hybridMultilevel"/>
    <w:lvl w:ilvl="0">
      <w:lvlJc w:val="left"/>
      <w:lvlText w:val="(%1)"/>
      <w:numFmt w:val="lowerRoman"/>
      <w:start w:val="3"/>
    </w:lvl>
  </w:abstractNum>
  <w:abstractNum w:abstractNumId="221">
    <w:nsid w:val="17D78639"/>
    <w:multiLevelType w:val="hybridMultilevel"/>
    <w:lvl w:ilvl="0">
      <w:lvlJc w:val="left"/>
      <w:lvlText w:val="(%1)"/>
      <w:numFmt w:val="lowerLetter"/>
      <w:start w:val="1"/>
    </w:lvl>
  </w:abstractNum>
  <w:abstractNum w:abstractNumId="222">
    <w:nsid w:val="141D2302"/>
    <w:multiLevelType w:val="hybridMultilevel"/>
    <w:lvl w:ilvl="0">
      <w:lvlJc w:val="left"/>
      <w:lvlText w:val="(%1)"/>
      <w:numFmt w:val="lowerLetter"/>
      <w:start w:val="2"/>
    </w:lvl>
  </w:abstractNum>
  <w:abstractNum w:abstractNumId="223">
    <w:nsid w:val="407168D8"/>
    <w:multiLevelType w:val="hybridMultilevel"/>
    <w:lvl w:ilvl="0">
      <w:lvlJc w:val="left"/>
      <w:lvlText w:val="(%1)"/>
      <w:numFmt w:val="lowerLetter"/>
      <w:start w:val="1"/>
    </w:lvl>
  </w:abstractNum>
  <w:abstractNum w:abstractNumId="224">
    <w:nsid w:val="6A1B45E5"/>
    <w:multiLevelType w:val="hybridMultilevel"/>
    <w:lvl w:ilvl="0">
      <w:lvlJc w:val="left"/>
      <w:lvlText w:val="%1"/>
      <w:numFmt w:val="lowerLetter"/>
      <w:start w:val="1"/>
    </w:lvl>
    <w:lvl w:ilvl="1">
      <w:lvlJc w:val="left"/>
      <w:lvlText w:val="(%2)"/>
      <w:numFmt w:val="lowerLetter"/>
      <w:start w:val="2"/>
    </w:lvl>
  </w:abstractNum>
  <w:abstractNum w:abstractNumId="225">
    <w:nsid w:val="567BD50A"/>
    <w:multiLevelType w:val="hybridMultilevel"/>
    <w:lvl w:ilvl="0">
      <w:lvlJc w:val="left"/>
      <w:lvlText w:val="(%1)"/>
      <w:numFmt w:val="lowerLetter"/>
      <w:start w:val="24"/>
    </w:lvl>
    <w:lvl w:ilvl="1">
      <w:lvlJc w:val="left"/>
      <w:lvlText w:val="%2"/>
      <w:numFmt w:val="lowerLetter"/>
      <w:start w:val="1"/>
    </w:lvl>
  </w:abstractNum>
  <w:abstractNum w:abstractNumId="226">
    <w:nsid w:val="73BBD7F8"/>
    <w:multiLevelType w:val="hybridMultilevel"/>
    <w:lvl w:ilvl="0">
      <w:lvlJc w:val="left"/>
      <w:lvlText w:val="(%1)"/>
      <w:numFmt w:val="lowerLetter"/>
      <w:start w:val="1"/>
    </w:lvl>
  </w:abstractNum>
  <w:abstractNum w:abstractNumId="227">
    <w:nsid w:val="1876589D"/>
    <w:multiLevelType w:val="hybridMultilevel"/>
    <w:lvl w:ilvl="0">
      <w:lvlJc w:val="left"/>
      <w:lvlText w:val="(%1)"/>
      <w:numFmt w:val="lowerRoman"/>
      <w:start w:val="1"/>
    </w:lvl>
  </w:abstractNum>
  <w:abstractNum w:abstractNumId="228">
    <w:nsid w:val="327FAC77"/>
    <w:multiLevelType w:val="hybridMultilevel"/>
    <w:lvl w:ilvl="0">
      <w:lvlJc w:val="left"/>
      <w:lvlText w:val="(%1)"/>
      <w:numFmt w:val="lowerLetter"/>
      <w:start w:val="2"/>
    </w:lvl>
  </w:abstractNum>
  <w:abstractNum w:abstractNumId="229">
    <w:nsid w:val="5A606509"/>
    <w:multiLevelType w:val="hybridMultilevel"/>
    <w:lvl w:ilvl="0">
      <w:lvlJc w:val="left"/>
      <w:lvlText w:val="(%1)"/>
      <w:numFmt w:val="lowerLetter"/>
      <w:start w:val="2"/>
    </w:lvl>
  </w:abstractNum>
  <w:abstractNum w:abstractNumId="230">
    <w:nsid w:val="6F38E6D1"/>
    <w:multiLevelType w:val="hybridMultilevel"/>
    <w:lvl w:ilvl="0">
      <w:lvlJc w:val="left"/>
      <w:lvlText w:val="%1"/>
      <w:numFmt w:val="lowerRoman"/>
      <w:start w:val="1"/>
    </w:lvl>
    <w:lvl w:ilvl="1">
      <w:lvlJc w:val="left"/>
      <w:lvlText w:val="(%2)"/>
      <w:numFmt w:val="lowerRoman"/>
      <w:start w:val="1"/>
    </w:lvl>
  </w:abstractNum>
  <w:abstractNum w:abstractNumId="231">
    <w:nsid w:val="46111BA5"/>
    <w:multiLevelType w:val="hybridMultilevel"/>
    <w:lvl w:ilvl="0">
      <w:lvlJc w:val="left"/>
      <w:lvlText w:val="(%1)"/>
      <w:numFmt w:val="lowerRoman"/>
      <w:start w:val="3"/>
    </w:lvl>
    <w:lvl w:ilvl="1">
      <w:lvlJc w:val="left"/>
      <w:lvlText w:val="(%2)"/>
      <w:numFmt w:val="lowerRoman"/>
      <w:start w:val="3"/>
    </w:lvl>
  </w:abstractNum>
  <w:abstractNum w:abstractNumId="232">
    <w:nsid w:val="5E963896"/>
    <w:multiLevelType w:val="hybridMultilevel"/>
    <w:lvl w:ilvl="0">
      <w:lvlJc w:val="left"/>
      <w:lvlText w:val="(%1)"/>
      <w:numFmt w:val="lowerRoman"/>
      <w:start w:val="5"/>
    </w:lvl>
  </w:abstractNum>
  <w:abstractNum w:abstractNumId="233">
    <w:nsid w:val="775BA7C1"/>
    <w:multiLevelType w:val="hybridMultilevel"/>
    <w:lvl w:ilvl="0">
      <w:lvlJc w:val="left"/>
      <w:lvlText w:val="(%1)"/>
      <w:numFmt w:val="lowerLetter"/>
      <w:start w:val="4"/>
    </w:lvl>
  </w:abstractNum>
  <w:abstractNum w:abstractNumId="234">
    <w:nsid w:val="1DD6D6F4"/>
    <w:multiLevelType w:val="hybridMultilevel"/>
    <w:lvl w:ilvl="0">
      <w:lvlJc w:val="left"/>
      <w:lvlText w:val="(%1)"/>
      <w:numFmt w:val="lowerRoman"/>
      <w:start w:val="1"/>
    </w:lvl>
  </w:abstractNum>
  <w:abstractNum w:abstractNumId="235">
    <w:nsid w:val="769A091F"/>
    <w:multiLevelType w:val="hybridMultilevel"/>
    <w:lvl w:ilvl="0">
      <w:lvlJc w:val="left"/>
      <w:lvlText w:val="(%1)"/>
      <w:numFmt w:val="lowerLetter"/>
      <w:start w:val="2"/>
    </w:lvl>
  </w:abstractNum>
  <w:abstractNum w:abstractNumId="236">
    <w:nsid w:val="4695AE95"/>
    <w:multiLevelType w:val="hybridMultilevel"/>
    <w:lvl w:ilvl="0">
      <w:lvlJc w:val="left"/>
      <w:lvlText w:val="(%1)"/>
      <w:numFmt w:val="lowerLetter"/>
      <w:start w:val="3"/>
    </w:lvl>
  </w:abstractNum>
  <w:abstractNum w:abstractNumId="237">
    <w:nsid w:val="777A4EAA"/>
    <w:multiLevelType w:val="hybridMultilevel"/>
    <w:lvl w:ilvl="0">
      <w:lvlJc w:val="left"/>
      <w:lvlText w:val="(%1)"/>
      <w:numFmt w:val="lowerLetter"/>
      <w:start w:val="6"/>
    </w:lvl>
  </w:abstractNum>
  <w:abstractNum w:abstractNumId="238">
    <w:nsid w:val="3F48B982"/>
    <w:multiLevelType w:val="hybridMultilevel"/>
    <w:lvl w:ilvl="0">
      <w:lvlJc w:val="left"/>
      <w:lvlText w:val="(%1)"/>
      <w:numFmt w:val="lowerLetter"/>
      <w:start w:val="2"/>
    </w:lvl>
    <w:lvl w:ilvl="1">
      <w:lvlJc w:val="left"/>
      <w:lvlText w:val="(%2)"/>
      <w:numFmt w:val="upperLetter"/>
      <w:start w:val="1"/>
    </w:lvl>
  </w:abstractNum>
  <w:abstractNum w:abstractNumId="239">
    <w:nsid w:val="46BA8FCA"/>
    <w:multiLevelType w:val="hybridMultilevel"/>
    <w:lvl w:ilvl="0">
      <w:lvlJc w:val="left"/>
      <w:lvlText w:val="(%1)"/>
      <w:numFmt w:val="lowerRoman"/>
      <w:start w:val="2"/>
    </w:lvl>
    <w:lvl w:ilvl="1">
      <w:lvlJc w:val="left"/>
      <w:lvlText w:val="(%2)"/>
      <w:numFmt w:val="upperLetter"/>
      <w:start w:val="1"/>
    </w:lvl>
  </w:abstractNum>
  <w:abstractNum w:abstractNumId="240">
    <w:nsid w:val="7835626C"/>
    <w:multiLevelType w:val="hybridMultilevel"/>
    <w:lvl w:ilvl="0">
      <w:lvlJc w:val="left"/>
      <w:lvlText w:val="%1"/>
      <w:numFmt w:val="lowerRoman"/>
      <w:start w:val="1"/>
    </w:lvl>
    <w:lvl w:ilvl="1">
      <w:lvlJc w:val="left"/>
      <w:lvlText w:val="(%2)"/>
      <w:numFmt w:val="upperLetter"/>
      <w:start w:val="2"/>
    </w:lvl>
  </w:abstractNum>
  <w:abstractNum w:abstractNumId="241">
    <w:nsid w:val="665ACA49"/>
    <w:multiLevelType w:val="hybridMultilevel"/>
    <w:lvl w:ilvl="0">
      <w:lvlJc w:val="left"/>
      <w:lvlText w:val="(%1)"/>
      <w:numFmt w:val="lowerRoman"/>
      <w:start w:val="3"/>
    </w:lvl>
    <w:lvl w:ilvl="1">
      <w:lvlJc w:val="left"/>
      <w:lvlText w:val="%2"/>
      <w:numFmt w:val="upperLetter"/>
      <w:start w:val="1"/>
    </w:lvl>
  </w:abstractNum>
  <w:abstractNum w:abstractNumId="242">
    <w:nsid w:val="6835B2AE"/>
    <w:multiLevelType w:val="hybridMultilevel"/>
    <w:lvl w:ilvl="0">
      <w:lvlJc w:val="left"/>
      <w:lvlText w:val="(%1)"/>
      <w:numFmt w:val="lowerRoman"/>
      <w:start w:val="5"/>
    </w:lvl>
  </w:abstractNum>
  <w:abstractNum w:abstractNumId="243">
    <w:nsid w:val="4C187C90"/>
    <w:multiLevelType w:val="hybridMultilevel"/>
    <w:lvl w:ilvl="0">
      <w:lvlJc w:val="left"/>
      <w:lvlText w:val="(%1)"/>
      <w:numFmt w:val="lowerLetter"/>
      <w:start w:val="3"/>
    </w:lvl>
  </w:abstractNum>
  <w:abstractNum w:abstractNumId="244">
    <w:nsid w:val="541F28CD"/>
    <w:multiLevelType w:val="hybridMultilevel"/>
    <w:lvl w:ilvl="0">
      <w:lvlJc w:val="left"/>
      <w:lvlText w:val="(%1)"/>
      <w:numFmt w:val="lowerRoman"/>
      <w:start w:val="2"/>
    </w:lvl>
  </w:abstractNum>
  <w:abstractNum w:abstractNumId="245">
    <w:nsid w:val="7F65FD16"/>
    <w:multiLevelType w:val="hybridMultilevel"/>
    <w:lvl w:ilvl="0">
      <w:lvlJc w:val="left"/>
      <w:lvlText w:val="(%1)"/>
      <w:numFmt w:val="lowerLetter"/>
      <w:start w:val="4"/>
    </w:lvl>
  </w:abstractNum>
  <w:abstractNum w:abstractNumId="246">
    <w:nsid w:val="77C9FD68"/>
    <w:multiLevelType w:val="hybridMultilevel"/>
    <w:lvl w:ilvl="0">
      <w:lvlJc w:val="left"/>
      <w:lvlText w:val="(%1)"/>
      <w:numFmt w:val="lowerLetter"/>
      <w:start w:val="1"/>
    </w:lvl>
  </w:abstractNum>
  <w:abstractNum w:abstractNumId="247">
    <w:nsid w:val="298A92BA"/>
    <w:multiLevelType w:val="hybridMultilevel"/>
    <w:lvl w:ilvl="0">
      <w:lvlJc w:val="left"/>
      <w:lvlText w:val="(%1)"/>
      <w:numFmt w:val="lowerRoman"/>
      <w:start w:val="2"/>
    </w:lvl>
  </w:abstractNum>
  <w:abstractNum w:abstractNumId="248">
    <w:nsid w:val="6FE95EAC"/>
    <w:multiLevelType w:val="hybridMultilevel"/>
    <w:lvl w:ilvl="0">
      <w:lvlJc w:val="left"/>
      <w:lvlText w:val="(%1)"/>
      <w:numFmt w:val="upperLetter"/>
      <w:start w:val="2"/>
    </w:lvl>
    <w:lvl w:ilvl="1">
      <w:lvlJc w:val="left"/>
      <w:lvlText w:val="(%2)"/>
      <w:numFmt w:val="lowerLetter"/>
      <w:start w:val="2"/>
    </w:lvl>
  </w:abstractNum>
  <w:abstractNum w:abstractNumId="249">
    <w:nsid w:val="4B697C7A"/>
    <w:multiLevelType w:val="hybridMultilevel"/>
    <w:lvl w:ilvl="0">
      <w:lvlJc w:val="left"/>
      <w:lvlText w:val="(%1)"/>
      <w:numFmt w:val="lowerLetter"/>
      <w:start w:val="2"/>
    </w:lvl>
  </w:abstractNum>
  <w:abstractNum w:abstractNumId="250">
    <w:nsid w:val="51A27AA6"/>
    <w:multiLevelType w:val="hybridMultilevel"/>
    <w:lvl w:ilvl="0">
      <w:lvlJc w:val="left"/>
      <w:lvlText w:val="(%1)"/>
      <w:numFmt w:val="lowerLetter"/>
      <w:start w:val="2"/>
    </w:lvl>
  </w:abstractNum>
  <w:abstractNum w:abstractNumId="251">
    <w:nsid w:val="613183F2"/>
    <w:multiLevelType w:val="hybridMultilevel"/>
    <w:lvl w:ilvl="0">
      <w:lvlJc w:val="left"/>
      <w:lvlText w:val="(%1)"/>
      <w:numFmt w:val="lowerLetter"/>
      <w:start w:val="4"/>
    </w:lvl>
  </w:abstractNum>
  <w:abstractNum w:abstractNumId="252">
    <w:nsid w:val="634102B4"/>
    <w:multiLevelType w:val="hybridMultilevel"/>
    <w:lvl w:ilvl="0">
      <w:lvlJc w:val="left"/>
      <w:lvlText w:val="(%1)"/>
      <w:numFmt w:val="lowerLetter"/>
      <w:start w:val="1"/>
    </w:lvl>
  </w:abstractNum>
  <w:abstractNum w:abstractNumId="253">
    <w:nsid w:val="65BF9DA8"/>
    <w:multiLevelType w:val="hybridMultilevel"/>
    <w:lvl w:ilvl="0">
      <w:lvlJc w:val="left"/>
      <w:lvlText w:val="(%1)"/>
      <w:numFmt w:val="lowerRoman"/>
      <w:start w:val="1"/>
    </w:lvl>
  </w:abstractNum>
  <w:abstractNum w:abstractNumId="254">
    <w:nsid w:val="21A2ECCA"/>
    <w:multiLevelType w:val="hybridMultilevel"/>
    <w:lvl w:ilvl="0">
      <w:lvlJc w:val="left"/>
      <w:lvlText w:val="%1."/>
      <w:numFmt w:val="decimal"/>
      <w:start w:val="1"/>
    </w:lvl>
  </w:abstractNum>
  <w:abstractNum w:abstractNumId="255">
    <w:nsid w:val="4D5C4899"/>
    <w:multiLevelType w:val="hybridMultilevel"/>
    <w:lvl w:ilvl="0">
      <w:lvlJc w:val="left"/>
      <w:lvlText w:val="%1."/>
      <w:numFmt w:val="upperLetter"/>
      <w:start w:val="1"/>
    </w:lvl>
  </w:abstractNum>
  <w:abstractNum w:abstractNumId="256">
    <w:nsid w:val="3C3B72B2"/>
    <w:multiLevelType w:val="hybridMultilevel"/>
    <w:lvl w:ilvl="0">
      <w:lvlJc w:val="left"/>
      <w:lvlText w:val="%1."/>
      <w:numFmt w:val="decimal"/>
      <w:start w:val="1"/>
    </w:lvl>
    <w:lvl w:ilvl="1">
      <w:lvlJc w:val="left"/>
      <w:lvlText w:val="(%2)"/>
      <w:numFmt w:val="lowerLetter"/>
      <w:start w:val="1"/>
    </w:lvl>
  </w:abstractNum>
  <w:abstractNum w:abstractNumId="257">
    <w:nsid w:val="155EC4C2"/>
    <w:multiLevelType w:val="hybridMultilevel"/>
    <w:lvl w:ilvl="0">
      <w:lvlJc w:val="left"/>
      <w:lvlText w:val="(%1)"/>
      <w:numFmt w:val="lowerLetter"/>
      <w:start w:val="2"/>
    </w:lvl>
  </w:abstractNum>
  <w:abstractNum w:abstractNumId="258">
    <w:nsid w:val="65D2A137"/>
    <w:multiLevelType w:val="hybridMultilevel"/>
    <w:lvl w:ilvl="0">
      <w:lvlJc w:val="left"/>
      <w:lvlText w:val="(%1)"/>
      <w:numFmt w:val="lowerLetter"/>
      <w:start w:val="3"/>
    </w:lvl>
  </w:abstractNum>
  <w:abstractNum w:abstractNumId="259">
    <w:nsid w:val="6EBB1F2A"/>
    <w:multiLevelType w:val="hybridMultilevel"/>
    <w:lvl w:ilvl="0">
      <w:lvlJc w:val="left"/>
      <w:lvlText w:val="(%1)"/>
      <w:numFmt w:val="lowerLetter"/>
      <w:start w:val="1"/>
    </w:lvl>
    <w:lvl w:ilvl="1">
      <w:lvlJc w:val="left"/>
      <w:lvlText w:val="(%2)"/>
      <w:numFmt w:val="lowerRoman"/>
      <w:start w:val="1"/>
    </w:lvl>
  </w:abstractNum>
  <w:abstractNum w:abstractNumId="260">
    <w:nsid w:val="6FBF29CB"/>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35"/>
    </w:lvl>
  </w:abstractNum>
  <w:abstractNum w:abstractNumId="261">
    <w:nsid w:val="550B8808"/>
    <w:multiLevelType w:val="hybridMultilevel"/>
    <w:lvl w:ilvl="0">
      <w:lvlJc w:val="left"/>
      <w:lvlText w:val="(%1)"/>
      <w:numFmt w:val="lowerRoman"/>
      <w:start w:val="3"/>
    </w:lvl>
  </w:abstractNum>
  <w:abstractNum w:abstractNumId="262">
    <w:nsid w:val="34CC3ACF"/>
    <w:multiLevelType w:val="hybridMultilevel"/>
    <w:lvl w:ilvl="0">
      <w:lvlJc w:val="left"/>
      <w:lvlText w:val="(%1)"/>
      <w:numFmt w:val="lowerLetter"/>
      <w:start w:val="4"/>
    </w:lvl>
  </w:abstractNum>
  <w:abstractNum w:abstractNumId="263">
    <w:nsid w:val="4E556261"/>
    <w:multiLevelType w:val="hybridMultilevel"/>
    <w:lvl w:ilvl="0">
      <w:lvlJc w:val="left"/>
      <w:lvlText w:val="(%1)"/>
      <w:numFmt w:val="lowerLetter"/>
      <w:start w:val="5"/>
    </w:lvl>
  </w:abstractNum>
  <w:abstractNum w:abstractNumId="264">
    <w:nsid w:val="4C672FC9"/>
    <w:multiLevelType w:val="hybridMultilevel"/>
    <w:lvl w:ilvl="0">
      <w:lvlJc w:val="left"/>
      <w:lvlText w:val="(%1)"/>
      <w:numFmt w:val="lowerLetter"/>
      <w:start w:val="6"/>
    </w:lvl>
  </w:abstractNum>
  <w:abstractNum w:abstractNumId="265">
    <w:nsid w:val="52A311C3"/>
    <w:multiLevelType w:val="hybridMultilevel"/>
    <w:lvl w:ilvl="0">
      <w:lvlJc w:val="left"/>
      <w:lvlText w:val="%1."/>
      <w:numFmt w:val="decimal"/>
      <w:start w:val="3"/>
    </w:lvl>
  </w:abstractNum>
  <w:abstractNum w:abstractNumId="266">
    <w:nsid w:val="44EF6B80"/>
    <w:multiLevelType w:val="hybridMultilevel"/>
    <w:lvl w:ilvl="0">
      <w:lvlJc w:val="left"/>
      <w:lvlText w:val="%1."/>
      <w:numFmt w:val="decimal"/>
      <w:start w:val="5"/>
    </w:lvl>
    <w:lvl w:ilvl="1">
      <w:lvlJc w:val="left"/>
      <w:lvlText w:val="(%2)"/>
      <w:numFmt w:val="lowerLetter"/>
      <w:start w:val="1"/>
    </w:lvl>
  </w:abstractNum>
  <w:abstractNum w:abstractNumId="267">
    <w:nsid w:val="12FCDE5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8">
    <w:nsid w:val="4A1D606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69">
    <w:nsid w:val="438250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0">
    <w:nsid w:val="59B76E2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1">
    <w:nsid w:val="4252C2DA"/>
    <w:multiLevelType w:val="hybridMultilevel"/>
    <w:lvl w:ilvl="0">
      <w:lvlJc w:val="left"/>
      <w:lvlText w:val="(%1)"/>
      <w:numFmt w:val="lowerLetter"/>
      <w:start w:val="6"/>
    </w:lvl>
  </w:abstractNum>
  <w:abstractNum w:abstractNumId="272">
    <w:nsid w:val="6A92EF4C"/>
    <w:multiLevelType w:val="hybridMultilevel"/>
    <w:lvl w:ilvl="0">
      <w:lvlJc w:val="left"/>
      <w:lvlText w:val="%1."/>
      <w:numFmt w:val="decimal"/>
      <w:start w:val="1"/>
    </w:lvl>
    <w:lvl w:ilvl="1">
      <w:lvlJc w:val="left"/>
      <w:lvlText w:val="%2)"/>
      <w:numFmt w:val="lowerLetter"/>
      <w:start w:val="1"/>
    </w:lvl>
  </w:abstractNum>
  <w:abstractNum w:abstractNumId="273">
    <w:nsid w:val="41ED20D7"/>
    <w:multiLevelType w:val="hybridMultilevel"/>
    <w:lvl w:ilvl="0">
      <w:lvlJc w:val="left"/>
      <w:lvlText w:val="%1."/>
      <w:numFmt w:val="decimal"/>
      <w:start w:val="1"/>
    </w:lvl>
    <w:lvl w:ilvl="1">
      <w:lvlJc w:val="left"/>
      <w:lvlText w:val="%2)"/>
      <w:numFmt w:val="lowerLetter"/>
      <w:start w:val="1"/>
    </w:lvl>
  </w:abstractNum>
  <w:abstractNum w:abstractNumId="274">
    <w:nsid w:val="E6B3F6A"/>
    <w:multiLevelType w:val="hybridMultilevel"/>
    <w:lvl w:ilvl="0">
      <w:lvlJc w:val="left"/>
      <w:lvlText w:val="(%1)"/>
      <w:numFmt w:val="decimal"/>
      <w:start w:val="1"/>
    </w:lvl>
  </w:abstractNum>
  <w:abstractNum w:abstractNumId="275">
    <w:nsid w:val="3EB218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23" Type="http://schemas.openxmlformats.org/officeDocument/2006/relationships/image" Target="media/image162.png"/><Relationship Id="rId224" Type="http://schemas.openxmlformats.org/officeDocument/2006/relationships/image" Target="media/image163.png"/><Relationship Id="rId228"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235" Type="http://schemas.openxmlformats.org/officeDocument/2006/relationships/image" Target="media/image171.png"/><Relationship Id="rId236" Type="http://schemas.openxmlformats.org/officeDocument/2006/relationships/image" Target="media/image172.png"/><Relationship Id="rId237"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244" Type="http://schemas.openxmlformats.org/officeDocument/2006/relationships/image" Target="media/image180.png"/><Relationship Id="rId245" Type="http://schemas.openxmlformats.org/officeDocument/2006/relationships/image" Target="media/image181.png"/><Relationship Id="rId246" Type="http://schemas.openxmlformats.org/officeDocument/2006/relationships/image" Target="media/image182.png"/><Relationship Id="rId247" Type="http://schemas.openxmlformats.org/officeDocument/2006/relationships/image" Target="media/image183.png"/><Relationship Id="rId248" Type="http://schemas.openxmlformats.org/officeDocument/2006/relationships/image" Target="media/image184.png"/><Relationship Id="rId249" Type="http://schemas.openxmlformats.org/officeDocument/2006/relationships/image" Target="media/image185.png"/><Relationship Id="rId250" Type="http://schemas.openxmlformats.org/officeDocument/2006/relationships/image" Target="media/image186.png"/><Relationship Id="rId251" Type="http://schemas.openxmlformats.org/officeDocument/2006/relationships/image" Target="media/image187.png"/><Relationship Id="rId252" Type="http://schemas.openxmlformats.org/officeDocument/2006/relationships/image" Target="media/image188.png"/><Relationship Id="rId253" Type="http://schemas.openxmlformats.org/officeDocument/2006/relationships/image" Target="media/image189.png"/><Relationship Id="rId254" Type="http://schemas.openxmlformats.org/officeDocument/2006/relationships/image" Target="media/image190.png"/><Relationship Id="rId255" Type="http://schemas.openxmlformats.org/officeDocument/2006/relationships/image" Target="media/image191.png"/><Relationship Id="rId256" Type="http://schemas.openxmlformats.org/officeDocument/2006/relationships/image" Target="media/image192.png"/><Relationship Id="rId257" Type="http://schemas.openxmlformats.org/officeDocument/2006/relationships/image" Target="media/image193.png"/><Relationship Id="rId258" Type="http://schemas.openxmlformats.org/officeDocument/2006/relationships/image" Target="media/image194.png"/><Relationship Id="rId259" Type="http://schemas.openxmlformats.org/officeDocument/2006/relationships/image" Target="media/image195.png"/><Relationship Id="rId260" Type="http://schemas.openxmlformats.org/officeDocument/2006/relationships/image" Target="media/image196.png"/><Relationship Id="rId261" Type="http://schemas.openxmlformats.org/officeDocument/2006/relationships/image" Target="media/image197.png"/><Relationship Id="rId262" Type="http://schemas.openxmlformats.org/officeDocument/2006/relationships/image" Target="media/image198.png"/><Relationship Id="rId263" Type="http://schemas.openxmlformats.org/officeDocument/2006/relationships/image" Target="media/image199.png"/><Relationship Id="rId264" Type="http://schemas.openxmlformats.org/officeDocument/2006/relationships/image" Target="media/image200.png"/><Relationship Id="rId265" Type="http://schemas.openxmlformats.org/officeDocument/2006/relationships/image" Target="media/image201.png"/><Relationship Id="rId266" Type="http://schemas.openxmlformats.org/officeDocument/2006/relationships/image" Target="media/image202.png"/><Relationship Id="rId267" Type="http://schemas.openxmlformats.org/officeDocument/2006/relationships/image" Target="media/image203.png"/><Relationship Id="rId268" Type="http://schemas.openxmlformats.org/officeDocument/2006/relationships/image" Target="media/image204.png"/><Relationship Id="rId269" Type="http://schemas.openxmlformats.org/officeDocument/2006/relationships/image" Target="media/image205.png"/><Relationship Id="rId270" Type="http://schemas.openxmlformats.org/officeDocument/2006/relationships/image" Target="media/image206.png"/><Relationship Id="rId271" Type="http://schemas.openxmlformats.org/officeDocument/2006/relationships/image" Target="media/image207.png"/><Relationship Id="rId272" Type="http://schemas.openxmlformats.org/officeDocument/2006/relationships/image" Target="media/image208.png"/><Relationship Id="rId273" Type="http://schemas.openxmlformats.org/officeDocument/2006/relationships/image" Target="media/image209.png"/><Relationship Id="rId274" Type="http://schemas.openxmlformats.org/officeDocument/2006/relationships/image" Target="media/image210.png"/><Relationship Id="rId275" Type="http://schemas.openxmlformats.org/officeDocument/2006/relationships/image" Target="media/image211.png"/><Relationship Id="rId276" Type="http://schemas.openxmlformats.org/officeDocument/2006/relationships/image" Target="media/image212.png"/><Relationship Id="rId277" Type="http://schemas.openxmlformats.org/officeDocument/2006/relationships/image" Target="media/image213.png"/><Relationship Id="rId278" Type="http://schemas.openxmlformats.org/officeDocument/2006/relationships/image" Target="media/image214.png"/><Relationship Id="rId279" Type="http://schemas.openxmlformats.org/officeDocument/2006/relationships/image" Target="media/image215.png"/><Relationship Id="rId280" Type="http://schemas.openxmlformats.org/officeDocument/2006/relationships/image" Target="media/image216.png"/><Relationship Id="rId281" Type="http://schemas.openxmlformats.org/officeDocument/2006/relationships/image" Target="media/image217.png"/><Relationship Id="rId282" Type="http://schemas.openxmlformats.org/officeDocument/2006/relationships/image" Target="media/image218.png"/><Relationship Id="rId283" Type="http://schemas.openxmlformats.org/officeDocument/2006/relationships/image" Target="media/image219.png"/><Relationship Id="rId284" Type="http://schemas.openxmlformats.org/officeDocument/2006/relationships/image" Target="media/image220.png"/><Relationship Id="rId285" Type="http://schemas.openxmlformats.org/officeDocument/2006/relationships/image" Target="media/image221.png"/><Relationship Id="rId286" Type="http://schemas.openxmlformats.org/officeDocument/2006/relationships/image" Target="media/image222.png"/><Relationship Id="rId287" Type="http://schemas.openxmlformats.org/officeDocument/2006/relationships/image" Target="media/image223.png"/><Relationship Id="rId288" Type="http://schemas.openxmlformats.org/officeDocument/2006/relationships/image" Target="media/image224.png"/><Relationship Id="rId289" Type="http://schemas.openxmlformats.org/officeDocument/2006/relationships/image" Target="media/image225.png"/><Relationship Id="rId290" Type="http://schemas.openxmlformats.org/officeDocument/2006/relationships/image" Target="media/image226.png"/><Relationship Id="rId291" Type="http://schemas.openxmlformats.org/officeDocument/2006/relationships/image" Target="media/image227.png"/><Relationship Id="rId292" Type="http://schemas.openxmlformats.org/officeDocument/2006/relationships/image" Target="media/image228.png"/><Relationship Id="rId293" Type="http://schemas.openxmlformats.org/officeDocument/2006/relationships/image" Target="media/image229.png"/><Relationship Id="rId294" Type="http://schemas.openxmlformats.org/officeDocument/2006/relationships/image" Target="media/image230.png"/><Relationship Id="rId295" Type="http://schemas.openxmlformats.org/officeDocument/2006/relationships/image" Target="media/image231.png"/><Relationship Id="rId296" Type="http://schemas.openxmlformats.org/officeDocument/2006/relationships/image" Target="media/image232.png"/><Relationship Id="rId297" Type="http://schemas.openxmlformats.org/officeDocument/2006/relationships/image" Target="media/image233.png"/><Relationship Id="rId298" Type="http://schemas.openxmlformats.org/officeDocument/2006/relationships/image" Target="media/image234.png"/><Relationship Id="rId299" Type="http://schemas.openxmlformats.org/officeDocument/2006/relationships/image" Target="media/image235.png"/><Relationship Id="rId300" Type="http://schemas.openxmlformats.org/officeDocument/2006/relationships/image" Target="media/image236.png"/><Relationship Id="rId301" Type="http://schemas.openxmlformats.org/officeDocument/2006/relationships/image" Target="media/image237.png"/><Relationship Id="rId302" Type="http://schemas.openxmlformats.org/officeDocument/2006/relationships/image" Target="media/image238.png"/><Relationship Id="rId303" Type="http://schemas.openxmlformats.org/officeDocument/2006/relationships/image" Target="media/image239.png"/><Relationship Id="rId304" Type="http://schemas.openxmlformats.org/officeDocument/2006/relationships/image" Target="media/image240.png"/><Relationship Id="rId305" Type="http://schemas.openxmlformats.org/officeDocument/2006/relationships/image" Target="media/image241.png"/><Relationship Id="rId306" Type="http://schemas.openxmlformats.org/officeDocument/2006/relationships/image" Target="media/image242.png"/><Relationship Id="rId307" Type="http://schemas.openxmlformats.org/officeDocument/2006/relationships/image" Target="media/image243.png"/><Relationship Id="rId308" Type="http://schemas.openxmlformats.org/officeDocument/2006/relationships/image" Target="media/image244.png"/><Relationship Id="rId309" Type="http://schemas.openxmlformats.org/officeDocument/2006/relationships/image" Target="media/image245.png"/><Relationship Id="rId310" Type="http://schemas.openxmlformats.org/officeDocument/2006/relationships/image" Target="media/image246.png"/><Relationship Id="rId311" Type="http://schemas.openxmlformats.org/officeDocument/2006/relationships/image" Target="media/image247.png"/><Relationship Id="rId312" Type="http://schemas.openxmlformats.org/officeDocument/2006/relationships/image" Target="media/image248.png"/><Relationship Id="rId313" Type="http://schemas.openxmlformats.org/officeDocument/2006/relationships/image" Target="media/image249.png"/><Relationship Id="rId314" Type="http://schemas.openxmlformats.org/officeDocument/2006/relationships/image" Target="media/image250.png"/><Relationship Id="rId315" Type="http://schemas.openxmlformats.org/officeDocument/2006/relationships/image" Target="media/image251.png"/><Relationship Id="rId316" Type="http://schemas.openxmlformats.org/officeDocument/2006/relationships/image" Target="media/image252.png"/><Relationship Id="rId317" Type="http://schemas.openxmlformats.org/officeDocument/2006/relationships/image" Target="media/image253.png"/><Relationship Id="rId318" Type="http://schemas.openxmlformats.org/officeDocument/2006/relationships/image" Target="media/image254.png"/><Relationship Id="rId319" Type="http://schemas.openxmlformats.org/officeDocument/2006/relationships/image" Target="media/image255.png"/><Relationship Id="rId320" Type="http://schemas.openxmlformats.org/officeDocument/2006/relationships/image" Target="media/image256.png"/><Relationship Id="rId321" Type="http://schemas.openxmlformats.org/officeDocument/2006/relationships/image" Target="media/image257.png"/><Relationship Id="rId322" Type="http://schemas.openxmlformats.org/officeDocument/2006/relationships/image" Target="media/image258.png"/><Relationship Id="rId323" Type="http://schemas.openxmlformats.org/officeDocument/2006/relationships/image" Target="media/image259.png"/><Relationship Id="rId324" Type="http://schemas.openxmlformats.org/officeDocument/2006/relationships/image" Target="media/image260.png"/><Relationship Id="rId325" Type="http://schemas.openxmlformats.org/officeDocument/2006/relationships/image" Target="media/image261.png"/><Relationship Id="rId326" Type="http://schemas.openxmlformats.org/officeDocument/2006/relationships/image" Target="media/image262.png"/><Relationship Id="rId327" Type="http://schemas.openxmlformats.org/officeDocument/2006/relationships/image" Target="media/image263.png"/><Relationship Id="rId328" Type="http://schemas.openxmlformats.org/officeDocument/2006/relationships/image" Target="media/image264.png"/><Relationship Id="rId329" Type="http://schemas.openxmlformats.org/officeDocument/2006/relationships/image" Target="media/image265.png"/><Relationship Id="rId330" Type="http://schemas.openxmlformats.org/officeDocument/2006/relationships/image" Target="media/image266.png"/><Relationship Id="rId331" Type="http://schemas.openxmlformats.org/officeDocument/2006/relationships/image" Target="media/image267.png"/><Relationship Id="rId332" Type="http://schemas.openxmlformats.org/officeDocument/2006/relationships/image" Target="media/image268.png"/><Relationship Id="rId333" Type="http://schemas.openxmlformats.org/officeDocument/2006/relationships/image" Target="media/image269.png"/><Relationship Id="rId334" Type="http://schemas.openxmlformats.org/officeDocument/2006/relationships/image" Target="media/image270.png"/><Relationship Id="rId335" Type="http://schemas.openxmlformats.org/officeDocument/2006/relationships/image" Target="media/image271.png"/><Relationship Id="rId336" Type="http://schemas.openxmlformats.org/officeDocument/2006/relationships/image" Target="media/image272.png"/><Relationship Id="rId337" Type="http://schemas.openxmlformats.org/officeDocument/2006/relationships/image" Target="media/image273.png"/><Relationship Id="rId338" Type="http://schemas.openxmlformats.org/officeDocument/2006/relationships/image" Target="media/image274.png"/><Relationship Id="rId339" Type="http://schemas.openxmlformats.org/officeDocument/2006/relationships/image" Target="media/image275.png"/><Relationship Id="rId340" Type="http://schemas.openxmlformats.org/officeDocument/2006/relationships/image" Target="media/image276.png"/><Relationship Id="rId341" Type="http://schemas.openxmlformats.org/officeDocument/2006/relationships/image" Target="media/image277.png"/><Relationship Id="rId342" Type="http://schemas.openxmlformats.org/officeDocument/2006/relationships/image" Target="media/image278.png"/><Relationship Id="rId343" Type="http://schemas.openxmlformats.org/officeDocument/2006/relationships/image" Target="media/image279.png"/><Relationship Id="rId344" Type="http://schemas.openxmlformats.org/officeDocument/2006/relationships/image" Target="media/image280.png"/><Relationship Id="rId345" Type="http://schemas.openxmlformats.org/officeDocument/2006/relationships/image" Target="media/image281.png"/><Relationship Id="rId346" Type="http://schemas.openxmlformats.org/officeDocument/2006/relationships/image" Target="media/image282.png"/><Relationship Id="rId347" Type="http://schemas.openxmlformats.org/officeDocument/2006/relationships/image" Target="media/image283.png"/><Relationship Id="rId348" Type="http://schemas.openxmlformats.org/officeDocument/2006/relationships/image" Target="media/image284.png"/><Relationship Id="rId349" Type="http://schemas.openxmlformats.org/officeDocument/2006/relationships/image" Target="media/image285.png"/><Relationship Id="rId350" Type="http://schemas.openxmlformats.org/officeDocument/2006/relationships/image" Target="media/image286.png"/><Relationship Id="rId351" Type="http://schemas.openxmlformats.org/officeDocument/2006/relationships/image" Target="media/image287.png"/><Relationship Id="rId352" Type="http://schemas.openxmlformats.org/officeDocument/2006/relationships/image" Target="media/image288.png"/><Relationship Id="rId353" Type="http://schemas.openxmlformats.org/officeDocument/2006/relationships/image" Target="media/image289.png"/><Relationship Id="rId354" Type="http://schemas.openxmlformats.org/officeDocument/2006/relationships/image" Target="media/image290.png"/><Relationship Id="rId355" Type="http://schemas.openxmlformats.org/officeDocument/2006/relationships/image" Target="media/image291.png"/><Relationship Id="rId356" Type="http://schemas.openxmlformats.org/officeDocument/2006/relationships/image" Target="media/image292.png"/><Relationship Id="rId357" Type="http://schemas.openxmlformats.org/officeDocument/2006/relationships/image" Target="media/image293.png"/><Relationship Id="rId358" Type="http://schemas.openxmlformats.org/officeDocument/2006/relationships/image" Target="media/image294.png"/><Relationship Id="rId359" Type="http://schemas.openxmlformats.org/officeDocument/2006/relationships/image" Target="media/image295.png"/><Relationship Id="rId360" Type="http://schemas.openxmlformats.org/officeDocument/2006/relationships/image" Target="media/image296.png"/><Relationship Id="rId361" Type="http://schemas.openxmlformats.org/officeDocument/2006/relationships/image" Target="media/image297.png"/><Relationship Id="rId362" Type="http://schemas.openxmlformats.org/officeDocument/2006/relationships/image" Target="media/image298.png"/><Relationship Id="rId363" Type="http://schemas.openxmlformats.org/officeDocument/2006/relationships/image" Target="media/image299.png"/><Relationship Id="rId364" Type="http://schemas.openxmlformats.org/officeDocument/2006/relationships/image" Target="media/image300.png"/><Relationship Id="rId365" Type="http://schemas.openxmlformats.org/officeDocument/2006/relationships/image" Target="media/image301.png"/><Relationship Id="rId366" Type="http://schemas.openxmlformats.org/officeDocument/2006/relationships/image" Target="media/image302.png"/><Relationship Id="rId367" Type="http://schemas.openxmlformats.org/officeDocument/2006/relationships/image" Target="media/image303.png"/><Relationship Id="rId368" Type="http://schemas.openxmlformats.org/officeDocument/2006/relationships/image" Target="media/image304.png"/><Relationship Id="rId369" Type="http://schemas.openxmlformats.org/officeDocument/2006/relationships/image" Target="media/image305.png"/><Relationship Id="rId370" Type="http://schemas.openxmlformats.org/officeDocument/2006/relationships/image" Target="media/image306.png"/><Relationship Id="rId371" Type="http://schemas.openxmlformats.org/officeDocument/2006/relationships/image" Target="media/image307.png"/><Relationship Id="rId372" Type="http://schemas.openxmlformats.org/officeDocument/2006/relationships/image" Target="media/image308.png"/><Relationship Id="rId373" Type="http://schemas.openxmlformats.org/officeDocument/2006/relationships/image" Target="media/image309.png"/><Relationship Id="rId374" Type="http://schemas.openxmlformats.org/officeDocument/2006/relationships/image" Target="media/image310.png"/><Relationship Id="rId375" Type="http://schemas.openxmlformats.org/officeDocument/2006/relationships/image" Target="media/image311.png"/><Relationship Id="rId376" Type="http://schemas.openxmlformats.org/officeDocument/2006/relationships/image" Target="media/image312.png"/><Relationship Id="rId377" Type="http://schemas.openxmlformats.org/officeDocument/2006/relationships/image" Target="media/image313.png"/><Relationship Id="rId378" Type="http://schemas.openxmlformats.org/officeDocument/2006/relationships/image" Target="media/image314.png"/><Relationship Id="rId379" Type="http://schemas.openxmlformats.org/officeDocument/2006/relationships/image" Target="media/image315.png"/><Relationship Id="rId380" Type="http://schemas.openxmlformats.org/officeDocument/2006/relationships/image" Target="media/image316.png"/><Relationship Id="rId381" Type="http://schemas.openxmlformats.org/officeDocument/2006/relationships/image" Target="media/image317.png"/><Relationship Id="rId382" Type="http://schemas.openxmlformats.org/officeDocument/2006/relationships/image" Target="media/image318.png"/><Relationship Id="rId383" Type="http://schemas.openxmlformats.org/officeDocument/2006/relationships/image" Target="media/image319.png"/><Relationship Id="rId384" Type="http://schemas.openxmlformats.org/officeDocument/2006/relationships/image" Target="media/image320.png"/><Relationship Id="rId385" Type="http://schemas.openxmlformats.org/officeDocument/2006/relationships/image" Target="media/image321.png"/><Relationship Id="rId386" Type="http://schemas.openxmlformats.org/officeDocument/2006/relationships/image" Target="media/image322.png"/><Relationship Id="rId387" Type="http://schemas.openxmlformats.org/officeDocument/2006/relationships/image" Target="media/image323.png"/><Relationship Id="rId388" Type="http://schemas.openxmlformats.org/officeDocument/2006/relationships/image" Target="media/image324.png"/><Relationship Id="rId389" Type="http://schemas.openxmlformats.org/officeDocument/2006/relationships/image" Target="media/image325.png"/><Relationship Id="rId390" Type="http://schemas.openxmlformats.org/officeDocument/2006/relationships/image" Target="media/image326.png"/><Relationship Id="rId391" Type="http://schemas.openxmlformats.org/officeDocument/2006/relationships/image" Target="media/image327.png"/><Relationship Id="rId392" Type="http://schemas.openxmlformats.org/officeDocument/2006/relationships/image" Target="media/image328.png"/><Relationship Id="rId393" Type="http://schemas.openxmlformats.org/officeDocument/2006/relationships/image" Target="media/image329.png"/><Relationship Id="rId394" Type="http://schemas.openxmlformats.org/officeDocument/2006/relationships/image" Target="media/image330.png"/><Relationship Id="rId395" Type="http://schemas.openxmlformats.org/officeDocument/2006/relationships/image" Target="media/image331.png"/><Relationship Id="rId396" Type="http://schemas.openxmlformats.org/officeDocument/2006/relationships/image" Target="media/image332.png"/><Relationship Id="rId397" Type="http://schemas.openxmlformats.org/officeDocument/2006/relationships/image" Target="media/image333.png"/><Relationship Id="rId398" Type="http://schemas.openxmlformats.org/officeDocument/2006/relationships/image" Target="media/image334.png"/><Relationship Id="rId399" Type="http://schemas.openxmlformats.org/officeDocument/2006/relationships/image" Target="media/image335.png"/><Relationship Id="rId400" Type="http://schemas.openxmlformats.org/officeDocument/2006/relationships/image" Target="media/image336.png"/><Relationship Id="rId401" Type="http://schemas.openxmlformats.org/officeDocument/2006/relationships/image" Target="media/image337.png"/><Relationship Id="rId402" Type="http://schemas.openxmlformats.org/officeDocument/2006/relationships/image" Target="media/image338.png"/><Relationship Id="rId403" Type="http://schemas.openxmlformats.org/officeDocument/2006/relationships/image" Target="media/image339.png"/><Relationship Id="rId404" Type="http://schemas.openxmlformats.org/officeDocument/2006/relationships/image" Target="media/image340.png"/><Relationship Id="rId405" Type="http://schemas.openxmlformats.org/officeDocument/2006/relationships/image" Target="media/image341.png"/><Relationship Id="rId406" Type="http://schemas.openxmlformats.org/officeDocument/2006/relationships/image" Target="media/image342.png"/><Relationship Id="rId407" Type="http://schemas.openxmlformats.org/officeDocument/2006/relationships/image" Target="media/image343.png"/><Relationship Id="rId408" Type="http://schemas.openxmlformats.org/officeDocument/2006/relationships/image" Target="media/image344.png"/><Relationship Id="rId409" Type="http://schemas.openxmlformats.org/officeDocument/2006/relationships/image" Target="media/image345.png"/><Relationship Id="rId410" Type="http://schemas.openxmlformats.org/officeDocument/2006/relationships/image" Target="media/image346.png"/><Relationship Id="rId411" Type="http://schemas.openxmlformats.org/officeDocument/2006/relationships/image" Target="media/image347.png"/><Relationship Id="rId412" Type="http://schemas.openxmlformats.org/officeDocument/2006/relationships/image" Target="media/image348.png"/><Relationship Id="rId413" Type="http://schemas.openxmlformats.org/officeDocument/2006/relationships/image" Target="media/image349.png"/><Relationship Id="rId414" Type="http://schemas.openxmlformats.org/officeDocument/2006/relationships/image" Target="media/image350.png"/><Relationship Id="rId415" Type="http://schemas.openxmlformats.org/officeDocument/2006/relationships/image" Target="media/image351.png"/><Relationship Id="rId416" Type="http://schemas.openxmlformats.org/officeDocument/2006/relationships/image" Target="media/image352.png"/><Relationship Id="rId417" Type="http://schemas.openxmlformats.org/officeDocument/2006/relationships/image" Target="media/image353.png"/><Relationship Id="rId418" Type="http://schemas.openxmlformats.org/officeDocument/2006/relationships/image" Target="media/image354.png"/><Relationship Id="rId419" Type="http://schemas.openxmlformats.org/officeDocument/2006/relationships/image" Target="media/image355.png"/><Relationship Id="rId420" Type="http://schemas.openxmlformats.org/officeDocument/2006/relationships/image" Target="media/image356.png"/><Relationship Id="rId421" Type="http://schemas.openxmlformats.org/officeDocument/2006/relationships/image" Target="media/image357.png"/><Relationship Id="rId422" Type="http://schemas.openxmlformats.org/officeDocument/2006/relationships/image" Target="media/image358.png"/><Relationship Id="rId423" Type="http://schemas.openxmlformats.org/officeDocument/2006/relationships/image" Target="media/image359.png"/><Relationship Id="rId424" Type="http://schemas.openxmlformats.org/officeDocument/2006/relationships/image" Target="media/image360.png"/><Relationship Id="rId425" Type="http://schemas.openxmlformats.org/officeDocument/2006/relationships/image" Target="media/image361.png"/><Relationship Id="rId426" Type="http://schemas.openxmlformats.org/officeDocument/2006/relationships/image" Target="media/image362.png"/><Relationship Id="rId427" Type="http://schemas.openxmlformats.org/officeDocument/2006/relationships/image" Target="media/image363.png"/><Relationship Id="rId428" Type="http://schemas.openxmlformats.org/officeDocument/2006/relationships/image" Target="media/image364.png"/><Relationship Id="rId429" Type="http://schemas.openxmlformats.org/officeDocument/2006/relationships/image" Target="media/image365.png"/><Relationship Id="rId430" Type="http://schemas.openxmlformats.org/officeDocument/2006/relationships/image" Target="media/image366.png"/><Relationship Id="rId431" Type="http://schemas.openxmlformats.org/officeDocument/2006/relationships/image" Target="media/image367.png"/><Relationship Id="rId432" Type="http://schemas.openxmlformats.org/officeDocument/2006/relationships/image" Target="media/image368.png"/><Relationship Id="rId433" Type="http://schemas.openxmlformats.org/officeDocument/2006/relationships/image" Target="media/image369.png"/><Relationship Id="rId434" Type="http://schemas.openxmlformats.org/officeDocument/2006/relationships/image" Target="media/image370.png"/><Relationship Id="rId435" Type="http://schemas.openxmlformats.org/officeDocument/2006/relationships/image" Target="media/image371.png"/><Relationship Id="rId436" Type="http://schemas.openxmlformats.org/officeDocument/2006/relationships/image" Target="media/image372.png"/><Relationship Id="rId437" Type="http://schemas.openxmlformats.org/officeDocument/2006/relationships/image" Target="media/image373.png"/><Relationship Id="rId438" Type="http://schemas.openxmlformats.org/officeDocument/2006/relationships/image" Target="media/image374.png"/><Relationship Id="rId439" Type="http://schemas.openxmlformats.org/officeDocument/2006/relationships/image" Target="media/image375.png"/><Relationship Id="rId440" Type="http://schemas.openxmlformats.org/officeDocument/2006/relationships/image" Target="media/image376.png"/><Relationship Id="rId441" Type="http://schemas.openxmlformats.org/officeDocument/2006/relationships/image" Target="media/image377.png"/><Relationship Id="rId442" Type="http://schemas.openxmlformats.org/officeDocument/2006/relationships/image" Target="media/image378.png"/><Relationship Id="rId443" Type="http://schemas.openxmlformats.org/officeDocument/2006/relationships/image" Target="media/image379.png"/><Relationship Id="rId444" Type="http://schemas.openxmlformats.org/officeDocument/2006/relationships/image" Target="media/image380.png"/><Relationship Id="rId445" Type="http://schemas.openxmlformats.org/officeDocument/2006/relationships/image" Target="media/image381.png"/><Relationship Id="rId446" Type="http://schemas.openxmlformats.org/officeDocument/2006/relationships/image" Target="media/image382.png"/><Relationship Id="rId447" Type="http://schemas.openxmlformats.org/officeDocument/2006/relationships/image" Target="media/image383.png"/><Relationship Id="rId448" Type="http://schemas.openxmlformats.org/officeDocument/2006/relationships/image" Target="media/image384.png"/><Relationship Id="rId449" Type="http://schemas.openxmlformats.org/officeDocument/2006/relationships/image" Target="media/image385.png"/><Relationship Id="rId450" Type="http://schemas.openxmlformats.org/officeDocument/2006/relationships/image" Target="media/image386.png"/><Relationship Id="rId451" Type="http://schemas.openxmlformats.org/officeDocument/2006/relationships/image" Target="media/image387.png"/><Relationship Id="rId452" Type="http://schemas.openxmlformats.org/officeDocument/2006/relationships/image" Target="media/image388.png"/><Relationship Id="rId453" Type="http://schemas.openxmlformats.org/officeDocument/2006/relationships/image" Target="media/image389.png"/><Relationship Id="rId454" Type="http://schemas.openxmlformats.org/officeDocument/2006/relationships/image" Target="media/image390.png"/><Relationship Id="rId455" Type="http://schemas.openxmlformats.org/officeDocument/2006/relationships/image" Target="media/image391.png"/><Relationship Id="rId456" Type="http://schemas.openxmlformats.org/officeDocument/2006/relationships/image" Target="media/image392.png"/><Relationship Id="rId457" Type="http://schemas.openxmlformats.org/officeDocument/2006/relationships/image" Target="media/image393.png"/><Relationship Id="rId458" Type="http://schemas.openxmlformats.org/officeDocument/2006/relationships/image" Target="media/image394.png"/><Relationship Id="rId459" Type="http://schemas.openxmlformats.org/officeDocument/2006/relationships/image" Target="media/image395.png"/><Relationship Id="rId460" Type="http://schemas.openxmlformats.org/officeDocument/2006/relationships/image" Target="media/image396.png"/><Relationship Id="rId461" Type="http://schemas.openxmlformats.org/officeDocument/2006/relationships/image" Target="media/image397.png"/><Relationship Id="rId462" Type="http://schemas.openxmlformats.org/officeDocument/2006/relationships/image" Target="media/image398.png"/><Relationship Id="rId463" Type="http://schemas.openxmlformats.org/officeDocument/2006/relationships/image" Target="media/image399.png"/><Relationship Id="rId464" Type="http://schemas.openxmlformats.org/officeDocument/2006/relationships/image" Target="media/image400.png"/><Relationship Id="rId465" Type="http://schemas.openxmlformats.org/officeDocument/2006/relationships/image" Target="media/image401.png"/><Relationship Id="rId466" Type="http://schemas.openxmlformats.org/officeDocument/2006/relationships/image" Target="media/image402.png"/><Relationship Id="rId467" Type="http://schemas.openxmlformats.org/officeDocument/2006/relationships/image" Target="media/image403.png"/><Relationship Id="rId468" Type="http://schemas.openxmlformats.org/officeDocument/2006/relationships/image" Target="media/image404.png"/><Relationship Id="rId469" Type="http://schemas.openxmlformats.org/officeDocument/2006/relationships/image" Target="media/image405.png"/><Relationship Id="rId470" Type="http://schemas.openxmlformats.org/officeDocument/2006/relationships/image" Target="media/image406.png"/><Relationship Id="rId471" Type="http://schemas.openxmlformats.org/officeDocument/2006/relationships/image" Target="media/image407.png"/><Relationship Id="rId472" Type="http://schemas.openxmlformats.org/officeDocument/2006/relationships/image" Target="media/image408.png"/><Relationship Id="rId473" Type="http://schemas.openxmlformats.org/officeDocument/2006/relationships/image" Target="media/image409.png"/><Relationship Id="rId474" Type="http://schemas.openxmlformats.org/officeDocument/2006/relationships/image" Target="media/image410.png"/><Relationship Id="rId161" Type="http://schemas.openxmlformats.org/officeDocument/2006/relationships/hyperlink" Target="http://www.sec.gov/Archives/edgar/data/78128/000155278118000448/e18403_ex2-1.htm" TargetMode="External"/><Relationship Id="rId162" Type="http://schemas.openxmlformats.org/officeDocument/2006/relationships/hyperlink" Target="http://www.sec.gov/Archives/edgar/data/78128/000129993312001168/exhibit1.htm" TargetMode="External"/><Relationship Id="rId163" Type="http://schemas.openxmlformats.org/officeDocument/2006/relationships/hyperlink" Target="http://www.sec.gov/Archives/edgar/data/78128/000155278118000331/e18313_ex3-1.htm" TargetMode="External"/><Relationship Id="rId164" Type="http://schemas.openxmlformats.org/officeDocument/2006/relationships/hyperlink" Target="http://www.sec.gov/Archives/edgar/data/78128/000156276216000347/wtr-20151231ex4117d8b2c.htm" TargetMode="External"/><Relationship Id="rId165" Type="http://schemas.openxmlformats.org/officeDocument/2006/relationships/hyperlink" Target="http://www.sec.gov/Archives/edgar/data/78128/000156276216000347/wtr-20151231ex4138c31a4.htm" TargetMode="External"/><Relationship Id="rId166" Type="http://schemas.openxmlformats.org/officeDocument/2006/relationships/hyperlink" Target="http://www.sec.gov/Archives/edgar/data/78128/0000950116-95-000167.txt" TargetMode="External"/><Relationship Id="rId167" Type="http://schemas.openxmlformats.org/officeDocument/2006/relationships/hyperlink" Target="http://www.sec.gov/Archives/edgar/data/78128/000095011600000661/0000950116-00-000661.txt" TargetMode="External"/><Relationship Id="rId168" Type="http://schemas.openxmlformats.org/officeDocument/2006/relationships/hyperlink" Target="http://www.sec.gov/Archives/edgar/data/78128/000095011602000393/ex4-22.txt" TargetMode="External"/><Relationship Id="rId169" Type="http://schemas.openxmlformats.org/officeDocument/2006/relationships/hyperlink" Target="http://www.sec.gov/Archives/edgar/data/78128/000095012309031365/c88935exv4w38.htm" TargetMode="External"/><Relationship Id="rId170" Type="http://schemas.openxmlformats.org/officeDocument/2006/relationships/hyperlink" Target="http://www.sec.gov/Archives/edgar/data/78128/000095012310017964/c96764exv4w39.htm" TargetMode="External"/><Relationship Id="rId171" Type="http://schemas.openxmlformats.org/officeDocument/2006/relationships/hyperlink" Target="http://www.sec.gov/Archives/edgar/data/78128/000095012311018861/c13147exv4w35.htm" TargetMode="External"/><Relationship Id="rId172" Type="http://schemas.openxmlformats.org/officeDocument/2006/relationships/hyperlink" Target="http://www.sec.gov/Archives/edgar/data/78128/000119312513084841/d493762dex424.htm" TargetMode="External"/><Relationship Id="rId173" Type="http://schemas.openxmlformats.org/officeDocument/2006/relationships/hyperlink" Target="http://www.sec.gov/Archives/edgar/data/78128/000119312514080172/d684476dex4117.htm" TargetMode="External"/><Relationship Id="rId174" Type="http://schemas.openxmlformats.org/officeDocument/2006/relationships/hyperlink" Target="http://www.sec.gov/Archives/edgar/data/78128/000156276216000347/wtr-20151231ex411562ca3.htm" TargetMode="External"/><Relationship Id="rId177" Type="http://schemas.openxmlformats.org/officeDocument/2006/relationships/hyperlink" Target="http://www.sec.gov/Archives/edgar/data/78128/000095011603004478/ex4-27.txt" TargetMode="External"/><Relationship Id="rId178" Type="http://schemas.openxmlformats.org/officeDocument/2006/relationships/hyperlink" Target="http://www.sec.gov/Archives/edgar/data/78128/000095012309031365/c88935exv10w52.htm" TargetMode="External"/><Relationship Id="rId179" Type="http://schemas.openxmlformats.org/officeDocument/2006/relationships/hyperlink" Target="http://www.sec.gov/Archives/edgar/data/78128/000095012310017964/c96764exv10w59.htm" TargetMode="External"/><Relationship Id="rId180" Type="http://schemas.openxmlformats.org/officeDocument/2006/relationships/hyperlink" Target="http://www.sec.gov/Archives/edgar/data/78128/000095012311018861/c13147exv10w51.htm" TargetMode="External"/><Relationship Id="rId181" Type="http://schemas.openxmlformats.org/officeDocument/2006/relationships/hyperlink" Target="http://www.sec.gov/Archives/edgar/data/78128/000119312513084841/d493762dex1054.htm" TargetMode="External"/><Relationship Id="rId182" Type="http://schemas.openxmlformats.org/officeDocument/2006/relationships/hyperlink" Target="http://www.sec.gov/Archives/edgar/data/78128/000119312514080172/d684476dex1045.htm" TargetMode="External"/><Relationship Id="rId185" Type="http://schemas.openxmlformats.org/officeDocument/2006/relationships/hyperlink" Target="http://www.sec.gov/Archives/edgar/data/78128/000007812815000003/wtr-20141231ex105815fbe.htm" TargetMode="External"/><Relationship Id="rId186" Type="http://schemas.openxmlformats.org/officeDocument/2006/relationships/hyperlink" Target="http://www.sec.gov/Archives/edgar/data/78128/000156276216000347/wtr-20151231ex4127abe70.htm" TargetMode="External"/><Relationship Id="rId187" Type="http://schemas.openxmlformats.org/officeDocument/2006/relationships/hyperlink" Target="http://www.sec.gov/Archives/edgar/data/78128/000007812817000002/wtr-20161231xex4_13.htm" TargetMode="External"/><Relationship Id="rId188" Type="http://schemas.openxmlformats.org/officeDocument/2006/relationships/hyperlink" Target="http://www.sec.gov/Archives/edgar/data/78128/000007812817000002/wtr-20161231xex4_14.htm" TargetMode="External"/><Relationship Id="rId189" Type="http://schemas.openxmlformats.org/officeDocument/2006/relationships/hyperlink" Target="http://www.sec.gov/Archives/edgar/data/78128/000007812817000010/wtr-20170930xex4_1.htm" TargetMode="External"/><Relationship Id="rId190" Type="http://schemas.openxmlformats.org/officeDocument/2006/relationships/hyperlink" Target="http://www.sec.gov/Archives/edgar/data/78128/000007812817000010/wtr-20170930xex4_2.htm" TargetMode="External"/><Relationship Id="rId193" Type="http://schemas.openxmlformats.org/officeDocument/2006/relationships/hyperlink" Target="http://www.sec.gov/Archives/edgar/data/78128/000007812818000012/wtr-20180630xex4_1.htm" TargetMode="External"/><Relationship Id="rId194" Type="http://schemas.openxmlformats.org/officeDocument/2006/relationships/hyperlink" Target="http://www.sec.gov/Archives/edgar/data/78128/000007812817000002/wtr-20161231xex10_24.htm" TargetMode="External"/><Relationship Id="rId195" Type="http://schemas.openxmlformats.org/officeDocument/2006/relationships/hyperlink" Target="http://www.sec.gov/Archives/edgar/data/78128/000007812818000003/wtr-20171231xex10_15.htm" TargetMode="External"/><Relationship Id="rId196" Type="http://schemas.openxmlformats.org/officeDocument/2006/relationships/hyperlink" Target="http://www.sec.gov/Archives/edgar/data/78128/0000950116-97-000547.txt" TargetMode="External"/><Relationship Id="rId197" Type="http://schemas.openxmlformats.org/officeDocument/2006/relationships/hyperlink" Target="http://www.sec.gov/Archives/edgar/data/78128/000136231009002971/c81660exv10w50.htm" TargetMode="External"/><Relationship Id="rId198" Type="http://schemas.openxmlformats.org/officeDocument/2006/relationships/hyperlink" Target="http://www.sec.gov/Archives/edgar/data/78128/000089322008003174/w71902exv4w1.htm" TargetMode="External"/><Relationship Id="rId201" Type="http://schemas.openxmlformats.org/officeDocument/2006/relationships/hyperlink" Target="http://www.sec.gov/Archives/edgar/data/78128/000119312512082050/d306445dex1058.htm" TargetMode="External"/><Relationship Id="rId202" Type="http://schemas.openxmlformats.org/officeDocument/2006/relationships/hyperlink" Target="http://www.sec.gov/Archives/edgar/data/78128/000119312517239969/d430841ds3asr.htm" TargetMode="External"/><Relationship Id="rId203" Type="http://schemas.openxmlformats.org/officeDocument/2006/relationships/hyperlink" Target="http://www.sec.gov/Archives/edgar/data/78128/000136231009002971/c81660exv10w36.htm" TargetMode="External"/><Relationship Id="rId204" Type="http://schemas.openxmlformats.org/officeDocument/2006/relationships/hyperlink" Target="http://www.sec.gov/Archives/edgar/data/78128/000136231009002971/c81660exv10w49.htm" TargetMode="External"/><Relationship Id="rId205" Type="http://schemas.openxmlformats.org/officeDocument/2006/relationships/hyperlink" Target="http://www.sec.gov/Archives/edgar/data/78128/000156276216000347/wtr-20151231ex108219268.htm" TargetMode="External"/><Relationship Id="rId206" Type="http://schemas.openxmlformats.org/officeDocument/2006/relationships/hyperlink" Target="http://www.sec.gov/Archives/edgar/data/78128/000007812817000002/wtr-20161231xex10_8.htm" TargetMode="External"/><Relationship Id="rId207" Type="http://schemas.openxmlformats.org/officeDocument/2006/relationships/hyperlink" Target="http://www.sec.gov/Archives/edgar/data/78128/000156276216000347/wtr-20151231ex1091cfdba.htm" TargetMode="External"/><Relationship Id="rId208" Type="http://schemas.openxmlformats.org/officeDocument/2006/relationships/hyperlink" Target="http://www.sec.gov/Archives/edgar/data/78128/000007812814000004/wtr-20140331ex1051bd243.htm" TargetMode="External"/><Relationship Id="rId209" Type="http://schemas.openxmlformats.org/officeDocument/2006/relationships/hyperlink" Target="http://www.sec.gov/Archives/edgar/data/78128/000007812815000005/wtr-20150331ex1036b0880.htm" TargetMode="External"/><Relationship Id="rId210" Type="http://schemas.openxmlformats.org/officeDocument/2006/relationships/hyperlink" Target="http://www.sec.gov/Archives/edgar/data/78128/000007812815000005/wtr-20150331ex1037eebf7.htm" TargetMode="External"/><Relationship Id="rId211" Type="http://schemas.openxmlformats.org/officeDocument/2006/relationships/hyperlink" Target="http://www.sec.gov/Archives/edgar/data/78128/000156276216000347/wtr-20151231ex10952bbac.htm" TargetMode="External"/><Relationship Id="rId212" Type="http://schemas.openxmlformats.org/officeDocument/2006/relationships/hyperlink" Target="http://www.sec.gov/Archives/edgar/data/78128/000007812814000004/wtr-20140331ex1052b57d6.htm" TargetMode="External"/><Relationship Id="rId213" Type="http://schemas.openxmlformats.org/officeDocument/2006/relationships/hyperlink" Target="http://www.sec.gov/Archives/edgar/data/78128/000007812815000005/wtr-20150331ex1040650b3.htm" TargetMode="External"/><Relationship Id="rId214" Type="http://schemas.openxmlformats.org/officeDocument/2006/relationships/hyperlink" Target="http://www.sec.gov/Archives/edgar/data/78128/000007812815000005/wtr-20150331ex10413b03c.htm" TargetMode="External"/><Relationship Id="rId215" Type="http://schemas.openxmlformats.org/officeDocument/2006/relationships/hyperlink" Target="http://www.sec.gov/Archives/edgar/data/78128/000007812817000004/wtr-20170331xex10_1.htm" TargetMode="External"/><Relationship Id="rId216" Type="http://schemas.openxmlformats.org/officeDocument/2006/relationships/hyperlink" Target="http://www.sec.gov/Archives/edgar/data/78128/000007812817000004/wtr-20170331xex10_2.htm" TargetMode="External"/><Relationship Id="rId217" Type="http://schemas.openxmlformats.org/officeDocument/2006/relationships/hyperlink" Target="http://www.sec.gov/Archives/edgar/data/78128/000007812817000004/wtr-20170331xex10_3.htm" TargetMode="External"/><Relationship Id="rId218" Type="http://schemas.openxmlformats.org/officeDocument/2006/relationships/hyperlink" Target="http://www.sec.gov/Archives/edgar/data/78128/000007812817000004/wtr-20170331xex10_4.htm" TargetMode="External"/><Relationship Id="rId219" Type="http://schemas.openxmlformats.org/officeDocument/2006/relationships/hyperlink" Target="http://www.sec.gov/Archives/edgar/data/78128/000156276216000347/wtr-20151231ex10108c9c4.htm" TargetMode="External"/><Relationship Id="rId220" Type="http://schemas.openxmlformats.org/officeDocument/2006/relationships/hyperlink" Target="http://www.sec.gov/Archives/edgar/data/78128/000119312513084841/d493762dex1056.htm" TargetMode="External"/><Relationship Id="rId221" Type="http://schemas.openxmlformats.org/officeDocument/2006/relationships/hyperlink" Target="http://www.sec.gov/Archives/edgar/data/78128/000007812815000011/wtr-20150930ex1016b95c7.htm" TargetMode="External"/><Relationship Id="rId222" Type="http://schemas.openxmlformats.org/officeDocument/2006/relationships/hyperlink" Target="http://www.sec.gov/Archives/edgar/data/78128/000136231009002971/c81660exv10w46.htm" TargetMode="External"/><Relationship Id="rId225" Type="http://schemas.openxmlformats.org/officeDocument/2006/relationships/hyperlink" Target="http://www.sec.gov/Archives/edgar/data/78128/000119312517370728/d501033dex101.htm" TargetMode="External"/><Relationship Id="rId226" Type="http://schemas.openxmlformats.org/officeDocument/2006/relationships/hyperlink" Target="http://www.sec.gov/Archives/edgar/data/78128/000155278118000526/e18465_ex10-1.htm" TargetMode="External"/><Relationship Id="rId227" Type="http://schemas.openxmlformats.org/officeDocument/2006/relationships/hyperlink" Target="http://www.sec.gov/Archives/edgar/data/78128/000155278118000253/e1825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2019-12-28T16:23:22Z</dcterms:created>
  <dcterms:modified xsi:type="dcterms:W3CDTF">2019-12-28T16:23:22Z</dcterms:modified>
</cp:coreProperties>
</file>