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259"/>
        <w:rPr/>
      </w:pPr>
      <w:hyperlink w:anchor="TableOfContents">
        <w:bookmarkStart w:id="0" w:name="wtrg-20260630x10q.htm"/>
        <w:bookmarkStart w:id="1" w:name="kswtrg20260630x10q"/>
        <w:bookmarkEnd w:id="0"/>
        <w:bookmarkEnd w:id="1"/>
        <w:r>
          <w:rPr>
            <w:rStyle w:val="InternetLink"/>
            <w:rFonts w:ascii="Times New Roman;serif" w:hAnsi="Times New Roman;serif"/>
            <w:b w:val="false"/>
            <w:i w:val="false"/>
            <w:caps w:val="false"/>
            <w:smallCaps w:val="false"/>
            <w:strike w:val="false"/>
            <w:dstrike w:val="false"/>
            <w:color w:val="0563C1"/>
            <w:sz w:val="24"/>
            <w:u w:val="single"/>
            <w:effect w:val="none"/>
          </w:rPr>
          <w:t>Table of Contents</w:t>
        </w:r>
      </w:hyperlink>
    </w:p>
    <w:p>
      <w:pPr>
        <w:pStyle w:val="TextBody"/>
        <w:bidi w:val="0"/>
        <w:spacing w:lineRule="auto" w:line="259"/>
        <w:rPr>
          <w:rFonts w:ascii="Times New Roman;serif" w:hAnsi="Times New Roman;serif"/>
          <w:b/>
          <w:i w:val="false"/>
          <w:caps w:val="false"/>
          <w:smallCaps w:val="false"/>
          <w:color w:val="000000"/>
          <w:sz w:val="21"/>
        </w:rPr>
      </w:pPr>
      <w:r>
        <w:rPr>
          <w:rFonts w:ascii="Times New Roman;serif" w:hAnsi="Times New Roman;serif"/>
          <w:b/>
          <w:i w:val="false"/>
          <w:caps w:val="false"/>
          <w:smallCaps w:val="false"/>
          <w:color w:val="000000"/>
          <w:sz w:val="21"/>
        </w:rPr>
        <w:t>UNITED STATES</w:t>
      </w:r>
    </w:p>
    <w:p>
      <w:pPr>
        <w:pStyle w:val="TextBody"/>
        <w:bidi w:val="0"/>
        <w:spacing w:lineRule="auto" w:line="259"/>
        <w:rPr>
          <w:rFonts w:ascii="Times New Roman;serif" w:hAnsi="Times New Roman;serif"/>
          <w:b/>
          <w:i w:val="false"/>
          <w:caps w:val="false"/>
          <w:smallCaps w:val="false"/>
          <w:color w:val="000000"/>
          <w:sz w:val="21"/>
        </w:rPr>
      </w:pPr>
      <w:r>
        <w:rPr>
          <w:rFonts w:ascii="Times New Roman;serif" w:hAnsi="Times New Roman;serif"/>
          <w:b/>
          <w:i w:val="false"/>
          <w:caps w:val="false"/>
          <w:smallCaps w:val="false"/>
          <w:color w:val="000000"/>
          <w:sz w:val="21"/>
        </w:rPr>
        <w:t>SECURITIES AND EXCHANGE COMMISSION</w:t>
      </w:r>
    </w:p>
    <w:p>
      <w:pPr>
        <w:pStyle w:val="TextBody"/>
        <w:bidi w:val="0"/>
        <w:spacing w:lineRule="auto" w:line="259"/>
        <w:rPr>
          <w:rFonts w:ascii="Times New Roman;serif" w:hAnsi="Times New Roman;serif"/>
          <w:b/>
          <w:i w:val="false"/>
          <w:caps w:val="false"/>
          <w:smallCaps w:val="false"/>
          <w:color w:val="000000"/>
          <w:sz w:val="21"/>
        </w:rPr>
      </w:pPr>
      <w:r>
        <w:rPr>
          <w:rFonts w:ascii="Times New Roman;serif" w:hAnsi="Times New Roman;serif"/>
          <w:b/>
          <w:i w:val="false"/>
          <w:caps w:val="false"/>
          <w:smallCaps w:val="false"/>
          <w:color w:val="000000"/>
          <w:sz w:val="21"/>
        </w:rPr>
        <w:t>WASHINGTON DC 20549</w:t>
      </w:r>
    </w:p>
    <w:p>
      <w:pPr>
        <w:pStyle w:val="TextBody"/>
        <w:bidi w:val="0"/>
        <w:spacing w:lineRule="auto" w:line="259"/>
        <w:rPr>
          <w:rFonts w:ascii="Times New Roman;serif" w:hAnsi="Times New Roman;serif"/>
          <w:b/>
          <w:i w:val="false"/>
          <w:caps w:val="false"/>
          <w:smallCaps w:val="false"/>
          <w:color w:val="000000"/>
          <w:sz w:val="21"/>
        </w:rPr>
      </w:pPr>
      <w:r>
        <w:rPr>
          <w:rFonts w:ascii="Times New Roman;serif" w:hAnsi="Times New Roman;serif"/>
          <w:b/>
          <w:i w:val="false"/>
          <w:caps w:val="false"/>
          <w:smallCaps w:val="false"/>
          <w:color w:val="000000"/>
          <w:sz w:val="21"/>
        </w:rPr>
        <w:t>FORM 10-Q</w:t>
      </w:r>
    </w:p>
    <w:p>
      <w:pPr>
        <w:pStyle w:val="TextBody"/>
        <w:bidi w:val="0"/>
        <w:spacing w:lineRule="auto" w:line="192"/>
        <w:rPr>
          <w:rFonts w:ascii="Times New Roman;serif" w:hAnsi="Times New Roman;serif"/>
          <w:b w:val="false"/>
          <w:i w:val="false"/>
          <w:caps w:val="false"/>
          <w:smallCaps w:val="false"/>
          <w:color w:val="000000"/>
          <w:sz w:val="21"/>
        </w:rPr>
      </w:pPr>
      <w:r>
        <w:rPr>
          <w:rFonts w:ascii="Times New Roman;serif" w:hAnsi="Times New Roman;serif"/>
          <w:b w:val="false"/>
          <w:i w:val="false"/>
          <w:caps w:val="false"/>
          <w:smallCaps w:val="false"/>
          <w:color w:val="000000"/>
          <w:sz w:val="21"/>
        </w:rPr>
        <w:t>(Mark One) </w:t>
      </w:r>
    </w:p>
    <w:p>
      <w:pPr>
        <w:pStyle w:val="TextBody"/>
        <w:bidi w:val="0"/>
        <w:spacing w:lineRule="auto" w:line="259"/>
        <w:rPr>
          <w:rFonts w:ascii="Times New Roman;serif" w:hAnsi="Times New Roman;serif"/>
          <w:sz w:val="21"/>
        </w:rPr>
      </w:pPr>
      <w:r>
        <w:rPr>
          <w:rFonts w:ascii="Wingdings 2" w:hAnsi="Wingdings 2"/>
          <w:b/>
          <w:i w:val="false"/>
          <w:caps w:val="false"/>
          <w:smallCaps w:val="false"/>
          <w:color w:val="000000"/>
          <w:sz w:val="21"/>
        </w:rPr>
        <w:t>S</w:t>
      </w:r>
      <w:r>
        <w:rPr>
          <w:rFonts w:ascii="Times New Roman;serif" w:hAnsi="Times New Roman;serif"/>
          <w:caps w:val="false"/>
          <w:smallCaps w:val="false"/>
          <w:color w:val="000000"/>
          <w:sz w:val="21"/>
        </w:rPr>
        <w:t> </w:t>
      </w:r>
      <w:r>
        <w:rPr>
          <w:rFonts w:ascii="Times New Roman;serif" w:hAnsi="Times New Roman;serif"/>
          <w:b w:val="false"/>
          <w:i w:val="false"/>
          <w:caps w:val="false"/>
          <w:smallCaps w:val="false"/>
          <w:color w:val="000000"/>
          <w:sz w:val="21"/>
        </w:rPr>
        <w:t>QUARTERLY REPORT PURSUANT TO SECTION 13 or 15 (d) OF THE SECURITIES EXCHANGE ACT OF 1934. </w:t>
      </w:r>
    </w:p>
    <w:p>
      <w:pPr>
        <w:pStyle w:val="TextBody"/>
        <w:bidi w:val="0"/>
        <w:spacing w:lineRule="auto" w:line="259" w:before="0" w:after="120"/>
        <w:jc w:val="center"/>
        <w:rPr>
          <w:rFonts w:ascii="Times New Roman;serif" w:hAnsi="Times New Roman;serif"/>
          <w:b w:val="false"/>
          <w:i w:val="false"/>
          <w:caps w:val="false"/>
          <w:smallCaps w:val="false"/>
          <w:color w:val="000000"/>
          <w:sz w:val="21"/>
        </w:rPr>
      </w:pPr>
      <w:r>
        <w:rPr>
          <w:rFonts w:ascii="Times New Roman;serif" w:hAnsi="Times New Roman;serif"/>
          <w:b w:val="false"/>
          <w:i w:val="false"/>
          <w:caps w:val="false"/>
          <w:smallCaps w:val="false"/>
          <w:color w:val="000000"/>
          <w:sz w:val="21"/>
        </w:rPr>
        <w:t>For the quarterly period ended June 30, 2026</w:t>
      </w:r>
    </w:p>
    <w:p>
      <w:pPr>
        <w:pStyle w:val="TextBody"/>
        <w:bidi w:val="0"/>
        <w:spacing w:lineRule="auto" w:line="259"/>
        <w:rPr>
          <w:rFonts w:ascii="Times New Roman;serif" w:hAnsi="Times New Roman;serif"/>
          <w:sz w:val="21"/>
        </w:rPr>
      </w:pPr>
      <w:r>
        <w:rPr>
          <w:rFonts w:ascii="Wingdings 2" w:hAnsi="Wingdings 2"/>
          <w:b/>
          <w:i w:val="false"/>
          <w:caps w:val="false"/>
          <w:smallCaps w:val="false"/>
          <w:color w:val="000000"/>
          <w:sz w:val="21"/>
        </w:rPr>
        <w:t>£</w:t>
      </w:r>
      <w:r>
        <w:rPr>
          <w:rFonts w:ascii="Times New Roman;serif" w:hAnsi="Times New Roman;serif"/>
          <w:caps w:val="false"/>
          <w:smallCaps w:val="false"/>
          <w:color w:val="000000"/>
          <w:sz w:val="21"/>
        </w:rPr>
        <w:t> </w:t>
      </w:r>
      <w:r>
        <w:rPr>
          <w:rFonts w:ascii="Times New Roman;serif" w:hAnsi="Times New Roman;serif"/>
          <w:b w:val="false"/>
          <w:i w:val="false"/>
          <w:caps w:val="false"/>
          <w:smallCaps w:val="false"/>
          <w:color w:val="000000"/>
          <w:sz w:val="21"/>
        </w:rPr>
        <w:t>TRANSITION REPORT PURSUANT TO SECTION 13 OR 15(d) OF THE SECURITIES EXCHANGE ACT OF 1934. </w:t>
      </w:r>
    </w:p>
    <w:p>
      <w:pPr>
        <w:pStyle w:val="TextBody"/>
        <w:bidi w:val="0"/>
        <w:spacing w:lineRule="auto" w:line="259"/>
        <w:rPr>
          <w:rFonts w:ascii="Times New Roman;serif" w:hAnsi="Times New Roman;serif"/>
          <w:b w:val="false"/>
          <w:i w:val="false"/>
          <w:caps w:val="false"/>
          <w:smallCaps w:val="false"/>
          <w:color w:val="000000"/>
          <w:sz w:val="21"/>
        </w:rPr>
      </w:pPr>
      <w:r>
        <w:rPr>
          <w:rFonts w:ascii="Times New Roman;serif" w:hAnsi="Times New Roman;serif"/>
          <w:b w:val="false"/>
          <w:i w:val="false"/>
          <w:caps w:val="false"/>
          <w:smallCaps w:val="false"/>
          <w:color w:val="000000"/>
          <w:sz w:val="21"/>
        </w:rPr>
        <w:t>For the transition period from_______________ to _______________</w:t>
      </w:r>
    </w:p>
    <w:p>
      <w:pPr>
        <w:pStyle w:val="TextBody"/>
        <w:bidi w:val="0"/>
        <w:spacing w:lineRule="auto" w:line="259"/>
        <w:rPr>
          <w:rFonts w:ascii="Times New Roman;serif" w:hAnsi="Times New Roman;serif"/>
          <w:sz w:val="21"/>
        </w:rPr>
      </w:pPr>
      <w:r>
        <w:rPr>
          <w:rFonts w:ascii="Times New Roman;serif" w:hAnsi="Times New Roman;serif"/>
          <w:b w:val="false"/>
          <w:i w:val="false"/>
          <w:caps w:val="false"/>
          <w:smallCaps w:val="false"/>
          <w:color w:val="000000"/>
          <w:sz w:val="21"/>
        </w:rPr>
        <w:t>Commission File Number 1-6659</w:t>
      </w:r>
      <w:r>
        <w:rPr>
          <w:rFonts w:ascii="Times New Roman;serif" w:hAnsi="Times New Roman;serif"/>
          <w:caps w:val="false"/>
          <w:smallCaps w:val="false"/>
          <w:color w:val="000000"/>
          <w:sz w:val="21"/>
        </w:rPr>
        <w:t> </w:t>
      </w:r>
    </w:p>
    <w:p>
      <w:pPr>
        <w:pStyle w:val="TextBody"/>
        <w:bidi w:val="0"/>
        <w:spacing w:lineRule="auto" w:line="259"/>
        <w:rPr>
          <w:rFonts w:ascii="Times New Roman;serif" w:hAnsi="Times New Roman;serif"/>
          <w:sz w:val="21"/>
        </w:rPr>
      </w:pPr>
      <w:r>
        <w:rPr>
          <w:rFonts w:ascii="Times New Roman;serif" w:hAnsi="Times New Roman;serif"/>
          <w:b/>
          <w:i w:val="false"/>
          <w:caps w:val="false"/>
          <w:smallCaps w:val="false"/>
          <w:color w:val="000000"/>
          <w:sz w:val="21"/>
          <w:u w:val="single"/>
        </w:rPr>
        <w:t>ESSENTIAL UTILITIES, INC.</w:t>
      </w:r>
      <w:r>
        <w:rPr>
          <w:rFonts w:ascii="Times New Roman;serif" w:hAnsi="Times New Roman;serif"/>
          <w:caps w:val="false"/>
          <w:smallCaps w:val="false"/>
          <w:color w:val="000000"/>
          <w:sz w:val="21"/>
        </w:rPr>
        <w:t> </w:t>
      </w:r>
    </w:p>
    <w:p>
      <w:pPr>
        <w:pStyle w:val="TextBody"/>
        <w:bidi w:val="0"/>
        <w:spacing w:lineRule="auto" w:line="259"/>
        <w:rPr>
          <w:rFonts w:ascii="Times New Roman;serif" w:hAnsi="Times New Roman;serif"/>
          <w:b w:val="false"/>
          <w:i w:val="false"/>
          <w:caps w:val="false"/>
          <w:smallCaps w:val="false"/>
          <w:color w:val="000000"/>
          <w:sz w:val="21"/>
        </w:rPr>
      </w:pPr>
      <w:r>
        <w:rPr>
          <w:rFonts w:ascii="Times New Roman;serif" w:hAnsi="Times New Roman;serif"/>
          <w:b w:val="false"/>
          <w:i w:val="false"/>
          <w:caps w:val="false"/>
          <w:smallCaps w:val="false"/>
          <w:color w:val="000000"/>
          <w:sz w:val="21"/>
        </w:rPr>
        <w:t>(Exact name of registrant as specified in its charter) </w:t>
      </w:r>
    </w:p>
    <w:tbl>
      <w:tblPr>
        <w:tblW w:w="6392" w:type="dxa"/>
        <w:jc w:val="center"/>
        <w:tblInd w:w="0" w:type="dxa"/>
        <w:tblLayout w:type="fixed"/>
        <w:tblCellMar>
          <w:top w:w="0" w:type="dxa"/>
          <w:left w:w="0" w:type="dxa"/>
          <w:bottom w:w="0" w:type="dxa"/>
          <w:right w:w="0" w:type="dxa"/>
        </w:tblCellMar>
      </w:tblPr>
      <w:tblGrid>
        <w:gridCol w:w="4651"/>
        <w:gridCol w:w="1741"/>
      </w:tblGrid>
      <w:tr>
        <w:trPr/>
        <w:tc>
          <w:tcPr>
            <w:tcW w:w="4651"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r>
      <w:tr>
        <w:trPr/>
        <w:tc>
          <w:tcPr>
            <w:tcW w:w="465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1"/>
                <w:u w:val="single"/>
              </w:rPr>
            </w:pPr>
            <w:r>
              <w:rPr>
                <w:rFonts w:ascii="Times New Roman;serif" w:hAnsi="Times New Roman;serif"/>
                <w:b w:val="false"/>
                <w:i w:val="false"/>
                <w:caps w:val="false"/>
                <w:smallCaps w:val="false"/>
                <w:color w:val="000000"/>
                <w:sz w:val="21"/>
                <w:u w:val="single"/>
              </w:rPr>
              <w:t>Pennsylvania</w:t>
            </w:r>
          </w:p>
        </w:tc>
        <w:tc>
          <w:tcPr>
            <w:tcW w:w="17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1"/>
                <w:u w:val="single"/>
              </w:rPr>
            </w:pPr>
            <w:r>
              <w:rPr>
                <w:rFonts w:ascii="Times New Roman;serif" w:hAnsi="Times New Roman;serif"/>
                <w:b w:val="false"/>
                <w:i w:val="false"/>
                <w:caps w:val="false"/>
                <w:smallCaps w:val="false"/>
                <w:color w:val="000000"/>
                <w:sz w:val="21"/>
                <w:u w:val="single"/>
              </w:rPr>
              <w:t>23-1702594</w:t>
            </w:r>
          </w:p>
        </w:tc>
      </w:tr>
      <w:tr>
        <w:trPr/>
        <w:tc>
          <w:tcPr>
            <w:tcW w:w="465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1"/>
              </w:rPr>
            </w:pPr>
            <w:r>
              <w:rPr>
                <w:rFonts w:ascii="Times New Roman;serif" w:hAnsi="Times New Roman;serif"/>
                <w:b w:val="false"/>
                <w:i w:val="false"/>
                <w:caps w:val="false"/>
                <w:smallCaps w:val="false"/>
                <w:color w:val="000000"/>
                <w:sz w:val="21"/>
              </w:rPr>
              <w:t>(State or other jurisdiction of</w:t>
            </w:r>
          </w:p>
        </w:tc>
        <w:tc>
          <w:tcPr>
            <w:tcW w:w="17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1"/>
              </w:rPr>
            </w:pPr>
            <w:r>
              <w:rPr>
                <w:rFonts w:ascii="Times New Roman;serif" w:hAnsi="Times New Roman;serif"/>
                <w:b w:val="false"/>
                <w:i w:val="false"/>
                <w:caps w:val="false"/>
                <w:smallCaps w:val="false"/>
                <w:color w:val="000000"/>
                <w:sz w:val="21"/>
              </w:rPr>
              <w:t>(I.R.S. Employer</w:t>
            </w:r>
          </w:p>
        </w:tc>
      </w:tr>
      <w:tr>
        <w:trPr/>
        <w:tc>
          <w:tcPr>
            <w:tcW w:w="465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1"/>
              </w:rPr>
            </w:pPr>
            <w:r>
              <w:rPr>
                <w:rFonts w:ascii="Times New Roman;serif" w:hAnsi="Times New Roman;serif"/>
                <w:b w:val="false"/>
                <w:i w:val="false"/>
                <w:caps w:val="false"/>
                <w:smallCaps w:val="false"/>
                <w:color w:val="000000"/>
                <w:sz w:val="21"/>
              </w:rPr>
              <w:t>incorporation or organization)</w:t>
            </w:r>
          </w:p>
        </w:tc>
        <w:tc>
          <w:tcPr>
            <w:tcW w:w="17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1"/>
              </w:rPr>
            </w:pPr>
            <w:r>
              <w:rPr>
                <w:rFonts w:ascii="Times New Roman;serif" w:hAnsi="Times New Roman;serif"/>
                <w:b w:val="false"/>
                <w:i w:val="false"/>
                <w:caps w:val="false"/>
                <w:smallCaps w:val="false"/>
                <w:color w:val="000000"/>
                <w:sz w:val="21"/>
              </w:rPr>
              <w:t>Identification No.)</w:t>
            </w:r>
          </w:p>
        </w:tc>
      </w:tr>
      <w:tr>
        <w:trPr/>
        <w:tc>
          <w:tcPr>
            <w:tcW w:w="4651"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 </w:t>
            </w:r>
          </w:p>
        </w:tc>
        <w:tc>
          <w:tcPr>
            <w:tcW w:w="1741" w:type="dxa"/>
            <w:tcBorders/>
            <w:vAlign w:val="center"/>
          </w:tcPr>
          <w:p>
            <w:pPr>
              <w:pStyle w:val="TableContents"/>
              <w:bidi w:val="0"/>
              <w:spacing w:before="0" w:after="283"/>
              <w:jc w:val="left"/>
              <w:rPr>
                <w:sz w:val="4"/>
                <w:szCs w:val="4"/>
              </w:rPr>
            </w:pPr>
            <w:r>
              <w:rPr>
                <w:sz w:val="4"/>
                <w:szCs w:val="4"/>
              </w:rPr>
            </w:r>
          </w:p>
        </w:tc>
      </w:tr>
      <w:tr>
        <w:trPr/>
        <w:tc>
          <w:tcPr>
            <w:tcW w:w="465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1"/>
                <w:u w:val="single"/>
              </w:rPr>
            </w:pPr>
            <w:r>
              <w:rPr>
                <w:rFonts w:ascii="Times New Roman;serif" w:hAnsi="Times New Roman;serif"/>
                <w:b w:val="false"/>
                <w:i w:val="false"/>
                <w:caps w:val="false"/>
                <w:smallCaps w:val="false"/>
                <w:color w:val="000000"/>
                <w:sz w:val="21"/>
                <w:u w:val="single"/>
              </w:rPr>
              <w:t>762 W. Lancaster Avenue, Bryn Mawr, Pennsylvania</w:t>
            </w:r>
          </w:p>
        </w:tc>
        <w:tc>
          <w:tcPr>
            <w:tcW w:w="17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1"/>
                <w:u w:val="single"/>
              </w:rPr>
            </w:pPr>
            <w:r>
              <w:rPr>
                <w:rFonts w:ascii="Times New Roman;serif" w:hAnsi="Times New Roman;serif"/>
                <w:b w:val="false"/>
                <w:i w:val="false"/>
                <w:caps w:val="false"/>
                <w:smallCaps w:val="false"/>
                <w:color w:val="000000"/>
                <w:sz w:val="21"/>
                <w:u w:val="single"/>
              </w:rPr>
              <w:t>19010 -3489</w:t>
            </w:r>
          </w:p>
        </w:tc>
      </w:tr>
      <w:tr>
        <w:trPr/>
        <w:tc>
          <w:tcPr>
            <w:tcW w:w="465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1"/>
              </w:rPr>
            </w:pPr>
            <w:r>
              <w:rPr>
                <w:rFonts w:ascii="Times New Roman;serif" w:hAnsi="Times New Roman;serif"/>
                <w:b w:val="false"/>
                <w:i w:val="false"/>
                <w:caps w:val="false"/>
                <w:smallCaps w:val="false"/>
                <w:color w:val="000000"/>
                <w:sz w:val="21"/>
              </w:rPr>
              <w:t>(Address of principal executive offices)</w:t>
            </w:r>
          </w:p>
        </w:tc>
        <w:tc>
          <w:tcPr>
            <w:tcW w:w="17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1"/>
              </w:rPr>
            </w:pPr>
            <w:r>
              <w:rPr>
                <w:rFonts w:ascii="Times New Roman;serif" w:hAnsi="Times New Roman;serif"/>
                <w:b w:val="false"/>
                <w:i w:val="false"/>
                <w:caps w:val="false"/>
                <w:smallCaps w:val="false"/>
                <w:color w:val="000000"/>
                <w:sz w:val="21"/>
              </w:rPr>
              <w:t>(Zip Code)</w:t>
            </w:r>
          </w:p>
        </w:tc>
      </w:tr>
      <w:tr>
        <w:trPr/>
        <w:tc>
          <w:tcPr>
            <w:tcW w:w="4651"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 </w:t>
            </w:r>
          </w:p>
        </w:tc>
        <w:tc>
          <w:tcPr>
            <w:tcW w:w="1741" w:type="dxa"/>
            <w:tcBorders/>
            <w:vAlign w:val="center"/>
          </w:tcPr>
          <w:p>
            <w:pPr>
              <w:pStyle w:val="TableContents"/>
              <w:bidi w:val="0"/>
              <w:spacing w:before="0" w:after="283"/>
              <w:jc w:val="left"/>
              <w:rPr>
                <w:sz w:val="4"/>
                <w:szCs w:val="4"/>
              </w:rPr>
            </w:pPr>
            <w:r>
              <w:rPr>
                <w:sz w:val="4"/>
                <w:szCs w:val="4"/>
              </w:rPr>
            </w:r>
          </w:p>
        </w:tc>
      </w:tr>
      <w:tr>
        <w:trPr/>
        <w:tc>
          <w:tcPr>
            <w:tcW w:w="6392"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1"/>
                <w:u w:val="single"/>
              </w:rPr>
            </w:pPr>
            <w:r>
              <w:rPr>
                <w:rFonts w:ascii="Times New Roman;serif" w:hAnsi="Times New Roman;serif"/>
                <w:b w:val="false"/>
                <w:i w:val="false"/>
                <w:caps w:val="false"/>
                <w:smallCaps w:val="false"/>
                <w:color w:val="000000"/>
                <w:sz w:val="21"/>
                <w:u w:val="single"/>
              </w:rPr>
              <w:t>(610) 527-8000</w:t>
            </w:r>
          </w:p>
        </w:tc>
      </w:tr>
      <w:tr>
        <w:trPr/>
        <w:tc>
          <w:tcPr>
            <w:tcW w:w="6392"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1"/>
              </w:rPr>
            </w:pPr>
            <w:r>
              <w:rPr>
                <w:rFonts w:ascii="Times New Roman;serif" w:hAnsi="Times New Roman;serif"/>
                <w:b w:val="false"/>
                <w:i w:val="false"/>
                <w:caps w:val="false"/>
                <w:smallCaps w:val="false"/>
                <w:color w:val="000000"/>
                <w:sz w:val="21"/>
              </w:rPr>
              <w:t>(Registrant’s telephone number, including area code)</w:t>
            </w:r>
          </w:p>
        </w:tc>
      </w:tr>
    </w:tbl>
    <w:p>
      <w:pPr>
        <w:pStyle w:val="TextBody"/>
        <w:bidi w:val="0"/>
        <w:spacing w:lineRule="auto" w:line="259"/>
        <w:rPr>
          <w:rFonts w:ascii="Times New Roman;serif" w:hAnsi="Times New Roman;serif"/>
          <w:b w:val="false"/>
          <w:i w:val="false"/>
          <w:caps w:val="false"/>
          <w:smallCaps w:val="false"/>
          <w:color w:val="000000"/>
          <w:sz w:val="21"/>
          <w:u w:val="single"/>
        </w:rPr>
      </w:pPr>
      <w:r>
        <w:rPr>
          <w:rFonts w:ascii="Times New Roman;serif" w:hAnsi="Times New Roman;serif"/>
          <w:b w:val="false"/>
          <w:i w:val="false"/>
          <w:caps w:val="false"/>
          <w:smallCaps w:val="false"/>
          <w:color w:val="000000"/>
          <w:sz w:val="21"/>
          <w:u w:val="single"/>
        </w:rPr>
        <w:t>N/A</w:t>
      </w:r>
    </w:p>
    <w:p>
      <w:pPr>
        <w:pStyle w:val="TextBody"/>
        <w:bidi w:val="0"/>
        <w:spacing w:lineRule="auto" w:line="259"/>
        <w:rPr>
          <w:rFonts w:ascii="Times New Roman;serif" w:hAnsi="Times New Roman;serif"/>
          <w:b w:val="false"/>
          <w:i w:val="false"/>
          <w:caps w:val="false"/>
          <w:smallCaps w:val="false"/>
          <w:color w:val="000000"/>
          <w:sz w:val="21"/>
        </w:rPr>
      </w:pPr>
      <w:r>
        <w:rPr>
          <w:rFonts w:ascii="Times New Roman;serif" w:hAnsi="Times New Roman;serif"/>
          <w:b w:val="false"/>
          <w:i w:val="false"/>
          <w:caps w:val="false"/>
          <w:smallCaps w:val="false"/>
          <w:color w:val="000000"/>
          <w:sz w:val="21"/>
        </w:rPr>
        <w:t>(Former Name, former address and former fiscal year, if changed since last report.)</w:t>
      </w:r>
    </w:p>
    <w:p>
      <w:pPr>
        <w:pStyle w:val="TextBody"/>
        <w:bidi w:val="0"/>
        <w:spacing w:lineRule="auto" w:line="259"/>
        <w:rPr>
          <w:rFonts w:ascii="Times New Roman;serif" w:hAnsi="Times New Roman;serif"/>
          <w:sz w:val="21"/>
        </w:rPr>
      </w:pPr>
      <w:r>
        <w:rPr>
          <w:rFonts w:ascii="Times New Roman;serif" w:hAnsi="Times New Roman;serif"/>
          <w:b w:val="false"/>
          <w:i w:val="false"/>
          <w:caps w:val="false"/>
          <w:smallCaps w:val="false"/>
          <w:color w:val="000000"/>
          <w:sz w:val="21"/>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2" w:hAnsi="Wingdings 2"/>
          <w:b/>
          <w:i w:val="false"/>
          <w:caps w:val="false"/>
          <w:smallCaps w:val="false"/>
          <w:color w:val="000000"/>
          <w:sz w:val="21"/>
        </w:rPr>
        <w:t>S</w:t>
      </w:r>
      <w:r>
        <w:rPr>
          <w:rFonts w:ascii="Times New Roman;serif" w:hAnsi="Times New Roman;serif"/>
          <w:caps w:val="false"/>
          <w:smallCaps w:val="false"/>
          <w:color w:val="000000"/>
          <w:sz w:val="21"/>
        </w:rPr>
        <w:t>  </w:t>
      </w:r>
      <w:r>
        <w:rPr>
          <w:rFonts w:ascii="Times New Roman;serif" w:hAnsi="Times New Roman;serif"/>
          <w:b w:val="false"/>
          <w:i w:val="false"/>
          <w:caps w:val="false"/>
          <w:smallCaps w:val="false"/>
          <w:color w:val="000000"/>
          <w:sz w:val="21"/>
        </w:rPr>
        <w:t>No </w:t>
      </w:r>
      <w:r>
        <w:rPr>
          <w:rFonts w:ascii="Wingdings 2" w:hAnsi="Wingdings 2"/>
          <w:b/>
          <w:i w:val="false"/>
          <w:caps w:val="false"/>
          <w:smallCaps w:val="false"/>
          <w:color w:val="000000"/>
          <w:sz w:val="21"/>
        </w:rPr>
        <w:t>£</w:t>
      </w:r>
    </w:p>
    <w:p>
      <w:pPr>
        <w:pStyle w:val="TextBody"/>
        <w:bidi w:val="0"/>
        <w:spacing w:lineRule="auto" w:line="259"/>
        <w:rPr>
          <w:rFonts w:ascii="Times New Roman;serif" w:hAnsi="Times New Roman;serif"/>
          <w:sz w:val="21"/>
        </w:rPr>
      </w:pPr>
      <w:r>
        <w:rPr>
          <w:rFonts w:ascii="Times New Roman;serif" w:hAnsi="Times New Roman;serif"/>
          <w:b w:val="false"/>
          <w:i w:val="false"/>
          <w:caps w:val="false"/>
          <w:smallCaps w:val="false"/>
          <w:color w:val="000000"/>
          <w:sz w:val="21"/>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2" w:hAnsi="Wingdings 2"/>
          <w:b/>
          <w:i w:val="false"/>
          <w:caps w:val="false"/>
          <w:smallCaps w:val="false"/>
          <w:color w:val="000000"/>
          <w:sz w:val="21"/>
        </w:rPr>
        <w:t>S</w:t>
      </w:r>
      <w:r>
        <w:rPr>
          <w:rFonts w:ascii="Times New Roman;serif" w:hAnsi="Times New Roman;serif"/>
          <w:caps w:val="false"/>
          <w:smallCaps w:val="false"/>
          <w:color w:val="000000"/>
          <w:sz w:val="21"/>
        </w:rPr>
        <w:t>  </w:t>
      </w:r>
      <w:r>
        <w:rPr>
          <w:rFonts w:ascii="Times New Roman;serif" w:hAnsi="Times New Roman;serif"/>
          <w:b w:val="false"/>
          <w:i w:val="false"/>
          <w:caps w:val="false"/>
          <w:smallCaps w:val="false"/>
          <w:color w:val="000000"/>
          <w:sz w:val="21"/>
        </w:rPr>
        <w:t>No </w:t>
      </w:r>
      <w:r>
        <w:rPr>
          <w:rFonts w:ascii="Wingdings 2" w:hAnsi="Wingdings 2"/>
          <w:b/>
          <w:i w:val="false"/>
          <w:caps w:val="false"/>
          <w:smallCaps w:val="false"/>
          <w:color w:val="000000"/>
          <w:sz w:val="21"/>
        </w:rPr>
        <w:t>£</w:t>
      </w:r>
    </w:p>
    <w:p>
      <w:pPr>
        <w:pStyle w:val="TextBody"/>
        <w:bidi w:val="0"/>
        <w:spacing w:lineRule="auto" w:line="259"/>
        <w:rPr>
          <w:rFonts w:ascii="Times New Roman;serif" w:hAnsi="Times New Roman;serif"/>
          <w:b w:val="false"/>
          <w:i w:val="false"/>
          <w:caps w:val="false"/>
          <w:smallCaps w:val="false"/>
          <w:color w:val="000000"/>
          <w:sz w:val="21"/>
        </w:rPr>
      </w:pPr>
      <w:r>
        <w:rPr>
          <w:rFonts w:ascii="Times New Roman;serif" w:hAnsi="Times New Roman;serif"/>
          <w:b w:val="false"/>
          <w:i w:val="false"/>
          <w:caps w:val="false"/>
          <w:smallCaps w:val="false"/>
          <w:color w:val="000000"/>
          <w:sz w:val="21"/>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657" w:type="dxa"/>
        <w:jc w:val="left"/>
        <w:tblInd w:w="0" w:type="dxa"/>
        <w:tblLayout w:type="fixed"/>
        <w:tblCellMar>
          <w:top w:w="0" w:type="dxa"/>
          <w:left w:w="0" w:type="dxa"/>
          <w:bottom w:w="0" w:type="dxa"/>
          <w:right w:w="0" w:type="dxa"/>
        </w:tblCellMar>
      </w:tblPr>
      <w:tblGrid>
        <w:gridCol w:w="2836"/>
        <w:gridCol w:w="2821"/>
      </w:tblGrid>
      <w:tr>
        <w:trPr/>
        <w:tc>
          <w:tcPr>
            <w:tcW w:w="2836"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r>
      <w:tr>
        <w:trPr/>
        <w:tc>
          <w:tcPr>
            <w:tcW w:w="2836" w:type="dxa"/>
            <w:tcBorders/>
            <w:vAlign w:val="center"/>
          </w:tcPr>
          <w:p>
            <w:pPr>
              <w:pStyle w:val="TableContents"/>
              <w:bidi w:val="0"/>
              <w:spacing w:lineRule="auto" w:line="259" w:before="0" w:after="283"/>
              <w:jc w:val="left"/>
              <w:rPr>
                <w:rFonts w:ascii="Times New Roman;serif" w:hAnsi="Times New Roman;serif"/>
                <w:sz w:val="21"/>
              </w:rPr>
            </w:pPr>
            <w:r>
              <w:rPr>
                <w:rFonts w:ascii="Times New Roman;serif" w:hAnsi="Times New Roman;serif"/>
                <w:b w:val="false"/>
                <w:i w:val="false"/>
                <w:caps w:val="false"/>
                <w:smallCaps w:val="false"/>
                <w:color w:val="000000"/>
                <w:sz w:val="21"/>
              </w:rPr>
              <w:t>Large Accelerated Filer</w:t>
            </w:r>
            <w:r>
              <w:rPr>
                <w:rFonts w:ascii="Times New Roman;serif" w:hAnsi="Times New Roman;serif"/>
                <w:caps w:val="false"/>
                <w:smallCaps w:val="false"/>
                <w:color w:val="000000"/>
                <w:sz w:val="21"/>
              </w:rPr>
              <w:t> </w:t>
            </w:r>
            <w:r>
              <w:rPr>
                <w:rFonts w:ascii="Wingdings 2" w:hAnsi="Wingdings 2"/>
                <w:b/>
                <w:i w:val="false"/>
                <w:caps w:val="false"/>
                <w:smallCaps w:val="false"/>
                <w:color w:val="000000"/>
                <w:sz w:val="21"/>
              </w:rPr>
              <w:t>S</w:t>
            </w:r>
          </w:p>
        </w:tc>
        <w:tc>
          <w:tcPr>
            <w:tcW w:w="2821" w:type="dxa"/>
            <w:tcBorders/>
            <w:vAlign w:val="center"/>
          </w:tcPr>
          <w:p>
            <w:pPr>
              <w:pStyle w:val="TableContents"/>
              <w:bidi w:val="0"/>
              <w:spacing w:lineRule="auto" w:line="259" w:before="0" w:after="283"/>
              <w:jc w:val="left"/>
              <w:rPr>
                <w:rFonts w:ascii="Times New Roman;serif" w:hAnsi="Times New Roman;serif"/>
                <w:sz w:val="21"/>
              </w:rPr>
            </w:pPr>
            <w:r>
              <w:rPr>
                <w:rFonts w:ascii="Times New Roman;serif" w:hAnsi="Times New Roman;serif"/>
                <w:b w:val="false"/>
                <w:i w:val="false"/>
                <w:caps w:val="false"/>
                <w:smallCaps w:val="false"/>
                <w:color w:val="000000"/>
                <w:sz w:val="21"/>
              </w:rPr>
              <w:t>Accelerated Filer </w:t>
            </w:r>
            <w:r>
              <w:rPr>
                <w:rFonts w:ascii="Wingdings 2" w:hAnsi="Wingdings 2"/>
                <w:b/>
                <w:i w:val="false"/>
                <w:caps w:val="false"/>
                <w:smallCaps w:val="false"/>
                <w:color w:val="000000"/>
                <w:sz w:val="21"/>
              </w:rPr>
              <w:t>£</w:t>
            </w:r>
          </w:p>
        </w:tc>
      </w:tr>
      <w:tr>
        <w:trPr/>
        <w:tc>
          <w:tcPr>
            <w:tcW w:w="2836" w:type="dxa"/>
            <w:tcBorders/>
            <w:vAlign w:val="center"/>
          </w:tcPr>
          <w:p>
            <w:pPr>
              <w:pStyle w:val="TableContents"/>
              <w:bidi w:val="0"/>
              <w:spacing w:lineRule="auto" w:line="259" w:before="0" w:after="283"/>
              <w:jc w:val="left"/>
              <w:rPr>
                <w:rFonts w:ascii="Times New Roman;serif" w:hAnsi="Times New Roman;serif"/>
                <w:sz w:val="21"/>
              </w:rPr>
            </w:pPr>
            <w:r>
              <w:rPr>
                <w:rFonts w:ascii="Times New Roman;serif" w:hAnsi="Times New Roman;serif"/>
                <w:b w:val="false"/>
                <w:i w:val="false"/>
                <w:caps w:val="false"/>
                <w:smallCaps w:val="false"/>
                <w:color w:val="000000"/>
                <w:sz w:val="21"/>
              </w:rPr>
              <w:t>Non-Accelerated Filer </w:t>
            </w:r>
            <w:r>
              <w:rPr>
                <w:rFonts w:ascii="Wingdings 2" w:hAnsi="Wingdings 2"/>
                <w:b/>
                <w:i w:val="false"/>
                <w:caps w:val="false"/>
                <w:smallCaps w:val="false"/>
                <w:color w:val="000000"/>
                <w:sz w:val="21"/>
              </w:rPr>
              <w:t>£</w:t>
            </w:r>
            <w:r>
              <w:rPr>
                <w:rFonts w:ascii="Times New Roman;serif" w:hAnsi="Times New Roman;serif"/>
                <w:caps w:val="false"/>
                <w:smallCaps w:val="false"/>
                <w:color w:val="000000"/>
                <w:sz w:val="21"/>
              </w:rPr>
              <w:t xml:space="preserve"> </w:t>
            </w:r>
          </w:p>
        </w:tc>
        <w:tc>
          <w:tcPr>
            <w:tcW w:w="2821" w:type="dxa"/>
            <w:tcBorders/>
            <w:vAlign w:val="center"/>
          </w:tcPr>
          <w:p>
            <w:pPr>
              <w:pStyle w:val="TableContents"/>
              <w:bidi w:val="0"/>
              <w:spacing w:lineRule="auto" w:line="259" w:before="0" w:after="283"/>
              <w:jc w:val="left"/>
              <w:rPr>
                <w:rFonts w:ascii="Times New Roman;serif" w:hAnsi="Times New Roman;serif"/>
                <w:sz w:val="21"/>
              </w:rPr>
            </w:pPr>
            <w:r>
              <w:rPr>
                <w:rFonts w:ascii="Times New Roman;serif" w:hAnsi="Times New Roman;serif"/>
                <w:b w:val="false"/>
                <w:i w:val="false"/>
                <w:caps w:val="false"/>
                <w:smallCaps w:val="false"/>
                <w:color w:val="000000"/>
                <w:sz w:val="21"/>
              </w:rPr>
              <w:t>Smaller Reporting Company </w:t>
            </w:r>
            <w:r>
              <w:rPr>
                <w:rFonts w:ascii="Wingdings 2" w:hAnsi="Wingdings 2"/>
                <w:b/>
                <w:i w:val="false"/>
                <w:caps w:val="false"/>
                <w:smallCaps w:val="false"/>
                <w:color w:val="000000"/>
                <w:sz w:val="21"/>
              </w:rPr>
              <w:t>£</w:t>
            </w:r>
          </w:p>
        </w:tc>
      </w:tr>
      <w:tr>
        <w:trPr/>
        <w:tc>
          <w:tcPr>
            <w:tcW w:w="2836" w:type="dxa"/>
            <w:tcBorders/>
            <w:vAlign w:val="center"/>
          </w:tcPr>
          <w:p>
            <w:pPr>
              <w:pStyle w:val="TableContents"/>
              <w:bidi w:val="0"/>
              <w:spacing w:lineRule="auto" w:line="259" w:before="0" w:after="283"/>
              <w:jc w:val="left"/>
              <w:rPr>
                <w:rFonts w:ascii="Times New Roman;serif" w:hAnsi="Times New Roman;serif"/>
                <w:sz w:val="21"/>
              </w:rPr>
            </w:pPr>
            <w:r>
              <w:rPr>
                <w:rFonts w:ascii="Times New Roman;serif" w:hAnsi="Times New Roman;serif"/>
                <w:b w:val="false"/>
                <w:i w:val="false"/>
                <w:caps w:val="false"/>
                <w:smallCaps w:val="false"/>
                <w:color w:val="000000"/>
                <w:sz w:val="21"/>
              </w:rPr>
              <w:t>Emerging Growth Company </w:t>
            </w:r>
            <w:r>
              <w:rPr>
                <w:rFonts w:ascii="Wingdings 2" w:hAnsi="Wingdings 2"/>
                <w:b/>
                <w:i w:val="false"/>
                <w:caps w:val="false"/>
                <w:smallCaps w:val="false"/>
                <w:color w:val="000000"/>
                <w:sz w:val="21"/>
              </w:rPr>
              <w:t>£</w:t>
            </w:r>
            <w:r>
              <w:rPr>
                <w:rFonts w:ascii="Times New Roman;serif" w:hAnsi="Times New Roman;serif"/>
                <w:caps w:val="false"/>
                <w:smallCaps w:val="false"/>
                <w:color w:val="000000"/>
                <w:sz w:val="21"/>
              </w:rPr>
              <w:t xml:space="preserve"> </w:t>
            </w:r>
          </w:p>
        </w:tc>
        <w:tc>
          <w:tcPr>
            <w:tcW w:w="282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9"/>
        <w:rPr>
          <w:rFonts w:ascii="Times New Roman;serif" w:hAnsi="Times New Roman;serif"/>
          <w:sz w:val="21"/>
        </w:rPr>
      </w:pPr>
      <w:r>
        <w:rPr>
          <w:rFonts w:ascii="Times New Roman;serif" w:hAnsi="Times New Roman;serif"/>
          <w:b w:val="false"/>
          <w:i w:val="false"/>
          <w:caps w:val="false"/>
          <w:smallCaps w:val="false"/>
          <w:color w:val="000000"/>
          <w:sz w:val="21"/>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2" w:hAnsi="Wingdings 2"/>
          <w:b/>
          <w:i w:val="false"/>
          <w:caps w:val="false"/>
          <w:smallCaps w:val="false"/>
          <w:color w:val="000000"/>
          <w:sz w:val="21"/>
        </w:rPr>
        <w:t>£</w:t>
      </w:r>
    </w:p>
    <w:p>
      <w:pPr>
        <w:pStyle w:val="TextBody"/>
        <w:bidi w:val="0"/>
        <w:spacing w:lineRule="auto" w:line="259"/>
        <w:rPr>
          <w:rFonts w:ascii="Times New Roman;serif" w:hAnsi="Times New Roman;serif"/>
          <w:sz w:val="21"/>
        </w:rPr>
      </w:pPr>
      <w:r>
        <w:rPr>
          <w:rFonts w:ascii="Times New Roman;serif" w:hAnsi="Times New Roman;serif"/>
          <w:b w:val="false"/>
          <w:i w:val="false"/>
          <w:caps w:val="false"/>
          <w:smallCaps w:val="false"/>
          <w:color w:val="000000"/>
          <w:sz w:val="21"/>
        </w:rPr>
        <w:t>Indicate by check mark whether the registrant is a shell company (as defined in Rule 12b-2 of the Exchange Act). Yes </w:t>
      </w:r>
      <w:r>
        <w:rPr>
          <w:rFonts w:ascii="Wingdings 2" w:hAnsi="Wingdings 2"/>
          <w:b/>
          <w:i w:val="false"/>
          <w:caps w:val="false"/>
          <w:smallCaps w:val="false"/>
          <w:color w:val="000000"/>
          <w:sz w:val="21"/>
        </w:rPr>
        <w:t>£</w:t>
      </w:r>
      <w:r>
        <w:rPr>
          <w:rFonts w:ascii="Times New Roman;serif" w:hAnsi="Times New Roman;serif"/>
          <w:caps w:val="false"/>
          <w:smallCaps w:val="false"/>
          <w:color w:val="000000"/>
          <w:sz w:val="21"/>
        </w:rPr>
        <w:t>  </w:t>
      </w:r>
      <w:r>
        <w:rPr>
          <w:rFonts w:ascii="Times New Roman;serif" w:hAnsi="Times New Roman;serif"/>
          <w:b w:val="false"/>
          <w:i w:val="false"/>
          <w:caps w:val="false"/>
          <w:smallCaps w:val="false"/>
          <w:color w:val="000000"/>
          <w:sz w:val="21"/>
        </w:rPr>
        <w:t>No </w:t>
      </w:r>
      <w:r>
        <w:rPr>
          <w:rFonts w:ascii="Wingdings 2" w:hAnsi="Wingdings 2"/>
          <w:b/>
          <w:i w:val="false"/>
          <w:caps w:val="false"/>
          <w:smallCaps w:val="false"/>
          <w:color w:val="000000"/>
          <w:sz w:val="21"/>
        </w:rPr>
        <w:t>S</w:t>
      </w:r>
    </w:p>
    <w:tbl>
      <w:tblPr>
        <w:tblW w:w="8666" w:type="dxa"/>
        <w:jc w:val="center"/>
        <w:tblInd w:w="0" w:type="dxa"/>
        <w:tblLayout w:type="fixed"/>
        <w:tblCellMar>
          <w:top w:w="0" w:type="dxa"/>
          <w:left w:w="0" w:type="dxa"/>
          <w:bottom w:w="0" w:type="dxa"/>
          <w:right w:w="0" w:type="dxa"/>
        </w:tblCellMar>
      </w:tblPr>
      <w:tblGrid>
        <w:gridCol w:w="2836"/>
        <w:gridCol w:w="109"/>
        <w:gridCol w:w="1726"/>
        <w:gridCol w:w="109"/>
        <w:gridCol w:w="3886"/>
      </w:tblGrid>
      <w:tr>
        <w:trPr/>
        <w:tc>
          <w:tcPr>
            <w:tcW w:w="28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6" w:type="dxa"/>
            <w:tcBorders/>
            <w:vAlign w:val="center"/>
          </w:tcPr>
          <w:p>
            <w:pPr>
              <w:pStyle w:val="TableContents"/>
              <w:bidi w:val="0"/>
              <w:spacing w:before="0" w:after="283"/>
              <w:jc w:val="left"/>
              <w:rPr>
                <w:sz w:val="4"/>
                <w:szCs w:val="4"/>
              </w:rPr>
            </w:pPr>
            <w:r>
              <w:rPr>
                <w:sz w:val="4"/>
                <w:szCs w:val="4"/>
              </w:rPr>
            </w:r>
          </w:p>
        </w:tc>
      </w:tr>
      <w:tr>
        <w:trPr/>
        <w:tc>
          <w:tcPr>
            <w:tcW w:w="8666" w:type="dxa"/>
            <w:gridSpan w:val="5"/>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1"/>
              </w:rPr>
            </w:pPr>
            <w:r>
              <w:rPr>
                <w:rFonts w:ascii="Times New Roman;serif" w:hAnsi="Times New Roman;serif"/>
                <w:b w:val="false"/>
                <w:i w:val="false"/>
                <w:caps w:val="false"/>
                <w:smallCaps w:val="false"/>
                <w:color w:val="000000"/>
                <w:sz w:val="21"/>
              </w:rPr>
              <w:t>Securities registered pursuant to Section 12(b) of the Act:</w:t>
            </w:r>
          </w:p>
        </w:tc>
      </w:tr>
      <w:tr>
        <w:trPr/>
        <w:tc>
          <w:tcPr>
            <w:tcW w:w="28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1"/>
              </w:rPr>
            </w:pPr>
            <w:r>
              <w:rPr>
                <w:rFonts w:ascii="Times New Roman;serif" w:hAnsi="Times New Roman;serif"/>
                <w:b w:val="false"/>
                <w:i w:val="false"/>
                <w:caps w:val="false"/>
                <w:smallCaps w:val="false"/>
                <w:color w:val="000000"/>
                <w:sz w:val="21"/>
              </w:rPr>
              <w:t>Title of each class</w:t>
            </w:r>
          </w:p>
        </w:tc>
        <w:tc>
          <w:tcPr>
            <w:tcW w:w="109" w:type="dxa"/>
            <w:tcBorders/>
            <w:vAlign w:val="center"/>
          </w:tcPr>
          <w:p>
            <w:pPr>
              <w:pStyle w:val="TableContents"/>
              <w:bidi w:val="0"/>
              <w:spacing w:before="0" w:after="283"/>
              <w:jc w:val="left"/>
              <w:rPr>
                <w:sz w:val="4"/>
                <w:szCs w:val="4"/>
              </w:rPr>
            </w:pPr>
            <w:r>
              <w:rPr>
                <w:sz w:val="4"/>
                <w:szCs w:val="4"/>
              </w:rPr>
            </w:r>
          </w:p>
        </w:tc>
        <w:tc>
          <w:tcPr>
            <w:tcW w:w="172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1"/>
              </w:rPr>
            </w:pPr>
            <w:r>
              <w:rPr>
                <w:rFonts w:ascii="Times New Roman;serif" w:hAnsi="Times New Roman;serif"/>
                <w:b w:val="false"/>
                <w:i w:val="false"/>
                <w:caps w:val="false"/>
                <w:smallCaps w:val="false"/>
                <w:color w:val="000000"/>
                <w:sz w:val="21"/>
              </w:rPr>
              <w:t>Trading Symbol(s)</w:t>
            </w:r>
          </w:p>
        </w:tc>
        <w:tc>
          <w:tcPr>
            <w:tcW w:w="109" w:type="dxa"/>
            <w:tcBorders/>
            <w:vAlign w:val="center"/>
          </w:tcPr>
          <w:p>
            <w:pPr>
              <w:pStyle w:val="TableContents"/>
              <w:bidi w:val="0"/>
              <w:spacing w:before="0" w:after="283"/>
              <w:jc w:val="left"/>
              <w:rPr>
                <w:sz w:val="4"/>
                <w:szCs w:val="4"/>
              </w:rPr>
            </w:pPr>
            <w:r>
              <w:rPr>
                <w:sz w:val="4"/>
                <w:szCs w:val="4"/>
              </w:rPr>
            </w:r>
          </w:p>
        </w:tc>
        <w:tc>
          <w:tcPr>
            <w:tcW w:w="38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1"/>
              </w:rPr>
            </w:pPr>
            <w:r>
              <w:rPr>
                <w:rFonts w:ascii="Times New Roman;serif" w:hAnsi="Times New Roman;serif"/>
                <w:b w:val="false"/>
                <w:i w:val="false"/>
                <w:caps w:val="false"/>
                <w:smallCaps w:val="false"/>
                <w:color w:val="000000"/>
                <w:sz w:val="21"/>
              </w:rPr>
              <w:t>Name of each exchange on which registered</w:t>
            </w:r>
          </w:p>
        </w:tc>
      </w:tr>
      <w:tr>
        <w:trPr/>
        <w:tc>
          <w:tcPr>
            <w:tcW w:w="283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1"/>
              </w:rPr>
            </w:pPr>
            <w:r>
              <w:rPr>
                <w:rFonts w:ascii="Times New Roman;serif" w:hAnsi="Times New Roman;serif"/>
                <w:b w:val="false"/>
                <w:i w:val="false"/>
                <w:caps w:val="false"/>
                <w:smallCaps w:val="false"/>
                <w:color w:val="000000"/>
                <w:sz w:val="21"/>
              </w:rPr>
              <w:t>Common stock, $0.50 par value</w:t>
            </w:r>
          </w:p>
        </w:tc>
        <w:tc>
          <w:tcPr>
            <w:tcW w:w="109" w:type="dxa"/>
            <w:tcBorders/>
            <w:vAlign w:val="center"/>
          </w:tcPr>
          <w:p>
            <w:pPr>
              <w:pStyle w:val="TableContents"/>
              <w:bidi w:val="0"/>
              <w:spacing w:before="0" w:after="283"/>
              <w:jc w:val="left"/>
              <w:rPr>
                <w:sz w:val="4"/>
                <w:szCs w:val="4"/>
              </w:rPr>
            </w:pPr>
            <w:r>
              <w:rPr>
                <w:sz w:val="4"/>
                <w:szCs w:val="4"/>
              </w:rPr>
            </w:r>
          </w:p>
        </w:tc>
        <w:tc>
          <w:tcPr>
            <w:tcW w:w="172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1"/>
              </w:rPr>
            </w:pPr>
            <w:r>
              <w:rPr>
                <w:rFonts w:ascii="Times New Roman;serif" w:hAnsi="Times New Roman;serif"/>
                <w:b w:val="false"/>
                <w:i w:val="false"/>
                <w:caps w:val="false"/>
                <w:smallCaps w:val="false"/>
                <w:color w:val="000000"/>
                <w:sz w:val="21"/>
              </w:rPr>
              <w:t>WTRG</w:t>
            </w:r>
          </w:p>
        </w:tc>
        <w:tc>
          <w:tcPr>
            <w:tcW w:w="109" w:type="dxa"/>
            <w:tcBorders/>
            <w:vAlign w:val="center"/>
          </w:tcPr>
          <w:p>
            <w:pPr>
              <w:pStyle w:val="TableContents"/>
              <w:bidi w:val="0"/>
              <w:spacing w:before="0" w:after="283"/>
              <w:jc w:val="left"/>
              <w:rPr>
                <w:sz w:val="4"/>
                <w:szCs w:val="4"/>
              </w:rPr>
            </w:pPr>
            <w:r>
              <w:rPr>
                <w:sz w:val="4"/>
                <w:szCs w:val="4"/>
              </w:rPr>
            </w:r>
          </w:p>
        </w:tc>
        <w:tc>
          <w:tcPr>
            <w:tcW w:w="388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1"/>
              </w:rPr>
            </w:pPr>
            <w:r>
              <w:rPr>
                <w:rFonts w:ascii="Times New Roman;serif" w:hAnsi="Times New Roman;serif"/>
                <w:b w:val="false"/>
                <w:i w:val="false"/>
                <w:caps w:val="false"/>
                <w:smallCaps w:val="false"/>
                <w:color w:val="000000"/>
                <w:sz w:val="21"/>
              </w:rPr>
              <w:t>New York Stock Exchange</w:t>
            </w:r>
          </w:p>
        </w:tc>
      </w:tr>
      <w:tr>
        <w:trPr/>
        <w:tc>
          <w:tcPr>
            <w:tcW w:w="28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9"/>
        <w:rPr>
          <w:rFonts w:ascii="Times New Roman;serif" w:hAnsi="Times New Roman;serif"/>
          <w:sz w:val="21"/>
        </w:rPr>
      </w:pPr>
      <w:r>
        <w:rPr>
          <w:rFonts w:ascii="Times New Roman;serif" w:hAnsi="Times New Roman;serif"/>
          <w:b w:val="false"/>
          <w:i w:val="false"/>
          <w:caps w:val="false"/>
          <w:smallCaps w:val="false"/>
          <w:color w:val="000000"/>
          <w:sz w:val="21"/>
        </w:rPr>
        <w:t>Indicate the number of shares outstanding of each of the issuer's classes of common stock, as of July 27, 2026:</w:t>
      </w:r>
      <w:r>
        <w:rPr>
          <w:rFonts w:ascii="Times New Roman;serif" w:hAnsi="Times New Roman;serif"/>
          <w:caps w:val="false"/>
          <w:smallCaps w:val="false"/>
          <w:color w:val="000000"/>
          <w:sz w:val="21"/>
        </w:rPr>
        <w:t xml:space="preserve"> </w:t>
      </w:r>
      <w:r>
        <w:rPr>
          <w:rFonts w:ascii="Times New Roman;serif" w:hAnsi="Times New Roman;serif"/>
          <w:b w:val="false"/>
          <w:i w:val="false"/>
          <w:caps w:val="false"/>
          <w:smallCaps w:val="false"/>
          <w:color w:val="000000"/>
          <w:sz w:val="21"/>
        </w:rPr>
        <w:t>283,778,605</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563C1"/>
            <w:sz w:val="24"/>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ESSENTIAL UTILITIES, INC. AND SUBSIDIARIES</w:t>
      </w:r>
    </w:p>
    <w:p>
      <w:pPr>
        <w:pStyle w:val="TextBody"/>
        <w:bidi w:val="0"/>
        <w:spacing w:lineRule="auto" w:line="259"/>
        <w:rPr>
          <w:rFonts w:ascii="Times New Roman;serif" w:hAnsi="Times New Roman;serif"/>
          <w:sz w:val="23"/>
        </w:rPr>
      </w:pPr>
      <w:r>
        <w:rPr>
          <w:rFonts w:ascii="Times New Roman;serif" w:hAnsi="Times New Roman;serif"/>
          <w:b w:val="false"/>
          <w:i w:val="false"/>
          <w:caps w:val="false"/>
          <w:smallCaps w:val="false"/>
          <w:color w:val="000000"/>
          <w:sz w:val="23"/>
        </w:rPr>
        <w:t>TABLE OF</w:t>
      </w:r>
      <w:bookmarkStart w:id="2" w:name="TableOfContents"/>
      <w:bookmarkEnd w:id="2"/>
      <w:r>
        <w:rPr>
          <w:rFonts w:ascii="Times New Roman;serif" w:hAnsi="Times New Roman;serif"/>
          <w:caps w:val="false"/>
          <w:smallCaps w:val="false"/>
          <w:color w:val="000000"/>
          <w:sz w:val="23"/>
        </w:rPr>
        <w:t xml:space="preserve"> </w:t>
      </w:r>
      <w:r>
        <w:rPr>
          <w:rFonts w:ascii="Times New Roman;serif" w:hAnsi="Times New Roman;serif"/>
          <w:b w:val="false"/>
          <w:i w:val="false"/>
          <w:caps w:val="false"/>
          <w:smallCaps w:val="false"/>
          <w:color w:val="000000"/>
          <w:sz w:val="23"/>
        </w:rPr>
        <w:t>CONTENTS</w:t>
      </w:r>
    </w:p>
    <w:tbl>
      <w:tblPr>
        <w:tblW w:w="10205" w:type="dxa"/>
        <w:jc w:val="left"/>
        <w:tblInd w:w="0" w:type="dxa"/>
        <w:tblLayout w:type="fixed"/>
        <w:tblCellMar>
          <w:top w:w="0" w:type="dxa"/>
          <w:left w:w="0" w:type="dxa"/>
          <w:bottom w:w="0" w:type="dxa"/>
          <w:right w:w="0" w:type="dxa"/>
        </w:tblCellMar>
      </w:tblPr>
      <w:tblGrid>
        <w:gridCol w:w="9495"/>
        <w:gridCol w:w="556"/>
        <w:gridCol w:w="154"/>
      </w:tblGrid>
      <w:tr>
        <w:trPr/>
        <w:tc>
          <w:tcPr>
            <w:tcW w:w="9495"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3"/>
                <w:u w:val="single"/>
              </w:rPr>
            </w:pPr>
            <w:r>
              <w:rPr>
                <w:rFonts w:ascii="Times New Roman;serif" w:hAnsi="Times New Roman;serif"/>
                <w:b w:val="false"/>
                <w:i w:val="false"/>
                <w:caps w:val="false"/>
                <w:smallCaps w:val="false"/>
                <w:color w:val="000000"/>
                <w:sz w:val="23"/>
                <w:u w:val="single"/>
              </w:rPr>
              <w:t>Page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51" w:type="dxa"/>
            <w:gridSpan w:val="2"/>
            <w:tcBorders/>
            <w:shd w:fill="CCEEFF" w:val="clear"/>
            <w:vAlign w:val="center"/>
          </w:tcPr>
          <w:p>
            <w:pPr>
              <w:pStyle w:val="TableContents"/>
              <w:bidi w:val="0"/>
              <w:spacing w:lineRule="auto" w:line="259" w:before="0" w:after="283"/>
              <w:rPr/>
            </w:pPr>
            <w:hyperlink w:anchor="PartI_FinancialInfo">
              <w:r>
                <w:rPr>
                  <w:rStyle w:val="InternetLink"/>
                  <w:rFonts w:ascii="Times New Roman;serif" w:hAnsi="Times New Roman;serif"/>
                  <w:b w:val="false"/>
                  <w:i w:val="false"/>
                  <w:caps w:val="false"/>
                  <w:smallCaps w:val="false"/>
                  <w:color w:val="0563C1"/>
                  <w:sz w:val="23"/>
                  <w:u w:val="single"/>
                </w:rPr>
                <w:t>Part I – Financial Information</w:t>
              </w:r>
            </w:hyperlink>
          </w:p>
        </w:tc>
        <w:tc>
          <w:tcPr>
            <w:tcW w:w="154" w:type="dxa"/>
            <w:tcBorders/>
            <w:shd w:fill="CCEEFF" w:val="clear"/>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95" w:type="dxa"/>
            <w:tcBorders/>
            <w:shd w:fill="CCEEFF" w:val="clear"/>
            <w:vAlign w:val="center"/>
          </w:tcPr>
          <w:p>
            <w:pPr>
              <w:pStyle w:val="TableContents"/>
              <w:bidi w:val="0"/>
              <w:spacing w:lineRule="auto" w:line="259" w:before="0" w:after="283"/>
              <w:jc w:val="left"/>
              <w:rPr/>
            </w:pPr>
            <w:hyperlink w:anchor="Item1_Financial">
              <w:r>
                <w:rPr>
                  <w:rStyle w:val="InternetLink"/>
                  <w:rFonts w:ascii="Times New Roman;serif" w:hAnsi="Times New Roman;serif"/>
                  <w:b w:val="false"/>
                  <w:i w:val="false"/>
                  <w:caps w:val="false"/>
                  <w:smallCaps w:val="false"/>
                  <w:color w:val="0563C1"/>
                  <w:sz w:val="23"/>
                  <w:u w:val="single"/>
                </w:rPr>
                <w:t>Item 1. Financial Statements:</w:t>
              </w:r>
            </w:hyperlink>
          </w:p>
        </w:tc>
        <w:tc>
          <w:tcPr>
            <w:tcW w:w="556" w:type="dxa"/>
            <w:tcBorders/>
            <w:shd w:fill="CCEEFF" w:val="clear"/>
            <w:vAlign w:val="center"/>
          </w:tcPr>
          <w:p>
            <w:pPr>
              <w:pStyle w:val="TableContents"/>
              <w:bidi w:val="0"/>
              <w:spacing w:before="0" w:after="283"/>
              <w:jc w:val="left"/>
              <w:rPr>
                <w:sz w:val="4"/>
                <w:szCs w:val="4"/>
              </w:rPr>
            </w:pPr>
            <w:r>
              <w:rPr>
                <w:sz w:val="4"/>
                <w:szCs w:val="4"/>
              </w:rPr>
            </w:r>
          </w:p>
        </w:tc>
        <w:tc>
          <w:tcPr>
            <w:tcW w:w="154" w:type="dxa"/>
            <w:tcBorders/>
            <w:shd w:fill="CCEEFF" w:val="clear"/>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95" w:type="dxa"/>
            <w:tcBorders/>
            <w:shd w:fill="CCEEFF" w:val="clear"/>
            <w:vAlign w:val="center"/>
          </w:tcPr>
          <w:p>
            <w:pPr>
              <w:pStyle w:val="TableContents"/>
              <w:bidi w:val="0"/>
              <w:spacing w:lineRule="auto" w:line="259" w:before="0" w:after="283"/>
              <w:jc w:val="left"/>
              <w:rPr/>
            </w:pPr>
            <w:hyperlink w:anchor="BalanceSheet">
              <w:r>
                <w:rPr>
                  <w:rStyle w:val="InternetLink"/>
                  <w:rFonts w:ascii="Times New Roman;serif" w:hAnsi="Times New Roman;serif"/>
                  <w:b w:val="false"/>
                  <w:i w:val="false"/>
                  <w:caps w:val="false"/>
                  <w:smallCaps w:val="false"/>
                  <w:color w:val="0563C1"/>
                  <w:sz w:val="23"/>
                  <w:u w:val="single"/>
                </w:rPr>
                <w:t>Condensed Consolidated Balance Sheets (unaudited) – June 30, 2026 and December 31, 2025</w:t>
              </w:r>
            </w:hyperlink>
          </w:p>
        </w:tc>
        <w:tc>
          <w:tcPr>
            <w:tcW w:w="5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3"/>
              </w:rPr>
            </w:pPr>
            <w:r>
              <w:rPr>
                <w:rFonts w:ascii="Times New Roman;serif" w:hAnsi="Times New Roman;serif"/>
                <w:b w:val="false"/>
                <w:i w:val="false"/>
                <w:caps w:val="false"/>
                <w:smallCaps w:val="false"/>
                <w:color w:val="000000"/>
                <w:sz w:val="23"/>
              </w:rPr>
              <w:t>2</w:t>
            </w:r>
          </w:p>
        </w:tc>
        <w:tc>
          <w:tcPr>
            <w:tcW w:w="154" w:type="dxa"/>
            <w:tcBorders/>
            <w:shd w:fill="CCEEFF" w:val="clear"/>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95" w:type="dxa"/>
            <w:tcBorders/>
            <w:shd w:fill="CCEEFF" w:val="clear"/>
            <w:vAlign w:val="center"/>
          </w:tcPr>
          <w:p>
            <w:pPr>
              <w:pStyle w:val="TableContents"/>
              <w:bidi w:val="0"/>
              <w:spacing w:lineRule="auto" w:line="259" w:before="0" w:after="283"/>
              <w:jc w:val="left"/>
              <w:rPr/>
            </w:pPr>
            <w:hyperlink w:anchor="Statement_of_Comprehensive_Income">
              <w:r>
                <w:rPr>
                  <w:rStyle w:val="InternetLink"/>
                  <w:rFonts w:ascii="Times New Roman;serif" w:hAnsi="Times New Roman;serif"/>
                  <w:b w:val="false"/>
                  <w:i w:val="false"/>
                  <w:caps w:val="false"/>
                  <w:smallCaps w:val="false"/>
                  <w:strike w:val="false"/>
                  <w:dstrike w:val="false"/>
                  <w:color w:val="0563C1"/>
                  <w:sz w:val="23"/>
                  <w:u w:val="single"/>
                  <w:effect w:val="none"/>
                </w:rPr>
                <w:t>Condensed Consolidated Statements of Operations and Comprehensive Income (unaudited) – Three Months Ended June 30, 2026 and 2025</w:t>
              </w:r>
            </w:hyperlink>
          </w:p>
        </w:tc>
        <w:tc>
          <w:tcPr>
            <w:tcW w:w="5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3"/>
              </w:rPr>
            </w:pPr>
            <w:r>
              <w:rPr>
                <w:rFonts w:ascii="Times New Roman;serif" w:hAnsi="Times New Roman;serif"/>
                <w:b w:val="false"/>
                <w:i w:val="false"/>
                <w:caps w:val="false"/>
                <w:smallCaps w:val="false"/>
                <w:color w:val="000000"/>
                <w:sz w:val="23"/>
              </w:rPr>
              <w:t>4</w:t>
            </w:r>
          </w:p>
        </w:tc>
        <w:tc>
          <w:tcPr>
            <w:tcW w:w="154" w:type="dxa"/>
            <w:tcBorders/>
            <w:shd w:fill="CCEEFF" w:val="clear"/>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95" w:type="dxa"/>
            <w:tcBorders/>
            <w:shd w:fill="CCEEFF" w:val="clear"/>
            <w:vAlign w:val="center"/>
          </w:tcPr>
          <w:p>
            <w:pPr>
              <w:pStyle w:val="TableContents"/>
              <w:bidi w:val="0"/>
              <w:spacing w:lineRule="auto" w:line="259" w:before="0" w:after="283"/>
              <w:jc w:val="left"/>
              <w:rPr/>
            </w:pPr>
            <w:hyperlink w:anchor="Statement_of_Comprehensive_Income_QTR">
              <w:r>
                <w:rPr>
                  <w:rStyle w:val="InternetLink"/>
                  <w:rFonts w:ascii="Times New Roman;serif" w:hAnsi="Times New Roman;serif"/>
                  <w:b w:val="false"/>
                  <w:i w:val="false"/>
                  <w:caps w:val="false"/>
                  <w:smallCaps w:val="false"/>
                  <w:strike w:val="false"/>
                  <w:dstrike w:val="false"/>
                  <w:color w:val="0563C1"/>
                  <w:sz w:val="23"/>
                  <w:u w:val="single"/>
                  <w:effect w:val="none"/>
                </w:rPr>
                <w:t>Condensed Consolidated Statements of Operations and Comprehensive Income (unaudited) – Six Months Ended June 30, 2026 and 2025</w:t>
              </w:r>
            </w:hyperlink>
          </w:p>
        </w:tc>
        <w:tc>
          <w:tcPr>
            <w:tcW w:w="5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3"/>
              </w:rPr>
            </w:pPr>
            <w:r>
              <w:rPr>
                <w:rFonts w:ascii="Times New Roman;serif" w:hAnsi="Times New Roman;serif"/>
                <w:b w:val="false"/>
                <w:i w:val="false"/>
                <w:caps w:val="false"/>
                <w:smallCaps w:val="false"/>
                <w:color w:val="000000"/>
                <w:sz w:val="23"/>
              </w:rPr>
              <w:t>5</w:t>
            </w:r>
          </w:p>
        </w:tc>
        <w:tc>
          <w:tcPr>
            <w:tcW w:w="154" w:type="dxa"/>
            <w:tcBorders/>
            <w:shd w:fill="CCEEFF" w:val="clear"/>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95" w:type="dxa"/>
            <w:tcBorders/>
            <w:shd w:fill="CCEEFF" w:val="clear"/>
            <w:vAlign w:val="center"/>
          </w:tcPr>
          <w:p>
            <w:pPr>
              <w:pStyle w:val="TableContents"/>
              <w:bidi w:val="0"/>
              <w:spacing w:lineRule="auto" w:line="259" w:before="0" w:after="283"/>
              <w:jc w:val="left"/>
              <w:rPr/>
            </w:pPr>
            <w:hyperlink w:anchor="Statement_of_Capitalization">
              <w:r>
                <w:rPr>
                  <w:rStyle w:val="InternetLink"/>
                  <w:rFonts w:ascii="Times New Roman;serif" w:hAnsi="Times New Roman;serif"/>
                  <w:b w:val="false"/>
                  <w:i w:val="false"/>
                  <w:caps w:val="false"/>
                  <w:smallCaps w:val="false"/>
                  <w:color w:val="0563C1"/>
                  <w:sz w:val="23"/>
                  <w:u w:val="single"/>
                </w:rPr>
                <w:t>Condensed Consolidated Statements of Capitalization (unaudited) - June 30, 2026 and December 31, 2025</w:t>
              </w:r>
            </w:hyperlink>
          </w:p>
        </w:tc>
        <w:tc>
          <w:tcPr>
            <w:tcW w:w="5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3"/>
              </w:rPr>
            </w:pPr>
            <w:r>
              <w:rPr>
                <w:rFonts w:ascii="Times New Roman;serif" w:hAnsi="Times New Roman;serif"/>
                <w:b w:val="false"/>
                <w:i w:val="false"/>
                <w:caps w:val="false"/>
                <w:smallCaps w:val="false"/>
                <w:color w:val="000000"/>
                <w:sz w:val="23"/>
              </w:rPr>
              <w:t>6</w:t>
            </w:r>
          </w:p>
        </w:tc>
        <w:tc>
          <w:tcPr>
            <w:tcW w:w="154" w:type="dxa"/>
            <w:tcBorders/>
            <w:shd w:fill="CCEEFF" w:val="clear"/>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95" w:type="dxa"/>
            <w:tcBorders/>
            <w:shd w:fill="CCEEFF" w:val="clear"/>
            <w:vAlign w:val="center"/>
          </w:tcPr>
          <w:p>
            <w:pPr>
              <w:pStyle w:val="TableContents"/>
              <w:bidi w:val="0"/>
              <w:spacing w:lineRule="auto" w:line="259" w:before="0" w:after="283"/>
              <w:jc w:val="left"/>
              <w:rPr/>
            </w:pPr>
            <w:hyperlink w:anchor="Statement_of_Equity_CY">
              <w:r>
                <w:rPr>
                  <w:rStyle w:val="InternetLink"/>
                  <w:rFonts w:ascii="Times New Roman;serif" w:hAnsi="Times New Roman;serif"/>
                  <w:b w:val="false"/>
                  <w:i w:val="false"/>
                  <w:caps w:val="false"/>
                  <w:smallCaps w:val="false"/>
                  <w:color w:val="000080"/>
                  <w:sz w:val="23"/>
                  <w:u w:val="single"/>
                </w:rPr>
                <w:t xml:space="preserve">Condensed Consolidated Statements of Equity (unaudited) – Three and Six Months Ended </w:t>
              </w:r>
            </w:hyperlink>
            <w:r>
              <w:rPr>
                <w:rFonts w:ascii="Times New Roman;serif" w:hAnsi="Times New Roman;serif"/>
                <w:b w:val="false"/>
                <w:i w:val="false"/>
                <w:caps w:val="false"/>
                <w:smallCaps w:val="false"/>
                <w:color w:val="0563C1"/>
                <w:sz w:val="23"/>
                <w:u w:val="single"/>
              </w:rPr>
              <w:t>June 30, 2026</w:t>
            </w:r>
          </w:p>
        </w:tc>
        <w:tc>
          <w:tcPr>
            <w:tcW w:w="5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3"/>
              </w:rPr>
            </w:pPr>
            <w:r>
              <w:rPr>
                <w:rFonts w:ascii="Times New Roman;serif" w:hAnsi="Times New Roman;serif"/>
                <w:b w:val="false"/>
                <w:i w:val="false"/>
                <w:caps w:val="false"/>
                <w:smallCaps w:val="false"/>
                <w:color w:val="000000"/>
                <w:sz w:val="23"/>
              </w:rPr>
              <w:t>7</w:t>
            </w:r>
          </w:p>
        </w:tc>
        <w:tc>
          <w:tcPr>
            <w:tcW w:w="154" w:type="dxa"/>
            <w:tcBorders/>
            <w:shd w:fill="CCEEFF" w:val="clear"/>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95" w:type="dxa"/>
            <w:tcBorders/>
            <w:shd w:fill="CCEEFF" w:val="clear"/>
            <w:vAlign w:val="center"/>
          </w:tcPr>
          <w:p>
            <w:pPr>
              <w:pStyle w:val="TableContents"/>
              <w:bidi w:val="0"/>
              <w:spacing w:lineRule="auto" w:line="259" w:before="0" w:after="283"/>
              <w:jc w:val="left"/>
              <w:rPr/>
            </w:pPr>
            <w:hyperlink w:anchor="Statement_of_Equity_PY">
              <w:r>
                <w:rPr>
                  <w:rStyle w:val="InternetLink"/>
                  <w:rFonts w:ascii="Times New Roman;serif" w:hAnsi="Times New Roman;serif"/>
                  <w:b w:val="false"/>
                  <w:i w:val="false"/>
                  <w:caps w:val="false"/>
                  <w:smallCaps w:val="false"/>
                  <w:color w:val="000080"/>
                  <w:sz w:val="23"/>
                  <w:u w:val="single"/>
                </w:rPr>
                <w:t xml:space="preserve">Condensed Consolidated Statements of Equity (unaudited) – Three and Six Months Ended </w:t>
              </w:r>
            </w:hyperlink>
            <w:r>
              <w:rPr>
                <w:rFonts w:ascii="Times New Roman;serif" w:hAnsi="Times New Roman;serif"/>
                <w:b w:val="false"/>
                <w:i w:val="false"/>
                <w:caps w:val="false"/>
                <w:smallCaps w:val="false"/>
                <w:color w:val="0563C1"/>
                <w:sz w:val="23"/>
                <w:u w:val="single"/>
              </w:rPr>
              <w:t>June 30, 2025</w:t>
            </w:r>
            <w:r>
              <w:rPr>
                <w:rFonts w:ascii="Times New Roman;serif" w:hAnsi="Times New Roman;serif"/>
                <w:caps w:val="false"/>
                <w:smallCaps w:val="false"/>
                <w:color w:val="000000"/>
                <w:sz w:val="23"/>
              </w:rPr>
              <w:t xml:space="preserve"> </w:t>
            </w:r>
          </w:p>
        </w:tc>
        <w:tc>
          <w:tcPr>
            <w:tcW w:w="5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3"/>
              </w:rPr>
            </w:pPr>
            <w:r>
              <w:rPr>
                <w:rFonts w:ascii="Times New Roman;serif" w:hAnsi="Times New Roman;serif"/>
                <w:b w:val="false"/>
                <w:i w:val="false"/>
                <w:caps w:val="false"/>
                <w:smallCaps w:val="false"/>
                <w:color w:val="000000"/>
                <w:sz w:val="23"/>
              </w:rPr>
              <w:t>8</w:t>
            </w:r>
          </w:p>
        </w:tc>
        <w:tc>
          <w:tcPr>
            <w:tcW w:w="154" w:type="dxa"/>
            <w:tcBorders/>
            <w:shd w:fill="CCEEFF" w:val="clear"/>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95" w:type="dxa"/>
            <w:tcBorders/>
            <w:shd w:fill="CCEEFF" w:val="clear"/>
            <w:vAlign w:val="center"/>
          </w:tcPr>
          <w:p>
            <w:pPr>
              <w:pStyle w:val="TableContents"/>
              <w:bidi w:val="0"/>
              <w:spacing w:lineRule="auto" w:line="259" w:before="0" w:after="283"/>
              <w:jc w:val="left"/>
              <w:rPr/>
            </w:pPr>
            <w:hyperlink w:anchor="Statement_of_CashFlows">
              <w:r>
                <w:rPr>
                  <w:rStyle w:val="InternetLink"/>
                  <w:rFonts w:ascii="Times New Roman;serif" w:hAnsi="Times New Roman;serif"/>
                  <w:b w:val="false"/>
                  <w:i w:val="false"/>
                  <w:caps w:val="false"/>
                  <w:smallCaps w:val="false"/>
                  <w:color w:val="000080"/>
                  <w:sz w:val="23"/>
                  <w:u w:val="single"/>
                </w:rPr>
                <w:t xml:space="preserve">Condensed Consolidated Statements of Cash Flow (unaudited) – Six Months Ended </w:t>
              </w:r>
            </w:hyperlink>
            <w:r>
              <w:rPr>
                <w:rFonts w:ascii="Times New Roman;serif" w:hAnsi="Times New Roman;serif"/>
                <w:b w:val="false"/>
                <w:i w:val="false"/>
                <w:caps w:val="false"/>
                <w:smallCaps w:val="false"/>
                <w:color w:val="0563C1"/>
                <w:sz w:val="23"/>
                <w:u w:val="single"/>
              </w:rPr>
              <w:t>June 30, 2026 and 2025</w:t>
            </w:r>
          </w:p>
        </w:tc>
        <w:tc>
          <w:tcPr>
            <w:tcW w:w="5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3"/>
              </w:rPr>
            </w:pPr>
            <w:r>
              <w:rPr>
                <w:rFonts w:ascii="Times New Roman;serif" w:hAnsi="Times New Roman;serif"/>
                <w:b w:val="false"/>
                <w:i w:val="false"/>
                <w:caps w:val="false"/>
                <w:smallCaps w:val="false"/>
                <w:color w:val="000000"/>
                <w:sz w:val="23"/>
              </w:rPr>
              <w:t>9</w:t>
            </w:r>
          </w:p>
        </w:tc>
        <w:tc>
          <w:tcPr>
            <w:tcW w:w="154" w:type="dxa"/>
            <w:tcBorders/>
            <w:shd w:fill="CCEEFF" w:val="clear"/>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95" w:type="dxa"/>
            <w:tcBorders/>
            <w:shd w:fill="CCEEFF" w:val="clear"/>
            <w:vAlign w:val="center"/>
          </w:tcPr>
          <w:p>
            <w:pPr>
              <w:pStyle w:val="TableContents"/>
              <w:bidi w:val="0"/>
              <w:spacing w:lineRule="auto" w:line="259" w:before="0" w:after="283"/>
              <w:jc w:val="left"/>
              <w:rPr/>
            </w:pPr>
            <w:hyperlink w:anchor="Notes">
              <w:r>
                <w:rPr>
                  <w:rStyle w:val="InternetLink"/>
                  <w:rFonts w:ascii="Times New Roman;serif" w:hAnsi="Times New Roman;serif"/>
                  <w:b w:val="false"/>
                  <w:i w:val="false"/>
                  <w:caps w:val="false"/>
                  <w:smallCaps w:val="false"/>
                  <w:color w:val="0563C1"/>
                  <w:sz w:val="23"/>
                  <w:u w:val="single"/>
                </w:rPr>
                <w:t>Notes to Condensed Consolidated Financial Statements (unaudited)</w:t>
              </w:r>
            </w:hyperlink>
          </w:p>
        </w:tc>
        <w:tc>
          <w:tcPr>
            <w:tcW w:w="5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3"/>
              </w:rPr>
            </w:pPr>
            <w:r>
              <w:rPr>
                <w:rFonts w:ascii="Times New Roman;serif" w:hAnsi="Times New Roman;serif"/>
                <w:b w:val="false"/>
                <w:i w:val="false"/>
                <w:caps w:val="false"/>
                <w:smallCaps w:val="false"/>
                <w:color w:val="000000"/>
                <w:sz w:val="23"/>
              </w:rPr>
              <w:t>10</w:t>
            </w:r>
          </w:p>
        </w:tc>
        <w:tc>
          <w:tcPr>
            <w:tcW w:w="154" w:type="dxa"/>
            <w:tcBorders/>
            <w:shd w:fill="CCEEFF" w:val="clear"/>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95" w:type="dxa"/>
            <w:tcBorders/>
            <w:shd w:fill="CCEEFF" w:val="clear"/>
            <w:vAlign w:val="center"/>
          </w:tcPr>
          <w:p>
            <w:pPr>
              <w:pStyle w:val="TableContents"/>
              <w:bidi w:val="0"/>
              <w:spacing w:lineRule="auto" w:line="259" w:before="0" w:after="283"/>
              <w:jc w:val="left"/>
              <w:rPr/>
            </w:pPr>
            <w:hyperlink w:anchor="Item2_MDA">
              <w:r>
                <w:rPr>
                  <w:rStyle w:val="InternetLink"/>
                  <w:rFonts w:ascii="Times New Roman;serif" w:hAnsi="Times New Roman;serif"/>
                  <w:b w:val="false"/>
                  <w:i w:val="false"/>
                  <w:caps w:val="false"/>
                  <w:smallCaps w:val="false"/>
                  <w:color w:val="0563C1"/>
                  <w:sz w:val="23"/>
                  <w:u w:val="single"/>
                </w:rPr>
                <w:t>Item 2. Management’s Discussion and Analysis of Financial Condition and Results of Operations</w:t>
              </w:r>
            </w:hyperlink>
          </w:p>
        </w:tc>
        <w:tc>
          <w:tcPr>
            <w:tcW w:w="5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3"/>
              </w:rPr>
            </w:pPr>
            <w:r>
              <w:rPr>
                <w:rFonts w:ascii="Times New Roman;serif" w:hAnsi="Times New Roman;serif"/>
                <w:b w:val="false"/>
                <w:i w:val="false"/>
                <w:caps w:val="false"/>
                <w:smallCaps w:val="false"/>
                <w:color w:val="000000"/>
                <w:sz w:val="23"/>
              </w:rPr>
              <w:t>32</w:t>
            </w:r>
          </w:p>
        </w:tc>
        <w:tc>
          <w:tcPr>
            <w:tcW w:w="154" w:type="dxa"/>
            <w:tcBorders/>
            <w:shd w:fill="CCEEFF" w:val="clear"/>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95" w:type="dxa"/>
            <w:tcBorders/>
            <w:shd w:fill="CCEEFF" w:val="clear"/>
            <w:vAlign w:val="center"/>
          </w:tcPr>
          <w:p>
            <w:pPr>
              <w:pStyle w:val="TableContents"/>
              <w:bidi w:val="0"/>
              <w:spacing w:lineRule="auto" w:line="259" w:before="0" w:after="283"/>
              <w:jc w:val="left"/>
              <w:rPr/>
            </w:pPr>
            <w:hyperlink w:anchor="Item3_QAQ">
              <w:r>
                <w:rPr>
                  <w:rStyle w:val="InternetLink"/>
                  <w:rFonts w:ascii="Times New Roman;serif" w:hAnsi="Times New Roman;serif"/>
                  <w:b w:val="false"/>
                  <w:i w:val="false"/>
                  <w:caps w:val="false"/>
                  <w:smallCaps w:val="false"/>
                  <w:color w:val="0563C1"/>
                  <w:sz w:val="23"/>
                  <w:u w:val="single"/>
                </w:rPr>
                <w:t>Item 3. Quantitative and Qualitative Disclosures About Market Risk</w:t>
              </w:r>
            </w:hyperlink>
          </w:p>
        </w:tc>
        <w:tc>
          <w:tcPr>
            <w:tcW w:w="5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3"/>
              </w:rPr>
            </w:pPr>
            <w:r>
              <w:rPr>
                <w:rFonts w:ascii="Times New Roman;serif" w:hAnsi="Times New Roman;serif"/>
                <w:b w:val="false"/>
                <w:i w:val="false"/>
                <w:caps w:val="false"/>
                <w:smallCaps w:val="false"/>
                <w:color w:val="000000"/>
                <w:sz w:val="23"/>
              </w:rPr>
              <w:t>48</w:t>
            </w:r>
          </w:p>
        </w:tc>
        <w:tc>
          <w:tcPr>
            <w:tcW w:w="154" w:type="dxa"/>
            <w:tcBorders/>
            <w:shd w:fill="CCEEFF" w:val="clear"/>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95" w:type="dxa"/>
            <w:tcBorders/>
            <w:shd w:fill="CCEEFF" w:val="clear"/>
            <w:vAlign w:val="center"/>
          </w:tcPr>
          <w:p>
            <w:pPr>
              <w:pStyle w:val="TableContents"/>
              <w:bidi w:val="0"/>
              <w:spacing w:lineRule="auto" w:line="259" w:before="0" w:after="283"/>
              <w:jc w:val="left"/>
              <w:rPr/>
            </w:pPr>
            <w:hyperlink w:anchor="Item4_Controls">
              <w:r>
                <w:rPr>
                  <w:rStyle w:val="InternetLink"/>
                  <w:rFonts w:ascii="Times New Roman;serif" w:hAnsi="Times New Roman;serif"/>
                  <w:b w:val="false"/>
                  <w:i w:val="false"/>
                  <w:caps w:val="false"/>
                  <w:smallCaps w:val="false"/>
                  <w:color w:val="0563C1"/>
                  <w:sz w:val="23"/>
                  <w:u w:val="single"/>
                </w:rPr>
                <w:t>Item 4. Controls and Procedures</w:t>
              </w:r>
            </w:hyperlink>
          </w:p>
        </w:tc>
        <w:tc>
          <w:tcPr>
            <w:tcW w:w="5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3"/>
              </w:rPr>
            </w:pPr>
            <w:r>
              <w:rPr>
                <w:rFonts w:ascii="Times New Roman;serif" w:hAnsi="Times New Roman;serif"/>
                <w:b w:val="false"/>
                <w:i w:val="false"/>
                <w:caps w:val="false"/>
                <w:smallCaps w:val="false"/>
                <w:color w:val="000000"/>
                <w:sz w:val="23"/>
              </w:rPr>
              <w:t>48</w:t>
            </w:r>
          </w:p>
        </w:tc>
        <w:tc>
          <w:tcPr>
            <w:tcW w:w="154" w:type="dxa"/>
            <w:tcBorders/>
            <w:shd w:fill="CCEEFF" w:val="clear"/>
            <w:vAlign w:val="center"/>
          </w:tcPr>
          <w:p>
            <w:pPr>
              <w:pStyle w:val="TableContents"/>
              <w:bidi w:val="0"/>
              <w:spacing w:before="0" w:after="283"/>
              <w:jc w:val="left"/>
              <w:rPr>
                <w:sz w:val="4"/>
                <w:szCs w:val="4"/>
              </w:rPr>
            </w:pPr>
            <w:r>
              <w:rPr>
                <w:sz w:val="4"/>
                <w:szCs w:val="4"/>
              </w:rPr>
            </w:r>
          </w:p>
        </w:tc>
      </w:tr>
      <w:tr>
        <w:trPr/>
        <w:tc>
          <w:tcPr>
            <w:tcW w:w="10051" w:type="dxa"/>
            <w:gridSpan w:val="2"/>
            <w:tcBorders/>
            <w:vAlign w:val="center"/>
          </w:tcPr>
          <w:p>
            <w:pPr>
              <w:pStyle w:val="TableContents"/>
              <w:bidi w:val="0"/>
              <w:spacing w:lineRule="auto" w:line="259" w:before="0" w:after="283"/>
              <w:rPr>
                <w:caps w:val="false"/>
                <w:smallCaps w:val="false"/>
                <w:color w:val="000000"/>
              </w:rPr>
            </w:pPr>
            <w:r>
              <w:rPr>
                <w:caps w:val="false"/>
                <w:smallCaps w:val="false"/>
                <w:color w:val="000000"/>
              </w:rPr>
              <w:t>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51" w:type="dxa"/>
            <w:gridSpan w:val="2"/>
            <w:tcBorders/>
            <w:shd w:fill="CCEEFF" w:val="clear"/>
            <w:vAlign w:val="center"/>
          </w:tcPr>
          <w:p>
            <w:pPr>
              <w:pStyle w:val="TableContents"/>
              <w:bidi w:val="0"/>
              <w:spacing w:lineRule="auto" w:line="259" w:before="0" w:after="283"/>
              <w:rPr/>
            </w:pPr>
            <w:hyperlink w:anchor="PartII_Other">
              <w:r>
                <w:rPr>
                  <w:rStyle w:val="InternetLink"/>
                  <w:rFonts w:ascii="Times New Roman;serif" w:hAnsi="Times New Roman;serif"/>
                  <w:b w:val="false"/>
                  <w:i w:val="false"/>
                  <w:caps w:val="false"/>
                  <w:smallCaps w:val="false"/>
                  <w:color w:val="0563C1"/>
                  <w:sz w:val="23"/>
                  <w:u w:val="single"/>
                </w:rPr>
                <w:t>Part II – Other Information</w:t>
              </w:r>
            </w:hyperlink>
          </w:p>
        </w:tc>
        <w:tc>
          <w:tcPr>
            <w:tcW w:w="154" w:type="dxa"/>
            <w:tcBorders/>
            <w:shd w:fill="CCEEFF" w:val="clear"/>
            <w:vAlign w:val="center"/>
          </w:tcPr>
          <w:p>
            <w:pPr>
              <w:pStyle w:val="TableContents"/>
              <w:bidi w:val="0"/>
              <w:spacing w:before="0" w:after="283"/>
              <w:jc w:val="left"/>
              <w:rPr>
                <w:sz w:val="4"/>
                <w:szCs w:val="4"/>
              </w:rPr>
            </w:pPr>
            <w:r>
              <w:rPr>
                <w:sz w:val="4"/>
                <w:szCs w:val="4"/>
              </w:rPr>
            </w:r>
          </w:p>
        </w:tc>
      </w:tr>
      <w:tr>
        <w:trPr/>
        <w:tc>
          <w:tcPr>
            <w:tcW w:w="10051" w:type="dxa"/>
            <w:gridSpan w:val="2"/>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95" w:type="dxa"/>
            <w:tcBorders/>
            <w:shd w:fill="CCEEFF" w:val="clear"/>
            <w:vAlign w:val="center"/>
          </w:tcPr>
          <w:p>
            <w:pPr>
              <w:pStyle w:val="TableContents"/>
              <w:bidi w:val="0"/>
              <w:spacing w:lineRule="auto" w:line="259" w:before="0" w:after="283"/>
              <w:jc w:val="left"/>
              <w:rPr/>
            </w:pPr>
            <w:hyperlink w:anchor="Item1_Legal">
              <w:r>
                <w:rPr>
                  <w:rStyle w:val="InternetLink"/>
                  <w:rFonts w:ascii="Times New Roman;serif" w:hAnsi="Times New Roman;serif"/>
                  <w:b w:val="false"/>
                  <w:i w:val="false"/>
                  <w:caps w:val="false"/>
                  <w:smallCaps w:val="false"/>
                  <w:strike w:val="false"/>
                  <w:dstrike w:val="false"/>
                  <w:color w:val="0563C1"/>
                  <w:sz w:val="23"/>
                  <w:u w:val="single"/>
                  <w:effect w:val="none"/>
                </w:rPr>
                <w:t>Item 1. Legal Proceedings</w:t>
              </w:r>
            </w:hyperlink>
          </w:p>
        </w:tc>
        <w:tc>
          <w:tcPr>
            <w:tcW w:w="5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3"/>
              </w:rPr>
            </w:pPr>
            <w:r>
              <w:rPr>
                <w:rFonts w:ascii="Times New Roman;serif" w:hAnsi="Times New Roman;serif"/>
                <w:b w:val="false"/>
                <w:i w:val="false"/>
                <w:caps w:val="false"/>
                <w:smallCaps w:val="false"/>
                <w:color w:val="000000"/>
                <w:sz w:val="23"/>
              </w:rPr>
              <w:t>48</w:t>
            </w:r>
          </w:p>
        </w:tc>
        <w:tc>
          <w:tcPr>
            <w:tcW w:w="154" w:type="dxa"/>
            <w:tcBorders/>
            <w:shd w:fill="CCEEFF" w:val="clear"/>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95" w:type="dxa"/>
            <w:tcBorders/>
            <w:shd w:fill="CCEEFF" w:val="clear"/>
            <w:vAlign w:val="center"/>
          </w:tcPr>
          <w:p>
            <w:pPr>
              <w:pStyle w:val="TableContents"/>
              <w:bidi w:val="0"/>
              <w:spacing w:lineRule="auto" w:line="259" w:before="0" w:after="283"/>
              <w:jc w:val="left"/>
              <w:rPr/>
            </w:pPr>
            <w:hyperlink w:anchor="Item1A_RiskFactors">
              <w:r>
                <w:rPr>
                  <w:rStyle w:val="InternetLink"/>
                  <w:rFonts w:ascii="Times New Roman;serif" w:hAnsi="Times New Roman;serif"/>
                  <w:b w:val="false"/>
                  <w:i w:val="false"/>
                  <w:caps w:val="false"/>
                  <w:smallCaps w:val="false"/>
                  <w:strike w:val="false"/>
                  <w:dstrike w:val="false"/>
                  <w:color w:val="0563C1"/>
                  <w:sz w:val="23"/>
                  <w:u w:val="single"/>
                  <w:effect w:val="none"/>
                </w:rPr>
                <w:t>Item 1A. Risk Factors</w:t>
              </w:r>
            </w:hyperlink>
          </w:p>
        </w:tc>
        <w:tc>
          <w:tcPr>
            <w:tcW w:w="5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3"/>
              </w:rPr>
            </w:pPr>
            <w:r>
              <w:rPr>
                <w:rFonts w:ascii="Times New Roman;serif" w:hAnsi="Times New Roman;serif"/>
                <w:b w:val="false"/>
                <w:i w:val="false"/>
                <w:caps w:val="false"/>
                <w:smallCaps w:val="false"/>
                <w:color w:val="000000"/>
                <w:sz w:val="23"/>
              </w:rPr>
              <w:t>48</w:t>
            </w:r>
          </w:p>
        </w:tc>
        <w:tc>
          <w:tcPr>
            <w:tcW w:w="154" w:type="dxa"/>
            <w:tcBorders/>
            <w:shd w:fill="CCEEFF" w:val="clear"/>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95" w:type="dxa"/>
            <w:tcBorders/>
            <w:shd w:fill="CCEEFF" w:val="clear"/>
            <w:vAlign w:val="center"/>
          </w:tcPr>
          <w:p>
            <w:pPr>
              <w:pStyle w:val="TableContents"/>
              <w:bidi w:val="0"/>
              <w:spacing w:lineRule="auto" w:line="259" w:before="0" w:after="283"/>
              <w:jc w:val="left"/>
              <w:rPr/>
            </w:pPr>
            <w:hyperlink w:anchor="Item5_Other_Info">
              <w:r>
                <w:rPr>
                  <w:rStyle w:val="InternetLink"/>
                  <w:rFonts w:ascii="Times New Roman;serif" w:hAnsi="Times New Roman;serif"/>
                  <w:b w:val="false"/>
                  <w:i w:val="false"/>
                  <w:caps w:val="false"/>
                  <w:smallCaps w:val="false"/>
                  <w:strike w:val="false"/>
                  <w:dstrike w:val="false"/>
                  <w:color w:val="0563C1"/>
                  <w:sz w:val="23"/>
                  <w:u w:val="single"/>
                  <w:effect w:val="none"/>
                </w:rPr>
                <w:t>Item 5. Other Information</w:t>
              </w:r>
            </w:hyperlink>
          </w:p>
        </w:tc>
        <w:tc>
          <w:tcPr>
            <w:tcW w:w="5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3"/>
              </w:rPr>
            </w:pPr>
            <w:r>
              <w:rPr>
                <w:rFonts w:ascii="Times New Roman;serif" w:hAnsi="Times New Roman;serif"/>
                <w:b w:val="false"/>
                <w:i w:val="false"/>
                <w:caps w:val="false"/>
                <w:smallCaps w:val="false"/>
                <w:color w:val="000000"/>
                <w:sz w:val="23"/>
              </w:rPr>
              <w:t>48</w:t>
            </w:r>
          </w:p>
        </w:tc>
        <w:tc>
          <w:tcPr>
            <w:tcW w:w="154" w:type="dxa"/>
            <w:tcBorders/>
            <w:shd w:fill="CCEEFF" w:val="clear"/>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95" w:type="dxa"/>
            <w:tcBorders/>
            <w:shd w:fill="CCEEFF" w:val="clear"/>
            <w:vAlign w:val="center"/>
          </w:tcPr>
          <w:p>
            <w:pPr>
              <w:pStyle w:val="TableContents"/>
              <w:bidi w:val="0"/>
              <w:spacing w:lineRule="auto" w:line="259" w:before="0" w:after="283"/>
              <w:jc w:val="left"/>
              <w:rPr/>
            </w:pPr>
            <w:hyperlink w:anchor="Item6_Exhibits">
              <w:r>
                <w:rPr>
                  <w:rStyle w:val="InternetLink"/>
                  <w:rFonts w:ascii="Times New Roman;serif" w:hAnsi="Times New Roman;serif"/>
                  <w:b w:val="false"/>
                  <w:i w:val="false"/>
                  <w:caps w:val="false"/>
                  <w:smallCaps w:val="false"/>
                  <w:strike w:val="false"/>
                  <w:dstrike w:val="false"/>
                  <w:color w:val="0563C1"/>
                  <w:sz w:val="23"/>
                  <w:u w:val="single"/>
                  <w:effect w:val="none"/>
                </w:rPr>
                <w:t>Item 6. Exhibits</w:t>
              </w:r>
            </w:hyperlink>
          </w:p>
        </w:tc>
        <w:tc>
          <w:tcPr>
            <w:tcW w:w="5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3"/>
              </w:rPr>
            </w:pPr>
            <w:r>
              <w:rPr>
                <w:rFonts w:ascii="Times New Roman;serif" w:hAnsi="Times New Roman;serif"/>
                <w:b w:val="false"/>
                <w:i w:val="false"/>
                <w:caps w:val="false"/>
                <w:smallCaps w:val="false"/>
                <w:color w:val="000000"/>
                <w:sz w:val="23"/>
              </w:rPr>
              <w:t>49</w:t>
            </w:r>
          </w:p>
        </w:tc>
        <w:tc>
          <w:tcPr>
            <w:tcW w:w="154" w:type="dxa"/>
            <w:tcBorders/>
            <w:shd w:fill="CCEEFF" w:val="clear"/>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95" w:type="dxa"/>
            <w:tcBorders/>
            <w:shd w:fill="CCEEFF" w:val="clear"/>
            <w:vAlign w:val="center"/>
          </w:tcPr>
          <w:p>
            <w:pPr>
              <w:pStyle w:val="TableContents"/>
              <w:bidi w:val="0"/>
              <w:spacing w:lineRule="auto" w:line="259" w:before="0" w:after="283"/>
              <w:jc w:val="left"/>
              <w:rPr/>
            </w:pPr>
            <w:hyperlink w:anchor="Signatures">
              <w:r>
                <w:rPr>
                  <w:rStyle w:val="InternetLink"/>
                  <w:rFonts w:ascii="Times New Roman;serif" w:hAnsi="Times New Roman;serif"/>
                  <w:b w:val="false"/>
                  <w:i w:val="false"/>
                  <w:caps w:val="false"/>
                  <w:smallCaps w:val="false"/>
                  <w:strike w:val="false"/>
                  <w:dstrike w:val="false"/>
                  <w:color w:val="0563C1"/>
                  <w:sz w:val="23"/>
                  <w:u w:val="single"/>
                  <w:effect w:val="none"/>
                </w:rPr>
                <w:t>Signatures</w:t>
              </w:r>
            </w:hyperlink>
          </w:p>
        </w:tc>
        <w:tc>
          <w:tcPr>
            <w:tcW w:w="5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3"/>
              </w:rPr>
            </w:pPr>
            <w:r>
              <w:rPr>
                <w:rFonts w:ascii="Times New Roman;serif" w:hAnsi="Times New Roman;serif"/>
                <w:b w:val="false"/>
                <w:i w:val="false"/>
                <w:caps w:val="false"/>
                <w:smallCaps w:val="false"/>
                <w:color w:val="000000"/>
                <w:sz w:val="23"/>
              </w:rPr>
              <w:t>50</w:t>
            </w:r>
          </w:p>
        </w:tc>
        <w:tc>
          <w:tcPr>
            <w:tcW w:w="154"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1</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563C1"/>
            <w:sz w:val="24"/>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ESSENTIAL UTILITIES, INC. AND SUBSIDIARIES </w:t>
      </w:r>
    </w:p>
    <w:p>
      <w:pPr>
        <w:pStyle w:val="TextBody"/>
        <w:bidi w:val="0"/>
        <w:spacing w:lineRule="auto" w:line="192"/>
        <w:rPr>
          <w:rFonts w:ascii="Times New Roman;serif" w:hAnsi="Times New Roman;serif"/>
          <w:sz w:val="24"/>
        </w:rPr>
      </w:pPr>
      <w:r>
        <w:rPr>
          <w:rFonts w:ascii="Times New Roman;serif" w:hAnsi="Times New Roman;serif"/>
          <w:b w:val="false"/>
          <w:i w:val="false"/>
          <w:caps w:val="false"/>
          <w:smallCaps w:val="false"/>
          <w:color w:val="000000"/>
          <w:spacing w:val="0"/>
          <w:sz w:val="24"/>
        </w:rPr>
        <w:t>CONDENSED CO</w:t>
      </w:r>
      <w:bookmarkStart w:id="3" w:name="PartI_FinancialInfo"/>
      <w:bookmarkEnd w:id="3"/>
      <w:r>
        <w:rPr>
          <w:rFonts w:ascii="Times New Roman;serif" w:hAnsi="Times New Roman;serif"/>
          <w:b w:val="false"/>
          <w:i w:val="false"/>
          <w:caps w:val="false"/>
          <w:smallCaps w:val="false"/>
          <w:color w:val="000000"/>
          <w:spacing w:val="0"/>
          <w:sz w:val="24"/>
        </w:rPr>
        <w:t>NS</w:t>
      </w:r>
      <w:bookmarkStart w:id="4" w:name="Item1_Financial"/>
      <w:bookmarkEnd w:id="4"/>
      <w:r>
        <w:rPr>
          <w:rFonts w:ascii="Times New Roman;serif" w:hAnsi="Times New Roman;serif"/>
          <w:b w:val="false"/>
          <w:i w:val="false"/>
          <w:caps w:val="false"/>
          <w:smallCaps w:val="false"/>
          <w:color w:val="000000"/>
          <w:spacing w:val="0"/>
          <w:sz w:val="24"/>
        </w:rPr>
        <w:t>OLIDATED BALANCE SHEETS </w:t>
      </w:r>
    </w:p>
    <w:p>
      <w:pPr>
        <w:pStyle w:val="TextBody"/>
        <w:bidi w:val="0"/>
        <w:spacing w:lineRule="auto" w:line="192"/>
        <w:rPr>
          <w:rFonts w:ascii="Times New Roman;serif" w:hAnsi="Times New Roman;serif"/>
          <w:b w:val="false"/>
          <w:i w:val="false"/>
          <w:caps w:val="false"/>
          <w:smallCaps w:val="false"/>
          <w:color w:val="000000"/>
          <w:spacing w:val="0"/>
          <w:sz w:val="24"/>
        </w:rPr>
      </w:pPr>
      <w:r>
        <w:rPr>
          <w:rFonts w:ascii="Times New Roman;serif" w:hAnsi="Times New Roman;serif"/>
          <w:b w:val="false"/>
          <w:i w:val="false"/>
          <w:caps w:val="false"/>
          <w:smallCaps w:val="false"/>
          <w:color w:val="000000"/>
          <w:spacing w:val="0"/>
          <w:sz w:val="24"/>
        </w:rPr>
        <w:t>(In thousands of dollars, except per share amounts) </w:t>
      </w:r>
    </w:p>
    <w:p>
      <w:pPr>
        <w:pStyle w:val="TextBody"/>
        <w:bidi w:val="0"/>
        <w:spacing w:lineRule="auto" w:line="259"/>
        <w:rPr>
          <w:rFonts w:ascii="Times New Roman;serif" w:hAnsi="Times New Roman;serif"/>
          <w:b w:val="false"/>
          <w:i w:val="false"/>
          <w:caps w:val="false"/>
          <w:smallCaps w:val="false"/>
          <w:color w:val="000000"/>
          <w:spacing w:val="0"/>
          <w:sz w:val="24"/>
        </w:rPr>
      </w:pPr>
      <w:r>
        <w:rPr>
          <w:rFonts w:ascii="Times New Roman;serif" w:hAnsi="Times New Roman;serif"/>
          <w:b w:val="false"/>
          <w:i w:val="false"/>
          <w:caps w:val="false"/>
          <w:smallCaps w:val="false"/>
          <w:color w:val="000000"/>
          <w:spacing w:val="0"/>
          <w:sz w:val="24"/>
        </w:rPr>
        <w:t>(UNAUDITED)</w:t>
      </w:r>
    </w:p>
    <w:p>
      <w:pPr>
        <w:pStyle w:val="TextBody"/>
        <w:bidi w:val="0"/>
        <w:spacing w:lineRule="auto" w:line="192"/>
        <w:rPr>
          <w:caps w:val="false"/>
          <w:smallCaps w:val="false"/>
          <w:color w:val="000000"/>
        </w:rPr>
      </w:pPr>
      <w:r>
        <w:rPr>
          <w:caps w:val="false"/>
          <w:smallCaps w:val="false"/>
          <w:color w:val="000000"/>
        </w:rPr>
        <w:t> </w:t>
      </w:r>
      <w:bookmarkStart w:id="5" w:name="BalanceSheet"/>
      <w:bookmarkEnd w:id="5"/>
    </w:p>
    <w:tbl>
      <w:tblPr>
        <w:tblW w:w="7198" w:type="dxa"/>
        <w:jc w:val="left"/>
        <w:tblInd w:w="0" w:type="dxa"/>
        <w:tblLayout w:type="fixed"/>
        <w:tblCellMar>
          <w:top w:w="0" w:type="dxa"/>
          <w:left w:w="0" w:type="dxa"/>
          <w:bottom w:w="0" w:type="dxa"/>
          <w:right w:w="0" w:type="dxa"/>
        </w:tblCellMar>
      </w:tblPr>
      <w:tblGrid>
        <w:gridCol w:w="3930"/>
        <w:gridCol w:w="125"/>
        <w:gridCol w:w="242"/>
        <w:gridCol w:w="1241"/>
        <w:gridCol w:w="125"/>
        <w:gridCol w:w="242"/>
        <w:gridCol w:w="1293"/>
      </w:tblGrid>
      <w:tr>
        <w:trPr/>
        <w:tc>
          <w:tcPr>
            <w:tcW w:w="393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r>
      <w:tr>
        <w:trPr/>
        <w:tc>
          <w:tcPr>
            <w:tcW w:w="393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483"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June 30,</w:t>
            </w:r>
          </w:p>
        </w:tc>
        <w:tc>
          <w:tcPr>
            <w:tcW w:w="125" w:type="dxa"/>
            <w:tcBorders/>
            <w:vAlign w:val="center"/>
          </w:tcPr>
          <w:p>
            <w:pPr>
              <w:pStyle w:val="TableContents"/>
              <w:bidi w:val="0"/>
              <w:spacing w:before="0" w:after="283"/>
              <w:jc w:val="left"/>
              <w:rPr>
                <w:sz w:val="4"/>
                <w:szCs w:val="4"/>
              </w:rPr>
            </w:pPr>
            <w:r>
              <w:rPr>
                <w:sz w:val="4"/>
                <w:szCs w:val="4"/>
              </w:rPr>
            </w:r>
          </w:p>
        </w:tc>
        <w:tc>
          <w:tcPr>
            <w:tcW w:w="1535"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December 31,</w:t>
            </w:r>
          </w:p>
        </w:tc>
      </w:tr>
      <w:tr>
        <w:trPr/>
        <w:tc>
          <w:tcPr>
            <w:tcW w:w="393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Assets</w:t>
            </w:r>
          </w:p>
        </w:tc>
        <w:tc>
          <w:tcPr>
            <w:tcW w:w="125" w:type="dxa"/>
            <w:tcBorders/>
            <w:vAlign w:val="center"/>
          </w:tcPr>
          <w:p>
            <w:pPr>
              <w:pStyle w:val="TableContents"/>
              <w:bidi w:val="0"/>
              <w:spacing w:before="0" w:after="283"/>
              <w:jc w:val="left"/>
              <w:rPr>
                <w:sz w:val="4"/>
                <w:szCs w:val="4"/>
              </w:rPr>
            </w:pPr>
            <w:r>
              <w:rPr>
                <w:sz w:val="4"/>
                <w:szCs w:val="4"/>
              </w:rPr>
            </w:r>
          </w:p>
        </w:tc>
        <w:tc>
          <w:tcPr>
            <w:tcW w:w="1483"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2026</w:t>
            </w:r>
          </w:p>
        </w:tc>
        <w:tc>
          <w:tcPr>
            <w:tcW w:w="125" w:type="dxa"/>
            <w:tcBorders/>
            <w:vAlign w:val="center"/>
          </w:tcPr>
          <w:p>
            <w:pPr>
              <w:pStyle w:val="TableContents"/>
              <w:bidi w:val="0"/>
              <w:spacing w:before="0" w:after="283"/>
              <w:jc w:val="left"/>
              <w:rPr>
                <w:sz w:val="4"/>
                <w:szCs w:val="4"/>
              </w:rPr>
            </w:pPr>
            <w:r>
              <w:rPr>
                <w:sz w:val="4"/>
                <w:szCs w:val="4"/>
              </w:rPr>
            </w:r>
          </w:p>
        </w:tc>
        <w:tc>
          <w:tcPr>
            <w:tcW w:w="1535"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2025</w:t>
            </w:r>
          </w:p>
        </w:tc>
      </w:tr>
      <w:tr>
        <w:trPr/>
        <w:tc>
          <w:tcPr>
            <w:tcW w:w="393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Property, plant and equipment, at cost</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24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18,362,682</w:t>
            </w:r>
            <w:r>
              <w:rPr>
                <w:rFonts w:ascii="Times New Roman;serif" w:hAnsi="Times New Roman;serif"/>
                <w:caps w:val="false"/>
                <w:smallCaps w:val="false"/>
                <w:color w:val="000000"/>
                <w:sz w:val="20"/>
              </w:rPr>
              <w:t> </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29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17,690,717</w:t>
            </w:r>
            <w:r>
              <w:rPr>
                <w:rFonts w:ascii="Times New Roman;serif" w:hAnsi="Times New Roman;serif"/>
                <w:caps w:val="false"/>
                <w:smallCaps w:val="false"/>
                <w:color w:val="000000"/>
                <w:sz w:val="20"/>
              </w:rPr>
              <w:t> </w:t>
            </w:r>
          </w:p>
        </w:tc>
      </w:tr>
      <w:tr>
        <w:trPr/>
        <w:tc>
          <w:tcPr>
            <w:tcW w:w="393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accumulated depreciation</w:t>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4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3,616,425</w:t>
            </w:r>
            <w:r>
              <w:rPr>
                <w:rFonts w:ascii="Times New Roman;serif" w:hAnsi="Times New Roman;serif"/>
                <w:caps w:val="false"/>
                <w:smallCaps w:val="false"/>
                <w:color w:val="000000"/>
                <w:sz w:val="20"/>
              </w:rPr>
              <w:t> </w:t>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9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3,427,035</w:t>
            </w:r>
            <w:r>
              <w:rPr>
                <w:rFonts w:ascii="Times New Roman;serif" w:hAnsi="Times New Roman;serif"/>
                <w:caps w:val="false"/>
                <w:smallCaps w:val="false"/>
                <w:color w:val="000000"/>
                <w:sz w:val="20"/>
              </w:rPr>
              <w:t> </w:t>
            </w:r>
          </w:p>
        </w:tc>
      </w:tr>
      <w:tr>
        <w:trPr/>
        <w:tc>
          <w:tcPr>
            <w:tcW w:w="393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property, plant and equipment</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24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14,746,257</w:t>
            </w:r>
            <w:r>
              <w:rPr>
                <w:rFonts w:ascii="Times New Roman;serif" w:hAnsi="Times New Roman;serif"/>
                <w:caps w:val="false"/>
                <w:smallCaps w:val="false"/>
                <w:color w:val="000000"/>
                <w:sz w:val="20"/>
              </w:rPr>
              <w:t> </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29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14,263,682</w:t>
            </w:r>
            <w:r>
              <w:rPr>
                <w:rFonts w:ascii="Times New Roman;serif" w:hAnsi="Times New Roman;serif"/>
                <w:caps w:val="false"/>
                <w:smallCaps w:val="false"/>
                <w:color w:val="000000"/>
                <w:sz w:val="20"/>
              </w:rPr>
              <w:t> </w:t>
            </w:r>
          </w:p>
        </w:tc>
      </w:tr>
      <w:tr>
        <w:trPr/>
        <w:tc>
          <w:tcPr>
            <w:tcW w:w="393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24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29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393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Current assets:</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242" w:type="dxa"/>
            <w:tcBorders/>
            <w:shd w:fill="CCEEFF" w:val="clear"/>
            <w:vAlign w:val="center"/>
          </w:tcPr>
          <w:p>
            <w:pPr>
              <w:pStyle w:val="TableContents"/>
              <w:bidi w:val="0"/>
              <w:spacing w:before="0" w:after="283"/>
              <w:jc w:val="left"/>
              <w:rPr>
                <w:sz w:val="4"/>
                <w:szCs w:val="4"/>
              </w:rPr>
            </w:pPr>
            <w:r>
              <w:rPr>
                <w:sz w:val="4"/>
                <w:szCs w:val="4"/>
              </w:rPr>
            </w:r>
          </w:p>
        </w:tc>
        <w:tc>
          <w:tcPr>
            <w:tcW w:w="1241" w:type="dxa"/>
            <w:tcBorders/>
            <w:shd w:fill="CCEEFF" w:val="clear"/>
            <w:vAlign w:val="center"/>
          </w:tcPr>
          <w:p>
            <w:pPr>
              <w:pStyle w:val="TableContents"/>
              <w:bidi w:val="0"/>
              <w:spacing w:before="0" w:after="283"/>
              <w:jc w:val="left"/>
              <w:rPr>
                <w:sz w:val="4"/>
                <w:szCs w:val="4"/>
              </w:rPr>
            </w:pPr>
            <w:r>
              <w:rPr>
                <w:sz w:val="4"/>
                <w:szCs w:val="4"/>
              </w:rPr>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242" w:type="dxa"/>
            <w:tcBorders/>
            <w:shd w:fill="CCEEFF" w:val="clear"/>
            <w:vAlign w:val="center"/>
          </w:tcPr>
          <w:p>
            <w:pPr>
              <w:pStyle w:val="TableContents"/>
              <w:bidi w:val="0"/>
              <w:spacing w:before="0" w:after="283"/>
              <w:jc w:val="left"/>
              <w:rPr>
                <w:sz w:val="4"/>
                <w:szCs w:val="4"/>
              </w:rPr>
            </w:pPr>
            <w:r>
              <w:rPr>
                <w:sz w:val="4"/>
                <w:szCs w:val="4"/>
              </w:rPr>
            </w:r>
          </w:p>
        </w:tc>
        <w:tc>
          <w:tcPr>
            <w:tcW w:w="1293" w:type="dxa"/>
            <w:tcBorders/>
            <w:shd w:fill="CCEEFF" w:val="clear"/>
            <w:vAlign w:val="center"/>
          </w:tcPr>
          <w:p>
            <w:pPr>
              <w:pStyle w:val="TableContents"/>
              <w:bidi w:val="0"/>
              <w:spacing w:before="0" w:after="283"/>
              <w:jc w:val="left"/>
              <w:rPr>
                <w:sz w:val="4"/>
                <w:szCs w:val="4"/>
              </w:rPr>
            </w:pPr>
            <w:r>
              <w:rPr>
                <w:sz w:val="4"/>
                <w:szCs w:val="4"/>
              </w:rPr>
            </w:r>
          </w:p>
        </w:tc>
      </w:tr>
      <w:tr>
        <w:trPr/>
        <w:tc>
          <w:tcPr>
            <w:tcW w:w="393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Cash and cash equivalents</w:t>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8,634</w:t>
            </w:r>
            <w:r>
              <w:rPr>
                <w:rFonts w:ascii="Times New Roman;serif" w:hAnsi="Times New Roman;serif"/>
                <w:caps w:val="false"/>
                <w:smallCaps w:val="false"/>
                <w:color w:val="000000"/>
                <w:sz w:val="20"/>
              </w:rPr>
              <w:t> </w:t>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34,778</w:t>
            </w:r>
            <w:r>
              <w:rPr>
                <w:rFonts w:ascii="Times New Roman;serif" w:hAnsi="Times New Roman;serif"/>
                <w:caps w:val="false"/>
                <w:smallCaps w:val="false"/>
                <w:color w:val="000000"/>
                <w:sz w:val="20"/>
              </w:rPr>
              <w:t> </w:t>
            </w:r>
          </w:p>
        </w:tc>
      </w:tr>
      <w:tr>
        <w:trPr/>
        <w:tc>
          <w:tcPr>
            <w:tcW w:w="393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Accounts receivable, net</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242" w:type="dxa"/>
            <w:tcBorders/>
            <w:shd w:fill="CCEEFF" w:val="clear"/>
            <w:vAlign w:val="center"/>
          </w:tcPr>
          <w:p>
            <w:pPr>
              <w:pStyle w:val="TableContents"/>
              <w:bidi w:val="0"/>
              <w:spacing w:before="0" w:after="283"/>
              <w:jc w:val="left"/>
              <w:rPr>
                <w:sz w:val="4"/>
                <w:szCs w:val="4"/>
              </w:rPr>
            </w:pPr>
            <w:r>
              <w:rPr>
                <w:sz w:val="4"/>
                <w:szCs w:val="4"/>
              </w:rPr>
            </w:r>
          </w:p>
        </w:tc>
        <w:tc>
          <w:tcPr>
            <w:tcW w:w="1241" w:type="dxa"/>
            <w:tcBorders/>
            <w:shd w:fill="CCEEFF" w:val="cle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207,802</w:t>
            </w:r>
            <w:r>
              <w:rPr>
                <w:rFonts w:ascii="Times New Roman;serif" w:hAnsi="Times New Roman;serif"/>
                <w:caps w:val="false"/>
                <w:smallCaps w:val="false"/>
                <w:color w:val="000000"/>
                <w:sz w:val="20"/>
              </w:rPr>
              <w:t> </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242" w:type="dxa"/>
            <w:tcBorders/>
            <w:shd w:fill="CCEEFF" w:val="clear"/>
            <w:vAlign w:val="center"/>
          </w:tcPr>
          <w:p>
            <w:pPr>
              <w:pStyle w:val="TableContents"/>
              <w:bidi w:val="0"/>
              <w:spacing w:before="0" w:after="283"/>
              <w:jc w:val="left"/>
              <w:rPr>
                <w:sz w:val="4"/>
                <w:szCs w:val="4"/>
              </w:rPr>
            </w:pPr>
            <w:r>
              <w:rPr>
                <w:sz w:val="4"/>
                <w:szCs w:val="4"/>
              </w:rPr>
            </w:r>
          </w:p>
        </w:tc>
        <w:tc>
          <w:tcPr>
            <w:tcW w:w="1293" w:type="dxa"/>
            <w:tcBorders/>
            <w:shd w:fill="CCEEFF" w:val="cle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217,191</w:t>
            </w:r>
            <w:r>
              <w:rPr>
                <w:rFonts w:ascii="Times New Roman;serif" w:hAnsi="Times New Roman;serif"/>
                <w:caps w:val="false"/>
                <w:smallCaps w:val="false"/>
                <w:color w:val="000000"/>
                <w:sz w:val="20"/>
              </w:rPr>
              <w:t> </w:t>
            </w:r>
          </w:p>
        </w:tc>
      </w:tr>
      <w:tr>
        <w:trPr/>
        <w:tc>
          <w:tcPr>
            <w:tcW w:w="393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Unbilled revenues</w:t>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97,741</w:t>
            </w:r>
            <w:r>
              <w:rPr>
                <w:rFonts w:ascii="Times New Roman;serif" w:hAnsi="Times New Roman;serif"/>
                <w:caps w:val="false"/>
                <w:smallCaps w:val="false"/>
                <w:color w:val="000000"/>
                <w:sz w:val="20"/>
              </w:rPr>
              <w:t> </w:t>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167,085</w:t>
            </w:r>
            <w:r>
              <w:rPr>
                <w:rFonts w:ascii="Times New Roman;serif" w:hAnsi="Times New Roman;serif"/>
                <w:caps w:val="false"/>
                <w:smallCaps w:val="false"/>
                <w:color w:val="000000"/>
                <w:sz w:val="20"/>
              </w:rPr>
              <w:t> </w:t>
            </w:r>
          </w:p>
        </w:tc>
      </w:tr>
      <w:tr>
        <w:trPr/>
        <w:tc>
          <w:tcPr>
            <w:tcW w:w="393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Inventory - materials and supplies</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242" w:type="dxa"/>
            <w:tcBorders/>
            <w:shd w:fill="CCEEFF" w:val="clear"/>
            <w:vAlign w:val="center"/>
          </w:tcPr>
          <w:p>
            <w:pPr>
              <w:pStyle w:val="TableContents"/>
              <w:bidi w:val="0"/>
              <w:spacing w:before="0" w:after="283"/>
              <w:jc w:val="left"/>
              <w:rPr>
                <w:sz w:val="4"/>
                <w:szCs w:val="4"/>
              </w:rPr>
            </w:pPr>
            <w:r>
              <w:rPr>
                <w:sz w:val="4"/>
                <w:szCs w:val="4"/>
              </w:rPr>
            </w:r>
          </w:p>
        </w:tc>
        <w:tc>
          <w:tcPr>
            <w:tcW w:w="1241" w:type="dxa"/>
            <w:tcBorders/>
            <w:shd w:fill="CCEEFF" w:val="cle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55,838</w:t>
            </w:r>
            <w:r>
              <w:rPr>
                <w:rFonts w:ascii="Times New Roman;serif" w:hAnsi="Times New Roman;serif"/>
                <w:caps w:val="false"/>
                <w:smallCaps w:val="false"/>
                <w:color w:val="000000"/>
                <w:sz w:val="20"/>
              </w:rPr>
              <w:t> </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242" w:type="dxa"/>
            <w:tcBorders/>
            <w:shd w:fill="CCEEFF" w:val="clear"/>
            <w:vAlign w:val="center"/>
          </w:tcPr>
          <w:p>
            <w:pPr>
              <w:pStyle w:val="TableContents"/>
              <w:bidi w:val="0"/>
              <w:spacing w:before="0" w:after="283"/>
              <w:jc w:val="left"/>
              <w:rPr>
                <w:sz w:val="4"/>
                <w:szCs w:val="4"/>
              </w:rPr>
            </w:pPr>
            <w:r>
              <w:rPr>
                <w:sz w:val="4"/>
                <w:szCs w:val="4"/>
              </w:rPr>
            </w:r>
          </w:p>
        </w:tc>
        <w:tc>
          <w:tcPr>
            <w:tcW w:w="1293" w:type="dxa"/>
            <w:tcBorders/>
            <w:shd w:fill="CCEEFF" w:val="cle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51,767</w:t>
            </w:r>
            <w:r>
              <w:rPr>
                <w:rFonts w:ascii="Times New Roman;serif" w:hAnsi="Times New Roman;serif"/>
                <w:caps w:val="false"/>
                <w:smallCaps w:val="false"/>
                <w:color w:val="000000"/>
                <w:sz w:val="20"/>
              </w:rPr>
              <w:t> </w:t>
            </w:r>
          </w:p>
        </w:tc>
      </w:tr>
      <w:tr>
        <w:trPr/>
        <w:tc>
          <w:tcPr>
            <w:tcW w:w="393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Inventory - gas stored</w:t>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39,875</w:t>
            </w:r>
            <w:r>
              <w:rPr>
                <w:rFonts w:ascii="Times New Roman;serif" w:hAnsi="Times New Roman;serif"/>
                <w:caps w:val="false"/>
                <w:smallCaps w:val="false"/>
                <w:color w:val="000000"/>
                <w:sz w:val="20"/>
              </w:rPr>
              <w:t> </w:t>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60,686</w:t>
            </w:r>
            <w:r>
              <w:rPr>
                <w:rFonts w:ascii="Times New Roman;serif" w:hAnsi="Times New Roman;serif"/>
                <w:caps w:val="false"/>
                <w:smallCaps w:val="false"/>
                <w:color w:val="000000"/>
                <w:sz w:val="20"/>
              </w:rPr>
              <w:t> </w:t>
            </w:r>
          </w:p>
        </w:tc>
      </w:tr>
      <w:tr>
        <w:trPr/>
        <w:tc>
          <w:tcPr>
            <w:tcW w:w="393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Prepayments and other current assets</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242" w:type="dxa"/>
            <w:tcBorders/>
            <w:shd w:fill="CCEEFF" w:val="clear"/>
            <w:vAlign w:val="center"/>
          </w:tcPr>
          <w:p>
            <w:pPr>
              <w:pStyle w:val="TableContents"/>
              <w:bidi w:val="0"/>
              <w:spacing w:before="0" w:after="283"/>
              <w:jc w:val="left"/>
              <w:rPr>
                <w:sz w:val="4"/>
                <w:szCs w:val="4"/>
              </w:rPr>
            </w:pPr>
            <w:r>
              <w:rPr>
                <w:sz w:val="4"/>
                <w:szCs w:val="4"/>
              </w:rPr>
            </w:r>
          </w:p>
        </w:tc>
        <w:tc>
          <w:tcPr>
            <w:tcW w:w="1241" w:type="dxa"/>
            <w:tcBorders/>
            <w:shd w:fill="CCEEFF" w:val="cle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33,504</w:t>
            </w:r>
            <w:r>
              <w:rPr>
                <w:rFonts w:ascii="Times New Roman;serif" w:hAnsi="Times New Roman;serif"/>
                <w:caps w:val="false"/>
                <w:smallCaps w:val="false"/>
                <w:color w:val="000000"/>
                <w:sz w:val="20"/>
              </w:rPr>
              <w:t> </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242" w:type="dxa"/>
            <w:tcBorders/>
            <w:shd w:fill="CCEEFF" w:val="clear"/>
            <w:vAlign w:val="center"/>
          </w:tcPr>
          <w:p>
            <w:pPr>
              <w:pStyle w:val="TableContents"/>
              <w:bidi w:val="0"/>
              <w:spacing w:before="0" w:after="283"/>
              <w:jc w:val="left"/>
              <w:rPr>
                <w:sz w:val="4"/>
                <w:szCs w:val="4"/>
              </w:rPr>
            </w:pPr>
            <w:r>
              <w:rPr>
                <w:sz w:val="4"/>
                <w:szCs w:val="4"/>
              </w:rPr>
            </w:r>
          </w:p>
        </w:tc>
        <w:tc>
          <w:tcPr>
            <w:tcW w:w="1293" w:type="dxa"/>
            <w:tcBorders/>
            <w:shd w:fill="CCEEFF" w:val="cle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59,110</w:t>
            </w:r>
            <w:r>
              <w:rPr>
                <w:rFonts w:ascii="Times New Roman;serif" w:hAnsi="Times New Roman;serif"/>
                <w:caps w:val="false"/>
                <w:smallCaps w:val="false"/>
                <w:color w:val="000000"/>
                <w:sz w:val="20"/>
              </w:rPr>
              <w:t> </w:t>
            </w:r>
          </w:p>
        </w:tc>
      </w:tr>
      <w:tr>
        <w:trPr/>
        <w:tc>
          <w:tcPr>
            <w:tcW w:w="393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Regulatory assets</w:t>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4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21,915</w:t>
            </w:r>
            <w:r>
              <w:rPr>
                <w:rFonts w:ascii="Times New Roman;serif" w:hAnsi="Times New Roman;serif"/>
                <w:caps w:val="false"/>
                <w:smallCaps w:val="false"/>
                <w:color w:val="000000"/>
                <w:sz w:val="20"/>
              </w:rPr>
              <w:t> </w:t>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9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19,779</w:t>
            </w:r>
            <w:r>
              <w:rPr>
                <w:rFonts w:ascii="Times New Roman;serif" w:hAnsi="Times New Roman;serif"/>
                <w:caps w:val="false"/>
                <w:smallCaps w:val="false"/>
                <w:color w:val="000000"/>
                <w:sz w:val="20"/>
              </w:rPr>
              <w:t> </w:t>
            </w:r>
          </w:p>
        </w:tc>
      </w:tr>
      <w:tr>
        <w:trPr/>
        <w:tc>
          <w:tcPr>
            <w:tcW w:w="393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current assets</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24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465,309</w:t>
            </w:r>
            <w:r>
              <w:rPr>
                <w:rFonts w:ascii="Times New Roman;serif" w:hAnsi="Times New Roman;serif"/>
                <w:caps w:val="false"/>
                <w:smallCaps w:val="false"/>
                <w:color w:val="000000"/>
                <w:sz w:val="20"/>
              </w:rPr>
              <w:t> </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29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610,396</w:t>
            </w:r>
            <w:r>
              <w:rPr>
                <w:rFonts w:ascii="Times New Roman;serif" w:hAnsi="Times New Roman;serif"/>
                <w:caps w:val="false"/>
                <w:smallCaps w:val="false"/>
                <w:color w:val="000000"/>
                <w:sz w:val="20"/>
              </w:rPr>
              <w:t> </w:t>
            </w:r>
          </w:p>
        </w:tc>
      </w:tr>
      <w:tr>
        <w:trPr/>
        <w:tc>
          <w:tcPr>
            <w:tcW w:w="393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24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29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393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Regulatory assets</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242" w:type="dxa"/>
            <w:tcBorders/>
            <w:shd w:fill="CCEEFF" w:val="clear"/>
            <w:vAlign w:val="center"/>
          </w:tcPr>
          <w:p>
            <w:pPr>
              <w:pStyle w:val="TableContents"/>
              <w:bidi w:val="0"/>
              <w:spacing w:before="0" w:after="283"/>
              <w:jc w:val="left"/>
              <w:rPr>
                <w:sz w:val="4"/>
                <w:szCs w:val="4"/>
              </w:rPr>
            </w:pPr>
            <w:r>
              <w:rPr>
                <w:sz w:val="4"/>
                <w:szCs w:val="4"/>
              </w:rPr>
            </w:r>
          </w:p>
        </w:tc>
        <w:tc>
          <w:tcPr>
            <w:tcW w:w="1241" w:type="dxa"/>
            <w:tcBorders/>
            <w:shd w:fill="CCEEFF" w:val="cle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2,226,549</w:t>
            </w:r>
            <w:r>
              <w:rPr>
                <w:rFonts w:ascii="Times New Roman;serif" w:hAnsi="Times New Roman;serif"/>
                <w:caps w:val="false"/>
                <w:smallCaps w:val="false"/>
                <w:color w:val="000000"/>
                <w:sz w:val="20"/>
              </w:rPr>
              <w:t> </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242" w:type="dxa"/>
            <w:tcBorders/>
            <w:shd w:fill="CCEEFF" w:val="clear"/>
            <w:vAlign w:val="center"/>
          </w:tcPr>
          <w:p>
            <w:pPr>
              <w:pStyle w:val="TableContents"/>
              <w:bidi w:val="0"/>
              <w:spacing w:before="0" w:after="283"/>
              <w:jc w:val="left"/>
              <w:rPr>
                <w:sz w:val="4"/>
                <w:szCs w:val="4"/>
              </w:rPr>
            </w:pPr>
            <w:r>
              <w:rPr>
                <w:sz w:val="4"/>
                <w:szCs w:val="4"/>
              </w:rPr>
            </w:r>
          </w:p>
        </w:tc>
        <w:tc>
          <w:tcPr>
            <w:tcW w:w="1293" w:type="dxa"/>
            <w:tcBorders/>
            <w:shd w:fill="CCEEFF" w:val="cle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2,089,669</w:t>
            </w:r>
            <w:r>
              <w:rPr>
                <w:rFonts w:ascii="Times New Roman;serif" w:hAnsi="Times New Roman;serif"/>
                <w:caps w:val="false"/>
                <w:smallCaps w:val="false"/>
                <w:color w:val="000000"/>
                <w:sz w:val="20"/>
              </w:rPr>
              <w:t> </w:t>
            </w:r>
          </w:p>
        </w:tc>
      </w:tr>
      <w:tr>
        <w:trPr/>
        <w:tc>
          <w:tcPr>
            <w:tcW w:w="393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Deferred charges and other assets, net</w:t>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126,931</w:t>
            </w:r>
            <w:r>
              <w:rPr>
                <w:rFonts w:ascii="Times New Roman;serif" w:hAnsi="Times New Roman;serif"/>
                <w:caps w:val="false"/>
                <w:smallCaps w:val="false"/>
                <w:color w:val="000000"/>
                <w:sz w:val="20"/>
              </w:rPr>
              <w:t> </w:t>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122,217</w:t>
            </w:r>
            <w:r>
              <w:rPr>
                <w:rFonts w:ascii="Times New Roman;serif" w:hAnsi="Times New Roman;serif"/>
                <w:caps w:val="false"/>
                <w:smallCaps w:val="false"/>
                <w:color w:val="000000"/>
                <w:sz w:val="20"/>
              </w:rPr>
              <w:t> </w:t>
            </w:r>
          </w:p>
        </w:tc>
      </w:tr>
      <w:tr>
        <w:trPr/>
        <w:tc>
          <w:tcPr>
            <w:tcW w:w="393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Funds restricted for construction activity</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242" w:type="dxa"/>
            <w:tcBorders/>
            <w:shd w:fill="CCEEFF" w:val="clear"/>
            <w:vAlign w:val="center"/>
          </w:tcPr>
          <w:p>
            <w:pPr>
              <w:pStyle w:val="TableContents"/>
              <w:bidi w:val="0"/>
              <w:spacing w:before="0" w:after="283"/>
              <w:jc w:val="left"/>
              <w:rPr>
                <w:sz w:val="4"/>
                <w:szCs w:val="4"/>
              </w:rPr>
            </w:pPr>
            <w:r>
              <w:rPr>
                <w:sz w:val="4"/>
                <w:szCs w:val="4"/>
              </w:rPr>
            </w:r>
          </w:p>
        </w:tc>
        <w:tc>
          <w:tcPr>
            <w:tcW w:w="1241" w:type="dxa"/>
            <w:tcBorders/>
            <w:shd w:fill="CCEEFF" w:val="cle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1,456</w:t>
            </w:r>
            <w:r>
              <w:rPr>
                <w:rFonts w:ascii="Times New Roman;serif" w:hAnsi="Times New Roman;serif"/>
                <w:caps w:val="false"/>
                <w:smallCaps w:val="false"/>
                <w:color w:val="000000"/>
                <w:sz w:val="20"/>
              </w:rPr>
              <w:t> </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242" w:type="dxa"/>
            <w:tcBorders/>
            <w:shd w:fill="CCEEFF" w:val="clear"/>
            <w:vAlign w:val="center"/>
          </w:tcPr>
          <w:p>
            <w:pPr>
              <w:pStyle w:val="TableContents"/>
              <w:bidi w:val="0"/>
              <w:spacing w:before="0" w:after="283"/>
              <w:jc w:val="left"/>
              <w:rPr>
                <w:sz w:val="4"/>
                <w:szCs w:val="4"/>
              </w:rPr>
            </w:pPr>
            <w:r>
              <w:rPr>
                <w:sz w:val="4"/>
                <w:szCs w:val="4"/>
              </w:rPr>
            </w:r>
          </w:p>
        </w:tc>
        <w:tc>
          <w:tcPr>
            <w:tcW w:w="1293" w:type="dxa"/>
            <w:tcBorders/>
            <w:shd w:fill="CCEEFF" w:val="cle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1,445</w:t>
            </w:r>
            <w:r>
              <w:rPr>
                <w:rFonts w:ascii="Times New Roman;serif" w:hAnsi="Times New Roman;serif"/>
                <w:caps w:val="false"/>
                <w:smallCaps w:val="false"/>
                <w:color w:val="000000"/>
                <w:sz w:val="20"/>
              </w:rPr>
              <w:t> </w:t>
            </w:r>
          </w:p>
        </w:tc>
      </w:tr>
      <w:tr>
        <w:trPr/>
        <w:tc>
          <w:tcPr>
            <w:tcW w:w="393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Goodwill</w:t>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2,349,025</w:t>
            </w:r>
            <w:r>
              <w:rPr>
                <w:rFonts w:ascii="Times New Roman;serif" w:hAnsi="Times New Roman;serif"/>
                <w:caps w:val="false"/>
                <w:smallCaps w:val="false"/>
                <w:color w:val="000000"/>
                <w:sz w:val="20"/>
              </w:rPr>
              <w:t> </w:t>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2,348,559</w:t>
            </w:r>
            <w:r>
              <w:rPr>
                <w:rFonts w:ascii="Times New Roman;serif" w:hAnsi="Times New Roman;serif"/>
                <w:caps w:val="false"/>
                <w:smallCaps w:val="false"/>
                <w:color w:val="000000"/>
                <w:sz w:val="20"/>
              </w:rPr>
              <w:t> </w:t>
            </w:r>
          </w:p>
        </w:tc>
      </w:tr>
      <w:tr>
        <w:trPr/>
        <w:tc>
          <w:tcPr>
            <w:tcW w:w="393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Operating lease right-of-use assets</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242" w:type="dxa"/>
            <w:tcBorders/>
            <w:shd w:fill="CCEEFF" w:val="clear"/>
            <w:vAlign w:val="center"/>
          </w:tcPr>
          <w:p>
            <w:pPr>
              <w:pStyle w:val="TableContents"/>
              <w:bidi w:val="0"/>
              <w:spacing w:before="0" w:after="283"/>
              <w:jc w:val="left"/>
              <w:rPr>
                <w:sz w:val="4"/>
                <w:szCs w:val="4"/>
              </w:rPr>
            </w:pPr>
            <w:r>
              <w:rPr>
                <w:sz w:val="4"/>
                <w:szCs w:val="4"/>
              </w:rPr>
            </w:r>
          </w:p>
        </w:tc>
        <w:tc>
          <w:tcPr>
            <w:tcW w:w="1241" w:type="dxa"/>
            <w:tcBorders/>
            <w:shd w:fill="CCEEFF" w:val="cle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23,667</w:t>
            </w:r>
            <w:r>
              <w:rPr>
                <w:rFonts w:ascii="Times New Roman;serif" w:hAnsi="Times New Roman;serif"/>
                <w:caps w:val="false"/>
                <w:smallCaps w:val="false"/>
                <w:color w:val="000000"/>
                <w:sz w:val="20"/>
              </w:rPr>
              <w:t> </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242" w:type="dxa"/>
            <w:tcBorders/>
            <w:shd w:fill="CCEEFF" w:val="clear"/>
            <w:vAlign w:val="center"/>
          </w:tcPr>
          <w:p>
            <w:pPr>
              <w:pStyle w:val="TableContents"/>
              <w:bidi w:val="0"/>
              <w:spacing w:before="0" w:after="283"/>
              <w:jc w:val="left"/>
              <w:rPr>
                <w:sz w:val="4"/>
                <w:szCs w:val="4"/>
              </w:rPr>
            </w:pPr>
            <w:r>
              <w:rPr>
                <w:sz w:val="4"/>
                <w:szCs w:val="4"/>
              </w:rPr>
            </w:r>
          </w:p>
        </w:tc>
        <w:tc>
          <w:tcPr>
            <w:tcW w:w="1293" w:type="dxa"/>
            <w:tcBorders/>
            <w:shd w:fill="CCEEFF" w:val="cle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25,923</w:t>
            </w:r>
            <w:r>
              <w:rPr>
                <w:rFonts w:ascii="Times New Roman;serif" w:hAnsi="Times New Roman;serif"/>
                <w:caps w:val="false"/>
                <w:smallCaps w:val="false"/>
                <w:color w:val="000000"/>
                <w:sz w:val="20"/>
              </w:rPr>
              <w:t> </w:t>
            </w:r>
          </w:p>
        </w:tc>
      </w:tr>
      <w:tr>
        <w:trPr/>
        <w:tc>
          <w:tcPr>
            <w:tcW w:w="393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Intangible assets</w:t>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4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2,793</w:t>
            </w:r>
            <w:r>
              <w:rPr>
                <w:rFonts w:ascii="Times New Roman;serif" w:hAnsi="Times New Roman;serif"/>
                <w:caps w:val="false"/>
                <w:smallCaps w:val="false"/>
                <w:color w:val="000000"/>
                <w:sz w:val="20"/>
              </w:rPr>
              <w:t> </w:t>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9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2,954</w:t>
            </w:r>
            <w:r>
              <w:rPr>
                <w:rFonts w:ascii="Times New Roman;serif" w:hAnsi="Times New Roman;serif"/>
                <w:caps w:val="false"/>
                <w:smallCaps w:val="false"/>
                <w:color w:val="000000"/>
                <w:sz w:val="20"/>
              </w:rPr>
              <w:t> </w:t>
            </w:r>
          </w:p>
        </w:tc>
      </w:tr>
      <w:tr>
        <w:trPr/>
        <w:tc>
          <w:tcPr>
            <w:tcW w:w="393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assets</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24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19,941,987</w:t>
            </w:r>
            <w:r>
              <w:rPr>
                <w:rFonts w:ascii="Times New Roman;serif" w:hAnsi="Times New Roman;serif"/>
                <w:caps w:val="false"/>
                <w:smallCaps w:val="false"/>
                <w:color w:val="000000"/>
                <w:sz w:val="20"/>
              </w:rPr>
              <w:t> </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29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19,464,845</w:t>
            </w:r>
            <w:r>
              <w:rPr>
                <w:rFonts w:ascii="Times New Roman;serif" w:hAnsi="Times New Roman;serif"/>
                <w:caps w:val="false"/>
                <w:smallCaps w:val="false"/>
                <w:color w:val="000000"/>
                <w:sz w:val="20"/>
              </w:rPr>
              <w:t> </w:t>
            </w:r>
          </w:p>
        </w:tc>
      </w:tr>
      <w:tr>
        <w:trPr/>
        <w:tc>
          <w:tcPr>
            <w:tcW w:w="393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24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293"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198" w:type="dxa"/>
            <w:gridSpan w:val="7"/>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 accompanying notes are an integral part of these consolidated financial statements</w:t>
            </w:r>
          </w:p>
        </w:tc>
      </w:tr>
    </w:tbl>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563C1"/>
            <w:sz w:val="24"/>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ESSENTIAL UTILITIES, INC. AND SUBSIDIARIES </w:t>
      </w:r>
    </w:p>
    <w:p>
      <w:pPr>
        <w:pStyle w:val="TextBody"/>
        <w:bidi w:val="0"/>
        <w:spacing w:lineRule="auto" w:line="192"/>
        <w:rPr>
          <w:rFonts w:ascii="Times New Roman;serif" w:hAnsi="Times New Roman;serif"/>
          <w:b w:val="false"/>
          <w:i w:val="false"/>
          <w:caps w:val="false"/>
          <w:smallCaps w:val="false"/>
          <w:color w:val="000000"/>
          <w:spacing w:val="0"/>
          <w:sz w:val="24"/>
        </w:rPr>
      </w:pPr>
      <w:r>
        <w:rPr>
          <w:rFonts w:ascii="Times New Roman;serif" w:hAnsi="Times New Roman;serif"/>
          <w:b w:val="false"/>
          <w:i w:val="false"/>
          <w:caps w:val="false"/>
          <w:smallCaps w:val="false"/>
          <w:color w:val="000000"/>
          <w:spacing w:val="0"/>
          <w:sz w:val="24"/>
        </w:rPr>
        <w:t>CONDENSED CONSOLIDATED BALANCE SHEETS (continued)</w:t>
      </w:r>
    </w:p>
    <w:p>
      <w:pPr>
        <w:pStyle w:val="TextBody"/>
        <w:bidi w:val="0"/>
        <w:spacing w:lineRule="auto" w:line="192"/>
        <w:rPr>
          <w:rFonts w:ascii="Times New Roman;serif" w:hAnsi="Times New Roman;serif"/>
          <w:b w:val="false"/>
          <w:i w:val="false"/>
          <w:caps w:val="false"/>
          <w:smallCaps w:val="false"/>
          <w:color w:val="000000"/>
          <w:spacing w:val="0"/>
          <w:sz w:val="24"/>
        </w:rPr>
      </w:pPr>
      <w:r>
        <w:rPr>
          <w:rFonts w:ascii="Times New Roman;serif" w:hAnsi="Times New Roman;serif"/>
          <w:b w:val="false"/>
          <w:i w:val="false"/>
          <w:caps w:val="false"/>
          <w:smallCaps w:val="false"/>
          <w:color w:val="000000"/>
          <w:spacing w:val="0"/>
          <w:sz w:val="24"/>
        </w:rPr>
        <w:t>(In thousands of dollars, except per share amounts) </w:t>
      </w:r>
    </w:p>
    <w:p>
      <w:pPr>
        <w:pStyle w:val="TextBody"/>
        <w:bidi w:val="0"/>
        <w:spacing w:lineRule="auto" w:line="259"/>
        <w:rPr>
          <w:rFonts w:ascii="Times New Roman;serif" w:hAnsi="Times New Roman;serif"/>
          <w:b w:val="false"/>
          <w:i w:val="false"/>
          <w:caps w:val="false"/>
          <w:smallCaps w:val="false"/>
          <w:color w:val="000000"/>
          <w:spacing w:val="0"/>
          <w:sz w:val="24"/>
        </w:rPr>
      </w:pPr>
      <w:r>
        <w:rPr>
          <w:rFonts w:ascii="Times New Roman;serif" w:hAnsi="Times New Roman;serif"/>
          <w:b w:val="false"/>
          <w:i w:val="false"/>
          <w:caps w:val="false"/>
          <w:smallCaps w:val="false"/>
          <w:color w:val="000000"/>
          <w:spacing w:val="0"/>
          <w:sz w:val="24"/>
        </w:rPr>
        <w:t>(UNAUDITED)</w:t>
      </w:r>
    </w:p>
    <w:p>
      <w:pPr>
        <w:pStyle w:val="TextBody"/>
        <w:bidi w:val="0"/>
        <w:spacing w:lineRule="auto" w:line="259"/>
        <w:rPr>
          <w:caps w:val="false"/>
          <w:smallCaps w:val="false"/>
          <w:color w:val="000000"/>
        </w:rPr>
      </w:pPr>
      <w:r>
        <w:rPr>
          <w:caps w:val="false"/>
          <w:smallCaps w:val="false"/>
          <w:color w:val="000000"/>
        </w:rPr>
        <w:t> </w:t>
      </w:r>
    </w:p>
    <w:tbl>
      <w:tblPr>
        <w:tblW w:w="10205" w:type="dxa"/>
        <w:jc w:val="left"/>
        <w:tblInd w:w="0" w:type="dxa"/>
        <w:tblLayout w:type="fixed"/>
        <w:tblCellMar>
          <w:top w:w="0" w:type="dxa"/>
          <w:left w:w="0" w:type="dxa"/>
          <w:bottom w:w="0" w:type="dxa"/>
          <w:right w:w="0" w:type="dxa"/>
        </w:tblCellMar>
      </w:tblPr>
      <w:tblGrid>
        <w:gridCol w:w="7358"/>
        <w:gridCol w:w="109"/>
        <w:gridCol w:w="211"/>
        <w:gridCol w:w="1081"/>
        <w:gridCol w:w="109"/>
        <w:gridCol w:w="211"/>
        <w:gridCol w:w="1126"/>
      </w:tblGrid>
      <w:tr>
        <w:trPr/>
        <w:tc>
          <w:tcPr>
            <w:tcW w:w="7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r>
      <w:tr>
        <w:trPr/>
        <w:tc>
          <w:tcPr>
            <w:tcW w:w="7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2"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337"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December 31,</w:t>
            </w:r>
          </w:p>
        </w:tc>
      </w:tr>
      <w:tr>
        <w:trPr/>
        <w:tc>
          <w:tcPr>
            <w:tcW w:w="735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Liabilities and Equity</w:t>
            </w:r>
          </w:p>
        </w:tc>
        <w:tc>
          <w:tcPr>
            <w:tcW w:w="109" w:type="dxa"/>
            <w:tcBorders/>
            <w:vAlign w:val="center"/>
          </w:tcPr>
          <w:p>
            <w:pPr>
              <w:pStyle w:val="TableContents"/>
              <w:bidi w:val="0"/>
              <w:spacing w:before="0" w:after="283"/>
              <w:jc w:val="left"/>
              <w:rPr>
                <w:sz w:val="4"/>
                <w:szCs w:val="4"/>
              </w:rPr>
            </w:pPr>
            <w:r>
              <w:rPr>
                <w:sz w:val="4"/>
                <w:szCs w:val="4"/>
              </w:rPr>
            </w:r>
          </w:p>
        </w:tc>
        <w:tc>
          <w:tcPr>
            <w:tcW w:w="129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133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2025</w:t>
            </w:r>
          </w:p>
        </w:tc>
      </w:tr>
      <w:tr>
        <w:trPr/>
        <w:tc>
          <w:tcPr>
            <w:tcW w:w="735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Stockholders' equity: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shd w:fill="CCEEFF" w:val="clear"/>
            <w:vAlign w:val="center"/>
          </w:tcPr>
          <w:p>
            <w:pPr>
              <w:pStyle w:val="TableContents"/>
              <w:bidi w:val="0"/>
              <w:spacing w:before="0" w:after="283"/>
              <w:jc w:val="left"/>
              <w:rPr>
                <w:sz w:val="4"/>
                <w:szCs w:val="4"/>
              </w:rPr>
            </w:pPr>
            <w:r>
              <w:rPr>
                <w:sz w:val="4"/>
                <w:szCs w:val="4"/>
              </w:rPr>
            </w:r>
          </w:p>
        </w:tc>
      </w:tr>
      <w:tr>
        <w:trPr/>
        <w:tc>
          <w:tcPr>
            <w:tcW w:w="7358"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color w:val="000000"/>
                <w:sz w:val="20"/>
              </w:rPr>
              <w:t>Common stock at $0.50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par value, authorized 600,000,000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shares, issued 287,261,673</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and 286,505,895</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as of June 30, 2026 and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81"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143,631</w:t>
            </w:r>
            <w:r>
              <w:rPr>
                <w:rFonts w:ascii="Times New Roman;serif" w:hAnsi="Times New Roman;serif"/>
                <w:caps w:val="false"/>
                <w:smallCaps w:val="false"/>
                <w:color w:val="000000"/>
                <w:sz w:val="20"/>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126"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143,253</w:t>
            </w:r>
            <w:r>
              <w:rPr>
                <w:rFonts w:ascii="Times New Roman;serif" w:hAnsi="Times New Roman;serif"/>
                <w:caps w:val="false"/>
                <w:smallCaps w:val="false"/>
                <w:color w:val="000000"/>
                <w:sz w:val="20"/>
              </w:rPr>
              <w:t> </w:t>
            </w:r>
          </w:p>
        </w:tc>
      </w:tr>
      <w:tr>
        <w:trPr/>
        <w:tc>
          <w:tcPr>
            <w:tcW w:w="735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Capital in excess of par value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4,551,801</w:t>
            </w:r>
            <w:r>
              <w:rPr>
                <w:rFonts w:ascii="Times New Roman;serif" w:hAnsi="Times New Roman;serif"/>
                <w:caps w:val="false"/>
                <w:smallCaps w:val="false"/>
                <w:color w:val="000000"/>
                <w:sz w:val="20"/>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shd w:fill="CCEEFF" w:val="cle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4,524,517</w:t>
            </w:r>
            <w:r>
              <w:rPr>
                <w:rFonts w:ascii="Times New Roman;serif" w:hAnsi="Times New Roman;serif"/>
                <w:caps w:val="false"/>
                <w:smallCaps w:val="false"/>
                <w:color w:val="000000"/>
                <w:sz w:val="20"/>
              </w:rPr>
              <w:t> </w:t>
            </w:r>
          </w:p>
        </w:tc>
      </w:tr>
      <w:tr>
        <w:trPr/>
        <w:tc>
          <w:tcPr>
            <w:tcW w:w="735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Retained earnings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2,416,322</w:t>
            </w:r>
            <w:r>
              <w:rPr>
                <w:rFonts w:ascii="Times New Roman;serif" w:hAnsi="Times New Roman;serif"/>
                <w:caps w:val="false"/>
                <w:smallCaps w:val="false"/>
                <w:color w:val="000000"/>
                <w:sz w:val="20"/>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2,280,669</w:t>
            </w:r>
            <w:r>
              <w:rPr>
                <w:rFonts w:ascii="Times New Roman;serif" w:hAnsi="Times New Roman;serif"/>
                <w:caps w:val="false"/>
                <w:smallCaps w:val="false"/>
                <w:color w:val="000000"/>
                <w:sz w:val="20"/>
              </w:rPr>
              <w:t> </w:t>
            </w:r>
          </w:p>
        </w:tc>
      </w:tr>
      <w:tr>
        <w:trPr/>
        <w:tc>
          <w:tcPr>
            <w:tcW w:w="7358" w:type="dxa"/>
            <w:tcBorders/>
            <w:shd w:fill="CCEE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color w:val="000000"/>
                <w:sz w:val="20"/>
              </w:rPr>
              <w:t>Treasury stock, at cost, 3,488,132</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and 3,423,086</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shares as of June 30, 2026 and December 31, 2025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(93,498)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(90,983)</w:t>
            </w:r>
          </w:p>
        </w:tc>
      </w:tr>
      <w:tr>
        <w:trPr/>
        <w:tc>
          <w:tcPr>
            <w:tcW w:w="735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7,018,256</w:t>
            </w:r>
            <w:r>
              <w:rPr>
                <w:rFonts w:ascii="Times New Roman;serif" w:hAnsi="Times New Roman;serif"/>
                <w:caps w:val="false"/>
                <w:smallCaps w:val="false"/>
                <w:color w:val="000000"/>
                <w:sz w:val="20"/>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6,857,456</w:t>
            </w:r>
            <w:r>
              <w:rPr>
                <w:rFonts w:ascii="Times New Roman;serif" w:hAnsi="Times New Roman;serif"/>
                <w:caps w:val="false"/>
                <w:smallCaps w:val="false"/>
                <w:color w:val="000000"/>
                <w:sz w:val="20"/>
              </w:rPr>
              <w:t> </w:t>
            </w:r>
          </w:p>
        </w:tc>
      </w:tr>
      <w:tr>
        <w:trPr/>
        <w:tc>
          <w:tcPr>
            <w:tcW w:w="7358"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735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Long-term debt, excluding current portion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8,473,855</w:t>
            </w:r>
            <w:r>
              <w:rPr>
                <w:rFonts w:ascii="Times New Roman;serif" w:hAnsi="Times New Roman;serif"/>
                <w:caps w:val="false"/>
                <w:smallCaps w:val="false"/>
                <w:color w:val="000000"/>
                <w:sz w:val="20"/>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8,160,026</w:t>
            </w:r>
            <w:r>
              <w:rPr>
                <w:rFonts w:ascii="Times New Roman;serif" w:hAnsi="Times New Roman;serif"/>
                <w:caps w:val="false"/>
                <w:smallCaps w:val="false"/>
                <w:color w:val="000000"/>
                <w:sz w:val="20"/>
              </w:rPr>
              <w:t> </w:t>
            </w:r>
          </w:p>
        </w:tc>
      </w:tr>
      <w:tr>
        <w:trPr/>
        <w:tc>
          <w:tcPr>
            <w:tcW w:w="735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debt issuance costs and unamortized discount on debt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52,657</w:t>
            </w:r>
            <w:r>
              <w:rPr>
                <w:rFonts w:ascii="Times New Roman;serif" w:hAnsi="Times New Roman;serif"/>
                <w:caps w:val="false"/>
                <w:smallCaps w:val="false"/>
                <w:color w:val="000000"/>
                <w:sz w:val="20"/>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2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49,859</w:t>
            </w:r>
            <w:r>
              <w:rPr>
                <w:rFonts w:ascii="Times New Roman;serif" w:hAnsi="Times New Roman;serif"/>
                <w:caps w:val="false"/>
                <w:smallCaps w:val="false"/>
                <w:color w:val="000000"/>
                <w:sz w:val="20"/>
              </w:rPr>
              <w:t> </w:t>
            </w:r>
          </w:p>
        </w:tc>
      </w:tr>
      <w:tr>
        <w:trPr/>
        <w:tc>
          <w:tcPr>
            <w:tcW w:w="735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Long-term debt, excluding current portion, net of debt issuance costs and unamortized discount on debt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8,421,198</w:t>
            </w:r>
            <w:r>
              <w:rPr>
                <w:rFonts w:ascii="Times New Roman;serif" w:hAnsi="Times New Roman;serif"/>
                <w:caps w:val="false"/>
                <w:smallCaps w:val="false"/>
                <w:color w:val="000000"/>
                <w:sz w:val="20"/>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8,110,167</w:t>
            </w:r>
            <w:r>
              <w:rPr>
                <w:rFonts w:ascii="Times New Roman;serif" w:hAnsi="Times New Roman;serif"/>
                <w:caps w:val="false"/>
                <w:smallCaps w:val="false"/>
                <w:color w:val="000000"/>
                <w:sz w:val="20"/>
              </w:rPr>
              <w:t> </w:t>
            </w:r>
          </w:p>
        </w:tc>
      </w:tr>
      <w:tr>
        <w:trPr/>
        <w:tc>
          <w:tcPr>
            <w:tcW w:w="735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Commitments and contingencies (See Note 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shd w:fill="CCEEFF" w:val="clear"/>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tcBorders>
            <w:shd w:fill="CCEEFF" w:val="clear"/>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 </w:t>
            </w:r>
          </w:p>
        </w:tc>
      </w:tr>
      <w:tr>
        <w:trPr/>
        <w:tc>
          <w:tcPr>
            <w:tcW w:w="7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r>
      <w:tr>
        <w:trPr/>
        <w:tc>
          <w:tcPr>
            <w:tcW w:w="735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Current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shd w:fill="CCEEFF" w:val="clear"/>
            <w:vAlign w:val="center"/>
          </w:tcPr>
          <w:p>
            <w:pPr>
              <w:pStyle w:val="TableContents"/>
              <w:bidi w:val="0"/>
              <w:spacing w:before="0" w:after="283"/>
              <w:jc w:val="left"/>
              <w:rPr>
                <w:sz w:val="4"/>
                <w:szCs w:val="4"/>
              </w:rPr>
            </w:pPr>
            <w:r>
              <w:rPr>
                <w:sz w:val="4"/>
                <w:szCs w:val="4"/>
              </w:rPr>
            </w:r>
          </w:p>
        </w:tc>
      </w:tr>
      <w:tr>
        <w:trPr/>
        <w:tc>
          <w:tcPr>
            <w:tcW w:w="735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Current portion of long-term debt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42,312</w:t>
            </w:r>
            <w:r>
              <w:rPr>
                <w:rFonts w:ascii="Times New Roman;serif" w:hAnsi="Times New Roman;serif"/>
                <w:caps w:val="false"/>
                <w:smallCaps w:val="false"/>
                <w:color w:val="000000"/>
                <w:sz w:val="20"/>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21,822</w:t>
            </w:r>
            <w:r>
              <w:rPr>
                <w:rFonts w:ascii="Times New Roman;serif" w:hAnsi="Times New Roman;serif"/>
                <w:caps w:val="false"/>
                <w:smallCaps w:val="false"/>
                <w:color w:val="000000"/>
                <w:sz w:val="20"/>
              </w:rPr>
              <w:t> </w:t>
            </w:r>
          </w:p>
        </w:tc>
      </w:tr>
      <w:tr>
        <w:trPr/>
        <w:tc>
          <w:tcPr>
            <w:tcW w:w="735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Loans payable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41,000</w:t>
            </w:r>
            <w:r>
              <w:rPr>
                <w:rFonts w:ascii="Times New Roman;serif" w:hAnsi="Times New Roman;serif"/>
                <w:caps w:val="false"/>
                <w:smallCaps w:val="false"/>
                <w:color w:val="000000"/>
                <w:sz w:val="20"/>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shd w:fill="CCEEFF" w:val="cle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150,139</w:t>
            </w:r>
            <w:r>
              <w:rPr>
                <w:rFonts w:ascii="Times New Roman;serif" w:hAnsi="Times New Roman;serif"/>
                <w:caps w:val="false"/>
                <w:smallCaps w:val="false"/>
                <w:color w:val="000000"/>
                <w:sz w:val="20"/>
              </w:rPr>
              <w:t> </w:t>
            </w:r>
          </w:p>
        </w:tc>
      </w:tr>
      <w:tr>
        <w:trPr/>
        <w:tc>
          <w:tcPr>
            <w:tcW w:w="735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Accounts payable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198,930</w:t>
            </w:r>
            <w:r>
              <w:rPr>
                <w:rFonts w:ascii="Times New Roman;serif" w:hAnsi="Times New Roman;serif"/>
                <w:caps w:val="false"/>
                <w:smallCaps w:val="false"/>
                <w:color w:val="000000"/>
                <w:sz w:val="20"/>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276,080</w:t>
            </w:r>
            <w:r>
              <w:rPr>
                <w:rFonts w:ascii="Times New Roman;serif" w:hAnsi="Times New Roman;serif"/>
                <w:caps w:val="false"/>
                <w:smallCaps w:val="false"/>
                <w:color w:val="000000"/>
                <w:sz w:val="20"/>
              </w:rPr>
              <w:t> </w:t>
            </w:r>
          </w:p>
        </w:tc>
      </w:tr>
      <w:tr>
        <w:trPr/>
        <w:tc>
          <w:tcPr>
            <w:tcW w:w="735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Book overdraft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14,899</w:t>
            </w:r>
            <w:r>
              <w:rPr>
                <w:rFonts w:ascii="Times New Roman;serif" w:hAnsi="Times New Roman;serif"/>
                <w:caps w:val="false"/>
                <w:smallCaps w:val="false"/>
                <w:color w:val="000000"/>
                <w:sz w:val="20"/>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shd w:fill="CCEEFF" w:val="cle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25,494</w:t>
            </w:r>
            <w:r>
              <w:rPr>
                <w:rFonts w:ascii="Times New Roman;serif" w:hAnsi="Times New Roman;serif"/>
                <w:caps w:val="false"/>
                <w:smallCaps w:val="false"/>
                <w:color w:val="000000"/>
                <w:sz w:val="20"/>
              </w:rPr>
              <w:t> </w:t>
            </w:r>
          </w:p>
        </w:tc>
      </w:tr>
      <w:tr>
        <w:trPr/>
        <w:tc>
          <w:tcPr>
            <w:tcW w:w="735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Accrued interest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89,699</w:t>
            </w:r>
            <w:r>
              <w:rPr>
                <w:rFonts w:ascii="Times New Roman;serif" w:hAnsi="Times New Roman;serif"/>
                <w:caps w:val="false"/>
                <w:smallCaps w:val="false"/>
                <w:color w:val="000000"/>
                <w:sz w:val="20"/>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82,466</w:t>
            </w:r>
            <w:r>
              <w:rPr>
                <w:rFonts w:ascii="Times New Roman;serif" w:hAnsi="Times New Roman;serif"/>
                <w:caps w:val="false"/>
                <w:smallCaps w:val="false"/>
                <w:color w:val="000000"/>
                <w:sz w:val="20"/>
              </w:rPr>
              <w:t> </w:t>
            </w:r>
          </w:p>
        </w:tc>
      </w:tr>
      <w:tr>
        <w:trPr/>
        <w:tc>
          <w:tcPr>
            <w:tcW w:w="735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Accrued taxes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27,048</w:t>
            </w:r>
            <w:r>
              <w:rPr>
                <w:rFonts w:ascii="Times New Roman;serif" w:hAnsi="Times New Roman;serif"/>
                <w:caps w:val="false"/>
                <w:smallCaps w:val="false"/>
                <w:color w:val="000000"/>
                <w:sz w:val="20"/>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shd w:fill="CCEEFF" w:val="cle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28,688</w:t>
            </w:r>
            <w:r>
              <w:rPr>
                <w:rFonts w:ascii="Times New Roman;serif" w:hAnsi="Times New Roman;serif"/>
                <w:caps w:val="false"/>
                <w:smallCaps w:val="false"/>
                <w:color w:val="000000"/>
                <w:sz w:val="20"/>
              </w:rPr>
              <w:t> </w:t>
            </w:r>
          </w:p>
        </w:tc>
      </w:tr>
      <w:tr>
        <w:trPr/>
        <w:tc>
          <w:tcPr>
            <w:tcW w:w="735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Regulatory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16,486</w:t>
            </w:r>
            <w:r>
              <w:rPr>
                <w:rFonts w:ascii="Times New Roman;serif" w:hAnsi="Times New Roman;serif"/>
                <w:caps w:val="false"/>
                <w:smallCaps w:val="false"/>
                <w:color w:val="000000"/>
                <w:sz w:val="20"/>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11,202</w:t>
            </w:r>
            <w:r>
              <w:rPr>
                <w:rFonts w:ascii="Times New Roman;serif" w:hAnsi="Times New Roman;serif"/>
                <w:caps w:val="false"/>
                <w:smallCaps w:val="false"/>
                <w:color w:val="000000"/>
                <w:sz w:val="20"/>
              </w:rPr>
              <w:t> </w:t>
            </w:r>
          </w:p>
        </w:tc>
      </w:tr>
      <w:tr>
        <w:trPr/>
        <w:tc>
          <w:tcPr>
            <w:tcW w:w="735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accrued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168,615</w:t>
            </w:r>
            <w:r>
              <w:rPr>
                <w:rFonts w:ascii="Times New Roman;serif" w:hAnsi="Times New Roman;serif"/>
                <w:caps w:val="false"/>
                <w:smallCaps w:val="false"/>
                <w:color w:val="000000"/>
                <w:sz w:val="20"/>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2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168,592</w:t>
            </w:r>
            <w:r>
              <w:rPr>
                <w:rFonts w:ascii="Times New Roman;serif" w:hAnsi="Times New Roman;serif"/>
                <w:caps w:val="false"/>
                <w:smallCaps w:val="false"/>
                <w:color w:val="000000"/>
                <w:sz w:val="20"/>
              </w:rPr>
              <w:t> </w:t>
            </w:r>
          </w:p>
        </w:tc>
      </w:tr>
      <w:tr>
        <w:trPr/>
        <w:tc>
          <w:tcPr>
            <w:tcW w:w="735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598,989</w:t>
            </w:r>
            <w:r>
              <w:rPr>
                <w:rFonts w:ascii="Times New Roman;serif" w:hAnsi="Times New Roman;serif"/>
                <w:caps w:val="false"/>
                <w:smallCaps w:val="false"/>
                <w:color w:val="000000"/>
                <w:sz w:val="20"/>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764,483</w:t>
            </w:r>
            <w:r>
              <w:rPr>
                <w:rFonts w:ascii="Times New Roman;serif" w:hAnsi="Times New Roman;serif"/>
                <w:caps w:val="false"/>
                <w:smallCaps w:val="false"/>
                <w:color w:val="000000"/>
                <w:sz w:val="20"/>
              </w:rPr>
              <w:t> </w:t>
            </w:r>
          </w:p>
        </w:tc>
      </w:tr>
      <w:tr>
        <w:trPr/>
        <w:tc>
          <w:tcPr>
            <w:tcW w:w="7358"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735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Deferred credits and other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r>
      <w:tr>
        <w:trPr/>
        <w:tc>
          <w:tcPr>
            <w:tcW w:w="735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Deferred income taxes and investment tax credits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2,241,349</w:t>
            </w:r>
            <w:r>
              <w:rPr>
                <w:rFonts w:ascii="Times New Roman;serif" w:hAnsi="Times New Roman;serif"/>
                <w:caps w:val="false"/>
                <w:smallCaps w:val="false"/>
                <w:color w:val="000000"/>
                <w:sz w:val="20"/>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shd w:fill="CCEEFF" w:val="cle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2,090,120</w:t>
            </w:r>
            <w:r>
              <w:rPr>
                <w:rFonts w:ascii="Times New Roman;serif" w:hAnsi="Times New Roman;serif"/>
                <w:caps w:val="false"/>
                <w:smallCaps w:val="false"/>
                <w:color w:val="000000"/>
                <w:sz w:val="20"/>
              </w:rPr>
              <w:t> </w:t>
            </w:r>
          </w:p>
        </w:tc>
      </w:tr>
      <w:tr>
        <w:trPr/>
        <w:tc>
          <w:tcPr>
            <w:tcW w:w="735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Customers' advances for construction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118,410</w:t>
            </w:r>
            <w:r>
              <w:rPr>
                <w:rFonts w:ascii="Times New Roman;serif" w:hAnsi="Times New Roman;serif"/>
                <w:caps w:val="false"/>
                <w:smallCaps w:val="false"/>
                <w:color w:val="000000"/>
                <w:sz w:val="20"/>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115,465</w:t>
            </w:r>
            <w:r>
              <w:rPr>
                <w:rFonts w:ascii="Times New Roman;serif" w:hAnsi="Times New Roman;serif"/>
                <w:caps w:val="false"/>
                <w:smallCaps w:val="false"/>
                <w:color w:val="000000"/>
                <w:sz w:val="20"/>
              </w:rPr>
              <w:t> </w:t>
            </w:r>
          </w:p>
        </w:tc>
      </w:tr>
      <w:tr>
        <w:trPr/>
        <w:tc>
          <w:tcPr>
            <w:tcW w:w="735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Regulatory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709,394</w:t>
            </w:r>
            <w:r>
              <w:rPr>
                <w:rFonts w:ascii="Times New Roman;serif" w:hAnsi="Times New Roman;serif"/>
                <w:caps w:val="false"/>
                <w:smallCaps w:val="false"/>
                <w:color w:val="000000"/>
                <w:sz w:val="20"/>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shd w:fill="CCEEFF" w:val="cle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703,285</w:t>
            </w:r>
            <w:r>
              <w:rPr>
                <w:rFonts w:ascii="Times New Roman;serif" w:hAnsi="Times New Roman;serif"/>
                <w:caps w:val="false"/>
                <w:smallCaps w:val="false"/>
                <w:color w:val="000000"/>
                <w:sz w:val="20"/>
              </w:rPr>
              <w:t> </w:t>
            </w:r>
          </w:p>
        </w:tc>
      </w:tr>
      <w:tr>
        <w:trPr/>
        <w:tc>
          <w:tcPr>
            <w:tcW w:w="735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Operating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18,743</w:t>
            </w:r>
            <w:r>
              <w:rPr>
                <w:rFonts w:ascii="Times New Roman;serif" w:hAnsi="Times New Roman;serif"/>
                <w:caps w:val="false"/>
                <w:smallCaps w:val="false"/>
                <w:color w:val="000000"/>
                <w:sz w:val="20"/>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21,608</w:t>
            </w:r>
            <w:r>
              <w:rPr>
                <w:rFonts w:ascii="Times New Roman;serif" w:hAnsi="Times New Roman;serif"/>
                <w:caps w:val="false"/>
                <w:smallCaps w:val="false"/>
                <w:color w:val="000000"/>
                <w:sz w:val="20"/>
              </w:rPr>
              <w:t> </w:t>
            </w:r>
          </w:p>
        </w:tc>
      </w:tr>
      <w:tr>
        <w:trPr/>
        <w:tc>
          <w:tcPr>
            <w:tcW w:w="735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Pension and other postretirement benefit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14,900</w:t>
            </w:r>
            <w:r>
              <w:rPr>
                <w:rFonts w:ascii="Times New Roman;serif" w:hAnsi="Times New Roman;serif"/>
                <w:caps w:val="false"/>
                <w:smallCaps w:val="false"/>
                <w:color w:val="000000"/>
                <w:sz w:val="20"/>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shd w:fill="CCEEFF" w:val="cle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15,241</w:t>
            </w:r>
            <w:r>
              <w:rPr>
                <w:rFonts w:ascii="Times New Roman;serif" w:hAnsi="Times New Roman;serif"/>
                <w:caps w:val="false"/>
                <w:smallCaps w:val="false"/>
                <w:color w:val="000000"/>
                <w:sz w:val="20"/>
              </w:rPr>
              <w:t> </w:t>
            </w:r>
          </w:p>
        </w:tc>
      </w:tr>
      <w:tr>
        <w:trPr/>
        <w:tc>
          <w:tcPr>
            <w:tcW w:w="735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71,631</w:t>
            </w:r>
            <w:r>
              <w:rPr>
                <w:rFonts w:ascii="Times New Roman;serif" w:hAnsi="Times New Roman;serif"/>
                <w:caps w:val="false"/>
                <w:smallCaps w:val="false"/>
                <w:color w:val="000000"/>
                <w:sz w:val="20"/>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2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60,814</w:t>
            </w:r>
            <w:r>
              <w:rPr>
                <w:rFonts w:ascii="Times New Roman;serif" w:hAnsi="Times New Roman;serif"/>
                <w:caps w:val="false"/>
                <w:smallCaps w:val="false"/>
                <w:color w:val="000000"/>
                <w:sz w:val="20"/>
              </w:rPr>
              <w:t> </w:t>
            </w:r>
          </w:p>
        </w:tc>
      </w:tr>
      <w:tr>
        <w:trPr/>
        <w:tc>
          <w:tcPr>
            <w:tcW w:w="735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deferred credits and other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3,174,427</w:t>
            </w:r>
            <w:r>
              <w:rPr>
                <w:rFonts w:ascii="Times New Roman;serif" w:hAnsi="Times New Roman;serif"/>
                <w:caps w:val="false"/>
                <w:smallCaps w:val="false"/>
                <w:color w:val="000000"/>
                <w:sz w:val="20"/>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3,006,533</w:t>
            </w:r>
            <w:r>
              <w:rPr>
                <w:rFonts w:ascii="Times New Roman;serif" w:hAnsi="Times New Roman;serif"/>
                <w:caps w:val="false"/>
                <w:smallCaps w:val="false"/>
                <w:color w:val="000000"/>
                <w:sz w:val="20"/>
              </w:rPr>
              <w:t> </w:t>
            </w:r>
          </w:p>
        </w:tc>
      </w:tr>
      <w:tr>
        <w:trPr/>
        <w:tc>
          <w:tcPr>
            <w:tcW w:w="7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35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Contributions in aid of construction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729,117</w:t>
            </w:r>
            <w:r>
              <w:rPr>
                <w:rFonts w:ascii="Times New Roman;serif" w:hAnsi="Times New Roman;serif"/>
                <w:caps w:val="false"/>
                <w:smallCaps w:val="false"/>
                <w:color w:val="000000"/>
                <w:sz w:val="20"/>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2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726,206</w:t>
            </w:r>
            <w:r>
              <w:rPr>
                <w:rFonts w:ascii="Times New Roman;serif" w:hAnsi="Times New Roman;serif"/>
                <w:caps w:val="false"/>
                <w:smallCaps w:val="false"/>
                <w:color w:val="000000"/>
                <w:sz w:val="20"/>
              </w:rPr>
              <w:t> </w:t>
            </w:r>
          </w:p>
        </w:tc>
      </w:tr>
      <w:tr>
        <w:trPr/>
        <w:tc>
          <w:tcPr>
            <w:tcW w:w="735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liabilities and equity</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8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19,941,987</w:t>
            </w:r>
            <w:r>
              <w:rPr>
                <w:rFonts w:ascii="Times New Roman;serif" w:hAnsi="Times New Roman;serif"/>
                <w:caps w:val="false"/>
                <w:smallCaps w:val="false"/>
                <w:color w:val="000000"/>
                <w:sz w:val="20"/>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12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19,464,845</w:t>
            </w:r>
            <w:r>
              <w:rPr>
                <w:rFonts w:ascii="Times New Roman;serif" w:hAnsi="Times New Roman;serif"/>
                <w:caps w:val="false"/>
                <w:smallCaps w:val="false"/>
                <w:color w:val="000000"/>
                <w:sz w:val="20"/>
              </w:rPr>
              <w:t> </w:t>
            </w:r>
          </w:p>
        </w:tc>
      </w:tr>
      <w:tr>
        <w:trPr/>
        <w:tc>
          <w:tcPr>
            <w:tcW w:w="7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8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12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10205" w:type="dxa"/>
            <w:gridSpan w:val="7"/>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 accompanying notes are an integral part of these consolidated financial statements</w:t>
            </w:r>
          </w:p>
        </w:tc>
      </w:tr>
    </w:tbl>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3</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563C1"/>
            <w:sz w:val="24"/>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ESSENTIAL UTILITIES, INC. AND SUBSIDIARIES </w:t>
      </w:r>
    </w:p>
    <w:p>
      <w:pPr>
        <w:pStyle w:val="TextBody"/>
        <w:bidi w:val="0"/>
        <w:spacing w:lineRule="auto" w:line="192"/>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 xml:space="preserve">CONDENSED CONSOLIDATED STATEMENTS OF OPERATIONS AND COMPREHENSIVE INCOME </w:t>
      </w:r>
    </w:p>
    <w:p>
      <w:pPr>
        <w:pStyle w:val="TextBody"/>
        <w:bidi w:val="0"/>
        <w:spacing w:lineRule="auto" w:line="259"/>
        <w:rPr>
          <w:rFonts w:ascii="Times New Roman;serif" w:hAnsi="Times New Roman;serif"/>
          <w:b w:val="false"/>
          <w:i w:val="false"/>
          <w:caps w:val="false"/>
          <w:smallCaps w:val="false"/>
          <w:color w:val="000000"/>
          <w:spacing w:val="0"/>
          <w:sz w:val="24"/>
        </w:rPr>
      </w:pPr>
      <w:r>
        <w:rPr>
          <w:rFonts w:ascii="Times New Roman;serif" w:hAnsi="Times New Roman;serif"/>
          <w:b w:val="false"/>
          <w:i w:val="false"/>
          <w:caps w:val="false"/>
          <w:smallCaps w:val="false"/>
          <w:color w:val="000000"/>
          <w:spacing w:val="0"/>
          <w:sz w:val="24"/>
        </w:rPr>
        <w:t>(In thousands, except per share amounts)</w:t>
      </w:r>
    </w:p>
    <w:p>
      <w:pPr>
        <w:pStyle w:val="TextBody"/>
        <w:bidi w:val="0"/>
        <w:spacing w:lineRule="auto" w:line="259"/>
        <w:rPr>
          <w:rFonts w:ascii="Times New Roman;serif" w:hAnsi="Times New Roman;serif"/>
          <w:b w:val="false"/>
          <w:i w:val="false"/>
          <w:caps w:val="false"/>
          <w:smallCaps w:val="false"/>
          <w:color w:val="000000"/>
          <w:spacing w:val="0"/>
          <w:sz w:val="24"/>
        </w:rPr>
      </w:pPr>
      <w:r>
        <w:rPr>
          <w:rFonts w:ascii="Times New Roman;serif" w:hAnsi="Times New Roman;serif"/>
          <w:b w:val="false"/>
          <w:i w:val="false"/>
          <w:caps w:val="false"/>
          <w:smallCaps w:val="false"/>
          <w:color w:val="000000"/>
          <w:spacing w:val="0"/>
          <w:sz w:val="24"/>
        </w:rPr>
        <w:t>(UNAUDITED)</w:t>
      </w:r>
    </w:p>
    <w:p>
      <w:pPr>
        <w:pStyle w:val="TextBody"/>
        <w:bidi w:val="0"/>
        <w:spacing w:lineRule="auto" w:line="259"/>
        <w:rPr>
          <w:caps w:val="false"/>
          <w:smallCaps w:val="false"/>
          <w:color w:val="000000"/>
        </w:rPr>
      </w:pPr>
      <w:bookmarkStart w:id="6" w:name="Statement_of_Comprehensive_Income"/>
      <w:bookmarkEnd w:id="6"/>
      <w:r>
        <w:rPr>
          <w:caps w:val="false"/>
          <w:smallCaps w:val="false"/>
          <w:color w:val="000000"/>
        </w:rPr>
        <w:t> </w:t>
      </w:r>
      <w:bookmarkStart w:id="7" w:name="Statement_of_Net_Income_QTR"/>
      <w:bookmarkEnd w:id="7"/>
    </w:p>
    <w:tbl>
      <w:tblPr>
        <w:tblW w:w="8292" w:type="dxa"/>
        <w:jc w:val="left"/>
        <w:tblInd w:w="0" w:type="dxa"/>
        <w:tblLayout w:type="fixed"/>
        <w:tblCellMar>
          <w:top w:w="0" w:type="dxa"/>
          <w:left w:w="0" w:type="dxa"/>
          <w:bottom w:w="0" w:type="dxa"/>
          <w:right w:w="0" w:type="dxa"/>
        </w:tblCellMar>
      </w:tblPr>
      <w:tblGrid>
        <w:gridCol w:w="5579"/>
        <w:gridCol w:w="113"/>
        <w:gridCol w:w="235"/>
        <w:gridCol w:w="985"/>
        <w:gridCol w:w="113"/>
        <w:gridCol w:w="235"/>
        <w:gridCol w:w="1032"/>
      </w:tblGrid>
      <w:tr>
        <w:trPr/>
        <w:tc>
          <w:tcPr>
            <w:tcW w:w="557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r>
      <w:tr>
        <w:trPr/>
        <w:tc>
          <w:tcPr>
            <w:tcW w:w="557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r>
      <w:tr>
        <w:trPr/>
        <w:tc>
          <w:tcPr>
            <w:tcW w:w="557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600" w:type="dxa"/>
            <w:gridSpan w:val="5"/>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Three Months Ended</w:t>
            </w:r>
          </w:p>
        </w:tc>
      </w:tr>
      <w:tr>
        <w:trPr/>
        <w:tc>
          <w:tcPr>
            <w:tcW w:w="557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600"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June 30,</w:t>
            </w:r>
          </w:p>
        </w:tc>
      </w:tr>
      <w:tr>
        <w:trPr/>
        <w:tc>
          <w:tcPr>
            <w:tcW w:w="557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220"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2026</w:t>
            </w:r>
          </w:p>
        </w:tc>
        <w:tc>
          <w:tcPr>
            <w:tcW w:w="11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2025</w:t>
            </w:r>
          </w:p>
        </w:tc>
      </w:tr>
      <w:tr>
        <w:trPr/>
        <w:tc>
          <w:tcPr>
            <w:tcW w:w="557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Operating revenues</w:t>
            </w:r>
          </w:p>
        </w:tc>
        <w:tc>
          <w:tcPr>
            <w:tcW w:w="113" w:type="dxa"/>
            <w:tcBorders/>
            <w:shd w:fill="CCEEFF" w:val="cle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985"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530,854</w:t>
            </w:r>
          </w:p>
        </w:tc>
        <w:tc>
          <w:tcPr>
            <w:tcW w:w="113" w:type="dxa"/>
            <w:tcBorders/>
            <w:shd w:fill="CCEEFF" w:val="cle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1032"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514,907</w:t>
            </w:r>
          </w:p>
        </w:tc>
      </w:tr>
      <w:tr>
        <w:trPr/>
        <w:tc>
          <w:tcPr>
            <w:tcW w:w="557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r>
      <w:tr>
        <w:trPr/>
        <w:tc>
          <w:tcPr>
            <w:tcW w:w="557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Operating expenses:</w:t>
            </w:r>
          </w:p>
        </w:tc>
        <w:tc>
          <w:tcPr>
            <w:tcW w:w="113" w:type="dxa"/>
            <w:tcBorders/>
            <w:shd w:fill="CCEEFF" w:val="clear"/>
            <w:vAlign w:val="center"/>
          </w:tcPr>
          <w:p>
            <w:pPr>
              <w:pStyle w:val="TableContents"/>
              <w:bidi w:val="0"/>
              <w:spacing w:before="0" w:after="283"/>
              <w:jc w:val="left"/>
              <w:rPr>
                <w:sz w:val="4"/>
                <w:szCs w:val="4"/>
              </w:rPr>
            </w:pPr>
            <w:r>
              <w:rPr>
                <w:sz w:val="4"/>
                <w:szCs w:val="4"/>
              </w:rPr>
            </w:r>
          </w:p>
        </w:tc>
        <w:tc>
          <w:tcPr>
            <w:tcW w:w="235" w:type="dxa"/>
            <w:tcBorders/>
            <w:shd w:fill="CCEEFF" w:val="clear"/>
            <w:vAlign w:val="center"/>
          </w:tcPr>
          <w:p>
            <w:pPr>
              <w:pStyle w:val="TableContents"/>
              <w:bidi w:val="0"/>
              <w:spacing w:before="0" w:after="283"/>
              <w:jc w:val="left"/>
              <w:rPr>
                <w:sz w:val="4"/>
                <w:szCs w:val="4"/>
              </w:rPr>
            </w:pPr>
            <w:r>
              <w:rPr>
                <w:sz w:val="4"/>
                <w:szCs w:val="4"/>
              </w:rPr>
            </w:r>
          </w:p>
        </w:tc>
        <w:tc>
          <w:tcPr>
            <w:tcW w:w="985" w:type="dxa"/>
            <w:tcBorders/>
            <w:shd w:fill="CCEEFF" w:val="clear"/>
            <w:vAlign w:val="center"/>
          </w:tcPr>
          <w:p>
            <w:pPr>
              <w:pStyle w:val="TableContents"/>
              <w:bidi w:val="0"/>
              <w:spacing w:before="0" w:after="283"/>
              <w:jc w:val="left"/>
              <w:rPr>
                <w:sz w:val="4"/>
                <w:szCs w:val="4"/>
              </w:rPr>
            </w:pPr>
            <w:r>
              <w:rPr>
                <w:sz w:val="4"/>
                <w:szCs w:val="4"/>
              </w:rPr>
            </w:r>
          </w:p>
        </w:tc>
        <w:tc>
          <w:tcPr>
            <w:tcW w:w="113" w:type="dxa"/>
            <w:tcBorders/>
            <w:shd w:fill="CCEEFF" w:val="clear"/>
            <w:vAlign w:val="center"/>
          </w:tcPr>
          <w:p>
            <w:pPr>
              <w:pStyle w:val="TableContents"/>
              <w:bidi w:val="0"/>
              <w:spacing w:before="0" w:after="283"/>
              <w:jc w:val="left"/>
              <w:rPr>
                <w:sz w:val="4"/>
                <w:szCs w:val="4"/>
              </w:rPr>
            </w:pPr>
            <w:r>
              <w:rPr>
                <w:sz w:val="4"/>
                <w:szCs w:val="4"/>
              </w:rPr>
            </w:r>
          </w:p>
        </w:tc>
        <w:tc>
          <w:tcPr>
            <w:tcW w:w="235" w:type="dxa"/>
            <w:tcBorders/>
            <w:shd w:fill="CCEEFF" w:val="clear"/>
            <w:vAlign w:val="center"/>
          </w:tcPr>
          <w:p>
            <w:pPr>
              <w:pStyle w:val="TableContents"/>
              <w:bidi w:val="0"/>
              <w:spacing w:before="0" w:after="283"/>
              <w:jc w:val="left"/>
              <w:rPr>
                <w:sz w:val="4"/>
                <w:szCs w:val="4"/>
              </w:rPr>
            </w:pPr>
            <w:r>
              <w:rPr>
                <w:sz w:val="4"/>
                <w:szCs w:val="4"/>
              </w:rPr>
            </w:r>
          </w:p>
        </w:tc>
        <w:tc>
          <w:tcPr>
            <w:tcW w:w="1032" w:type="dxa"/>
            <w:tcBorders/>
            <w:shd w:fill="CCEEFF" w:val="clear"/>
            <w:vAlign w:val="center"/>
          </w:tcPr>
          <w:p>
            <w:pPr>
              <w:pStyle w:val="TableContents"/>
              <w:bidi w:val="0"/>
              <w:spacing w:before="0" w:after="283"/>
              <w:jc w:val="left"/>
              <w:rPr>
                <w:sz w:val="4"/>
                <w:szCs w:val="4"/>
              </w:rPr>
            </w:pPr>
            <w:r>
              <w:rPr>
                <w:sz w:val="4"/>
                <w:szCs w:val="4"/>
              </w:rPr>
            </w:r>
          </w:p>
        </w:tc>
      </w:tr>
      <w:tr>
        <w:trPr/>
        <w:tc>
          <w:tcPr>
            <w:tcW w:w="557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Operations and maintenance</w:t>
            </w:r>
          </w:p>
        </w:tc>
        <w:tc>
          <w:tcPr>
            <w:tcW w:w="11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153,635</w:t>
            </w:r>
          </w:p>
        </w:tc>
        <w:tc>
          <w:tcPr>
            <w:tcW w:w="11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148,510</w:t>
            </w:r>
          </w:p>
        </w:tc>
      </w:tr>
      <w:tr>
        <w:trPr/>
        <w:tc>
          <w:tcPr>
            <w:tcW w:w="557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Purchased gas</w:t>
            </w:r>
          </w:p>
        </w:tc>
        <w:tc>
          <w:tcPr>
            <w:tcW w:w="113" w:type="dxa"/>
            <w:tcBorders/>
            <w:shd w:fill="CCEEFF" w:val="clear"/>
            <w:vAlign w:val="center"/>
          </w:tcPr>
          <w:p>
            <w:pPr>
              <w:pStyle w:val="TableContents"/>
              <w:bidi w:val="0"/>
              <w:spacing w:before="0" w:after="283"/>
              <w:jc w:val="left"/>
              <w:rPr>
                <w:sz w:val="4"/>
                <w:szCs w:val="4"/>
              </w:rPr>
            </w:pPr>
            <w:r>
              <w:rPr>
                <w:sz w:val="4"/>
                <w:szCs w:val="4"/>
              </w:rPr>
            </w:r>
          </w:p>
        </w:tc>
        <w:tc>
          <w:tcPr>
            <w:tcW w:w="235" w:type="dxa"/>
            <w:tcBorders/>
            <w:shd w:fill="CCEEFF" w:val="clear"/>
            <w:vAlign w:val="center"/>
          </w:tcPr>
          <w:p>
            <w:pPr>
              <w:pStyle w:val="TableContents"/>
              <w:bidi w:val="0"/>
              <w:spacing w:before="0" w:after="283"/>
              <w:jc w:val="left"/>
              <w:rPr>
                <w:sz w:val="4"/>
                <w:szCs w:val="4"/>
              </w:rPr>
            </w:pPr>
            <w:r>
              <w:rPr>
                <w:sz w:val="4"/>
                <w:szCs w:val="4"/>
              </w:rPr>
            </w:r>
          </w:p>
        </w:tc>
        <w:tc>
          <w:tcPr>
            <w:tcW w:w="98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46,201</w:t>
            </w:r>
          </w:p>
        </w:tc>
        <w:tc>
          <w:tcPr>
            <w:tcW w:w="113" w:type="dxa"/>
            <w:tcBorders/>
            <w:shd w:fill="CCEEFF" w:val="clear"/>
            <w:vAlign w:val="center"/>
          </w:tcPr>
          <w:p>
            <w:pPr>
              <w:pStyle w:val="TableContents"/>
              <w:bidi w:val="0"/>
              <w:spacing w:before="0" w:after="283"/>
              <w:jc w:val="left"/>
              <w:rPr>
                <w:sz w:val="4"/>
                <w:szCs w:val="4"/>
              </w:rPr>
            </w:pPr>
            <w:r>
              <w:rPr>
                <w:sz w:val="4"/>
                <w:szCs w:val="4"/>
              </w:rPr>
            </w:r>
          </w:p>
        </w:tc>
        <w:tc>
          <w:tcPr>
            <w:tcW w:w="235" w:type="dxa"/>
            <w:tcBorders/>
            <w:shd w:fill="CCEEFF" w:val="clear"/>
            <w:vAlign w:val="center"/>
          </w:tcPr>
          <w:p>
            <w:pPr>
              <w:pStyle w:val="TableContents"/>
              <w:bidi w:val="0"/>
              <w:spacing w:before="0" w:after="283"/>
              <w:jc w:val="left"/>
              <w:rPr>
                <w:sz w:val="4"/>
                <w:szCs w:val="4"/>
              </w:rPr>
            </w:pPr>
            <w:r>
              <w:rPr>
                <w:sz w:val="4"/>
                <w:szCs w:val="4"/>
              </w:rPr>
            </w:r>
          </w:p>
        </w:tc>
        <w:tc>
          <w:tcPr>
            <w:tcW w:w="103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56,735</w:t>
            </w:r>
          </w:p>
        </w:tc>
      </w:tr>
      <w:tr>
        <w:trPr/>
        <w:tc>
          <w:tcPr>
            <w:tcW w:w="557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Depreciation</w:t>
            </w:r>
          </w:p>
        </w:tc>
        <w:tc>
          <w:tcPr>
            <w:tcW w:w="11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109,578</w:t>
            </w:r>
          </w:p>
        </w:tc>
        <w:tc>
          <w:tcPr>
            <w:tcW w:w="11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99,542</w:t>
            </w:r>
          </w:p>
        </w:tc>
      </w:tr>
      <w:tr>
        <w:trPr/>
        <w:tc>
          <w:tcPr>
            <w:tcW w:w="557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Amortization</w:t>
            </w:r>
          </w:p>
        </w:tc>
        <w:tc>
          <w:tcPr>
            <w:tcW w:w="113" w:type="dxa"/>
            <w:tcBorders/>
            <w:shd w:fill="CCEEFF" w:val="clear"/>
            <w:vAlign w:val="center"/>
          </w:tcPr>
          <w:p>
            <w:pPr>
              <w:pStyle w:val="TableContents"/>
              <w:bidi w:val="0"/>
              <w:spacing w:before="0" w:after="283"/>
              <w:jc w:val="left"/>
              <w:rPr>
                <w:sz w:val="4"/>
                <w:szCs w:val="4"/>
              </w:rPr>
            </w:pPr>
            <w:r>
              <w:rPr>
                <w:sz w:val="4"/>
                <w:szCs w:val="4"/>
              </w:rPr>
            </w:r>
          </w:p>
        </w:tc>
        <w:tc>
          <w:tcPr>
            <w:tcW w:w="235" w:type="dxa"/>
            <w:tcBorders/>
            <w:shd w:fill="CCEEFF" w:val="clear"/>
            <w:vAlign w:val="center"/>
          </w:tcPr>
          <w:p>
            <w:pPr>
              <w:pStyle w:val="TableContents"/>
              <w:bidi w:val="0"/>
              <w:spacing w:before="0" w:after="283"/>
              <w:jc w:val="left"/>
              <w:rPr>
                <w:sz w:val="4"/>
                <w:szCs w:val="4"/>
              </w:rPr>
            </w:pPr>
            <w:r>
              <w:rPr>
                <w:sz w:val="4"/>
                <w:szCs w:val="4"/>
              </w:rPr>
            </w:r>
          </w:p>
        </w:tc>
        <w:tc>
          <w:tcPr>
            <w:tcW w:w="98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3,714</w:t>
            </w:r>
          </w:p>
        </w:tc>
        <w:tc>
          <w:tcPr>
            <w:tcW w:w="113" w:type="dxa"/>
            <w:tcBorders/>
            <w:shd w:fill="CCEEFF" w:val="clear"/>
            <w:vAlign w:val="center"/>
          </w:tcPr>
          <w:p>
            <w:pPr>
              <w:pStyle w:val="TableContents"/>
              <w:bidi w:val="0"/>
              <w:spacing w:before="0" w:after="283"/>
              <w:jc w:val="left"/>
              <w:rPr>
                <w:sz w:val="4"/>
                <w:szCs w:val="4"/>
              </w:rPr>
            </w:pPr>
            <w:r>
              <w:rPr>
                <w:sz w:val="4"/>
                <w:szCs w:val="4"/>
              </w:rPr>
            </w:r>
          </w:p>
        </w:tc>
        <w:tc>
          <w:tcPr>
            <w:tcW w:w="235" w:type="dxa"/>
            <w:tcBorders/>
            <w:shd w:fill="CCEEFF" w:val="clear"/>
            <w:vAlign w:val="center"/>
          </w:tcPr>
          <w:p>
            <w:pPr>
              <w:pStyle w:val="TableContents"/>
              <w:bidi w:val="0"/>
              <w:spacing w:before="0" w:after="283"/>
              <w:jc w:val="left"/>
              <w:rPr>
                <w:sz w:val="4"/>
                <w:szCs w:val="4"/>
              </w:rPr>
            </w:pPr>
            <w:r>
              <w:rPr>
                <w:sz w:val="4"/>
                <w:szCs w:val="4"/>
              </w:rPr>
            </w:r>
          </w:p>
        </w:tc>
        <w:tc>
          <w:tcPr>
            <w:tcW w:w="103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3,977</w:t>
            </w:r>
          </w:p>
        </w:tc>
      </w:tr>
      <w:tr>
        <w:trPr/>
        <w:tc>
          <w:tcPr>
            <w:tcW w:w="557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Taxes other than income taxes</w:t>
            </w:r>
          </w:p>
        </w:tc>
        <w:tc>
          <w:tcPr>
            <w:tcW w:w="113" w:type="dxa"/>
            <w:tcBorders/>
            <w:vAlign w:val="center"/>
          </w:tcPr>
          <w:p>
            <w:pPr>
              <w:pStyle w:val="TableContents"/>
              <w:bidi w:val="0"/>
              <w:spacing w:before="0" w:after="283"/>
              <w:jc w:val="left"/>
              <w:rPr>
                <w:sz w:val="4"/>
                <w:szCs w:val="4"/>
              </w:rPr>
            </w:pPr>
            <w:r>
              <w:rPr>
                <w:sz w:val="4"/>
                <w:szCs w:val="4"/>
              </w:rPr>
            </w:r>
          </w:p>
        </w:tc>
        <w:tc>
          <w:tcPr>
            <w:tcW w:w="23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8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24,453</w:t>
            </w:r>
          </w:p>
        </w:tc>
        <w:tc>
          <w:tcPr>
            <w:tcW w:w="113" w:type="dxa"/>
            <w:tcBorders/>
            <w:vAlign w:val="center"/>
          </w:tcPr>
          <w:p>
            <w:pPr>
              <w:pStyle w:val="TableContents"/>
              <w:bidi w:val="0"/>
              <w:spacing w:before="0" w:after="283"/>
              <w:jc w:val="left"/>
              <w:rPr>
                <w:sz w:val="4"/>
                <w:szCs w:val="4"/>
              </w:rPr>
            </w:pPr>
            <w:r>
              <w:rPr>
                <w:sz w:val="4"/>
                <w:szCs w:val="4"/>
              </w:rPr>
            </w:r>
          </w:p>
        </w:tc>
        <w:tc>
          <w:tcPr>
            <w:tcW w:w="23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2"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20,872</w:t>
            </w:r>
          </w:p>
        </w:tc>
      </w:tr>
      <w:tr>
        <w:trPr/>
        <w:tc>
          <w:tcPr>
            <w:tcW w:w="557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Total operating expenses</w:t>
            </w:r>
          </w:p>
        </w:tc>
        <w:tc>
          <w:tcPr>
            <w:tcW w:w="113" w:type="dxa"/>
            <w:tcBorders/>
            <w:shd w:fill="CCEEFF" w:val="cle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8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337,581</w:t>
            </w:r>
          </w:p>
        </w:tc>
        <w:tc>
          <w:tcPr>
            <w:tcW w:w="113" w:type="dxa"/>
            <w:tcBorders/>
            <w:shd w:fill="CCEEFF" w:val="cle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32"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329,636</w:t>
            </w:r>
          </w:p>
        </w:tc>
      </w:tr>
      <w:tr>
        <w:trPr/>
        <w:tc>
          <w:tcPr>
            <w:tcW w:w="557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85"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32"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557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Operating income</w:t>
            </w:r>
          </w:p>
        </w:tc>
        <w:tc>
          <w:tcPr>
            <w:tcW w:w="113" w:type="dxa"/>
            <w:tcBorders/>
            <w:shd w:fill="CCEEFF" w:val="clear"/>
            <w:vAlign w:val="center"/>
          </w:tcPr>
          <w:p>
            <w:pPr>
              <w:pStyle w:val="TableContents"/>
              <w:bidi w:val="0"/>
              <w:spacing w:before="0" w:after="283"/>
              <w:jc w:val="left"/>
              <w:rPr>
                <w:sz w:val="4"/>
                <w:szCs w:val="4"/>
              </w:rPr>
            </w:pPr>
            <w:r>
              <w:rPr>
                <w:sz w:val="4"/>
                <w:szCs w:val="4"/>
              </w:rPr>
            </w:r>
          </w:p>
        </w:tc>
        <w:tc>
          <w:tcPr>
            <w:tcW w:w="235" w:type="dxa"/>
            <w:tcBorders/>
            <w:shd w:fill="CCEEFF" w:val="clear"/>
            <w:vAlign w:val="center"/>
          </w:tcPr>
          <w:p>
            <w:pPr>
              <w:pStyle w:val="TableContents"/>
              <w:bidi w:val="0"/>
              <w:spacing w:before="0" w:after="283"/>
              <w:jc w:val="left"/>
              <w:rPr>
                <w:sz w:val="4"/>
                <w:szCs w:val="4"/>
              </w:rPr>
            </w:pPr>
            <w:r>
              <w:rPr>
                <w:sz w:val="4"/>
                <w:szCs w:val="4"/>
              </w:rPr>
            </w:r>
          </w:p>
        </w:tc>
        <w:tc>
          <w:tcPr>
            <w:tcW w:w="98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193,273</w:t>
            </w:r>
          </w:p>
        </w:tc>
        <w:tc>
          <w:tcPr>
            <w:tcW w:w="113" w:type="dxa"/>
            <w:tcBorders/>
            <w:shd w:fill="CCEEFF" w:val="clear"/>
            <w:vAlign w:val="center"/>
          </w:tcPr>
          <w:p>
            <w:pPr>
              <w:pStyle w:val="TableContents"/>
              <w:bidi w:val="0"/>
              <w:spacing w:before="0" w:after="283"/>
              <w:jc w:val="left"/>
              <w:rPr>
                <w:sz w:val="4"/>
                <w:szCs w:val="4"/>
              </w:rPr>
            </w:pPr>
            <w:r>
              <w:rPr>
                <w:sz w:val="4"/>
                <w:szCs w:val="4"/>
              </w:rPr>
            </w:r>
          </w:p>
        </w:tc>
        <w:tc>
          <w:tcPr>
            <w:tcW w:w="235" w:type="dxa"/>
            <w:tcBorders/>
            <w:shd w:fill="CCEEFF" w:val="clear"/>
            <w:vAlign w:val="center"/>
          </w:tcPr>
          <w:p>
            <w:pPr>
              <w:pStyle w:val="TableContents"/>
              <w:bidi w:val="0"/>
              <w:spacing w:before="0" w:after="283"/>
              <w:jc w:val="left"/>
              <w:rPr>
                <w:sz w:val="4"/>
                <w:szCs w:val="4"/>
              </w:rPr>
            </w:pPr>
            <w:r>
              <w:rPr>
                <w:sz w:val="4"/>
                <w:szCs w:val="4"/>
              </w:rPr>
            </w:r>
          </w:p>
        </w:tc>
        <w:tc>
          <w:tcPr>
            <w:tcW w:w="103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185,271</w:t>
            </w:r>
          </w:p>
        </w:tc>
      </w:tr>
      <w:tr>
        <w:trPr/>
        <w:tc>
          <w:tcPr>
            <w:tcW w:w="557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r>
      <w:tr>
        <w:trPr/>
        <w:tc>
          <w:tcPr>
            <w:tcW w:w="557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Other expense (income):</w:t>
            </w:r>
          </w:p>
        </w:tc>
        <w:tc>
          <w:tcPr>
            <w:tcW w:w="113" w:type="dxa"/>
            <w:tcBorders/>
            <w:shd w:fill="CCEEFF" w:val="clear"/>
            <w:vAlign w:val="center"/>
          </w:tcPr>
          <w:p>
            <w:pPr>
              <w:pStyle w:val="TableContents"/>
              <w:bidi w:val="0"/>
              <w:spacing w:before="0" w:after="283"/>
              <w:jc w:val="left"/>
              <w:rPr>
                <w:sz w:val="4"/>
                <w:szCs w:val="4"/>
              </w:rPr>
            </w:pPr>
            <w:r>
              <w:rPr>
                <w:sz w:val="4"/>
                <w:szCs w:val="4"/>
              </w:rPr>
            </w:r>
          </w:p>
        </w:tc>
        <w:tc>
          <w:tcPr>
            <w:tcW w:w="235" w:type="dxa"/>
            <w:tcBorders/>
            <w:shd w:fill="CCEEFF" w:val="clear"/>
            <w:vAlign w:val="center"/>
          </w:tcPr>
          <w:p>
            <w:pPr>
              <w:pStyle w:val="TableContents"/>
              <w:bidi w:val="0"/>
              <w:spacing w:before="0" w:after="283"/>
              <w:jc w:val="left"/>
              <w:rPr>
                <w:sz w:val="4"/>
                <w:szCs w:val="4"/>
              </w:rPr>
            </w:pPr>
            <w:r>
              <w:rPr>
                <w:sz w:val="4"/>
                <w:szCs w:val="4"/>
              </w:rPr>
            </w:r>
          </w:p>
        </w:tc>
        <w:tc>
          <w:tcPr>
            <w:tcW w:w="985" w:type="dxa"/>
            <w:tcBorders/>
            <w:shd w:fill="CCEEFF" w:val="clear"/>
            <w:vAlign w:val="center"/>
          </w:tcPr>
          <w:p>
            <w:pPr>
              <w:pStyle w:val="TableContents"/>
              <w:bidi w:val="0"/>
              <w:spacing w:before="0" w:after="283"/>
              <w:jc w:val="left"/>
              <w:rPr>
                <w:sz w:val="4"/>
                <w:szCs w:val="4"/>
              </w:rPr>
            </w:pPr>
            <w:r>
              <w:rPr>
                <w:sz w:val="4"/>
                <w:szCs w:val="4"/>
              </w:rPr>
            </w:r>
          </w:p>
        </w:tc>
        <w:tc>
          <w:tcPr>
            <w:tcW w:w="113" w:type="dxa"/>
            <w:tcBorders/>
            <w:shd w:fill="CCEEFF" w:val="clear"/>
            <w:vAlign w:val="center"/>
          </w:tcPr>
          <w:p>
            <w:pPr>
              <w:pStyle w:val="TableContents"/>
              <w:bidi w:val="0"/>
              <w:spacing w:before="0" w:after="283"/>
              <w:jc w:val="left"/>
              <w:rPr>
                <w:sz w:val="4"/>
                <w:szCs w:val="4"/>
              </w:rPr>
            </w:pPr>
            <w:r>
              <w:rPr>
                <w:sz w:val="4"/>
                <w:szCs w:val="4"/>
              </w:rPr>
            </w:r>
          </w:p>
        </w:tc>
        <w:tc>
          <w:tcPr>
            <w:tcW w:w="235" w:type="dxa"/>
            <w:tcBorders/>
            <w:shd w:fill="CCEEFF" w:val="clear"/>
            <w:vAlign w:val="center"/>
          </w:tcPr>
          <w:p>
            <w:pPr>
              <w:pStyle w:val="TableContents"/>
              <w:bidi w:val="0"/>
              <w:spacing w:before="0" w:after="283"/>
              <w:jc w:val="left"/>
              <w:rPr>
                <w:sz w:val="4"/>
                <w:szCs w:val="4"/>
              </w:rPr>
            </w:pPr>
            <w:r>
              <w:rPr>
                <w:sz w:val="4"/>
                <w:szCs w:val="4"/>
              </w:rPr>
            </w:r>
          </w:p>
        </w:tc>
        <w:tc>
          <w:tcPr>
            <w:tcW w:w="1032" w:type="dxa"/>
            <w:tcBorders/>
            <w:shd w:fill="CCEEFF" w:val="clear"/>
            <w:vAlign w:val="center"/>
          </w:tcPr>
          <w:p>
            <w:pPr>
              <w:pStyle w:val="TableContents"/>
              <w:bidi w:val="0"/>
              <w:spacing w:before="0" w:after="283"/>
              <w:jc w:val="left"/>
              <w:rPr>
                <w:sz w:val="4"/>
                <w:szCs w:val="4"/>
              </w:rPr>
            </w:pPr>
            <w:r>
              <w:rPr>
                <w:sz w:val="4"/>
                <w:szCs w:val="4"/>
              </w:rPr>
            </w:r>
          </w:p>
        </w:tc>
      </w:tr>
      <w:tr>
        <w:trPr/>
        <w:tc>
          <w:tcPr>
            <w:tcW w:w="557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Interest expense</w:t>
            </w:r>
          </w:p>
        </w:tc>
        <w:tc>
          <w:tcPr>
            <w:tcW w:w="11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89,111</w:t>
            </w:r>
          </w:p>
        </w:tc>
        <w:tc>
          <w:tcPr>
            <w:tcW w:w="11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79,809</w:t>
            </w:r>
          </w:p>
        </w:tc>
      </w:tr>
      <w:tr>
        <w:trPr/>
        <w:tc>
          <w:tcPr>
            <w:tcW w:w="557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Interest income</w:t>
            </w:r>
          </w:p>
        </w:tc>
        <w:tc>
          <w:tcPr>
            <w:tcW w:w="113" w:type="dxa"/>
            <w:tcBorders/>
            <w:shd w:fill="CCEEFF" w:val="clear"/>
            <w:vAlign w:val="center"/>
          </w:tcPr>
          <w:p>
            <w:pPr>
              <w:pStyle w:val="TableContents"/>
              <w:bidi w:val="0"/>
              <w:spacing w:before="0" w:after="283"/>
              <w:jc w:val="left"/>
              <w:rPr>
                <w:sz w:val="4"/>
                <w:szCs w:val="4"/>
              </w:rPr>
            </w:pPr>
            <w:r>
              <w:rPr>
                <w:sz w:val="4"/>
                <w:szCs w:val="4"/>
              </w:rPr>
            </w:r>
          </w:p>
        </w:tc>
        <w:tc>
          <w:tcPr>
            <w:tcW w:w="235" w:type="dxa"/>
            <w:tcBorders/>
            <w:shd w:fill="CCEEFF" w:val="clear"/>
            <w:vAlign w:val="center"/>
          </w:tcPr>
          <w:p>
            <w:pPr>
              <w:pStyle w:val="TableContents"/>
              <w:bidi w:val="0"/>
              <w:spacing w:before="0" w:after="283"/>
              <w:jc w:val="left"/>
              <w:rPr>
                <w:sz w:val="4"/>
                <w:szCs w:val="4"/>
              </w:rPr>
            </w:pPr>
            <w:r>
              <w:rPr>
                <w:sz w:val="4"/>
                <w:szCs w:val="4"/>
              </w:rPr>
            </w:r>
          </w:p>
        </w:tc>
        <w:tc>
          <w:tcPr>
            <w:tcW w:w="98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(510)</w:t>
            </w:r>
          </w:p>
        </w:tc>
        <w:tc>
          <w:tcPr>
            <w:tcW w:w="113" w:type="dxa"/>
            <w:tcBorders/>
            <w:shd w:fill="CCEEFF" w:val="clear"/>
            <w:vAlign w:val="center"/>
          </w:tcPr>
          <w:p>
            <w:pPr>
              <w:pStyle w:val="TableContents"/>
              <w:bidi w:val="0"/>
              <w:spacing w:before="0" w:after="283"/>
              <w:jc w:val="left"/>
              <w:rPr>
                <w:sz w:val="4"/>
                <w:szCs w:val="4"/>
              </w:rPr>
            </w:pPr>
            <w:r>
              <w:rPr>
                <w:sz w:val="4"/>
                <w:szCs w:val="4"/>
              </w:rPr>
            </w:r>
          </w:p>
        </w:tc>
        <w:tc>
          <w:tcPr>
            <w:tcW w:w="235" w:type="dxa"/>
            <w:tcBorders/>
            <w:shd w:fill="CCEEFF" w:val="clear"/>
            <w:vAlign w:val="center"/>
          </w:tcPr>
          <w:p>
            <w:pPr>
              <w:pStyle w:val="TableContents"/>
              <w:bidi w:val="0"/>
              <w:spacing w:before="0" w:after="283"/>
              <w:jc w:val="left"/>
              <w:rPr>
                <w:sz w:val="4"/>
                <w:szCs w:val="4"/>
              </w:rPr>
            </w:pPr>
            <w:r>
              <w:rPr>
                <w:sz w:val="4"/>
                <w:szCs w:val="4"/>
              </w:rPr>
            </w:r>
          </w:p>
        </w:tc>
        <w:tc>
          <w:tcPr>
            <w:tcW w:w="103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(301)</w:t>
            </w:r>
          </w:p>
        </w:tc>
      </w:tr>
      <w:tr>
        <w:trPr/>
        <w:tc>
          <w:tcPr>
            <w:tcW w:w="557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Allowance for funds used during construction</w:t>
            </w:r>
          </w:p>
        </w:tc>
        <w:tc>
          <w:tcPr>
            <w:tcW w:w="11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(5,739)</w:t>
            </w:r>
          </w:p>
        </w:tc>
        <w:tc>
          <w:tcPr>
            <w:tcW w:w="11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(7,027)</w:t>
            </w:r>
          </w:p>
        </w:tc>
      </w:tr>
      <w:tr>
        <w:trPr/>
        <w:tc>
          <w:tcPr>
            <w:tcW w:w="557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Other, net</w:t>
            </w:r>
          </w:p>
        </w:tc>
        <w:tc>
          <w:tcPr>
            <w:tcW w:w="113" w:type="dxa"/>
            <w:tcBorders/>
            <w:shd w:fill="CCEEFF" w:val="clear"/>
            <w:vAlign w:val="center"/>
          </w:tcPr>
          <w:p>
            <w:pPr>
              <w:pStyle w:val="TableContents"/>
              <w:bidi w:val="0"/>
              <w:spacing w:before="0" w:after="283"/>
              <w:jc w:val="left"/>
              <w:rPr>
                <w:sz w:val="4"/>
                <w:szCs w:val="4"/>
              </w:rPr>
            </w:pPr>
            <w:r>
              <w:rPr>
                <w:sz w:val="4"/>
                <w:szCs w:val="4"/>
              </w:rPr>
            </w:r>
          </w:p>
        </w:tc>
        <w:tc>
          <w:tcPr>
            <w:tcW w:w="235"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85"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1,295</w:t>
            </w:r>
          </w:p>
        </w:tc>
        <w:tc>
          <w:tcPr>
            <w:tcW w:w="113" w:type="dxa"/>
            <w:tcBorders/>
            <w:shd w:fill="CCEEFF" w:val="clear"/>
            <w:vAlign w:val="center"/>
          </w:tcPr>
          <w:p>
            <w:pPr>
              <w:pStyle w:val="TableContents"/>
              <w:bidi w:val="0"/>
              <w:spacing w:before="0" w:after="283"/>
              <w:jc w:val="left"/>
              <w:rPr>
                <w:sz w:val="4"/>
                <w:szCs w:val="4"/>
              </w:rPr>
            </w:pPr>
            <w:r>
              <w:rPr>
                <w:sz w:val="4"/>
                <w:szCs w:val="4"/>
              </w:rPr>
            </w:r>
          </w:p>
        </w:tc>
        <w:tc>
          <w:tcPr>
            <w:tcW w:w="235"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2"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391</w:t>
            </w:r>
          </w:p>
        </w:tc>
      </w:tr>
      <w:tr>
        <w:trPr/>
        <w:tc>
          <w:tcPr>
            <w:tcW w:w="557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Income before income taxes</w:t>
            </w:r>
          </w:p>
        </w:tc>
        <w:tc>
          <w:tcPr>
            <w:tcW w:w="113" w:type="dxa"/>
            <w:tcBorders/>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85"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109,116</w:t>
            </w:r>
          </w:p>
        </w:tc>
        <w:tc>
          <w:tcPr>
            <w:tcW w:w="113" w:type="dxa"/>
            <w:tcBorders/>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32"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112,399</w:t>
            </w:r>
          </w:p>
        </w:tc>
      </w:tr>
      <w:tr>
        <w:trPr/>
        <w:tc>
          <w:tcPr>
            <w:tcW w:w="557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Income tax expense</w:t>
            </w:r>
          </w:p>
        </w:tc>
        <w:tc>
          <w:tcPr>
            <w:tcW w:w="113" w:type="dxa"/>
            <w:tcBorders/>
            <w:shd w:fill="CCEEFF" w:val="clear"/>
            <w:vAlign w:val="center"/>
          </w:tcPr>
          <w:p>
            <w:pPr>
              <w:pStyle w:val="TableContents"/>
              <w:bidi w:val="0"/>
              <w:spacing w:before="0" w:after="283"/>
              <w:jc w:val="left"/>
              <w:rPr>
                <w:sz w:val="4"/>
                <w:szCs w:val="4"/>
              </w:rPr>
            </w:pPr>
            <w:r>
              <w:rPr>
                <w:sz w:val="4"/>
                <w:szCs w:val="4"/>
              </w:rPr>
            </w:r>
          </w:p>
        </w:tc>
        <w:tc>
          <w:tcPr>
            <w:tcW w:w="235"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85"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3,391</w:t>
            </w:r>
          </w:p>
        </w:tc>
        <w:tc>
          <w:tcPr>
            <w:tcW w:w="113" w:type="dxa"/>
            <w:tcBorders/>
            <w:shd w:fill="CCEEFF" w:val="clear"/>
            <w:vAlign w:val="center"/>
          </w:tcPr>
          <w:p>
            <w:pPr>
              <w:pStyle w:val="TableContents"/>
              <w:bidi w:val="0"/>
              <w:spacing w:before="0" w:after="283"/>
              <w:jc w:val="left"/>
              <w:rPr>
                <w:sz w:val="4"/>
                <w:szCs w:val="4"/>
              </w:rPr>
            </w:pPr>
            <w:r>
              <w:rPr>
                <w:sz w:val="4"/>
                <w:szCs w:val="4"/>
              </w:rPr>
            </w:r>
          </w:p>
        </w:tc>
        <w:tc>
          <w:tcPr>
            <w:tcW w:w="235"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2"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4,572</w:t>
            </w:r>
          </w:p>
        </w:tc>
      </w:tr>
      <w:tr>
        <w:trPr/>
        <w:tc>
          <w:tcPr>
            <w:tcW w:w="557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Net income</w:t>
            </w:r>
          </w:p>
        </w:tc>
        <w:tc>
          <w:tcPr>
            <w:tcW w:w="113" w:type="dxa"/>
            <w:tcBorders/>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985"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105,725</w:t>
            </w:r>
          </w:p>
        </w:tc>
        <w:tc>
          <w:tcPr>
            <w:tcW w:w="113" w:type="dxa"/>
            <w:tcBorders/>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1032"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107,827</w:t>
            </w:r>
          </w:p>
        </w:tc>
      </w:tr>
      <w:tr>
        <w:trPr/>
        <w:tc>
          <w:tcPr>
            <w:tcW w:w="5579" w:type="dxa"/>
            <w:tcBorders/>
            <w:shd w:fill="CCEEFF" w:val="clear"/>
            <w:vAlign w:val="center"/>
          </w:tcPr>
          <w:p>
            <w:pPr>
              <w:pStyle w:val="TableContents"/>
              <w:bidi w:val="0"/>
              <w:spacing w:before="0" w:after="283"/>
              <w:jc w:val="left"/>
              <w:rPr>
                <w:sz w:val="4"/>
                <w:szCs w:val="4"/>
              </w:rPr>
            </w:pPr>
            <w:r>
              <w:rPr>
                <w:sz w:val="4"/>
                <w:szCs w:val="4"/>
              </w:rPr>
            </w:r>
          </w:p>
        </w:tc>
        <w:tc>
          <w:tcPr>
            <w:tcW w:w="113" w:type="dxa"/>
            <w:tcBorders/>
            <w:shd w:fill="CCEEFF" w:val="clear"/>
            <w:vAlign w:val="center"/>
          </w:tcPr>
          <w:p>
            <w:pPr>
              <w:pStyle w:val="TableContents"/>
              <w:bidi w:val="0"/>
              <w:spacing w:before="0" w:after="283"/>
              <w:jc w:val="left"/>
              <w:rPr>
                <w:sz w:val="4"/>
                <w:szCs w:val="4"/>
              </w:rPr>
            </w:pPr>
            <w:r>
              <w:rPr>
                <w:sz w:val="4"/>
                <w:szCs w:val="4"/>
              </w:rPr>
            </w:r>
          </w:p>
        </w:tc>
        <w:tc>
          <w:tcPr>
            <w:tcW w:w="235"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85"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13" w:type="dxa"/>
            <w:tcBorders/>
            <w:shd w:fill="CCEEFF" w:val="clear"/>
            <w:vAlign w:val="center"/>
          </w:tcPr>
          <w:p>
            <w:pPr>
              <w:pStyle w:val="TableContents"/>
              <w:bidi w:val="0"/>
              <w:spacing w:before="0" w:after="283"/>
              <w:jc w:val="left"/>
              <w:rPr>
                <w:sz w:val="4"/>
                <w:szCs w:val="4"/>
              </w:rPr>
            </w:pPr>
            <w:r>
              <w:rPr>
                <w:sz w:val="4"/>
                <w:szCs w:val="4"/>
              </w:rPr>
            </w:r>
          </w:p>
        </w:tc>
        <w:tc>
          <w:tcPr>
            <w:tcW w:w="235"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2"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557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Comprehensive income</w:t>
            </w:r>
          </w:p>
        </w:tc>
        <w:tc>
          <w:tcPr>
            <w:tcW w:w="113" w:type="dxa"/>
            <w:tcBorders/>
            <w:vAlign w:val="center"/>
          </w:tcPr>
          <w:p>
            <w:pPr>
              <w:pStyle w:val="TableContents"/>
              <w:bidi w:val="0"/>
              <w:spacing w:before="0" w:after="283"/>
              <w:jc w:val="left"/>
              <w:rPr>
                <w:sz w:val="4"/>
                <w:szCs w:val="4"/>
              </w:rPr>
            </w:pPr>
            <w:r>
              <w:rPr>
                <w:sz w:val="4"/>
                <w:szCs w:val="4"/>
              </w:rPr>
            </w:r>
          </w:p>
        </w:tc>
        <w:tc>
          <w:tcPr>
            <w:tcW w:w="235" w:type="dxa"/>
            <w:tcBorders>
              <w:bottom w:val="double" w:sz="6"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985" w:type="dxa"/>
            <w:tcBorders>
              <w:bottom w:val="double" w:sz="6"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105,725</w:t>
            </w:r>
          </w:p>
        </w:tc>
        <w:tc>
          <w:tcPr>
            <w:tcW w:w="113" w:type="dxa"/>
            <w:tcBorders/>
            <w:vAlign w:val="center"/>
          </w:tcPr>
          <w:p>
            <w:pPr>
              <w:pStyle w:val="TableContents"/>
              <w:bidi w:val="0"/>
              <w:spacing w:before="0" w:after="283"/>
              <w:jc w:val="left"/>
              <w:rPr>
                <w:sz w:val="4"/>
                <w:szCs w:val="4"/>
              </w:rPr>
            </w:pPr>
            <w:r>
              <w:rPr>
                <w:sz w:val="4"/>
                <w:szCs w:val="4"/>
              </w:rPr>
            </w:r>
          </w:p>
        </w:tc>
        <w:tc>
          <w:tcPr>
            <w:tcW w:w="235" w:type="dxa"/>
            <w:tcBorders>
              <w:bottom w:val="double" w:sz="6"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1032" w:type="dxa"/>
            <w:tcBorders>
              <w:bottom w:val="double" w:sz="6"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107,827</w:t>
            </w:r>
          </w:p>
        </w:tc>
      </w:tr>
      <w:tr>
        <w:trPr/>
        <w:tc>
          <w:tcPr>
            <w:tcW w:w="5579" w:type="dxa"/>
            <w:tcBorders/>
            <w:shd w:fill="CCEEFF" w:val="clear"/>
            <w:vAlign w:val="center"/>
          </w:tcPr>
          <w:p>
            <w:pPr>
              <w:pStyle w:val="TableContents"/>
              <w:bidi w:val="0"/>
              <w:spacing w:before="0" w:after="283"/>
              <w:jc w:val="left"/>
              <w:rPr>
                <w:sz w:val="4"/>
                <w:szCs w:val="4"/>
              </w:rPr>
            </w:pPr>
            <w:r>
              <w:rPr>
                <w:sz w:val="4"/>
                <w:szCs w:val="4"/>
              </w:rPr>
            </w:r>
          </w:p>
        </w:tc>
        <w:tc>
          <w:tcPr>
            <w:tcW w:w="113" w:type="dxa"/>
            <w:tcBorders/>
            <w:shd w:fill="CCEEFF" w:val="clear"/>
            <w:vAlign w:val="center"/>
          </w:tcPr>
          <w:p>
            <w:pPr>
              <w:pStyle w:val="TableContents"/>
              <w:bidi w:val="0"/>
              <w:spacing w:before="0" w:after="283"/>
              <w:jc w:val="left"/>
              <w:rPr>
                <w:sz w:val="4"/>
                <w:szCs w:val="4"/>
              </w:rPr>
            </w:pPr>
            <w:r>
              <w:rPr>
                <w:sz w:val="4"/>
                <w:szCs w:val="4"/>
              </w:rPr>
            </w:r>
          </w:p>
        </w:tc>
        <w:tc>
          <w:tcPr>
            <w:tcW w:w="235"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85"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13" w:type="dxa"/>
            <w:tcBorders/>
            <w:shd w:fill="CCEEFF" w:val="clear"/>
            <w:vAlign w:val="center"/>
          </w:tcPr>
          <w:p>
            <w:pPr>
              <w:pStyle w:val="TableContents"/>
              <w:bidi w:val="0"/>
              <w:spacing w:before="0" w:after="283"/>
              <w:jc w:val="left"/>
              <w:rPr>
                <w:sz w:val="4"/>
                <w:szCs w:val="4"/>
              </w:rPr>
            </w:pPr>
            <w:r>
              <w:rPr>
                <w:sz w:val="4"/>
                <w:szCs w:val="4"/>
              </w:rPr>
            </w:r>
          </w:p>
        </w:tc>
        <w:tc>
          <w:tcPr>
            <w:tcW w:w="235"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2"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557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Net income per common share:</w:t>
            </w:r>
          </w:p>
        </w:tc>
        <w:tc>
          <w:tcPr>
            <w:tcW w:w="11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r>
      <w:tr>
        <w:trPr/>
        <w:tc>
          <w:tcPr>
            <w:tcW w:w="557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Basic</w:t>
            </w:r>
          </w:p>
        </w:tc>
        <w:tc>
          <w:tcPr>
            <w:tcW w:w="113" w:type="dxa"/>
            <w:tcBorders/>
            <w:shd w:fill="CCEEFF" w:val="clear"/>
            <w:vAlign w:val="center"/>
          </w:tcPr>
          <w:p>
            <w:pPr>
              <w:pStyle w:val="TableContents"/>
              <w:bidi w:val="0"/>
              <w:spacing w:before="0" w:after="283"/>
              <w:jc w:val="left"/>
              <w:rPr>
                <w:sz w:val="4"/>
                <w:szCs w:val="4"/>
              </w:rPr>
            </w:pPr>
            <w:r>
              <w:rPr>
                <w:sz w:val="4"/>
                <w:szCs w:val="4"/>
              </w:rPr>
            </w:r>
          </w:p>
        </w:tc>
        <w:tc>
          <w:tcPr>
            <w:tcW w:w="235" w:type="dxa"/>
            <w:tcBorders>
              <w:bottom w:val="double" w:sz="6"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985" w:type="dxa"/>
            <w:tcBorders>
              <w:bottom w:val="double" w:sz="6"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0.37</w:t>
            </w:r>
          </w:p>
        </w:tc>
        <w:tc>
          <w:tcPr>
            <w:tcW w:w="113" w:type="dxa"/>
            <w:tcBorders/>
            <w:shd w:fill="CCEEFF" w:val="clear"/>
            <w:vAlign w:val="center"/>
          </w:tcPr>
          <w:p>
            <w:pPr>
              <w:pStyle w:val="TableContents"/>
              <w:bidi w:val="0"/>
              <w:spacing w:before="0" w:after="283"/>
              <w:jc w:val="left"/>
              <w:rPr>
                <w:sz w:val="4"/>
                <w:szCs w:val="4"/>
              </w:rPr>
            </w:pPr>
            <w:r>
              <w:rPr>
                <w:sz w:val="4"/>
                <w:szCs w:val="4"/>
              </w:rPr>
            </w:r>
          </w:p>
        </w:tc>
        <w:tc>
          <w:tcPr>
            <w:tcW w:w="235" w:type="dxa"/>
            <w:tcBorders>
              <w:bottom w:val="double" w:sz="6"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1032" w:type="dxa"/>
            <w:tcBorders>
              <w:bottom w:val="double" w:sz="6"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0.38</w:t>
            </w:r>
          </w:p>
        </w:tc>
      </w:tr>
      <w:tr>
        <w:trPr/>
        <w:tc>
          <w:tcPr>
            <w:tcW w:w="557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Diluted</w:t>
            </w:r>
          </w:p>
        </w:tc>
        <w:tc>
          <w:tcPr>
            <w:tcW w:w="113" w:type="dxa"/>
            <w:tcBorders/>
            <w:vAlign w:val="center"/>
          </w:tcPr>
          <w:p>
            <w:pPr>
              <w:pStyle w:val="TableContents"/>
              <w:bidi w:val="0"/>
              <w:spacing w:before="0" w:after="283"/>
              <w:jc w:val="left"/>
              <w:rPr>
                <w:sz w:val="4"/>
                <w:szCs w:val="4"/>
              </w:rPr>
            </w:pPr>
            <w:r>
              <w:rPr>
                <w:sz w:val="4"/>
                <w:szCs w:val="4"/>
              </w:rPr>
            </w:r>
          </w:p>
        </w:tc>
        <w:tc>
          <w:tcPr>
            <w:tcW w:w="235"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985"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0.37</w:t>
            </w:r>
          </w:p>
        </w:tc>
        <w:tc>
          <w:tcPr>
            <w:tcW w:w="113" w:type="dxa"/>
            <w:tcBorders/>
            <w:vAlign w:val="center"/>
          </w:tcPr>
          <w:p>
            <w:pPr>
              <w:pStyle w:val="TableContents"/>
              <w:bidi w:val="0"/>
              <w:spacing w:before="0" w:after="283"/>
              <w:jc w:val="left"/>
              <w:rPr>
                <w:sz w:val="4"/>
                <w:szCs w:val="4"/>
              </w:rPr>
            </w:pPr>
            <w:r>
              <w:rPr>
                <w:sz w:val="4"/>
                <w:szCs w:val="4"/>
              </w:rPr>
            </w:r>
          </w:p>
        </w:tc>
        <w:tc>
          <w:tcPr>
            <w:tcW w:w="235"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1032"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0.38</w:t>
            </w:r>
          </w:p>
        </w:tc>
      </w:tr>
      <w:tr>
        <w:trPr/>
        <w:tc>
          <w:tcPr>
            <w:tcW w:w="5579" w:type="dxa"/>
            <w:tcBorders/>
            <w:shd w:fill="CCEEFF" w:val="clear"/>
            <w:vAlign w:val="center"/>
          </w:tcPr>
          <w:p>
            <w:pPr>
              <w:pStyle w:val="TableContents"/>
              <w:bidi w:val="0"/>
              <w:spacing w:before="0" w:after="283"/>
              <w:jc w:val="left"/>
              <w:rPr>
                <w:sz w:val="4"/>
                <w:szCs w:val="4"/>
              </w:rPr>
            </w:pPr>
            <w:r>
              <w:rPr>
                <w:sz w:val="4"/>
                <w:szCs w:val="4"/>
              </w:rPr>
            </w:r>
          </w:p>
        </w:tc>
        <w:tc>
          <w:tcPr>
            <w:tcW w:w="113" w:type="dxa"/>
            <w:tcBorders/>
            <w:shd w:fill="CCEEFF" w:val="clear"/>
            <w:vAlign w:val="center"/>
          </w:tcPr>
          <w:p>
            <w:pPr>
              <w:pStyle w:val="TableContents"/>
              <w:bidi w:val="0"/>
              <w:spacing w:before="0" w:after="283"/>
              <w:jc w:val="left"/>
              <w:rPr>
                <w:sz w:val="4"/>
                <w:szCs w:val="4"/>
              </w:rPr>
            </w:pPr>
            <w:r>
              <w:rPr>
                <w:sz w:val="4"/>
                <w:szCs w:val="4"/>
              </w:rPr>
            </w:r>
          </w:p>
        </w:tc>
        <w:tc>
          <w:tcPr>
            <w:tcW w:w="235"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85"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13" w:type="dxa"/>
            <w:tcBorders/>
            <w:shd w:fill="CCEEFF" w:val="clear"/>
            <w:vAlign w:val="center"/>
          </w:tcPr>
          <w:p>
            <w:pPr>
              <w:pStyle w:val="TableContents"/>
              <w:bidi w:val="0"/>
              <w:spacing w:before="0" w:after="283"/>
              <w:jc w:val="left"/>
              <w:rPr>
                <w:sz w:val="4"/>
                <w:szCs w:val="4"/>
              </w:rPr>
            </w:pPr>
            <w:r>
              <w:rPr>
                <w:sz w:val="4"/>
                <w:szCs w:val="4"/>
              </w:rPr>
            </w:r>
          </w:p>
        </w:tc>
        <w:tc>
          <w:tcPr>
            <w:tcW w:w="235"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2"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557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Average common shares outstanding during the period:</w:t>
            </w:r>
          </w:p>
        </w:tc>
        <w:tc>
          <w:tcPr>
            <w:tcW w:w="11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r>
      <w:tr>
        <w:trPr/>
        <w:tc>
          <w:tcPr>
            <w:tcW w:w="557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Basic</w:t>
            </w:r>
          </w:p>
        </w:tc>
        <w:tc>
          <w:tcPr>
            <w:tcW w:w="113" w:type="dxa"/>
            <w:tcBorders/>
            <w:shd w:fill="CCEEFF" w:val="clear"/>
            <w:vAlign w:val="center"/>
          </w:tcPr>
          <w:p>
            <w:pPr>
              <w:pStyle w:val="TableContents"/>
              <w:bidi w:val="0"/>
              <w:spacing w:before="0" w:after="283"/>
              <w:jc w:val="left"/>
              <w:rPr>
                <w:sz w:val="4"/>
                <w:szCs w:val="4"/>
              </w:rPr>
            </w:pPr>
            <w:r>
              <w:rPr>
                <w:sz w:val="4"/>
                <w:szCs w:val="4"/>
              </w:rPr>
            </w:r>
          </w:p>
        </w:tc>
        <w:tc>
          <w:tcPr>
            <w:tcW w:w="235" w:type="dxa"/>
            <w:tcBorders>
              <w:bottom w:val="double" w:sz="6"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85" w:type="dxa"/>
            <w:tcBorders>
              <w:bottom w:val="double" w:sz="6"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24"/>
              </w:rPr>
            </w:pPr>
            <w:r>
              <w:rPr>
                <w:rFonts w:ascii="Times New Roman;serif" w:hAnsi="Times New Roman;serif"/>
                <w:b w:val="false"/>
                <w:i w:val="false"/>
                <w:caps w:val="false"/>
                <w:smallCaps w:val="false"/>
                <w:color w:val="000000"/>
                <w:sz w:val="24"/>
              </w:rPr>
              <w:t>283,655</w:t>
            </w:r>
            <w:r>
              <w:rPr>
                <w:rFonts w:ascii="Times New Roman;serif" w:hAnsi="Times New Roman;serif"/>
                <w:caps w:val="false"/>
                <w:smallCaps w:val="false"/>
                <w:color w:val="000000"/>
                <w:sz w:val="24"/>
              </w:rPr>
              <w:t xml:space="preserve"> </w:t>
            </w:r>
          </w:p>
        </w:tc>
        <w:tc>
          <w:tcPr>
            <w:tcW w:w="113" w:type="dxa"/>
            <w:tcBorders/>
            <w:shd w:fill="CCEEFF" w:val="clear"/>
            <w:vAlign w:val="center"/>
          </w:tcPr>
          <w:p>
            <w:pPr>
              <w:pStyle w:val="TableContents"/>
              <w:bidi w:val="0"/>
              <w:spacing w:before="0" w:after="283"/>
              <w:jc w:val="left"/>
              <w:rPr>
                <w:sz w:val="4"/>
                <w:szCs w:val="4"/>
              </w:rPr>
            </w:pPr>
            <w:r>
              <w:rPr>
                <w:sz w:val="4"/>
                <w:szCs w:val="4"/>
              </w:rPr>
            </w:r>
          </w:p>
        </w:tc>
        <w:tc>
          <w:tcPr>
            <w:tcW w:w="235" w:type="dxa"/>
            <w:tcBorders>
              <w:bottom w:val="double" w:sz="6"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2" w:type="dxa"/>
            <w:tcBorders>
              <w:bottom w:val="double" w:sz="6"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24"/>
              </w:rPr>
            </w:pPr>
            <w:r>
              <w:rPr>
                <w:rFonts w:ascii="Times New Roman;serif" w:hAnsi="Times New Roman;serif"/>
                <w:b w:val="false"/>
                <w:i w:val="false"/>
                <w:caps w:val="false"/>
                <w:smallCaps w:val="false"/>
                <w:color w:val="000000"/>
                <w:sz w:val="24"/>
              </w:rPr>
              <w:t>280,275</w:t>
            </w:r>
            <w:r>
              <w:rPr>
                <w:rFonts w:ascii="Times New Roman;serif" w:hAnsi="Times New Roman;serif"/>
                <w:caps w:val="false"/>
                <w:smallCaps w:val="false"/>
                <w:color w:val="000000"/>
                <w:sz w:val="24"/>
              </w:rPr>
              <w:t xml:space="preserve"> </w:t>
            </w:r>
          </w:p>
        </w:tc>
      </w:tr>
      <w:tr>
        <w:trPr/>
        <w:tc>
          <w:tcPr>
            <w:tcW w:w="557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Diluted</w:t>
            </w:r>
          </w:p>
        </w:tc>
        <w:tc>
          <w:tcPr>
            <w:tcW w:w="113" w:type="dxa"/>
            <w:tcBorders/>
            <w:vAlign w:val="center"/>
          </w:tcPr>
          <w:p>
            <w:pPr>
              <w:pStyle w:val="TableContents"/>
              <w:bidi w:val="0"/>
              <w:spacing w:before="0" w:after="283"/>
              <w:jc w:val="left"/>
              <w:rPr>
                <w:sz w:val="4"/>
                <w:szCs w:val="4"/>
              </w:rPr>
            </w:pPr>
            <w:r>
              <w:rPr>
                <w:sz w:val="4"/>
                <w:szCs w:val="4"/>
              </w:rPr>
            </w:r>
          </w:p>
        </w:tc>
        <w:tc>
          <w:tcPr>
            <w:tcW w:w="235" w:type="dxa"/>
            <w:tcBorders>
              <w:top w:val="double" w:sz="6"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985"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24"/>
              </w:rPr>
            </w:pPr>
            <w:r>
              <w:rPr>
                <w:rFonts w:ascii="Times New Roman;serif" w:hAnsi="Times New Roman;serif"/>
                <w:b w:val="false"/>
                <w:i w:val="false"/>
                <w:caps w:val="false"/>
                <w:smallCaps w:val="false"/>
                <w:color w:val="000000"/>
                <w:sz w:val="24"/>
              </w:rPr>
              <w:t>284,088</w:t>
            </w:r>
            <w:r>
              <w:rPr>
                <w:rFonts w:ascii="Times New Roman;serif" w:hAnsi="Times New Roman;serif"/>
                <w:caps w:val="false"/>
                <w:smallCaps w:val="false"/>
                <w:color w:val="000000"/>
                <w:sz w:val="24"/>
              </w:rPr>
              <w:t xml:space="preserve"> </w:t>
            </w:r>
          </w:p>
        </w:tc>
        <w:tc>
          <w:tcPr>
            <w:tcW w:w="113" w:type="dxa"/>
            <w:tcBorders/>
            <w:vAlign w:val="center"/>
          </w:tcPr>
          <w:p>
            <w:pPr>
              <w:pStyle w:val="TableContents"/>
              <w:bidi w:val="0"/>
              <w:spacing w:before="0" w:after="283"/>
              <w:jc w:val="left"/>
              <w:rPr>
                <w:sz w:val="4"/>
                <w:szCs w:val="4"/>
              </w:rPr>
            </w:pPr>
            <w:r>
              <w:rPr>
                <w:sz w:val="4"/>
                <w:szCs w:val="4"/>
              </w:rPr>
            </w:r>
          </w:p>
        </w:tc>
        <w:tc>
          <w:tcPr>
            <w:tcW w:w="235" w:type="dxa"/>
            <w:tcBorders>
              <w:top w:val="double" w:sz="6"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32"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24"/>
              </w:rPr>
            </w:pPr>
            <w:r>
              <w:rPr>
                <w:rFonts w:ascii="Times New Roman;serif" w:hAnsi="Times New Roman;serif"/>
                <w:b w:val="false"/>
                <w:i w:val="false"/>
                <w:caps w:val="false"/>
                <w:smallCaps w:val="false"/>
                <w:color w:val="000000"/>
                <w:sz w:val="24"/>
              </w:rPr>
              <w:t>280,725</w:t>
            </w:r>
            <w:r>
              <w:rPr>
                <w:rFonts w:ascii="Times New Roman;serif" w:hAnsi="Times New Roman;serif"/>
                <w:caps w:val="false"/>
                <w:smallCaps w:val="false"/>
                <w:color w:val="000000"/>
                <w:sz w:val="24"/>
              </w:rPr>
              <w:t xml:space="preserve"> </w:t>
            </w:r>
          </w:p>
        </w:tc>
      </w:tr>
      <w:tr>
        <w:trPr/>
        <w:tc>
          <w:tcPr>
            <w:tcW w:w="557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5"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85"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5"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32"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8292" w:type="dxa"/>
            <w:gridSpan w:val="7"/>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The accompanying notes are an integral part of these consolidated financial statements</w:t>
            </w:r>
          </w:p>
        </w:tc>
      </w:tr>
    </w:tbl>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4</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563C1"/>
            <w:sz w:val="24"/>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ESSENTIAL UTILITIES, INC. AND SUBSIDIARIES </w:t>
      </w:r>
    </w:p>
    <w:p>
      <w:pPr>
        <w:pStyle w:val="TextBody"/>
        <w:bidi w:val="0"/>
        <w:spacing w:lineRule="auto" w:line="192"/>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 xml:space="preserve">CONDENSED CONSOLIDATED STATEMENTS OF OPERATIONS AND COMPREHENSIVE INCOME </w:t>
      </w:r>
    </w:p>
    <w:p>
      <w:pPr>
        <w:pStyle w:val="TextBody"/>
        <w:bidi w:val="0"/>
        <w:spacing w:lineRule="auto" w:line="259"/>
        <w:rPr>
          <w:rFonts w:ascii="Times New Roman;serif" w:hAnsi="Times New Roman;serif"/>
          <w:b w:val="false"/>
          <w:i w:val="false"/>
          <w:caps w:val="false"/>
          <w:smallCaps w:val="false"/>
          <w:color w:val="000000"/>
          <w:spacing w:val="0"/>
          <w:sz w:val="24"/>
        </w:rPr>
      </w:pPr>
      <w:r>
        <w:rPr>
          <w:rFonts w:ascii="Times New Roman;serif" w:hAnsi="Times New Roman;serif"/>
          <w:b w:val="false"/>
          <w:i w:val="false"/>
          <w:caps w:val="false"/>
          <w:smallCaps w:val="false"/>
          <w:color w:val="000000"/>
          <w:spacing w:val="0"/>
          <w:sz w:val="24"/>
        </w:rPr>
        <w:t>(In thousands, except per share amounts)</w:t>
      </w:r>
    </w:p>
    <w:p>
      <w:pPr>
        <w:pStyle w:val="TextBody"/>
        <w:bidi w:val="0"/>
        <w:spacing w:lineRule="auto" w:line="259"/>
        <w:rPr>
          <w:rFonts w:ascii="Times New Roman;serif" w:hAnsi="Times New Roman;serif"/>
          <w:b w:val="false"/>
          <w:i w:val="false"/>
          <w:caps w:val="false"/>
          <w:smallCaps w:val="false"/>
          <w:color w:val="000000"/>
          <w:spacing w:val="0"/>
          <w:sz w:val="24"/>
        </w:rPr>
      </w:pPr>
      <w:r>
        <w:rPr>
          <w:rFonts w:ascii="Times New Roman;serif" w:hAnsi="Times New Roman;serif"/>
          <w:b w:val="false"/>
          <w:i w:val="false"/>
          <w:caps w:val="false"/>
          <w:smallCaps w:val="false"/>
          <w:color w:val="000000"/>
          <w:spacing w:val="0"/>
          <w:sz w:val="24"/>
        </w:rPr>
        <w:t>(UNAUDITED)</w:t>
      </w:r>
    </w:p>
    <w:tbl>
      <w:tblPr>
        <w:tblW w:w="8293" w:type="dxa"/>
        <w:jc w:val="left"/>
        <w:tblInd w:w="0" w:type="dxa"/>
        <w:tblLayout w:type="fixed"/>
        <w:tblCellMar>
          <w:top w:w="0" w:type="dxa"/>
          <w:left w:w="0" w:type="dxa"/>
          <w:bottom w:w="0" w:type="dxa"/>
          <w:right w:w="0" w:type="dxa"/>
        </w:tblCellMar>
      </w:tblPr>
      <w:tblGrid>
        <w:gridCol w:w="5416"/>
        <w:gridCol w:w="110"/>
        <w:gridCol w:w="228"/>
        <w:gridCol w:w="1078"/>
        <w:gridCol w:w="110"/>
        <w:gridCol w:w="228"/>
        <w:gridCol w:w="1123"/>
      </w:tblGrid>
      <w:tr>
        <w:trPr/>
        <w:tc>
          <w:tcPr>
            <w:tcW w:w="5416" w:type="dxa"/>
            <w:tcBorders/>
            <w:vAlign w:val="center"/>
          </w:tcPr>
          <w:p>
            <w:pPr>
              <w:pStyle w:val="TableContents"/>
              <w:bidi w:val="0"/>
              <w:spacing w:before="0" w:after="283"/>
              <w:jc w:val="left"/>
              <w:rPr>
                <w:sz w:val="4"/>
                <w:szCs w:val="4"/>
              </w:rPr>
            </w:pPr>
            <w:r>
              <w:rPr>
                <w:sz w:val="4"/>
                <w:szCs w:val="4"/>
              </w:rPr>
            </w:r>
            <w:bookmarkStart w:id="8" w:name="Statement_of_Comprehensive_Income_QTR"/>
            <w:bookmarkStart w:id="9" w:name="Statement_of_Comprehensive_Income_QTR"/>
            <w:bookmarkEnd w:id="9"/>
          </w:p>
        </w:tc>
        <w:tc>
          <w:tcPr>
            <w:tcW w:w="11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r>
      <w:tr>
        <w:trPr/>
        <w:tc>
          <w:tcPr>
            <w:tcW w:w="541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r>
      <w:tr>
        <w:trPr/>
        <w:tc>
          <w:tcPr>
            <w:tcW w:w="541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767" w:type="dxa"/>
            <w:gridSpan w:val="5"/>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Six Months Ended</w:t>
            </w:r>
          </w:p>
        </w:tc>
      </w:tr>
      <w:tr>
        <w:trPr/>
        <w:tc>
          <w:tcPr>
            <w:tcW w:w="541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767"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June 30,</w:t>
            </w:r>
          </w:p>
        </w:tc>
      </w:tr>
      <w:tr>
        <w:trPr/>
        <w:tc>
          <w:tcPr>
            <w:tcW w:w="541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2026</w:t>
            </w:r>
          </w:p>
        </w:tc>
        <w:tc>
          <w:tcPr>
            <w:tcW w:w="110"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351"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2025</w:t>
            </w:r>
          </w:p>
        </w:tc>
      </w:tr>
      <w:tr>
        <w:trPr/>
        <w:tc>
          <w:tcPr>
            <w:tcW w:w="541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Operating revenues</w:t>
            </w:r>
          </w:p>
        </w:tc>
        <w:tc>
          <w:tcPr>
            <w:tcW w:w="110"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107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1,392,613</w:t>
            </w:r>
          </w:p>
        </w:tc>
        <w:tc>
          <w:tcPr>
            <w:tcW w:w="110"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112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1,298,533</w:t>
            </w:r>
          </w:p>
        </w:tc>
      </w:tr>
      <w:tr>
        <w:trPr/>
        <w:tc>
          <w:tcPr>
            <w:tcW w:w="541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r>
      <w:tr>
        <w:trPr/>
        <w:tc>
          <w:tcPr>
            <w:tcW w:w="541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Operating expenses:</w:t>
            </w:r>
          </w:p>
        </w:tc>
        <w:tc>
          <w:tcPr>
            <w:tcW w:w="110"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shd w:fill="CCEEFF" w:val="clear"/>
            <w:vAlign w:val="center"/>
          </w:tcPr>
          <w:p>
            <w:pPr>
              <w:pStyle w:val="TableContents"/>
              <w:bidi w:val="0"/>
              <w:spacing w:before="0" w:after="283"/>
              <w:jc w:val="left"/>
              <w:rPr>
                <w:sz w:val="4"/>
                <w:szCs w:val="4"/>
              </w:rPr>
            </w:pPr>
            <w:r>
              <w:rPr>
                <w:sz w:val="4"/>
                <w:szCs w:val="4"/>
              </w:rPr>
            </w:r>
          </w:p>
        </w:tc>
        <w:tc>
          <w:tcPr>
            <w:tcW w:w="1078" w:type="dxa"/>
            <w:tcBorders/>
            <w:shd w:fill="CCEEFF" w:val="clear"/>
            <w:vAlign w:val="center"/>
          </w:tcPr>
          <w:p>
            <w:pPr>
              <w:pStyle w:val="TableContents"/>
              <w:bidi w:val="0"/>
              <w:spacing w:before="0" w:after="283"/>
              <w:jc w:val="left"/>
              <w:rPr>
                <w:sz w:val="4"/>
                <w:szCs w:val="4"/>
              </w:rPr>
            </w:pPr>
            <w:r>
              <w:rPr>
                <w:sz w:val="4"/>
                <w:szCs w:val="4"/>
              </w:rPr>
            </w:r>
          </w:p>
        </w:tc>
        <w:tc>
          <w:tcPr>
            <w:tcW w:w="110"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shd w:fill="CCEEFF" w:val="clear"/>
            <w:vAlign w:val="center"/>
          </w:tcPr>
          <w:p>
            <w:pPr>
              <w:pStyle w:val="TableContents"/>
              <w:bidi w:val="0"/>
              <w:spacing w:before="0" w:after="283"/>
              <w:jc w:val="left"/>
              <w:rPr>
                <w:sz w:val="4"/>
                <w:szCs w:val="4"/>
              </w:rPr>
            </w:pPr>
            <w:r>
              <w:rPr>
                <w:sz w:val="4"/>
                <w:szCs w:val="4"/>
              </w:rPr>
            </w:r>
          </w:p>
        </w:tc>
        <w:tc>
          <w:tcPr>
            <w:tcW w:w="1123" w:type="dxa"/>
            <w:tcBorders/>
            <w:shd w:fill="CCEEFF" w:val="clear"/>
            <w:vAlign w:val="center"/>
          </w:tcPr>
          <w:p>
            <w:pPr>
              <w:pStyle w:val="TableContents"/>
              <w:bidi w:val="0"/>
              <w:spacing w:before="0" w:after="283"/>
              <w:jc w:val="left"/>
              <w:rPr>
                <w:sz w:val="4"/>
                <w:szCs w:val="4"/>
              </w:rPr>
            </w:pPr>
            <w:r>
              <w:rPr>
                <w:sz w:val="4"/>
                <w:szCs w:val="4"/>
              </w:rPr>
            </w:r>
          </w:p>
        </w:tc>
      </w:tr>
      <w:tr>
        <w:trPr/>
        <w:tc>
          <w:tcPr>
            <w:tcW w:w="541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Operations and maintenance</w:t>
            </w:r>
          </w:p>
        </w:tc>
        <w:tc>
          <w:tcPr>
            <w:tcW w:w="11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329,430</w:t>
            </w:r>
          </w:p>
        </w:tc>
        <w:tc>
          <w:tcPr>
            <w:tcW w:w="11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286,334</w:t>
            </w:r>
          </w:p>
        </w:tc>
      </w:tr>
      <w:tr>
        <w:trPr/>
        <w:tc>
          <w:tcPr>
            <w:tcW w:w="541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Purchased gas</w:t>
            </w:r>
          </w:p>
        </w:tc>
        <w:tc>
          <w:tcPr>
            <w:tcW w:w="110"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shd w:fill="CCEEFF" w:val="clear"/>
            <w:vAlign w:val="center"/>
          </w:tcPr>
          <w:p>
            <w:pPr>
              <w:pStyle w:val="TableContents"/>
              <w:bidi w:val="0"/>
              <w:spacing w:before="0" w:after="283"/>
              <w:jc w:val="left"/>
              <w:rPr>
                <w:sz w:val="4"/>
                <w:szCs w:val="4"/>
              </w:rPr>
            </w:pPr>
            <w:r>
              <w:rPr>
                <w:sz w:val="4"/>
                <w:szCs w:val="4"/>
              </w:rPr>
            </w:r>
          </w:p>
        </w:tc>
        <w:tc>
          <w:tcPr>
            <w:tcW w:w="107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284,816</w:t>
            </w:r>
          </w:p>
        </w:tc>
        <w:tc>
          <w:tcPr>
            <w:tcW w:w="110"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shd w:fill="CCEEFF" w:val="clear"/>
            <w:vAlign w:val="center"/>
          </w:tcPr>
          <w:p>
            <w:pPr>
              <w:pStyle w:val="TableContents"/>
              <w:bidi w:val="0"/>
              <w:spacing w:before="0" w:after="283"/>
              <w:jc w:val="left"/>
              <w:rPr>
                <w:sz w:val="4"/>
                <w:szCs w:val="4"/>
              </w:rPr>
            </w:pPr>
            <w:r>
              <w:rPr>
                <w:sz w:val="4"/>
                <w:szCs w:val="4"/>
              </w:rPr>
            </w:r>
          </w:p>
        </w:tc>
        <w:tc>
          <w:tcPr>
            <w:tcW w:w="112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241,376</w:t>
            </w:r>
          </w:p>
        </w:tc>
      </w:tr>
      <w:tr>
        <w:trPr/>
        <w:tc>
          <w:tcPr>
            <w:tcW w:w="541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Depreciation</w:t>
            </w:r>
          </w:p>
        </w:tc>
        <w:tc>
          <w:tcPr>
            <w:tcW w:w="11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216,687</w:t>
            </w:r>
          </w:p>
        </w:tc>
        <w:tc>
          <w:tcPr>
            <w:tcW w:w="11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196,306</w:t>
            </w:r>
          </w:p>
        </w:tc>
      </w:tr>
      <w:tr>
        <w:trPr/>
        <w:tc>
          <w:tcPr>
            <w:tcW w:w="541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Amortization</w:t>
            </w:r>
          </w:p>
        </w:tc>
        <w:tc>
          <w:tcPr>
            <w:tcW w:w="110"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shd w:fill="CCEEFF" w:val="clear"/>
            <w:vAlign w:val="center"/>
          </w:tcPr>
          <w:p>
            <w:pPr>
              <w:pStyle w:val="TableContents"/>
              <w:bidi w:val="0"/>
              <w:spacing w:before="0" w:after="283"/>
              <w:jc w:val="left"/>
              <w:rPr>
                <w:sz w:val="4"/>
                <w:szCs w:val="4"/>
              </w:rPr>
            </w:pPr>
            <w:r>
              <w:rPr>
                <w:sz w:val="4"/>
                <w:szCs w:val="4"/>
              </w:rPr>
            </w:r>
          </w:p>
        </w:tc>
        <w:tc>
          <w:tcPr>
            <w:tcW w:w="107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7,334</w:t>
            </w:r>
          </w:p>
        </w:tc>
        <w:tc>
          <w:tcPr>
            <w:tcW w:w="110"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shd w:fill="CCEEFF" w:val="clear"/>
            <w:vAlign w:val="center"/>
          </w:tcPr>
          <w:p>
            <w:pPr>
              <w:pStyle w:val="TableContents"/>
              <w:bidi w:val="0"/>
              <w:spacing w:before="0" w:after="283"/>
              <w:jc w:val="left"/>
              <w:rPr>
                <w:sz w:val="4"/>
                <w:szCs w:val="4"/>
              </w:rPr>
            </w:pPr>
            <w:r>
              <w:rPr>
                <w:sz w:val="4"/>
                <w:szCs w:val="4"/>
              </w:rPr>
            </w:r>
          </w:p>
        </w:tc>
        <w:tc>
          <w:tcPr>
            <w:tcW w:w="112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6,590</w:t>
            </w:r>
          </w:p>
        </w:tc>
      </w:tr>
      <w:tr>
        <w:trPr/>
        <w:tc>
          <w:tcPr>
            <w:tcW w:w="541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Taxes other than income taxes</w:t>
            </w:r>
          </w:p>
        </w:tc>
        <w:tc>
          <w:tcPr>
            <w:tcW w:w="110" w:type="dxa"/>
            <w:tcBorders/>
            <w:vAlign w:val="center"/>
          </w:tcPr>
          <w:p>
            <w:pPr>
              <w:pStyle w:val="TableContents"/>
              <w:bidi w:val="0"/>
              <w:spacing w:before="0" w:after="283"/>
              <w:jc w:val="left"/>
              <w:rPr>
                <w:sz w:val="4"/>
                <w:szCs w:val="4"/>
              </w:rPr>
            </w:pPr>
            <w:r>
              <w:rPr>
                <w:sz w:val="4"/>
                <w:szCs w:val="4"/>
              </w:rPr>
            </w:r>
          </w:p>
        </w:tc>
        <w:tc>
          <w:tcPr>
            <w:tcW w:w="22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7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50,433</w:t>
            </w:r>
          </w:p>
        </w:tc>
        <w:tc>
          <w:tcPr>
            <w:tcW w:w="110" w:type="dxa"/>
            <w:tcBorders/>
            <w:vAlign w:val="center"/>
          </w:tcPr>
          <w:p>
            <w:pPr>
              <w:pStyle w:val="TableContents"/>
              <w:bidi w:val="0"/>
              <w:spacing w:before="0" w:after="283"/>
              <w:jc w:val="left"/>
              <w:rPr>
                <w:sz w:val="4"/>
                <w:szCs w:val="4"/>
              </w:rPr>
            </w:pPr>
            <w:r>
              <w:rPr>
                <w:sz w:val="4"/>
                <w:szCs w:val="4"/>
              </w:rPr>
            </w:r>
          </w:p>
        </w:tc>
        <w:tc>
          <w:tcPr>
            <w:tcW w:w="22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2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43,751</w:t>
            </w:r>
          </w:p>
        </w:tc>
      </w:tr>
      <w:tr>
        <w:trPr/>
        <w:tc>
          <w:tcPr>
            <w:tcW w:w="541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Total operating expenses</w:t>
            </w:r>
          </w:p>
        </w:tc>
        <w:tc>
          <w:tcPr>
            <w:tcW w:w="110"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7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888,700</w:t>
            </w:r>
          </w:p>
        </w:tc>
        <w:tc>
          <w:tcPr>
            <w:tcW w:w="110"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12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774,357</w:t>
            </w:r>
          </w:p>
        </w:tc>
      </w:tr>
      <w:tr>
        <w:trPr/>
        <w:tc>
          <w:tcPr>
            <w:tcW w:w="541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7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2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541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Operating income</w:t>
            </w:r>
          </w:p>
        </w:tc>
        <w:tc>
          <w:tcPr>
            <w:tcW w:w="110"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shd w:fill="CCEEFF" w:val="clear"/>
            <w:vAlign w:val="center"/>
          </w:tcPr>
          <w:p>
            <w:pPr>
              <w:pStyle w:val="TableContents"/>
              <w:bidi w:val="0"/>
              <w:spacing w:before="0" w:after="283"/>
              <w:jc w:val="left"/>
              <w:rPr>
                <w:sz w:val="4"/>
                <w:szCs w:val="4"/>
              </w:rPr>
            </w:pPr>
            <w:r>
              <w:rPr>
                <w:sz w:val="4"/>
                <w:szCs w:val="4"/>
              </w:rPr>
            </w:r>
          </w:p>
        </w:tc>
        <w:tc>
          <w:tcPr>
            <w:tcW w:w="107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503,913</w:t>
            </w:r>
          </w:p>
        </w:tc>
        <w:tc>
          <w:tcPr>
            <w:tcW w:w="110"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shd w:fill="CCEEFF" w:val="clear"/>
            <w:vAlign w:val="center"/>
          </w:tcPr>
          <w:p>
            <w:pPr>
              <w:pStyle w:val="TableContents"/>
              <w:bidi w:val="0"/>
              <w:spacing w:before="0" w:after="283"/>
              <w:jc w:val="left"/>
              <w:rPr>
                <w:sz w:val="4"/>
                <w:szCs w:val="4"/>
              </w:rPr>
            </w:pPr>
            <w:r>
              <w:rPr>
                <w:sz w:val="4"/>
                <w:szCs w:val="4"/>
              </w:rPr>
            </w:r>
          </w:p>
        </w:tc>
        <w:tc>
          <w:tcPr>
            <w:tcW w:w="112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524,176</w:t>
            </w:r>
          </w:p>
        </w:tc>
      </w:tr>
      <w:tr>
        <w:trPr/>
        <w:tc>
          <w:tcPr>
            <w:tcW w:w="541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r>
      <w:tr>
        <w:trPr/>
        <w:tc>
          <w:tcPr>
            <w:tcW w:w="541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Other expense (income):</w:t>
            </w:r>
          </w:p>
        </w:tc>
        <w:tc>
          <w:tcPr>
            <w:tcW w:w="110"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shd w:fill="CCEEFF" w:val="clear"/>
            <w:vAlign w:val="center"/>
          </w:tcPr>
          <w:p>
            <w:pPr>
              <w:pStyle w:val="TableContents"/>
              <w:bidi w:val="0"/>
              <w:spacing w:before="0" w:after="283"/>
              <w:jc w:val="left"/>
              <w:rPr>
                <w:sz w:val="4"/>
                <w:szCs w:val="4"/>
              </w:rPr>
            </w:pPr>
            <w:r>
              <w:rPr>
                <w:sz w:val="4"/>
                <w:szCs w:val="4"/>
              </w:rPr>
            </w:r>
          </w:p>
        </w:tc>
        <w:tc>
          <w:tcPr>
            <w:tcW w:w="1078" w:type="dxa"/>
            <w:tcBorders/>
            <w:shd w:fill="CCEEFF" w:val="clear"/>
            <w:vAlign w:val="center"/>
          </w:tcPr>
          <w:p>
            <w:pPr>
              <w:pStyle w:val="TableContents"/>
              <w:bidi w:val="0"/>
              <w:spacing w:before="0" w:after="283"/>
              <w:jc w:val="left"/>
              <w:rPr>
                <w:sz w:val="4"/>
                <w:szCs w:val="4"/>
              </w:rPr>
            </w:pPr>
            <w:r>
              <w:rPr>
                <w:sz w:val="4"/>
                <w:szCs w:val="4"/>
              </w:rPr>
            </w:r>
          </w:p>
        </w:tc>
        <w:tc>
          <w:tcPr>
            <w:tcW w:w="110"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shd w:fill="CCEEFF" w:val="clear"/>
            <w:vAlign w:val="center"/>
          </w:tcPr>
          <w:p>
            <w:pPr>
              <w:pStyle w:val="TableContents"/>
              <w:bidi w:val="0"/>
              <w:spacing w:before="0" w:after="283"/>
              <w:jc w:val="left"/>
              <w:rPr>
                <w:sz w:val="4"/>
                <w:szCs w:val="4"/>
              </w:rPr>
            </w:pPr>
            <w:r>
              <w:rPr>
                <w:sz w:val="4"/>
                <w:szCs w:val="4"/>
              </w:rPr>
            </w:r>
          </w:p>
        </w:tc>
        <w:tc>
          <w:tcPr>
            <w:tcW w:w="1123" w:type="dxa"/>
            <w:tcBorders/>
            <w:shd w:fill="CCEEFF" w:val="clear"/>
            <w:vAlign w:val="center"/>
          </w:tcPr>
          <w:p>
            <w:pPr>
              <w:pStyle w:val="TableContents"/>
              <w:bidi w:val="0"/>
              <w:spacing w:before="0" w:after="283"/>
              <w:jc w:val="left"/>
              <w:rPr>
                <w:sz w:val="4"/>
                <w:szCs w:val="4"/>
              </w:rPr>
            </w:pPr>
            <w:r>
              <w:rPr>
                <w:sz w:val="4"/>
                <w:szCs w:val="4"/>
              </w:rPr>
            </w:r>
          </w:p>
        </w:tc>
      </w:tr>
      <w:tr>
        <w:trPr/>
        <w:tc>
          <w:tcPr>
            <w:tcW w:w="541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Interest expense</w:t>
            </w:r>
          </w:p>
        </w:tc>
        <w:tc>
          <w:tcPr>
            <w:tcW w:w="11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176,418</w:t>
            </w:r>
          </w:p>
        </w:tc>
        <w:tc>
          <w:tcPr>
            <w:tcW w:w="11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161,874</w:t>
            </w:r>
          </w:p>
        </w:tc>
      </w:tr>
      <w:tr>
        <w:trPr/>
        <w:tc>
          <w:tcPr>
            <w:tcW w:w="541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Interest income</w:t>
            </w:r>
          </w:p>
        </w:tc>
        <w:tc>
          <w:tcPr>
            <w:tcW w:w="110"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shd w:fill="CCEEFF" w:val="clear"/>
            <w:vAlign w:val="center"/>
          </w:tcPr>
          <w:p>
            <w:pPr>
              <w:pStyle w:val="TableContents"/>
              <w:bidi w:val="0"/>
              <w:spacing w:before="0" w:after="283"/>
              <w:jc w:val="left"/>
              <w:rPr>
                <w:sz w:val="4"/>
                <w:szCs w:val="4"/>
              </w:rPr>
            </w:pPr>
            <w:r>
              <w:rPr>
                <w:sz w:val="4"/>
                <w:szCs w:val="4"/>
              </w:rPr>
            </w:r>
          </w:p>
        </w:tc>
        <w:tc>
          <w:tcPr>
            <w:tcW w:w="107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(2,121)</w:t>
            </w:r>
          </w:p>
        </w:tc>
        <w:tc>
          <w:tcPr>
            <w:tcW w:w="110"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shd w:fill="CCEEFF" w:val="clear"/>
            <w:vAlign w:val="center"/>
          </w:tcPr>
          <w:p>
            <w:pPr>
              <w:pStyle w:val="TableContents"/>
              <w:bidi w:val="0"/>
              <w:spacing w:before="0" w:after="283"/>
              <w:jc w:val="left"/>
              <w:rPr>
                <w:sz w:val="4"/>
                <w:szCs w:val="4"/>
              </w:rPr>
            </w:pPr>
            <w:r>
              <w:rPr>
                <w:sz w:val="4"/>
                <w:szCs w:val="4"/>
              </w:rPr>
            </w:r>
          </w:p>
        </w:tc>
        <w:tc>
          <w:tcPr>
            <w:tcW w:w="112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(530)</w:t>
            </w:r>
          </w:p>
        </w:tc>
      </w:tr>
      <w:tr>
        <w:trPr/>
        <w:tc>
          <w:tcPr>
            <w:tcW w:w="541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Allowance for funds used during construction</w:t>
            </w:r>
          </w:p>
        </w:tc>
        <w:tc>
          <w:tcPr>
            <w:tcW w:w="11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(11,499)</w:t>
            </w:r>
          </w:p>
        </w:tc>
        <w:tc>
          <w:tcPr>
            <w:tcW w:w="11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(12,859)</w:t>
            </w:r>
          </w:p>
        </w:tc>
      </w:tr>
      <w:tr>
        <w:trPr/>
        <w:tc>
          <w:tcPr>
            <w:tcW w:w="541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Other, net</w:t>
            </w:r>
          </w:p>
        </w:tc>
        <w:tc>
          <w:tcPr>
            <w:tcW w:w="110"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78"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1,220</w:t>
            </w:r>
          </w:p>
        </w:tc>
        <w:tc>
          <w:tcPr>
            <w:tcW w:w="110"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23"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98</w:t>
            </w:r>
          </w:p>
        </w:tc>
      </w:tr>
      <w:tr>
        <w:trPr/>
        <w:tc>
          <w:tcPr>
            <w:tcW w:w="541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Income before income taxes</w:t>
            </w:r>
          </w:p>
        </w:tc>
        <w:tc>
          <w:tcPr>
            <w:tcW w:w="110" w:type="dxa"/>
            <w:tcBorders/>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78"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339,895</w:t>
            </w:r>
          </w:p>
        </w:tc>
        <w:tc>
          <w:tcPr>
            <w:tcW w:w="110" w:type="dxa"/>
            <w:tcBorders/>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23"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375,593</w:t>
            </w:r>
          </w:p>
        </w:tc>
      </w:tr>
      <w:tr>
        <w:trPr/>
        <w:tc>
          <w:tcPr>
            <w:tcW w:w="541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Income tax expense (benefit)</w:t>
            </w:r>
          </w:p>
        </w:tc>
        <w:tc>
          <w:tcPr>
            <w:tcW w:w="110"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78"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9,778</w:t>
            </w:r>
          </w:p>
        </w:tc>
        <w:tc>
          <w:tcPr>
            <w:tcW w:w="110"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23"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(16,023)</w:t>
            </w:r>
          </w:p>
        </w:tc>
      </w:tr>
      <w:tr>
        <w:trPr/>
        <w:tc>
          <w:tcPr>
            <w:tcW w:w="541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Net income</w:t>
            </w:r>
          </w:p>
        </w:tc>
        <w:tc>
          <w:tcPr>
            <w:tcW w:w="110" w:type="dxa"/>
            <w:tcBorders/>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1078"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330,117</w:t>
            </w:r>
          </w:p>
        </w:tc>
        <w:tc>
          <w:tcPr>
            <w:tcW w:w="110" w:type="dxa"/>
            <w:tcBorders/>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1123"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391,616</w:t>
            </w:r>
          </w:p>
        </w:tc>
      </w:tr>
      <w:tr>
        <w:trPr/>
        <w:tc>
          <w:tcPr>
            <w:tcW w:w="5416" w:type="dxa"/>
            <w:tcBorders/>
            <w:shd w:fill="CCEEFF" w:val="clear"/>
            <w:vAlign w:val="center"/>
          </w:tcPr>
          <w:p>
            <w:pPr>
              <w:pStyle w:val="TableContents"/>
              <w:bidi w:val="0"/>
              <w:spacing w:before="0" w:after="283"/>
              <w:jc w:val="left"/>
              <w:rPr>
                <w:sz w:val="4"/>
                <w:szCs w:val="4"/>
              </w:rPr>
            </w:pPr>
            <w:r>
              <w:rPr>
                <w:sz w:val="4"/>
                <w:szCs w:val="4"/>
              </w:rPr>
            </w:r>
          </w:p>
        </w:tc>
        <w:tc>
          <w:tcPr>
            <w:tcW w:w="110"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78"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10"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123"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541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Comprehensive income</w:t>
            </w:r>
          </w:p>
        </w:tc>
        <w:tc>
          <w:tcPr>
            <w:tcW w:w="110" w:type="dxa"/>
            <w:tcBorders/>
            <w:vAlign w:val="center"/>
          </w:tcPr>
          <w:p>
            <w:pPr>
              <w:pStyle w:val="TableContents"/>
              <w:bidi w:val="0"/>
              <w:spacing w:before="0" w:after="283"/>
              <w:jc w:val="left"/>
              <w:rPr>
                <w:sz w:val="4"/>
                <w:szCs w:val="4"/>
              </w:rPr>
            </w:pPr>
            <w:r>
              <w:rPr>
                <w:sz w:val="4"/>
                <w:szCs w:val="4"/>
              </w:rPr>
            </w:r>
          </w:p>
        </w:tc>
        <w:tc>
          <w:tcPr>
            <w:tcW w:w="228" w:type="dxa"/>
            <w:tcBorders>
              <w:bottom w:val="double" w:sz="6"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1078" w:type="dxa"/>
            <w:tcBorders>
              <w:bottom w:val="double" w:sz="6"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330,117</w:t>
            </w:r>
          </w:p>
        </w:tc>
        <w:tc>
          <w:tcPr>
            <w:tcW w:w="110" w:type="dxa"/>
            <w:tcBorders/>
            <w:vAlign w:val="center"/>
          </w:tcPr>
          <w:p>
            <w:pPr>
              <w:pStyle w:val="TableContents"/>
              <w:bidi w:val="0"/>
              <w:spacing w:before="0" w:after="283"/>
              <w:jc w:val="left"/>
              <w:rPr>
                <w:sz w:val="4"/>
                <w:szCs w:val="4"/>
              </w:rPr>
            </w:pPr>
            <w:r>
              <w:rPr>
                <w:sz w:val="4"/>
                <w:szCs w:val="4"/>
              </w:rPr>
            </w:r>
          </w:p>
        </w:tc>
        <w:tc>
          <w:tcPr>
            <w:tcW w:w="228" w:type="dxa"/>
            <w:tcBorders>
              <w:bottom w:val="double" w:sz="6"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1123" w:type="dxa"/>
            <w:tcBorders>
              <w:bottom w:val="double" w:sz="6"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391,616</w:t>
            </w:r>
          </w:p>
        </w:tc>
      </w:tr>
      <w:tr>
        <w:trPr/>
        <w:tc>
          <w:tcPr>
            <w:tcW w:w="5416" w:type="dxa"/>
            <w:tcBorders/>
            <w:shd w:fill="CCEEFF" w:val="clear"/>
            <w:vAlign w:val="center"/>
          </w:tcPr>
          <w:p>
            <w:pPr>
              <w:pStyle w:val="TableContents"/>
              <w:bidi w:val="0"/>
              <w:spacing w:before="0" w:after="283"/>
              <w:jc w:val="left"/>
              <w:rPr>
                <w:sz w:val="4"/>
                <w:szCs w:val="4"/>
              </w:rPr>
            </w:pPr>
            <w:r>
              <w:rPr>
                <w:sz w:val="4"/>
                <w:szCs w:val="4"/>
              </w:rPr>
            </w:r>
          </w:p>
        </w:tc>
        <w:tc>
          <w:tcPr>
            <w:tcW w:w="110"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78"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10"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123"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541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Net income per common share:</w:t>
            </w:r>
          </w:p>
        </w:tc>
        <w:tc>
          <w:tcPr>
            <w:tcW w:w="11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r>
      <w:tr>
        <w:trPr/>
        <w:tc>
          <w:tcPr>
            <w:tcW w:w="541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Basic</w:t>
            </w:r>
          </w:p>
        </w:tc>
        <w:tc>
          <w:tcPr>
            <w:tcW w:w="110"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bottom w:val="double" w:sz="6"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1078" w:type="dxa"/>
            <w:tcBorders>
              <w:bottom w:val="double" w:sz="6"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1.16</w:t>
            </w:r>
          </w:p>
        </w:tc>
        <w:tc>
          <w:tcPr>
            <w:tcW w:w="110"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bottom w:val="double" w:sz="6"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1123" w:type="dxa"/>
            <w:tcBorders>
              <w:bottom w:val="double" w:sz="6"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1.41</w:t>
            </w:r>
          </w:p>
        </w:tc>
      </w:tr>
      <w:tr>
        <w:trPr/>
        <w:tc>
          <w:tcPr>
            <w:tcW w:w="541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Diluted</w:t>
            </w:r>
          </w:p>
        </w:tc>
        <w:tc>
          <w:tcPr>
            <w:tcW w:w="110" w:type="dxa"/>
            <w:tcBorders/>
            <w:vAlign w:val="center"/>
          </w:tcPr>
          <w:p>
            <w:pPr>
              <w:pStyle w:val="TableContents"/>
              <w:bidi w:val="0"/>
              <w:spacing w:before="0" w:after="283"/>
              <w:jc w:val="left"/>
              <w:rPr>
                <w:sz w:val="4"/>
                <w:szCs w:val="4"/>
              </w:rPr>
            </w:pPr>
            <w:r>
              <w:rPr>
                <w:sz w:val="4"/>
                <w:szCs w:val="4"/>
              </w:rPr>
            </w:r>
          </w:p>
        </w:tc>
        <w:tc>
          <w:tcPr>
            <w:tcW w:w="228"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1078"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1.16</w:t>
            </w:r>
          </w:p>
        </w:tc>
        <w:tc>
          <w:tcPr>
            <w:tcW w:w="110" w:type="dxa"/>
            <w:tcBorders/>
            <w:vAlign w:val="center"/>
          </w:tcPr>
          <w:p>
            <w:pPr>
              <w:pStyle w:val="TableContents"/>
              <w:bidi w:val="0"/>
              <w:spacing w:before="0" w:after="283"/>
              <w:jc w:val="left"/>
              <w:rPr>
                <w:sz w:val="4"/>
                <w:szCs w:val="4"/>
              </w:rPr>
            </w:pPr>
            <w:r>
              <w:rPr>
                <w:sz w:val="4"/>
                <w:szCs w:val="4"/>
              </w:rPr>
            </w:r>
          </w:p>
        </w:tc>
        <w:tc>
          <w:tcPr>
            <w:tcW w:w="228"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1123"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1.41</w:t>
            </w:r>
          </w:p>
        </w:tc>
      </w:tr>
      <w:tr>
        <w:trPr/>
        <w:tc>
          <w:tcPr>
            <w:tcW w:w="5416" w:type="dxa"/>
            <w:tcBorders/>
            <w:shd w:fill="CCEEFF" w:val="clear"/>
            <w:vAlign w:val="center"/>
          </w:tcPr>
          <w:p>
            <w:pPr>
              <w:pStyle w:val="TableContents"/>
              <w:bidi w:val="0"/>
              <w:spacing w:before="0" w:after="283"/>
              <w:jc w:val="left"/>
              <w:rPr>
                <w:sz w:val="4"/>
                <w:szCs w:val="4"/>
              </w:rPr>
            </w:pPr>
            <w:r>
              <w:rPr>
                <w:sz w:val="4"/>
                <w:szCs w:val="4"/>
              </w:rPr>
            </w:r>
          </w:p>
        </w:tc>
        <w:tc>
          <w:tcPr>
            <w:tcW w:w="110"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78"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10"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123"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541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Average common shares outstanding during the period:</w:t>
            </w:r>
          </w:p>
        </w:tc>
        <w:tc>
          <w:tcPr>
            <w:tcW w:w="11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r>
      <w:tr>
        <w:trPr/>
        <w:tc>
          <w:tcPr>
            <w:tcW w:w="541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Basic</w:t>
            </w:r>
          </w:p>
        </w:tc>
        <w:tc>
          <w:tcPr>
            <w:tcW w:w="110"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bottom w:val="double" w:sz="6"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78" w:type="dxa"/>
            <w:tcBorders>
              <w:bottom w:val="double" w:sz="6"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283,419</w:t>
            </w:r>
          </w:p>
        </w:tc>
        <w:tc>
          <w:tcPr>
            <w:tcW w:w="110"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bottom w:val="double" w:sz="6"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23" w:type="dxa"/>
            <w:tcBorders>
              <w:bottom w:val="double" w:sz="6"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277,748</w:t>
            </w:r>
          </w:p>
        </w:tc>
      </w:tr>
      <w:tr>
        <w:trPr/>
        <w:tc>
          <w:tcPr>
            <w:tcW w:w="541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Diluted</w:t>
            </w:r>
          </w:p>
        </w:tc>
        <w:tc>
          <w:tcPr>
            <w:tcW w:w="110" w:type="dxa"/>
            <w:tcBorders/>
            <w:vAlign w:val="center"/>
          </w:tcPr>
          <w:p>
            <w:pPr>
              <w:pStyle w:val="TableContents"/>
              <w:bidi w:val="0"/>
              <w:spacing w:before="0" w:after="283"/>
              <w:jc w:val="left"/>
              <w:rPr>
                <w:sz w:val="4"/>
                <w:szCs w:val="4"/>
              </w:rPr>
            </w:pPr>
            <w:r>
              <w:rPr>
                <w:sz w:val="4"/>
                <w:szCs w:val="4"/>
              </w:rPr>
            </w:r>
          </w:p>
        </w:tc>
        <w:tc>
          <w:tcPr>
            <w:tcW w:w="228" w:type="dxa"/>
            <w:tcBorders>
              <w:top w:val="double" w:sz="6"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78"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283,998</w:t>
            </w:r>
          </w:p>
        </w:tc>
        <w:tc>
          <w:tcPr>
            <w:tcW w:w="110" w:type="dxa"/>
            <w:tcBorders/>
            <w:vAlign w:val="center"/>
          </w:tcPr>
          <w:p>
            <w:pPr>
              <w:pStyle w:val="TableContents"/>
              <w:bidi w:val="0"/>
              <w:spacing w:before="0" w:after="283"/>
              <w:jc w:val="left"/>
              <w:rPr>
                <w:sz w:val="4"/>
                <w:szCs w:val="4"/>
              </w:rPr>
            </w:pPr>
            <w:r>
              <w:rPr>
                <w:sz w:val="4"/>
                <w:szCs w:val="4"/>
              </w:rPr>
            </w:r>
          </w:p>
        </w:tc>
        <w:tc>
          <w:tcPr>
            <w:tcW w:w="228" w:type="dxa"/>
            <w:tcBorders>
              <w:top w:val="double" w:sz="6"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123"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278,335</w:t>
            </w:r>
          </w:p>
        </w:tc>
      </w:tr>
      <w:tr>
        <w:trPr/>
        <w:tc>
          <w:tcPr>
            <w:tcW w:w="541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8"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78"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8"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123"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8293" w:type="dxa"/>
            <w:gridSpan w:val="7"/>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The accompanying notes are an integral part of these consolidated financial statements</w:t>
            </w:r>
          </w:p>
        </w:tc>
      </w:tr>
    </w:tbl>
    <w:p>
      <w:pPr>
        <w:pStyle w:val="TextBody"/>
        <w:bidi w:val="0"/>
        <w:spacing w:lineRule="auto" w:line="259"/>
        <w:rPr>
          <w:rFonts w:ascii="Times New Roman;serif" w:hAnsi="Times New Roman;serif"/>
          <w:b w:val="false"/>
          <w:i w:val="false"/>
          <w:caps w:val="false"/>
          <w:smallCaps w:val="false"/>
          <w:color w:val="000000"/>
          <w:sz w:val="24"/>
        </w:rPr>
      </w:pPr>
      <w:bookmarkStart w:id="10" w:name="Statement_of_Capitalization"/>
      <w:bookmarkStart w:id="11" w:name="Statement_of_Net_Income_YTD"/>
      <w:bookmarkEnd w:id="10"/>
      <w:bookmarkEnd w:id="11"/>
      <w:r>
        <w:rPr>
          <w:rFonts w:ascii="Times New Roman;serif" w:hAnsi="Times New Roman;serif"/>
          <w:b w:val="false"/>
          <w:i w:val="false"/>
          <w:caps w:val="false"/>
          <w:smallCaps w:val="false"/>
          <w:color w:val="000000"/>
          <w:sz w:val="24"/>
        </w:rPr>
        <w:t>5</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563C1"/>
            <w:sz w:val="24"/>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ESSENTIAL UTILITIES, INC. AND SUBSIDIARIES </w:t>
      </w:r>
    </w:p>
    <w:p>
      <w:pPr>
        <w:pStyle w:val="TextBody"/>
        <w:bidi w:val="0"/>
        <w:spacing w:lineRule="auto" w:line="192"/>
        <w:rPr>
          <w:rFonts w:ascii="Times New Roman;serif" w:hAnsi="Times New Roman;serif"/>
          <w:b w:val="false"/>
          <w:i w:val="false"/>
          <w:caps w:val="false"/>
          <w:smallCaps w:val="false"/>
          <w:color w:val="000000"/>
          <w:spacing w:val="0"/>
          <w:sz w:val="24"/>
        </w:rPr>
      </w:pPr>
      <w:r>
        <w:rPr>
          <w:rFonts w:ascii="Times New Roman;serif" w:hAnsi="Times New Roman;serif"/>
          <w:b w:val="false"/>
          <w:i w:val="false"/>
          <w:caps w:val="false"/>
          <w:smallCaps w:val="false"/>
          <w:color w:val="000000"/>
          <w:spacing w:val="0"/>
          <w:sz w:val="24"/>
        </w:rPr>
        <w:t>CONDENSED CONSOLIDATED STATEMENTS OF CAPITALIZATION </w:t>
      </w:r>
    </w:p>
    <w:p>
      <w:pPr>
        <w:pStyle w:val="TextBody"/>
        <w:bidi w:val="0"/>
        <w:spacing w:lineRule="auto" w:line="192"/>
        <w:rPr>
          <w:rFonts w:ascii="Times New Roman;serif" w:hAnsi="Times New Roman;serif"/>
          <w:b w:val="false"/>
          <w:i w:val="false"/>
          <w:caps w:val="false"/>
          <w:smallCaps w:val="false"/>
          <w:color w:val="000000"/>
          <w:spacing w:val="0"/>
          <w:sz w:val="24"/>
        </w:rPr>
      </w:pPr>
      <w:r>
        <w:rPr>
          <w:rFonts w:ascii="Times New Roman;serif" w:hAnsi="Times New Roman;serif"/>
          <w:b w:val="false"/>
          <w:i w:val="false"/>
          <w:caps w:val="false"/>
          <w:smallCaps w:val="false"/>
          <w:color w:val="000000"/>
          <w:spacing w:val="0"/>
          <w:sz w:val="24"/>
        </w:rPr>
        <w:t>(In thousands of dollars, except per share amounts) </w:t>
      </w:r>
    </w:p>
    <w:p>
      <w:pPr>
        <w:pStyle w:val="TextBody"/>
        <w:bidi w:val="0"/>
        <w:spacing w:lineRule="auto" w:line="192"/>
        <w:rPr>
          <w:rFonts w:ascii="Times New Roman;serif" w:hAnsi="Times New Roman;serif"/>
          <w:b w:val="false"/>
          <w:i w:val="false"/>
          <w:caps w:val="false"/>
          <w:smallCaps w:val="false"/>
          <w:color w:val="000000"/>
          <w:spacing w:val="0"/>
          <w:sz w:val="24"/>
        </w:rPr>
      </w:pPr>
      <w:r>
        <w:rPr>
          <w:rFonts w:ascii="Times New Roman;serif" w:hAnsi="Times New Roman;serif"/>
          <w:b w:val="false"/>
          <w:i w:val="false"/>
          <w:caps w:val="false"/>
          <w:smallCaps w:val="false"/>
          <w:color w:val="000000"/>
          <w:spacing w:val="0"/>
          <w:sz w:val="24"/>
        </w:rPr>
        <w:t>(UNAUDITED)</w:t>
      </w:r>
    </w:p>
    <w:tbl>
      <w:tblPr>
        <w:tblW w:w="10205" w:type="dxa"/>
        <w:jc w:val="left"/>
        <w:tblInd w:w="0" w:type="dxa"/>
        <w:tblLayout w:type="fixed"/>
        <w:tblCellMar>
          <w:top w:w="0" w:type="dxa"/>
          <w:left w:w="0" w:type="dxa"/>
          <w:bottom w:w="0" w:type="dxa"/>
          <w:right w:w="0" w:type="dxa"/>
        </w:tblCellMar>
      </w:tblPr>
      <w:tblGrid>
        <w:gridCol w:w="5404"/>
        <w:gridCol w:w="2043"/>
        <w:gridCol w:w="109"/>
        <w:gridCol w:w="211"/>
        <w:gridCol w:w="1036"/>
        <w:gridCol w:w="109"/>
        <w:gridCol w:w="211"/>
        <w:gridCol w:w="1082"/>
      </w:tblGrid>
      <w:tr>
        <w:trPr/>
        <w:tc>
          <w:tcPr>
            <w:tcW w:w="5404" w:type="dxa"/>
            <w:tcBorders/>
            <w:vAlign w:val="center"/>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r>
      <w:tr>
        <w:trPr/>
        <w:tc>
          <w:tcPr>
            <w:tcW w:w="5404" w:type="dxa"/>
            <w:tcBorders/>
            <w:vAlign w:val="center"/>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7" w:type="dxa"/>
            <w:gridSpan w:val="2"/>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r>
      <w:tr>
        <w:trPr/>
        <w:tc>
          <w:tcPr>
            <w:tcW w:w="5404" w:type="dxa"/>
            <w:tcBorders/>
            <w:vAlign w:val="center"/>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7"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293"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December 31,</w:t>
            </w:r>
          </w:p>
        </w:tc>
      </w:tr>
      <w:tr>
        <w:trPr/>
        <w:tc>
          <w:tcPr>
            <w:tcW w:w="5404" w:type="dxa"/>
            <w:tcBorders/>
            <w:vAlign w:val="center"/>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1293"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2025</w:t>
            </w:r>
          </w:p>
        </w:tc>
      </w:tr>
      <w:tr>
        <w:trPr/>
        <w:tc>
          <w:tcPr>
            <w:tcW w:w="540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Stockholders' equity:</w:t>
            </w:r>
          </w:p>
        </w:tc>
        <w:tc>
          <w:tcPr>
            <w:tcW w:w="204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82"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5404"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color w:val="000000"/>
                <w:sz w:val="20"/>
              </w:rPr>
              <w:t>Common stock, $0.50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par value</w:t>
            </w:r>
          </w:p>
        </w:tc>
        <w:tc>
          <w:tcPr>
            <w:tcW w:w="20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143,631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8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143,253</w:t>
            </w:r>
          </w:p>
        </w:tc>
      </w:tr>
      <w:tr>
        <w:trPr/>
        <w:tc>
          <w:tcPr>
            <w:tcW w:w="540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Capital in excess of par value</w:t>
            </w:r>
          </w:p>
        </w:tc>
        <w:tc>
          <w:tcPr>
            <w:tcW w:w="204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4,551,801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4,524,517</w:t>
            </w:r>
          </w:p>
        </w:tc>
      </w:tr>
      <w:tr>
        <w:trPr/>
        <w:tc>
          <w:tcPr>
            <w:tcW w:w="540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Retained earnings</w:t>
            </w:r>
          </w:p>
        </w:tc>
        <w:tc>
          <w:tcPr>
            <w:tcW w:w="20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2,416,322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2,280,669</w:t>
            </w:r>
          </w:p>
        </w:tc>
      </w:tr>
      <w:tr>
        <w:trPr/>
        <w:tc>
          <w:tcPr>
            <w:tcW w:w="540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Treasury stock, at cost</w:t>
            </w:r>
          </w:p>
        </w:tc>
        <w:tc>
          <w:tcPr>
            <w:tcW w:w="204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(93,498)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(90,983)</w:t>
            </w:r>
          </w:p>
        </w:tc>
      </w:tr>
      <w:tr>
        <w:trPr/>
        <w:tc>
          <w:tcPr>
            <w:tcW w:w="540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stockholders' equity</w:t>
            </w:r>
          </w:p>
        </w:tc>
        <w:tc>
          <w:tcPr>
            <w:tcW w:w="20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7,018,256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82"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6,857,456</w:t>
            </w:r>
          </w:p>
        </w:tc>
      </w:tr>
      <w:tr>
        <w:trPr/>
        <w:tc>
          <w:tcPr>
            <w:tcW w:w="5404" w:type="dxa"/>
            <w:tcBorders/>
            <w:shd w:fill="CCEEFF" w:val="clear"/>
            <w:vAlign w:val="center"/>
          </w:tcPr>
          <w:p>
            <w:pPr>
              <w:pStyle w:val="TableContents"/>
              <w:bidi w:val="0"/>
              <w:spacing w:before="0" w:after="283"/>
              <w:jc w:val="left"/>
              <w:rPr>
                <w:sz w:val="4"/>
                <w:szCs w:val="4"/>
              </w:rPr>
            </w:pPr>
            <w:r>
              <w:rPr>
                <w:sz w:val="4"/>
                <w:szCs w:val="4"/>
              </w:rPr>
            </w:r>
          </w:p>
        </w:tc>
        <w:tc>
          <w:tcPr>
            <w:tcW w:w="204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82"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7447" w:type="dxa"/>
            <w:gridSpan w:val="2"/>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Long-term debt of subsidiaries (substantially collateralized by utility plant):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r>
      <w:tr>
        <w:trPr/>
        <w:tc>
          <w:tcPr>
            <w:tcW w:w="540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u w:val="single"/>
              </w:rPr>
            </w:pPr>
            <w:r>
              <w:rPr>
                <w:rFonts w:ascii="Times New Roman;serif" w:hAnsi="Times New Roman;serif"/>
                <w:b w:val="false"/>
                <w:i w:val="false"/>
                <w:caps w:val="false"/>
                <w:smallCaps w:val="false"/>
                <w:color w:val="000000"/>
                <w:sz w:val="20"/>
                <w:u w:val="single"/>
              </w:rPr>
              <w:t>Interest Rate Range</w:t>
            </w:r>
          </w:p>
        </w:tc>
        <w:tc>
          <w:tcPr>
            <w:tcW w:w="204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u w:val="single"/>
              </w:rPr>
            </w:pPr>
            <w:r>
              <w:rPr>
                <w:rFonts w:ascii="Times New Roman;serif" w:hAnsi="Times New Roman;serif"/>
                <w:b w:val="false"/>
                <w:i w:val="false"/>
                <w:caps w:val="false"/>
                <w:smallCaps w:val="false"/>
                <w:color w:val="000000"/>
                <w:sz w:val="20"/>
                <w:u w:val="single"/>
              </w:rPr>
              <w:t>Maturity Date Range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2" w:type="dxa"/>
            <w:tcBorders/>
            <w:shd w:fill="CCEEFF" w:val="clear"/>
            <w:vAlign w:val="center"/>
          </w:tcPr>
          <w:p>
            <w:pPr>
              <w:pStyle w:val="TableContents"/>
              <w:bidi w:val="0"/>
              <w:spacing w:before="0" w:after="283"/>
              <w:jc w:val="left"/>
              <w:rPr>
                <w:sz w:val="4"/>
                <w:szCs w:val="4"/>
              </w:rPr>
            </w:pPr>
            <w:r>
              <w:rPr>
                <w:sz w:val="4"/>
                <w:szCs w:val="4"/>
              </w:rPr>
            </w:r>
          </w:p>
        </w:tc>
      </w:tr>
      <w:tr>
        <w:trPr/>
        <w:tc>
          <w:tcPr>
            <w:tcW w:w="540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0.00% to 0.99%</w:t>
            </w:r>
          </w:p>
        </w:tc>
        <w:tc>
          <w:tcPr>
            <w:tcW w:w="2043"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2026</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to 2052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14,213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7,328</w:t>
            </w:r>
          </w:p>
        </w:tc>
      </w:tr>
      <w:tr>
        <w:trPr/>
        <w:tc>
          <w:tcPr>
            <w:tcW w:w="540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 to 1.99%</w:t>
            </w:r>
          </w:p>
        </w:tc>
        <w:tc>
          <w:tcPr>
            <w:tcW w:w="2043" w:type="dxa"/>
            <w:tcBorders/>
            <w:shd w:fill="CCEEFF" w:val="cle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2031</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to 2049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43,292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23,977</w:t>
            </w:r>
          </w:p>
        </w:tc>
      </w:tr>
      <w:tr>
        <w:trPr/>
        <w:tc>
          <w:tcPr>
            <w:tcW w:w="540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2.00% to 2.99%</w:t>
            </w:r>
          </w:p>
        </w:tc>
        <w:tc>
          <w:tcPr>
            <w:tcW w:w="2043"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2026</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to 2058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204,207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204,870</w:t>
            </w:r>
          </w:p>
        </w:tc>
      </w:tr>
      <w:tr>
        <w:trPr/>
        <w:tc>
          <w:tcPr>
            <w:tcW w:w="540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3.00% to 3.99%</w:t>
            </w:r>
          </w:p>
        </w:tc>
        <w:tc>
          <w:tcPr>
            <w:tcW w:w="2043" w:type="dxa"/>
            <w:tcBorders/>
            <w:shd w:fill="CCEEFF" w:val="cle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2026</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to 2056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1,249,864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1,252,397</w:t>
            </w:r>
          </w:p>
        </w:tc>
      </w:tr>
      <w:tr>
        <w:trPr/>
        <w:tc>
          <w:tcPr>
            <w:tcW w:w="540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4.00% to 4.99%</w:t>
            </w:r>
          </w:p>
        </w:tc>
        <w:tc>
          <w:tcPr>
            <w:tcW w:w="2043"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2027</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to 2059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1,120,240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1,120,564</w:t>
            </w:r>
          </w:p>
        </w:tc>
      </w:tr>
      <w:tr>
        <w:trPr/>
        <w:tc>
          <w:tcPr>
            <w:tcW w:w="540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5.00% to 5.99%</w:t>
            </w:r>
          </w:p>
        </w:tc>
        <w:tc>
          <w:tcPr>
            <w:tcW w:w="2043" w:type="dxa"/>
            <w:tcBorders/>
            <w:shd w:fill="CCEEFF" w:val="cle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2028</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to 2061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412,260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412,260</w:t>
            </w:r>
          </w:p>
        </w:tc>
      </w:tr>
      <w:tr>
        <w:trPr/>
        <w:tc>
          <w:tcPr>
            <w:tcW w:w="540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6.00% to 6.99%</w:t>
            </w:r>
          </w:p>
        </w:tc>
        <w:tc>
          <w:tcPr>
            <w:tcW w:w="2043"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2026</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to 2036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26,000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31,000</w:t>
            </w:r>
          </w:p>
        </w:tc>
      </w:tr>
      <w:tr>
        <w:trPr/>
        <w:tc>
          <w:tcPr>
            <w:tcW w:w="540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7.00% to 7.99%</w:t>
            </w:r>
          </w:p>
        </w:tc>
        <w:tc>
          <w:tcPr>
            <w:tcW w:w="204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4,568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4,652</w:t>
            </w:r>
          </w:p>
        </w:tc>
      </w:tr>
      <w:tr>
        <w:trPr/>
        <w:tc>
          <w:tcPr>
            <w:tcW w:w="540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9.00% to 9.99%</w:t>
            </w:r>
          </w:p>
        </w:tc>
        <w:tc>
          <w:tcPr>
            <w:tcW w:w="204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11,800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82"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11,800</w:t>
            </w:r>
          </w:p>
        </w:tc>
      </w:tr>
      <w:tr>
        <w:trPr/>
        <w:tc>
          <w:tcPr>
            <w:tcW w:w="5404" w:type="dxa"/>
            <w:tcBorders/>
            <w:shd w:fill="CCEEFF" w:val="clear"/>
            <w:vAlign w:val="center"/>
          </w:tcPr>
          <w:p>
            <w:pPr>
              <w:pStyle w:val="TableContents"/>
              <w:bidi w:val="0"/>
              <w:spacing w:before="0" w:after="283"/>
              <w:jc w:val="left"/>
              <w:rPr>
                <w:sz w:val="4"/>
                <w:szCs w:val="4"/>
              </w:rPr>
            </w:pPr>
            <w:r>
              <w:rPr>
                <w:sz w:val="4"/>
                <w:szCs w:val="4"/>
              </w:rPr>
            </w:r>
          </w:p>
        </w:tc>
        <w:tc>
          <w:tcPr>
            <w:tcW w:w="204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3,086,444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82"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3,068,848</w:t>
            </w:r>
          </w:p>
        </w:tc>
      </w:tr>
      <w:tr>
        <w:trPr/>
        <w:tc>
          <w:tcPr>
            <w:tcW w:w="5404" w:type="dxa"/>
            <w:tcBorders/>
            <w:vAlign w:val="center"/>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r>
      <w:tr>
        <w:trPr/>
        <w:tc>
          <w:tcPr>
            <w:tcW w:w="540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Unsecured notes payable:</w:t>
            </w:r>
          </w:p>
        </w:tc>
        <w:tc>
          <w:tcPr>
            <w:tcW w:w="204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2" w:type="dxa"/>
            <w:tcBorders/>
            <w:shd w:fill="CCEEFF" w:val="clear"/>
            <w:vAlign w:val="center"/>
          </w:tcPr>
          <w:p>
            <w:pPr>
              <w:pStyle w:val="TableContents"/>
              <w:bidi w:val="0"/>
              <w:spacing w:before="0" w:after="283"/>
              <w:jc w:val="left"/>
              <w:rPr>
                <w:sz w:val="4"/>
                <w:szCs w:val="4"/>
              </w:rPr>
            </w:pPr>
            <w:r>
              <w:rPr>
                <w:sz w:val="4"/>
                <w:szCs w:val="4"/>
              </w:rPr>
            </w:r>
          </w:p>
        </w:tc>
      </w:tr>
      <w:tr>
        <w:trPr/>
        <w:tc>
          <w:tcPr>
            <w:tcW w:w="540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Commercial paper program (See Note 7)</w:t>
            </w:r>
          </w:p>
        </w:tc>
        <w:tc>
          <w:tcPr>
            <w:tcW w:w="20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384,723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568,000</w:t>
            </w:r>
          </w:p>
        </w:tc>
      </w:tr>
      <w:tr>
        <w:trPr/>
        <w:tc>
          <w:tcPr>
            <w:tcW w:w="540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Notes at 2.40% due 2031</w:t>
            </w:r>
          </w:p>
        </w:tc>
        <w:tc>
          <w:tcPr>
            <w:tcW w:w="204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400,000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400,000</w:t>
            </w:r>
          </w:p>
        </w:tc>
      </w:tr>
      <w:tr>
        <w:trPr/>
        <w:tc>
          <w:tcPr>
            <w:tcW w:w="540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Notes at 2.704% due 2030</w:t>
            </w:r>
          </w:p>
        </w:tc>
        <w:tc>
          <w:tcPr>
            <w:tcW w:w="20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500,000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500,000</w:t>
            </w:r>
          </w:p>
        </w:tc>
      </w:tr>
      <w:tr>
        <w:trPr/>
        <w:tc>
          <w:tcPr>
            <w:tcW w:w="7447" w:type="dxa"/>
            <w:gridSpan w:val="2"/>
            <w:tcBorders/>
            <w:shd w:fill="CCEE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color w:val="000000"/>
                <w:sz w:val="20"/>
              </w:rPr>
              <w:t>Notes ranging from 3.01% to 3.57% due 2029</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through 2050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1,125,000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1,125,000</w:t>
            </w:r>
          </w:p>
        </w:tc>
      </w:tr>
      <w:tr>
        <w:trPr/>
        <w:tc>
          <w:tcPr>
            <w:tcW w:w="7447" w:type="dxa"/>
            <w:gridSpan w:val="2"/>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Notes at 4.276%, due 2049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500,000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500,000</w:t>
            </w:r>
          </w:p>
        </w:tc>
      </w:tr>
      <w:tr>
        <w:trPr/>
        <w:tc>
          <w:tcPr>
            <w:tcW w:w="540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Notes at 4.80%, due 2027</w:t>
            </w:r>
          </w:p>
        </w:tc>
        <w:tc>
          <w:tcPr>
            <w:tcW w:w="204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500,000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500,000</w:t>
            </w:r>
          </w:p>
        </w:tc>
      </w:tr>
      <w:tr>
        <w:trPr/>
        <w:tc>
          <w:tcPr>
            <w:tcW w:w="540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Notes at 5.125%, due 2036</w:t>
            </w:r>
          </w:p>
        </w:tc>
        <w:tc>
          <w:tcPr>
            <w:tcW w:w="20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500,000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540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Notes at 5.25%, due 2035</w:t>
            </w:r>
          </w:p>
        </w:tc>
        <w:tc>
          <w:tcPr>
            <w:tcW w:w="204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500,000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500,000</w:t>
            </w:r>
          </w:p>
        </w:tc>
      </w:tr>
      <w:tr>
        <w:trPr/>
        <w:tc>
          <w:tcPr>
            <w:tcW w:w="7447" w:type="dxa"/>
            <w:gridSpan w:val="2"/>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Notes at 5.30%, due 2052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500,000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500,000</w:t>
            </w:r>
          </w:p>
        </w:tc>
      </w:tr>
      <w:tr>
        <w:trPr/>
        <w:tc>
          <w:tcPr>
            <w:tcW w:w="7447" w:type="dxa"/>
            <w:gridSpan w:val="2"/>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Notes at 5.375%, due 2034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500,000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500,000</w:t>
            </w:r>
          </w:p>
        </w:tc>
      </w:tr>
      <w:tr>
        <w:trPr/>
        <w:tc>
          <w:tcPr>
            <w:tcW w:w="7447" w:type="dxa"/>
            <w:gridSpan w:val="2"/>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color w:val="000000"/>
                <w:sz w:val="20"/>
              </w:rPr>
              <w:t>Notes at 5.95%, due 2033</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through 2034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20,000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82"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20,000</w:t>
            </w:r>
          </w:p>
        </w:tc>
      </w:tr>
      <w:tr>
        <w:trPr/>
        <w:tc>
          <w:tcPr>
            <w:tcW w:w="540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long-term debt</w:t>
            </w:r>
          </w:p>
        </w:tc>
        <w:tc>
          <w:tcPr>
            <w:tcW w:w="204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8,516,167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82"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8,181,848</w:t>
            </w:r>
          </w:p>
        </w:tc>
      </w:tr>
      <w:tr>
        <w:trPr/>
        <w:tc>
          <w:tcPr>
            <w:tcW w:w="5404" w:type="dxa"/>
            <w:tcBorders/>
            <w:vAlign w:val="center"/>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r>
      <w:tr>
        <w:trPr/>
        <w:tc>
          <w:tcPr>
            <w:tcW w:w="540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Current portion of long-term debt</w:t>
            </w:r>
          </w:p>
        </w:tc>
        <w:tc>
          <w:tcPr>
            <w:tcW w:w="204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42,312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82"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21,822</w:t>
            </w:r>
          </w:p>
        </w:tc>
      </w:tr>
      <w:tr>
        <w:trPr/>
        <w:tc>
          <w:tcPr>
            <w:tcW w:w="7447" w:type="dxa"/>
            <w:gridSpan w:val="2"/>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Long-term debt, excluding current portion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8,473,855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82"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8,160,026</w:t>
            </w:r>
          </w:p>
        </w:tc>
      </w:tr>
      <w:tr>
        <w:trPr/>
        <w:tc>
          <w:tcPr>
            <w:tcW w:w="540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debt issuance costs and unamortized discount on debt</w:t>
            </w:r>
          </w:p>
        </w:tc>
        <w:tc>
          <w:tcPr>
            <w:tcW w:w="204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52,657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82"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49,859</w:t>
            </w:r>
          </w:p>
        </w:tc>
      </w:tr>
      <w:tr>
        <w:trPr/>
        <w:tc>
          <w:tcPr>
            <w:tcW w:w="7447" w:type="dxa"/>
            <w:gridSpan w:val="2"/>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Long-term debt, excluding current portion, net of debt issuance costs and unamortized discount on debt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8,421,198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82"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8,110,167</w:t>
            </w:r>
          </w:p>
        </w:tc>
      </w:tr>
      <w:tr>
        <w:trPr/>
        <w:tc>
          <w:tcPr>
            <w:tcW w:w="5404" w:type="dxa"/>
            <w:tcBorders/>
            <w:shd w:fill="CCEEFF" w:val="clear"/>
            <w:vAlign w:val="center"/>
          </w:tcPr>
          <w:p>
            <w:pPr>
              <w:pStyle w:val="TableContents"/>
              <w:bidi w:val="0"/>
              <w:spacing w:before="0" w:after="283"/>
              <w:jc w:val="left"/>
              <w:rPr>
                <w:sz w:val="4"/>
                <w:szCs w:val="4"/>
              </w:rPr>
            </w:pPr>
            <w:r>
              <w:rPr>
                <w:sz w:val="4"/>
                <w:szCs w:val="4"/>
              </w:rPr>
            </w:r>
          </w:p>
        </w:tc>
        <w:tc>
          <w:tcPr>
            <w:tcW w:w="204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82"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r>
      <w:tr>
        <w:trPr/>
        <w:tc>
          <w:tcPr>
            <w:tcW w:w="540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capitalization</w:t>
            </w:r>
          </w:p>
        </w:tc>
        <w:tc>
          <w:tcPr>
            <w:tcW w:w="20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15,439,454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82"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14,967,623</w:t>
            </w:r>
          </w:p>
        </w:tc>
      </w:tr>
      <w:tr>
        <w:trPr/>
        <w:tc>
          <w:tcPr>
            <w:tcW w:w="5404" w:type="dxa"/>
            <w:tcBorders/>
            <w:vAlign w:val="center"/>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3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82"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10205" w:type="dxa"/>
            <w:gridSpan w:val="8"/>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 accompanying notes are an integral part of these consolidated financial statements</w:t>
            </w:r>
          </w:p>
        </w:tc>
      </w:tr>
    </w:tbl>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6</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563C1"/>
            <w:sz w:val="24"/>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ESSENTIAL UTILITIES, INC. AND SUBSIDIARIES </w:t>
      </w:r>
    </w:p>
    <w:p>
      <w:pPr>
        <w:pStyle w:val="TextBody"/>
        <w:bidi w:val="0"/>
        <w:spacing w:lineRule="auto" w:line="192"/>
        <w:rPr>
          <w:rFonts w:ascii="Times New Roman;serif" w:hAnsi="Times New Roman;serif"/>
          <w:b w:val="false"/>
          <w:i w:val="false"/>
          <w:caps w:val="false"/>
          <w:smallCaps w:val="false"/>
          <w:color w:val="000000"/>
          <w:spacing w:val="0"/>
          <w:sz w:val="24"/>
        </w:rPr>
      </w:pPr>
      <w:r>
        <w:rPr>
          <w:rFonts w:ascii="Times New Roman;serif" w:hAnsi="Times New Roman;serif"/>
          <w:b w:val="false"/>
          <w:i w:val="false"/>
          <w:caps w:val="false"/>
          <w:smallCaps w:val="false"/>
          <w:color w:val="000000"/>
          <w:spacing w:val="0"/>
          <w:sz w:val="24"/>
        </w:rPr>
        <w:t>CONDENSED CONSOLIDATED STATEMENTS OF EQUITY </w:t>
      </w:r>
    </w:p>
    <w:p>
      <w:pPr>
        <w:pStyle w:val="TextBody"/>
        <w:bidi w:val="0"/>
        <w:spacing w:lineRule="auto" w:line="192"/>
        <w:rPr>
          <w:rFonts w:ascii="Times New Roman;serif" w:hAnsi="Times New Roman;serif"/>
          <w:b w:val="false"/>
          <w:i w:val="false"/>
          <w:caps w:val="false"/>
          <w:smallCaps w:val="false"/>
          <w:color w:val="000000"/>
          <w:spacing w:val="0"/>
          <w:sz w:val="24"/>
        </w:rPr>
      </w:pPr>
      <w:r>
        <w:rPr>
          <w:rFonts w:ascii="Times New Roman;serif" w:hAnsi="Times New Roman;serif"/>
          <w:b w:val="false"/>
          <w:i w:val="false"/>
          <w:caps w:val="false"/>
          <w:smallCaps w:val="false"/>
          <w:color w:val="000000"/>
          <w:spacing w:val="0"/>
          <w:sz w:val="24"/>
        </w:rPr>
        <w:t>(In thousands of dollars, except per share amounts)</w:t>
      </w:r>
    </w:p>
    <w:p>
      <w:pPr>
        <w:pStyle w:val="TextBody"/>
        <w:bidi w:val="0"/>
        <w:spacing w:lineRule="auto" w:line="259"/>
        <w:rPr>
          <w:rFonts w:ascii="Times New Roman;serif" w:hAnsi="Times New Roman;serif"/>
          <w:b w:val="false"/>
          <w:i w:val="false"/>
          <w:caps w:val="false"/>
          <w:smallCaps w:val="false"/>
          <w:color w:val="000000"/>
          <w:spacing w:val="0"/>
          <w:sz w:val="24"/>
        </w:rPr>
      </w:pPr>
      <w:r>
        <w:rPr>
          <w:rFonts w:ascii="Times New Roman;serif" w:hAnsi="Times New Roman;serif"/>
          <w:b w:val="false"/>
          <w:i w:val="false"/>
          <w:caps w:val="false"/>
          <w:smallCaps w:val="false"/>
          <w:color w:val="000000"/>
          <w:spacing w:val="0"/>
          <w:sz w:val="24"/>
        </w:rPr>
        <w:t>(UNAUDITED)</w:t>
      </w:r>
    </w:p>
    <w:p>
      <w:pPr>
        <w:pStyle w:val="TextBody"/>
        <w:bidi w:val="0"/>
        <w:spacing w:lineRule="auto" w:line="259"/>
        <w:rPr/>
      </w:pPr>
      <w:r>
        <w:rPr>
          <w:caps w:val="false"/>
          <w:smallCaps w:val="false"/>
          <w:color w:val="000000"/>
        </w:rPr>
        <w:t> </w:t>
      </w:r>
      <w:bookmarkStart w:id="12" w:name="Statement_of_Equity_CY"/>
      <w:bookmarkEnd w:id="12"/>
      <w:r>
        <w:rPr>
          <w:caps w:val="false"/>
          <w:smallCaps w:val="false"/>
          <w:color w:val="000000"/>
        </w:rPr>
        <w:t> </w:t>
      </w:r>
    </w:p>
    <w:tbl>
      <w:tblPr>
        <w:tblW w:w="10205" w:type="dxa"/>
        <w:jc w:val="left"/>
        <w:tblInd w:w="0" w:type="dxa"/>
        <w:tblLayout w:type="fixed"/>
        <w:tblCellMar>
          <w:top w:w="0" w:type="dxa"/>
          <w:left w:w="0" w:type="dxa"/>
          <w:bottom w:w="0" w:type="dxa"/>
          <w:right w:w="0" w:type="dxa"/>
        </w:tblCellMar>
      </w:tblPr>
      <w:tblGrid>
        <w:gridCol w:w="4580"/>
        <w:gridCol w:w="109"/>
        <w:gridCol w:w="196"/>
        <w:gridCol w:w="736"/>
        <w:gridCol w:w="109"/>
        <w:gridCol w:w="196"/>
        <w:gridCol w:w="871"/>
        <w:gridCol w:w="109"/>
        <w:gridCol w:w="196"/>
        <w:gridCol w:w="871"/>
        <w:gridCol w:w="109"/>
        <w:gridCol w:w="196"/>
        <w:gridCol w:w="705"/>
        <w:gridCol w:w="109"/>
        <w:gridCol w:w="196"/>
        <w:gridCol w:w="917"/>
      </w:tblGrid>
      <w:tr>
        <w:trPr/>
        <w:tc>
          <w:tcPr>
            <w:tcW w:w="4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4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4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Capital in</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4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Common</w:t>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Excess of</w:t>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Retained</w:t>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Treasury</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4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Stock</w:t>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Par Value</w:t>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Earnings</w:t>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Stock</w:t>
            </w:r>
          </w:p>
        </w:tc>
        <w:tc>
          <w:tcPr>
            <w:tcW w:w="109" w:type="dxa"/>
            <w:tcBorders/>
            <w:vAlign w:val="center"/>
          </w:tcPr>
          <w:p>
            <w:pPr>
              <w:pStyle w:val="TableContents"/>
              <w:bidi w:val="0"/>
              <w:spacing w:before="0" w:after="283"/>
              <w:jc w:val="left"/>
              <w:rPr>
                <w:sz w:val="4"/>
                <w:szCs w:val="4"/>
              </w:rPr>
            </w:pPr>
            <w:r>
              <w:rPr>
                <w:sz w:val="4"/>
                <w:szCs w:val="4"/>
              </w:rPr>
            </w:r>
          </w:p>
        </w:tc>
        <w:tc>
          <w:tcPr>
            <w:tcW w:w="1113"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Total</w:t>
            </w:r>
          </w:p>
        </w:tc>
      </w:tr>
      <w:tr>
        <w:trPr/>
        <w:tc>
          <w:tcPr>
            <w:tcW w:w="458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Balance at December 31, 2025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143,253</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87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4,524,517</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87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2,280,669</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05"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(90,983)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91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6,857,456</w:t>
            </w:r>
            <w:r>
              <w:rPr>
                <w:rFonts w:ascii="Times New Roman;serif" w:hAnsi="Times New Roman;serif"/>
                <w:caps w:val="false"/>
                <w:smallCaps w:val="false"/>
                <w:color w:val="000000"/>
                <w:sz w:val="18"/>
              </w:rPr>
              <w:t> </w:t>
            </w:r>
          </w:p>
        </w:tc>
      </w:tr>
      <w:tr>
        <w:trPr/>
        <w:tc>
          <w:tcPr>
            <w:tcW w:w="458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 xml:space="preserve">Net income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224,392</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224,392</w:t>
            </w:r>
            <w:r>
              <w:rPr>
                <w:rFonts w:ascii="Times New Roman;serif" w:hAnsi="Times New Roman;serif"/>
                <w:caps w:val="false"/>
                <w:smallCaps w:val="false"/>
                <w:color w:val="000000"/>
                <w:sz w:val="18"/>
              </w:rPr>
              <w:t> </w:t>
            </w:r>
          </w:p>
        </w:tc>
      </w:tr>
      <w:tr>
        <w:trPr/>
        <w:tc>
          <w:tcPr>
            <w:tcW w:w="4580" w:type="dxa"/>
            <w:tcBorders/>
            <w:shd w:fill="CCEEFF" w:val="clear"/>
            <w:vAlign w:val="center"/>
          </w:tcPr>
          <w:p>
            <w:pPr>
              <w:pStyle w:val="TableContents"/>
              <w:bidi w:val="0"/>
              <w:spacing w:lineRule="auto" w:line="259" w:before="0" w:after="283"/>
              <w:jc w:val="left"/>
              <w:rPr>
                <w:rFonts w:ascii="Times New Roman;serif" w:hAnsi="Times New Roman;serif"/>
                <w:sz w:val="18"/>
              </w:rPr>
            </w:pPr>
            <w:r>
              <w:rPr>
                <w:rFonts w:ascii="Times New Roman;serif" w:hAnsi="Times New Roman;serif"/>
                <w:b w:val="false"/>
                <w:i w:val="false"/>
                <w:caps w:val="false"/>
                <w:smallCaps w:val="false"/>
                <w:color w:val="000000"/>
                <w:sz w:val="18"/>
              </w:rPr>
              <w:t>Dividends of March 2, 2026 ($0.3426</w:t>
            </w:r>
            <w:r>
              <w:rPr>
                <w:rFonts w:ascii="Times New Roman;serif" w:hAnsi="Times New Roman;serif"/>
                <w:caps w:val="false"/>
                <w:smallCaps w:val="false"/>
                <w:color w:val="000000"/>
                <w:sz w:val="18"/>
              </w:rPr>
              <w:t xml:space="preserve"> </w:t>
            </w:r>
            <w:r>
              <w:rPr>
                <w:rFonts w:ascii="Times New Roman;serif" w:hAnsi="Times New Roman;serif"/>
                <w:b w:val="false"/>
                <w:i w:val="false"/>
                <w:caps w:val="false"/>
                <w:smallCaps w:val="false"/>
                <w:color w:val="000000"/>
                <w:sz w:val="18"/>
              </w:rPr>
              <w:t>per share)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(96,996)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0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1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(96,996)</w:t>
            </w:r>
          </w:p>
        </w:tc>
      </w:tr>
      <w:tr>
        <w:trPr/>
        <w:tc>
          <w:tcPr>
            <w:tcW w:w="4580" w:type="dxa"/>
            <w:tcBorders/>
            <w:vAlign w:val="center"/>
          </w:tcPr>
          <w:p>
            <w:pPr>
              <w:pStyle w:val="TableContents"/>
              <w:bidi w:val="0"/>
              <w:spacing w:lineRule="auto" w:line="259" w:before="0" w:after="283"/>
              <w:jc w:val="left"/>
              <w:rPr>
                <w:rFonts w:ascii="Times New Roman;serif" w:hAnsi="Times New Roman;serif"/>
                <w:sz w:val="18"/>
              </w:rPr>
            </w:pPr>
            <w:r>
              <w:rPr>
                <w:rFonts w:ascii="Times New Roman;serif" w:hAnsi="Times New Roman;serif"/>
                <w:b w:val="false"/>
                <w:i w:val="false"/>
                <w:caps w:val="false"/>
                <w:smallCaps w:val="false"/>
                <w:color w:val="000000"/>
                <w:sz w:val="18"/>
              </w:rPr>
              <w:t>Dividends of June 1, 2026 declared ($0.3426</w:t>
            </w:r>
            <w:r>
              <w:rPr>
                <w:rFonts w:ascii="Times New Roman;serif" w:hAnsi="Times New Roman;serif"/>
                <w:caps w:val="false"/>
                <w:smallCaps w:val="false"/>
                <w:color w:val="000000"/>
                <w:sz w:val="18"/>
              </w:rPr>
              <w:t xml:space="preserve"> </w:t>
            </w:r>
            <w:r>
              <w:rPr>
                <w:rFonts w:ascii="Times New Roman;serif" w:hAnsi="Times New Roman;serif"/>
                <w:b w:val="false"/>
                <w:i w:val="false"/>
                <w:caps w:val="false"/>
                <w:smallCaps w:val="false"/>
                <w:color w:val="000000"/>
                <w:sz w:val="18"/>
              </w:rPr>
              <w:t>per share)</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(97,063)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(97,063)</w:t>
            </w:r>
          </w:p>
        </w:tc>
      </w:tr>
      <w:tr>
        <w:trPr/>
        <w:tc>
          <w:tcPr>
            <w:tcW w:w="4580" w:type="dxa"/>
            <w:tcBorders/>
            <w:shd w:fill="CCEEFF" w:val="clear"/>
            <w:vAlign w:val="center"/>
          </w:tcPr>
          <w:p>
            <w:pPr>
              <w:pStyle w:val="TableContents"/>
              <w:bidi w:val="0"/>
              <w:spacing w:lineRule="auto" w:line="259" w:before="0" w:after="283"/>
              <w:jc w:val="left"/>
              <w:rPr>
                <w:rFonts w:ascii="Times New Roman;serif" w:hAnsi="Times New Roman;serif"/>
                <w:sz w:val="18"/>
              </w:rPr>
            </w:pPr>
            <w:r>
              <w:rPr>
                <w:rFonts w:ascii="Times New Roman;serif" w:hAnsi="Times New Roman;serif"/>
                <w:b w:val="false"/>
                <w:i w:val="false"/>
                <w:caps w:val="false"/>
                <w:smallCaps w:val="false"/>
                <w:color w:val="000000"/>
                <w:sz w:val="18"/>
              </w:rPr>
              <w:t>Issuance of common stock under dividend reinvestment plan (100,757</w:t>
            </w:r>
            <w:r>
              <w:rPr>
                <w:rFonts w:ascii="Times New Roman;serif" w:hAnsi="Times New Roman;serif"/>
                <w:caps w:val="false"/>
                <w:smallCaps w:val="false"/>
                <w:color w:val="000000"/>
                <w:sz w:val="18"/>
              </w:rPr>
              <w:t xml:space="preserve"> </w:t>
            </w:r>
            <w:r>
              <w:rPr>
                <w:rFonts w:ascii="Times New Roman;serif" w:hAnsi="Times New Roman;serif"/>
                <w:b w:val="false"/>
                <w:i w:val="false"/>
                <w:caps w:val="false"/>
                <w:smallCaps w:val="false"/>
                <w:color w:val="000000"/>
                <w:sz w:val="18"/>
              </w:rPr>
              <w:t>shares)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51</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3,741</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0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17"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3,792</w:t>
            </w:r>
            <w:r>
              <w:rPr>
                <w:rFonts w:ascii="Times New Roman;serif" w:hAnsi="Times New Roman;serif"/>
                <w:caps w:val="false"/>
                <w:smallCaps w:val="false"/>
                <w:color w:val="000000"/>
                <w:sz w:val="18"/>
              </w:rPr>
              <w:t> </w:t>
            </w:r>
          </w:p>
        </w:tc>
      </w:tr>
      <w:tr>
        <w:trPr/>
        <w:tc>
          <w:tcPr>
            <w:tcW w:w="4580" w:type="dxa"/>
            <w:tcBorders/>
            <w:vAlign w:val="center"/>
          </w:tcPr>
          <w:p>
            <w:pPr>
              <w:pStyle w:val="TableContents"/>
              <w:bidi w:val="0"/>
              <w:spacing w:lineRule="auto" w:line="259" w:before="0" w:after="283"/>
              <w:jc w:val="left"/>
              <w:rPr>
                <w:rFonts w:ascii="Times New Roman;serif" w:hAnsi="Times New Roman;serif"/>
                <w:sz w:val="18"/>
              </w:rPr>
            </w:pPr>
            <w:r>
              <w:rPr>
                <w:rFonts w:ascii="Times New Roman;serif" w:hAnsi="Times New Roman;serif"/>
                <w:b w:val="false"/>
                <w:i w:val="false"/>
                <w:caps w:val="false"/>
                <w:smallCaps w:val="false"/>
                <w:color w:val="000000"/>
                <w:sz w:val="18"/>
              </w:rPr>
              <w:t>Issuance of common stock from at-the-market sale agreements (44,300</w:t>
            </w:r>
            <w:r>
              <w:rPr>
                <w:rFonts w:ascii="Times New Roman;serif" w:hAnsi="Times New Roman;serif"/>
                <w:caps w:val="false"/>
                <w:smallCaps w:val="false"/>
                <w:color w:val="000000"/>
                <w:sz w:val="18"/>
              </w:rPr>
              <w:t xml:space="preserve"> </w:t>
            </w:r>
            <w:r>
              <w:rPr>
                <w:rFonts w:ascii="Times New Roman;serif" w:hAnsi="Times New Roman;serif"/>
                <w:b w:val="false"/>
                <w:i w:val="false"/>
                <w:caps w:val="false"/>
                <w:smallCaps w:val="false"/>
                <w:color w:val="000000"/>
                <w:sz w:val="18"/>
              </w:rPr>
              <w:t>shares)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22</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1,778</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1,800</w:t>
            </w:r>
            <w:r>
              <w:rPr>
                <w:rFonts w:ascii="Times New Roman;serif" w:hAnsi="Times New Roman;serif"/>
                <w:caps w:val="false"/>
                <w:smallCaps w:val="false"/>
                <w:color w:val="000000"/>
                <w:sz w:val="18"/>
              </w:rPr>
              <w:t> </w:t>
            </w:r>
          </w:p>
        </w:tc>
      </w:tr>
      <w:tr>
        <w:trPr/>
        <w:tc>
          <w:tcPr>
            <w:tcW w:w="4580" w:type="dxa"/>
            <w:tcBorders/>
            <w:shd w:fill="CCEEFF" w:val="clear"/>
            <w:vAlign w:val="center"/>
          </w:tcPr>
          <w:p>
            <w:pPr>
              <w:pStyle w:val="TableContents"/>
              <w:bidi w:val="0"/>
              <w:spacing w:lineRule="auto" w:line="259" w:before="0" w:after="283"/>
              <w:jc w:val="left"/>
              <w:rPr>
                <w:rFonts w:ascii="Times New Roman;serif" w:hAnsi="Times New Roman;serif"/>
                <w:sz w:val="18"/>
              </w:rPr>
            </w:pPr>
            <w:r>
              <w:rPr>
                <w:rFonts w:ascii="Times New Roman;serif" w:hAnsi="Times New Roman;serif"/>
                <w:b w:val="false"/>
                <w:i w:val="false"/>
                <w:caps w:val="false"/>
                <w:smallCaps w:val="false"/>
                <w:color w:val="000000"/>
                <w:sz w:val="18"/>
              </w:rPr>
              <w:t>Repurchase of stock (75,906</w:t>
            </w:r>
            <w:r>
              <w:rPr>
                <w:rFonts w:ascii="Times New Roman;serif" w:hAnsi="Times New Roman;serif"/>
                <w:caps w:val="false"/>
                <w:smallCaps w:val="false"/>
                <w:color w:val="000000"/>
                <w:sz w:val="18"/>
              </w:rPr>
              <w:t xml:space="preserve"> </w:t>
            </w:r>
            <w:r>
              <w:rPr>
                <w:rFonts w:ascii="Times New Roman;serif" w:hAnsi="Times New Roman;serif"/>
                <w:b w:val="false"/>
                <w:i w:val="false"/>
                <w:caps w:val="false"/>
                <w:smallCaps w:val="false"/>
                <w:color w:val="000000"/>
                <w:sz w:val="18"/>
              </w:rPr>
              <w:t>shares)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0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(2,925)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1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(2,925)</w:t>
            </w:r>
          </w:p>
        </w:tc>
      </w:tr>
      <w:tr>
        <w:trPr/>
        <w:tc>
          <w:tcPr>
            <w:tcW w:w="4580" w:type="dxa"/>
            <w:tcBorders/>
            <w:vAlign w:val="center"/>
          </w:tcPr>
          <w:p>
            <w:pPr>
              <w:pStyle w:val="TableContents"/>
              <w:bidi w:val="0"/>
              <w:spacing w:lineRule="auto" w:line="259" w:before="0" w:after="283"/>
              <w:jc w:val="left"/>
              <w:rPr>
                <w:rFonts w:ascii="Times New Roman;serif" w:hAnsi="Times New Roman;serif"/>
                <w:sz w:val="18"/>
              </w:rPr>
            </w:pPr>
            <w:r>
              <w:rPr>
                <w:rFonts w:ascii="Times New Roman;serif" w:hAnsi="Times New Roman;serif"/>
                <w:b w:val="false"/>
                <w:i w:val="false"/>
                <w:caps w:val="false"/>
                <w:smallCaps w:val="false"/>
                <w:color w:val="000000"/>
                <w:sz w:val="18"/>
              </w:rPr>
              <w:t>Equity compensation plan (193,917</w:t>
            </w:r>
            <w:r>
              <w:rPr>
                <w:rFonts w:ascii="Times New Roman;serif" w:hAnsi="Times New Roman;serif"/>
                <w:caps w:val="false"/>
                <w:smallCaps w:val="false"/>
                <w:color w:val="000000"/>
                <w:sz w:val="18"/>
              </w:rPr>
              <w:t xml:space="preserve"> </w:t>
            </w:r>
            <w:r>
              <w:rPr>
                <w:rFonts w:ascii="Times New Roman;serif" w:hAnsi="Times New Roman;serif"/>
                <w:b w:val="false"/>
                <w:i w:val="false"/>
                <w:caps w:val="false"/>
                <w:smallCaps w:val="false"/>
                <w:color w:val="000000"/>
                <w:sz w:val="18"/>
              </w:rPr>
              <w:t>shares)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97</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(97)</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r>
      <w:tr>
        <w:trPr/>
        <w:tc>
          <w:tcPr>
            <w:tcW w:w="4580" w:type="dxa"/>
            <w:tcBorders/>
            <w:shd w:fill="CCEEFF" w:val="clear"/>
            <w:vAlign w:val="center"/>
          </w:tcPr>
          <w:p>
            <w:pPr>
              <w:pStyle w:val="TableContents"/>
              <w:bidi w:val="0"/>
              <w:spacing w:lineRule="auto" w:line="259" w:before="0" w:after="283"/>
              <w:jc w:val="left"/>
              <w:rPr>
                <w:rFonts w:ascii="Times New Roman;serif" w:hAnsi="Times New Roman;serif"/>
                <w:sz w:val="18"/>
              </w:rPr>
            </w:pPr>
            <w:r>
              <w:rPr>
                <w:rFonts w:ascii="Times New Roman;serif" w:hAnsi="Times New Roman;serif"/>
                <w:b w:val="false"/>
                <w:i w:val="false"/>
                <w:caps w:val="false"/>
                <w:smallCaps w:val="false"/>
                <w:color w:val="000000"/>
                <w:sz w:val="18"/>
              </w:rPr>
              <w:t>Exercise of stock options (6,367</w:t>
            </w:r>
            <w:r>
              <w:rPr>
                <w:rFonts w:ascii="Times New Roman;serif" w:hAnsi="Times New Roman;serif"/>
                <w:caps w:val="false"/>
                <w:smallCaps w:val="false"/>
                <w:color w:val="000000"/>
                <w:sz w:val="18"/>
              </w:rPr>
              <w:t xml:space="preserve"> </w:t>
            </w:r>
            <w:r>
              <w:rPr>
                <w:rFonts w:ascii="Times New Roman;serif" w:hAnsi="Times New Roman;serif"/>
                <w:b w:val="false"/>
                <w:i w:val="false"/>
                <w:caps w:val="false"/>
                <w:smallCaps w:val="false"/>
                <w:color w:val="000000"/>
                <w:sz w:val="18"/>
              </w:rPr>
              <w:t>shares)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3</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206</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0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17"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209</w:t>
            </w:r>
            <w:r>
              <w:rPr>
                <w:rFonts w:ascii="Times New Roman;serif" w:hAnsi="Times New Roman;serif"/>
                <w:caps w:val="false"/>
                <w:smallCaps w:val="false"/>
                <w:color w:val="000000"/>
                <w:sz w:val="18"/>
              </w:rPr>
              <w:t> </w:t>
            </w:r>
          </w:p>
        </w:tc>
      </w:tr>
      <w:tr>
        <w:trPr/>
        <w:tc>
          <w:tcPr>
            <w:tcW w:w="458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2,716</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(160)</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2,556</w:t>
            </w:r>
            <w:r>
              <w:rPr>
                <w:rFonts w:ascii="Times New Roman;serif" w:hAnsi="Times New Roman;serif"/>
                <w:caps w:val="false"/>
                <w:smallCaps w:val="false"/>
                <w:color w:val="000000"/>
                <w:sz w:val="18"/>
              </w:rPr>
              <w:t> </w:t>
            </w:r>
          </w:p>
        </w:tc>
      </w:tr>
      <w:tr>
        <w:trPr/>
        <w:tc>
          <w:tcPr>
            <w:tcW w:w="458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 xml:space="preserve">Other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05"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215</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17"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(12)</w:t>
            </w:r>
          </w:p>
        </w:tc>
      </w:tr>
      <w:tr>
        <w:trPr/>
        <w:tc>
          <w:tcPr>
            <w:tcW w:w="458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Balance at March 31, 2026</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3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143,426</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87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4,532,634</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87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2,310,842</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05"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(93,693)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917"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6,893,209</w:t>
            </w:r>
            <w:r>
              <w:rPr>
                <w:rFonts w:ascii="Times New Roman;serif" w:hAnsi="Times New Roman;serif"/>
                <w:caps w:val="false"/>
                <w:smallCaps w:val="false"/>
                <w:color w:val="000000"/>
                <w:sz w:val="18"/>
              </w:rPr>
              <w:t> </w:t>
            </w:r>
          </w:p>
        </w:tc>
      </w:tr>
      <w:tr>
        <w:trPr/>
        <w:tc>
          <w:tcPr>
            <w:tcW w:w="458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 xml:space="preserve">Net income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105,725</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0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17"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105,725</w:t>
            </w:r>
            <w:r>
              <w:rPr>
                <w:rFonts w:ascii="Times New Roman;serif" w:hAnsi="Times New Roman;serif"/>
                <w:caps w:val="false"/>
                <w:smallCaps w:val="false"/>
                <w:color w:val="000000"/>
                <w:sz w:val="18"/>
              </w:rPr>
              <w:t> </w:t>
            </w:r>
          </w:p>
        </w:tc>
      </w:tr>
      <w:tr>
        <w:trPr/>
        <w:tc>
          <w:tcPr>
            <w:tcW w:w="4580" w:type="dxa"/>
            <w:tcBorders/>
            <w:vAlign w:val="center"/>
          </w:tcPr>
          <w:p>
            <w:pPr>
              <w:pStyle w:val="TableContents"/>
              <w:bidi w:val="0"/>
              <w:spacing w:lineRule="auto" w:line="259" w:before="0" w:after="283"/>
              <w:jc w:val="left"/>
              <w:rPr>
                <w:rFonts w:ascii="Times New Roman;serif" w:hAnsi="Times New Roman;serif"/>
                <w:sz w:val="18"/>
              </w:rPr>
            </w:pPr>
            <w:r>
              <w:rPr>
                <w:rFonts w:ascii="Times New Roman;serif" w:hAnsi="Times New Roman;serif"/>
                <w:b w:val="false"/>
                <w:i w:val="false"/>
                <w:caps w:val="false"/>
                <w:smallCaps w:val="false"/>
                <w:color w:val="000000"/>
                <w:sz w:val="18"/>
              </w:rPr>
              <w:t>Dividends of June 1, 2026 ($0.3426</w:t>
            </w:r>
            <w:r>
              <w:rPr>
                <w:rFonts w:ascii="Times New Roman;serif" w:hAnsi="Times New Roman;serif"/>
                <w:caps w:val="false"/>
                <w:smallCaps w:val="false"/>
                <w:color w:val="000000"/>
                <w:sz w:val="18"/>
              </w:rPr>
              <w:t xml:space="preserve"> </w:t>
            </w:r>
            <w:r>
              <w:rPr>
                <w:rFonts w:ascii="Times New Roman;serif" w:hAnsi="Times New Roman;serif"/>
                <w:b w:val="false"/>
                <w:i w:val="false"/>
                <w:caps w:val="false"/>
                <w:smallCaps w:val="false"/>
                <w:color w:val="000000"/>
                <w:sz w:val="18"/>
              </w:rPr>
              <w:t>per share)</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(110)</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(110)</w:t>
            </w:r>
          </w:p>
        </w:tc>
      </w:tr>
      <w:tr>
        <w:trPr/>
        <w:tc>
          <w:tcPr>
            <w:tcW w:w="4580" w:type="dxa"/>
            <w:tcBorders/>
            <w:shd w:fill="CCEEFF" w:val="clear"/>
            <w:vAlign w:val="center"/>
          </w:tcPr>
          <w:p>
            <w:pPr>
              <w:pStyle w:val="TableContents"/>
              <w:bidi w:val="0"/>
              <w:spacing w:lineRule="auto" w:line="259" w:before="0" w:after="283"/>
              <w:jc w:val="left"/>
              <w:rPr>
                <w:rFonts w:ascii="Times New Roman;serif" w:hAnsi="Times New Roman;serif"/>
                <w:sz w:val="18"/>
              </w:rPr>
            </w:pPr>
            <w:r>
              <w:rPr>
                <w:rFonts w:ascii="Times New Roman;serif" w:hAnsi="Times New Roman;serif"/>
                <w:b w:val="false"/>
                <w:i w:val="false"/>
                <w:caps w:val="false"/>
                <w:smallCaps w:val="false"/>
                <w:color w:val="000000"/>
                <w:sz w:val="18"/>
              </w:rPr>
              <w:t>Issuance of common stock under dividend reinvestment plan (105,607</w:t>
            </w:r>
            <w:r>
              <w:rPr>
                <w:rFonts w:ascii="Times New Roman;serif" w:hAnsi="Times New Roman;serif"/>
                <w:caps w:val="false"/>
                <w:smallCaps w:val="false"/>
                <w:color w:val="000000"/>
                <w:sz w:val="18"/>
              </w:rPr>
              <w:t xml:space="preserve"> </w:t>
            </w:r>
            <w:r>
              <w:rPr>
                <w:rFonts w:ascii="Times New Roman;serif" w:hAnsi="Times New Roman;serif"/>
                <w:b w:val="false"/>
                <w:i w:val="false"/>
                <w:caps w:val="false"/>
                <w:smallCaps w:val="false"/>
                <w:color w:val="000000"/>
                <w:sz w:val="18"/>
              </w:rPr>
              <w:t>shares)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52</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3,675</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0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17"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3,727</w:t>
            </w:r>
            <w:r>
              <w:rPr>
                <w:rFonts w:ascii="Times New Roman;serif" w:hAnsi="Times New Roman;serif"/>
                <w:caps w:val="false"/>
                <w:smallCaps w:val="false"/>
                <w:color w:val="000000"/>
                <w:sz w:val="18"/>
              </w:rPr>
              <w:t> </w:t>
            </w:r>
          </w:p>
        </w:tc>
      </w:tr>
      <w:tr>
        <w:trPr/>
        <w:tc>
          <w:tcPr>
            <w:tcW w:w="4580" w:type="dxa"/>
            <w:tcBorders/>
            <w:vAlign w:val="center"/>
          </w:tcPr>
          <w:p>
            <w:pPr>
              <w:pStyle w:val="TableContents"/>
              <w:bidi w:val="0"/>
              <w:spacing w:lineRule="auto" w:line="259" w:before="0" w:after="283"/>
              <w:jc w:val="left"/>
              <w:rPr>
                <w:rFonts w:ascii="Times New Roman;serif" w:hAnsi="Times New Roman;serif"/>
                <w:sz w:val="18"/>
              </w:rPr>
            </w:pPr>
            <w:r>
              <w:rPr>
                <w:rFonts w:ascii="Times New Roman;serif" w:hAnsi="Times New Roman;serif"/>
                <w:b w:val="false"/>
                <w:i w:val="false"/>
                <w:caps w:val="false"/>
                <w:smallCaps w:val="false"/>
                <w:color w:val="000000"/>
                <w:sz w:val="18"/>
              </w:rPr>
              <w:t>Issuance of common stock from at-the-market sale agreements (264,356</w:t>
            </w:r>
            <w:r>
              <w:rPr>
                <w:rFonts w:ascii="Times New Roman;serif" w:hAnsi="Times New Roman;serif"/>
                <w:caps w:val="false"/>
                <w:smallCaps w:val="false"/>
                <w:color w:val="000000"/>
                <w:sz w:val="18"/>
              </w:rPr>
              <w:t xml:space="preserve"> </w:t>
            </w:r>
            <w:r>
              <w:rPr>
                <w:rFonts w:ascii="Times New Roman;serif" w:hAnsi="Times New Roman;serif"/>
                <w:b w:val="false"/>
                <w:i w:val="false"/>
                <w:caps w:val="false"/>
                <w:smallCaps w:val="false"/>
                <w:color w:val="000000"/>
                <w:sz w:val="18"/>
              </w:rPr>
              <w:t>shares)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132</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10,607</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10,739</w:t>
            </w:r>
            <w:r>
              <w:rPr>
                <w:rFonts w:ascii="Times New Roman;serif" w:hAnsi="Times New Roman;serif"/>
                <w:caps w:val="false"/>
                <w:smallCaps w:val="false"/>
                <w:color w:val="000000"/>
                <w:sz w:val="18"/>
              </w:rPr>
              <w:t> </w:t>
            </w:r>
          </w:p>
        </w:tc>
      </w:tr>
      <w:tr>
        <w:trPr/>
        <w:tc>
          <w:tcPr>
            <w:tcW w:w="4580" w:type="dxa"/>
            <w:tcBorders/>
            <w:shd w:fill="CCEEFF" w:val="clear"/>
            <w:vAlign w:val="center"/>
          </w:tcPr>
          <w:p>
            <w:pPr>
              <w:pStyle w:val="TableContents"/>
              <w:bidi w:val="0"/>
              <w:spacing w:lineRule="auto" w:line="259" w:before="0" w:after="283"/>
              <w:jc w:val="left"/>
              <w:rPr>
                <w:rFonts w:ascii="Times New Roman;serif" w:hAnsi="Times New Roman;serif"/>
                <w:sz w:val="18"/>
              </w:rPr>
            </w:pPr>
            <w:r>
              <w:rPr>
                <w:rFonts w:ascii="Times New Roman;serif" w:hAnsi="Times New Roman;serif"/>
                <w:b w:val="false"/>
                <w:i w:val="false"/>
                <w:caps w:val="false"/>
                <w:smallCaps w:val="false"/>
                <w:color w:val="000000"/>
                <w:sz w:val="18"/>
              </w:rPr>
              <w:t>Repurchase of stock (522</w:t>
            </w:r>
            <w:r>
              <w:rPr>
                <w:rFonts w:ascii="Times New Roman;serif" w:hAnsi="Times New Roman;serif"/>
                <w:caps w:val="false"/>
                <w:smallCaps w:val="false"/>
                <w:color w:val="000000"/>
                <w:sz w:val="18"/>
              </w:rPr>
              <w:t xml:space="preserve"> </w:t>
            </w:r>
            <w:r>
              <w:rPr>
                <w:rFonts w:ascii="Times New Roman;serif" w:hAnsi="Times New Roman;serif"/>
                <w:b w:val="false"/>
                <w:i w:val="false"/>
                <w:caps w:val="false"/>
                <w:smallCaps w:val="false"/>
                <w:color w:val="000000"/>
                <w:sz w:val="18"/>
              </w:rPr>
              <w:t>shares)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0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1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(20)</w:t>
            </w:r>
          </w:p>
        </w:tc>
      </w:tr>
      <w:tr>
        <w:trPr/>
        <w:tc>
          <w:tcPr>
            <w:tcW w:w="4580" w:type="dxa"/>
            <w:tcBorders/>
            <w:vAlign w:val="center"/>
          </w:tcPr>
          <w:p>
            <w:pPr>
              <w:pStyle w:val="TableContents"/>
              <w:bidi w:val="0"/>
              <w:spacing w:lineRule="auto" w:line="259" w:before="0" w:after="283"/>
              <w:jc w:val="left"/>
              <w:rPr>
                <w:rFonts w:ascii="Times New Roman;serif" w:hAnsi="Times New Roman;serif"/>
                <w:sz w:val="18"/>
              </w:rPr>
            </w:pPr>
            <w:r>
              <w:rPr>
                <w:rFonts w:ascii="Times New Roman;serif" w:hAnsi="Times New Roman;serif"/>
                <w:b w:val="false"/>
                <w:i w:val="false"/>
                <w:caps w:val="false"/>
                <w:smallCaps w:val="false"/>
                <w:color w:val="000000"/>
                <w:sz w:val="18"/>
              </w:rPr>
              <w:t>Equity compensation plan (23,666</w:t>
            </w:r>
            <w:r>
              <w:rPr>
                <w:rFonts w:ascii="Times New Roman;serif" w:hAnsi="Times New Roman;serif"/>
                <w:caps w:val="false"/>
                <w:smallCaps w:val="false"/>
                <w:color w:val="000000"/>
                <w:sz w:val="18"/>
              </w:rPr>
              <w:t xml:space="preserve"> </w:t>
            </w:r>
            <w:r>
              <w:rPr>
                <w:rFonts w:ascii="Times New Roman;serif" w:hAnsi="Times New Roman;serif"/>
                <w:b w:val="false"/>
                <w:i w:val="false"/>
                <w:caps w:val="false"/>
                <w:smallCaps w:val="false"/>
                <w:color w:val="000000"/>
                <w:sz w:val="18"/>
              </w:rPr>
              <w:t>shares)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12</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(11)</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1</w:t>
            </w:r>
            <w:r>
              <w:rPr>
                <w:rFonts w:ascii="Times New Roman;serif" w:hAnsi="Times New Roman;serif"/>
                <w:caps w:val="false"/>
                <w:smallCaps w:val="false"/>
                <w:color w:val="000000"/>
                <w:sz w:val="18"/>
              </w:rPr>
              <w:t> </w:t>
            </w:r>
          </w:p>
        </w:tc>
      </w:tr>
      <w:tr>
        <w:trPr/>
        <w:tc>
          <w:tcPr>
            <w:tcW w:w="4580" w:type="dxa"/>
            <w:tcBorders/>
            <w:shd w:fill="CCEEFF" w:val="clear"/>
            <w:vAlign w:val="center"/>
          </w:tcPr>
          <w:p>
            <w:pPr>
              <w:pStyle w:val="TableContents"/>
              <w:bidi w:val="0"/>
              <w:spacing w:lineRule="auto" w:line="259" w:before="0" w:after="283"/>
              <w:jc w:val="left"/>
              <w:rPr>
                <w:rFonts w:ascii="Times New Roman;serif" w:hAnsi="Times New Roman;serif"/>
                <w:sz w:val="18"/>
              </w:rPr>
            </w:pPr>
            <w:r>
              <w:rPr>
                <w:rFonts w:ascii="Times New Roman;serif" w:hAnsi="Times New Roman;serif"/>
                <w:b w:val="false"/>
                <w:i w:val="false"/>
                <w:caps w:val="false"/>
                <w:smallCaps w:val="false"/>
                <w:color w:val="000000"/>
                <w:sz w:val="18"/>
              </w:rPr>
              <w:t>Exercise of stock options (16,808</w:t>
            </w:r>
            <w:r>
              <w:rPr>
                <w:rFonts w:ascii="Times New Roman;serif" w:hAnsi="Times New Roman;serif"/>
                <w:caps w:val="false"/>
                <w:smallCaps w:val="false"/>
                <w:color w:val="000000"/>
                <w:sz w:val="18"/>
              </w:rPr>
              <w:t xml:space="preserve"> </w:t>
            </w:r>
            <w:r>
              <w:rPr>
                <w:rFonts w:ascii="Times New Roman;serif" w:hAnsi="Times New Roman;serif"/>
                <w:b w:val="false"/>
                <w:i w:val="false"/>
                <w:caps w:val="false"/>
                <w:smallCaps w:val="false"/>
                <w:color w:val="000000"/>
                <w:sz w:val="18"/>
              </w:rPr>
              <w:t>shares)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9</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549</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0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17"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558</w:t>
            </w:r>
            <w:r>
              <w:rPr>
                <w:rFonts w:ascii="Times New Roman;serif" w:hAnsi="Times New Roman;serif"/>
                <w:caps w:val="false"/>
                <w:smallCaps w:val="false"/>
                <w:color w:val="000000"/>
                <w:sz w:val="18"/>
              </w:rPr>
              <w:t> </w:t>
            </w:r>
          </w:p>
        </w:tc>
      </w:tr>
      <w:tr>
        <w:trPr/>
        <w:tc>
          <w:tcPr>
            <w:tcW w:w="458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4,524</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(135)</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4,389</w:t>
            </w:r>
            <w:r>
              <w:rPr>
                <w:rFonts w:ascii="Times New Roman;serif" w:hAnsi="Times New Roman;serif"/>
                <w:caps w:val="false"/>
                <w:smallCaps w:val="false"/>
                <w:color w:val="000000"/>
                <w:sz w:val="18"/>
              </w:rPr>
              <w:t> </w:t>
            </w:r>
          </w:p>
        </w:tc>
      </w:tr>
      <w:tr>
        <w:trPr/>
        <w:tc>
          <w:tcPr>
            <w:tcW w:w="458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 xml:space="preserve">Other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(177)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05"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215</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17"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38</w:t>
            </w:r>
            <w:r>
              <w:rPr>
                <w:rFonts w:ascii="Times New Roman;serif" w:hAnsi="Times New Roman;serif"/>
                <w:caps w:val="false"/>
                <w:smallCaps w:val="false"/>
                <w:color w:val="000000"/>
                <w:sz w:val="18"/>
              </w:rPr>
              <w:t> </w:t>
            </w:r>
          </w:p>
        </w:tc>
      </w:tr>
      <w:tr>
        <w:trPr/>
        <w:tc>
          <w:tcPr>
            <w:tcW w:w="458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Balance at June 30, 2026</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3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143,631</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87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4,551,801</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87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2,416,322</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05"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(93,498)</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917"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7,018,256</w:t>
            </w:r>
            <w:r>
              <w:rPr>
                <w:rFonts w:ascii="Times New Roman;serif" w:hAnsi="Times New Roman;serif"/>
                <w:caps w:val="false"/>
                <w:smallCaps w:val="false"/>
                <w:color w:val="000000"/>
                <w:sz w:val="18"/>
              </w:rPr>
              <w:t> </w:t>
            </w:r>
          </w:p>
        </w:tc>
      </w:tr>
      <w:tr>
        <w:trPr/>
        <w:tc>
          <w:tcPr>
            <w:tcW w:w="4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73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87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87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705"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17"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10205" w:type="dxa"/>
            <w:gridSpan w:val="16"/>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The accompanying notes are an integral part of these consolidated financial statements</w:t>
            </w:r>
          </w:p>
        </w:tc>
      </w:tr>
    </w:tbl>
    <w:p>
      <w:pPr>
        <w:pStyle w:val="TextBody"/>
        <w:bidi w:val="0"/>
        <w:spacing w:lineRule="auto" w:line="259"/>
        <w:rPr>
          <w:rFonts w:ascii="Times New Roman;serif" w:hAnsi="Times New Roman;serif"/>
          <w:sz w:val="8"/>
        </w:rPr>
      </w:pPr>
      <w:r>
        <w:rPr>
          <w:rFonts w:ascii="Times New Roman;serif" w:hAnsi="Times New Roman;serif"/>
          <w:b w:val="false"/>
          <w:i w:val="false"/>
          <w:caps w:val="false"/>
          <w:smallCaps w:val="false"/>
          <w:color w:val="000000"/>
          <w:sz w:val="8"/>
        </w:rPr>
        <w:br/>
        <w:t>‎</w:t>
      </w:r>
      <w:r>
        <w:rPr>
          <w:rFonts w:ascii="Times New Roman;serif" w:hAnsi="Times New Roman;serif"/>
          <w:caps w:val="false"/>
          <w:smallCaps w:val="false"/>
          <w:color w:val="000000"/>
          <w:sz w:val="8"/>
        </w:rPr>
        <w:t xml:space="preserve">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7</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563C1"/>
            <w:sz w:val="24"/>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ESSENTIAL UTILITIES, INC. AND SUBSIDIARIES </w:t>
      </w:r>
    </w:p>
    <w:p>
      <w:pPr>
        <w:pStyle w:val="TextBody"/>
        <w:bidi w:val="0"/>
        <w:spacing w:lineRule="auto" w:line="192"/>
        <w:rPr>
          <w:rFonts w:ascii="Times New Roman;serif" w:hAnsi="Times New Roman;serif"/>
          <w:b w:val="false"/>
          <w:i w:val="false"/>
          <w:caps w:val="false"/>
          <w:smallCaps w:val="false"/>
          <w:color w:val="000000"/>
          <w:spacing w:val="0"/>
          <w:sz w:val="24"/>
        </w:rPr>
      </w:pPr>
      <w:r>
        <w:rPr>
          <w:rFonts w:ascii="Times New Roman;serif" w:hAnsi="Times New Roman;serif"/>
          <w:b w:val="false"/>
          <w:i w:val="false"/>
          <w:caps w:val="false"/>
          <w:smallCaps w:val="false"/>
          <w:color w:val="000000"/>
          <w:spacing w:val="0"/>
          <w:sz w:val="24"/>
        </w:rPr>
        <w:t>CONDENSED CONSOLIDATED STATEMENTS OF EQUITY </w:t>
      </w:r>
    </w:p>
    <w:p>
      <w:pPr>
        <w:pStyle w:val="TextBody"/>
        <w:bidi w:val="0"/>
        <w:spacing w:lineRule="auto" w:line="192"/>
        <w:rPr>
          <w:rFonts w:ascii="Times New Roman;serif" w:hAnsi="Times New Roman;serif"/>
          <w:b w:val="false"/>
          <w:i w:val="false"/>
          <w:caps w:val="false"/>
          <w:smallCaps w:val="false"/>
          <w:color w:val="000000"/>
          <w:spacing w:val="0"/>
          <w:sz w:val="24"/>
        </w:rPr>
      </w:pPr>
      <w:r>
        <w:rPr>
          <w:rFonts w:ascii="Times New Roman;serif" w:hAnsi="Times New Roman;serif"/>
          <w:b w:val="false"/>
          <w:i w:val="false"/>
          <w:caps w:val="false"/>
          <w:smallCaps w:val="false"/>
          <w:color w:val="000000"/>
          <w:spacing w:val="0"/>
          <w:sz w:val="24"/>
        </w:rPr>
        <w:t>(In thousands of dollars, except per share amounts)</w:t>
      </w:r>
    </w:p>
    <w:p>
      <w:pPr>
        <w:pStyle w:val="TextBody"/>
        <w:bidi w:val="0"/>
        <w:spacing w:lineRule="auto" w:line="259"/>
        <w:rPr>
          <w:rFonts w:ascii="Times New Roman;serif" w:hAnsi="Times New Roman;serif"/>
          <w:b w:val="false"/>
          <w:i w:val="false"/>
          <w:caps w:val="false"/>
          <w:smallCaps w:val="false"/>
          <w:color w:val="000000"/>
          <w:spacing w:val="0"/>
          <w:sz w:val="24"/>
        </w:rPr>
      </w:pPr>
      <w:r>
        <w:rPr>
          <w:rFonts w:ascii="Times New Roman;serif" w:hAnsi="Times New Roman;serif"/>
          <w:b w:val="false"/>
          <w:i w:val="false"/>
          <w:caps w:val="false"/>
          <w:smallCaps w:val="false"/>
          <w:color w:val="000000"/>
          <w:spacing w:val="0"/>
          <w:sz w:val="24"/>
        </w:rPr>
        <w:t>(UNAUDITED)</w:t>
      </w:r>
    </w:p>
    <w:p>
      <w:pPr>
        <w:pStyle w:val="TextBody"/>
        <w:bidi w:val="0"/>
        <w:spacing w:lineRule="auto" w:line="259"/>
        <w:rPr>
          <w:caps w:val="false"/>
          <w:smallCaps w:val="false"/>
          <w:color w:val="000000"/>
        </w:rPr>
      </w:pPr>
      <w:r>
        <w:rPr>
          <w:caps w:val="false"/>
          <w:smallCaps w:val="false"/>
          <w:color w:val="000000"/>
        </w:rPr>
        <w:t>   </w:t>
      </w:r>
      <w:bookmarkStart w:id="13" w:name="Statement_of_Equity_PY"/>
      <w:bookmarkEnd w:id="13"/>
    </w:p>
    <w:tbl>
      <w:tblPr>
        <w:tblW w:w="10205" w:type="dxa"/>
        <w:jc w:val="left"/>
        <w:tblInd w:w="0" w:type="dxa"/>
        <w:tblLayout w:type="fixed"/>
        <w:tblCellMar>
          <w:top w:w="0" w:type="dxa"/>
          <w:left w:w="0" w:type="dxa"/>
          <w:bottom w:w="0" w:type="dxa"/>
          <w:right w:w="0" w:type="dxa"/>
        </w:tblCellMar>
      </w:tblPr>
      <w:tblGrid>
        <w:gridCol w:w="4581"/>
        <w:gridCol w:w="109"/>
        <w:gridCol w:w="196"/>
        <w:gridCol w:w="736"/>
        <w:gridCol w:w="109"/>
        <w:gridCol w:w="196"/>
        <w:gridCol w:w="871"/>
        <w:gridCol w:w="109"/>
        <w:gridCol w:w="196"/>
        <w:gridCol w:w="871"/>
        <w:gridCol w:w="109"/>
        <w:gridCol w:w="196"/>
        <w:gridCol w:w="704"/>
        <w:gridCol w:w="109"/>
        <w:gridCol w:w="196"/>
        <w:gridCol w:w="917"/>
      </w:tblGrid>
      <w:tr>
        <w:trPr/>
        <w:tc>
          <w:tcPr>
            <w:tcW w:w="4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4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4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Capital in</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4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Common</w:t>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Excess of</w:t>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Retained</w:t>
            </w:r>
          </w:p>
        </w:tc>
        <w:tc>
          <w:tcPr>
            <w:tcW w:w="109" w:type="dxa"/>
            <w:tcBorders/>
            <w:vAlign w:val="center"/>
          </w:tcPr>
          <w:p>
            <w:pPr>
              <w:pStyle w:val="TableContents"/>
              <w:bidi w:val="0"/>
              <w:spacing w:before="0" w:after="283"/>
              <w:jc w:val="left"/>
              <w:rPr>
                <w:sz w:val="4"/>
                <w:szCs w:val="4"/>
              </w:rPr>
            </w:pPr>
            <w:r>
              <w:rPr>
                <w:sz w:val="4"/>
                <w:szCs w:val="4"/>
              </w:rPr>
            </w:r>
          </w:p>
        </w:tc>
        <w:tc>
          <w:tcPr>
            <w:tcW w:w="900"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Treasury</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4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Stock</w:t>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Par Value</w:t>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Earnings</w:t>
            </w:r>
          </w:p>
        </w:tc>
        <w:tc>
          <w:tcPr>
            <w:tcW w:w="109" w:type="dxa"/>
            <w:tcBorders/>
            <w:vAlign w:val="center"/>
          </w:tcPr>
          <w:p>
            <w:pPr>
              <w:pStyle w:val="TableContents"/>
              <w:bidi w:val="0"/>
              <w:spacing w:before="0" w:after="283"/>
              <w:jc w:val="left"/>
              <w:rPr>
                <w:sz w:val="4"/>
                <w:szCs w:val="4"/>
              </w:rPr>
            </w:pPr>
            <w:r>
              <w:rPr>
                <w:sz w:val="4"/>
                <w:szCs w:val="4"/>
              </w:rPr>
            </w:r>
          </w:p>
        </w:tc>
        <w:tc>
          <w:tcPr>
            <w:tcW w:w="90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Stock</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1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Total</w:t>
            </w:r>
          </w:p>
        </w:tc>
      </w:tr>
      <w:tr>
        <w:trPr/>
        <w:tc>
          <w:tcPr>
            <w:tcW w:w="45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Balance at December 31, 2024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139,105</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87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4,199,836</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87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1,949,492</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04"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(89,624)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91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6,198,809</w:t>
            </w:r>
            <w:r>
              <w:rPr>
                <w:rFonts w:ascii="Times New Roman;serif" w:hAnsi="Times New Roman;serif"/>
                <w:caps w:val="false"/>
                <w:smallCaps w:val="false"/>
                <w:color w:val="000000"/>
                <w:sz w:val="18"/>
              </w:rPr>
              <w:t> </w:t>
            </w:r>
          </w:p>
        </w:tc>
      </w:tr>
      <w:tr>
        <w:trPr/>
        <w:tc>
          <w:tcPr>
            <w:tcW w:w="45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 xml:space="preserve">Net income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283,789</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283,789</w:t>
            </w:r>
            <w:r>
              <w:rPr>
                <w:rFonts w:ascii="Times New Roman;serif" w:hAnsi="Times New Roman;serif"/>
                <w:caps w:val="false"/>
                <w:smallCaps w:val="false"/>
                <w:color w:val="000000"/>
                <w:sz w:val="18"/>
              </w:rPr>
              <w:t> </w:t>
            </w:r>
          </w:p>
        </w:tc>
      </w:tr>
      <w:tr>
        <w:trPr/>
        <w:tc>
          <w:tcPr>
            <w:tcW w:w="4581" w:type="dxa"/>
            <w:tcBorders/>
            <w:shd w:fill="CCEEFF" w:val="clear"/>
            <w:vAlign w:val="center"/>
          </w:tcPr>
          <w:p>
            <w:pPr>
              <w:pStyle w:val="TableContents"/>
              <w:bidi w:val="0"/>
              <w:spacing w:lineRule="auto" w:line="259" w:before="0" w:after="283"/>
              <w:jc w:val="left"/>
              <w:rPr>
                <w:rFonts w:ascii="Times New Roman;serif" w:hAnsi="Times New Roman;serif"/>
                <w:sz w:val="18"/>
              </w:rPr>
            </w:pPr>
            <w:r>
              <w:rPr>
                <w:rFonts w:ascii="Times New Roman;serif" w:hAnsi="Times New Roman;serif"/>
                <w:b w:val="false"/>
                <w:i w:val="false"/>
                <w:caps w:val="false"/>
                <w:smallCaps w:val="false"/>
                <w:color w:val="000000"/>
                <w:sz w:val="18"/>
              </w:rPr>
              <w:t>Dividends of March 1, 2025 ($0.3255</w:t>
            </w:r>
            <w:r>
              <w:rPr>
                <w:rFonts w:ascii="Times New Roman;serif" w:hAnsi="Times New Roman;serif"/>
                <w:caps w:val="false"/>
                <w:smallCaps w:val="false"/>
                <w:color w:val="000000"/>
                <w:sz w:val="18"/>
              </w:rPr>
              <w:t xml:space="preserve"> </w:t>
            </w:r>
            <w:r>
              <w:rPr>
                <w:rFonts w:ascii="Times New Roman;serif" w:hAnsi="Times New Roman;serif"/>
                <w:b w:val="false"/>
                <w:i w:val="false"/>
                <w:caps w:val="false"/>
                <w:smallCaps w:val="false"/>
                <w:color w:val="000000"/>
                <w:sz w:val="18"/>
              </w:rPr>
              <w:t>per share)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1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(22)</w:t>
            </w:r>
          </w:p>
        </w:tc>
      </w:tr>
      <w:tr>
        <w:trPr/>
        <w:tc>
          <w:tcPr>
            <w:tcW w:w="4581" w:type="dxa"/>
            <w:tcBorders/>
            <w:vAlign w:val="center"/>
          </w:tcPr>
          <w:p>
            <w:pPr>
              <w:pStyle w:val="TableContents"/>
              <w:bidi w:val="0"/>
              <w:spacing w:lineRule="auto" w:line="259" w:before="0" w:after="283"/>
              <w:jc w:val="left"/>
              <w:rPr>
                <w:rFonts w:ascii="Times New Roman;serif" w:hAnsi="Times New Roman;serif"/>
                <w:sz w:val="18"/>
              </w:rPr>
            </w:pPr>
            <w:r>
              <w:rPr>
                <w:rFonts w:ascii="Times New Roman;serif" w:hAnsi="Times New Roman;serif"/>
                <w:b w:val="false"/>
                <w:i w:val="false"/>
                <w:caps w:val="false"/>
                <w:smallCaps w:val="false"/>
                <w:color w:val="000000"/>
                <w:sz w:val="18"/>
              </w:rPr>
              <w:t>Dividends of June 2, 2025 declared ($0.3255</w:t>
            </w:r>
            <w:r>
              <w:rPr>
                <w:rFonts w:ascii="Times New Roman;serif" w:hAnsi="Times New Roman;serif"/>
                <w:caps w:val="false"/>
                <w:smallCaps w:val="false"/>
                <w:color w:val="000000"/>
                <w:sz w:val="18"/>
              </w:rPr>
              <w:t xml:space="preserve"> </w:t>
            </w:r>
            <w:r>
              <w:rPr>
                <w:rFonts w:ascii="Times New Roman;serif" w:hAnsi="Times New Roman;serif"/>
                <w:b w:val="false"/>
                <w:i w:val="false"/>
                <w:caps w:val="false"/>
                <w:smallCaps w:val="false"/>
                <w:color w:val="000000"/>
                <w:sz w:val="18"/>
              </w:rPr>
              <w:t>per share)</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(90,054)</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(90,054)</w:t>
            </w:r>
          </w:p>
        </w:tc>
      </w:tr>
      <w:tr>
        <w:trPr/>
        <w:tc>
          <w:tcPr>
            <w:tcW w:w="4581" w:type="dxa"/>
            <w:tcBorders/>
            <w:shd w:fill="CCEEFF" w:val="clear"/>
            <w:vAlign w:val="center"/>
          </w:tcPr>
          <w:p>
            <w:pPr>
              <w:pStyle w:val="TableContents"/>
              <w:bidi w:val="0"/>
              <w:spacing w:lineRule="auto" w:line="259" w:before="0" w:after="283"/>
              <w:jc w:val="left"/>
              <w:rPr>
                <w:rFonts w:ascii="Times New Roman;serif" w:hAnsi="Times New Roman;serif"/>
                <w:sz w:val="18"/>
              </w:rPr>
            </w:pPr>
            <w:r>
              <w:rPr>
                <w:rFonts w:ascii="Times New Roman;serif" w:hAnsi="Times New Roman;serif"/>
                <w:b w:val="false"/>
                <w:i w:val="false"/>
                <w:caps w:val="false"/>
                <w:smallCaps w:val="false"/>
                <w:color w:val="000000"/>
                <w:sz w:val="18"/>
              </w:rPr>
              <w:t>Issuance of common stock under dividend reinvestment plan (104,369</w:t>
            </w:r>
            <w:r>
              <w:rPr>
                <w:rFonts w:ascii="Times New Roman;serif" w:hAnsi="Times New Roman;serif"/>
                <w:caps w:val="false"/>
                <w:smallCaps w:val="false"/>
                <w:color w:val="000000"/>
                <w:sz w:val="18"/>
              </w:rPr>
              <w:t xml:space="preserve"> </w:t>
            </w:r>
            <w:r>
              <w:rPr>
                <w:rFonts w:ascii="Times New Roman;serif" w:hAnsi="Times New Roman;serif"/>
                <w:b w:val="false"/>
                <w:i w:val="false"/>
                <w:caps w:val="false"/>
                <w:smallCaps w:val="false"/>
                <w:color w:val="000000"/>
                <w:sz w:val="18"/>
              </w:rPr>
              <w:t>shares)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52</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3,760</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17"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3,812</w:t>
            </w:r>
            <w:r>
              <w:rPr>
                <w:rFonts w:ascii="Times New Roman;serif" w:hAnsi="Times New Roman;serif"/>
                <w:caps w:val="false"/>
                <w:smallCaps w:val="false"/>
                <w:color w:val="000000"/>
                <w:sz w:val="18"/>
              </w:rPr>
              <w:t> </w:t>
            </w:r>
          </w:p>
        </w:tc>
      </w:tr>
      <w:tr>
        <w:trPr/>
        <w:tc>
          <w:tcPr>
            <w:tcW w:w="4581" w:type="dxa"/>
            <w:tcBorders/>
            <w:vAlign w:val="center"/>
          </w:tcPr>
          <w:p>
            <w:pPr>
              <w:pStyle w:val="TableContents"/>
              <w:bidi w:val="0"/>
              <w:spacing w:lineRule="auto" w:line="259" w:before="0" w:after="283"/>
              <w:jc w:val="left"/>
              <w:rPr>
                <w:rFonts w:ascii="Times New Roman;serif" w:hAnsi="Times New Roman;serif"/>
                <w:sz w:val="18"/>
              </w:rPr>
            </w:pPr>
            <w:r>
              <w:rPr>
                <w:rFonts w:ascii="Times New Roman;serif" w:hAnsi="Times New Roman;serif"/>
                <w:b w:val="false"/>
                <w:i w:val="false"/>
                <w:caps w:val="false"/>
                <w:smallCaps w:val="false"/>
                <w:color w:val="000000"/>
                <w:sz w:val="18"/>
              </w:rPr>
              <w:t>Issuance of common stock from at-the-market sale agreements (1,627,009</w:t>
            </w:r>
            <w:r>
              <w:rPr>
                <w:rFonts w:ascii="Times New Roman;serif" w:hAnsi="Times New Roman;serif"/>
                <w:caps w:val="false"/>
                <w:smallCaps w:val="false"/>
                <w:color w:val="000000"/>
                <w:sz w:val="18"/>
              </w:rPr>
              <w:t xml:space="preserve"> </w:t>
            </w:r>
            <w:r>
              <w:rPr>
                <w:rFonts w:ascii="Times New Roman;serif" w:hAnsi="Times New Roman;serif"/>
                <w:b w:val="false"/>
                <w:i w:val="false"/>
                <w:caps w:val="false"/>
                <w:smallCaps w:val="false"/>
                <w:color w:val="000000"/>
                <w:sz w:val="18"/>
              </w:rPr>
              <w:t>shares)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813</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62,267</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63,080</w:t>
            </w:r>
            <w:r>
              <w:rPr>
                <w:rFonts w:ascii="Times New Roman;serif" w:hAnsi="Times New Roman;serif"/>
                <w:caps w:val="false"/>
                <w:smallCaps w:val="false"/>
                <w:color w:val="000000"/>
                <w:sz w:val="18"/>
              </w:rPr>
              <w:t> </w:t>
            </w:r>
          </w:p>
        </w:tc>
      </w:tr>
      <w:tr>
        <w:trPr/>
        <w:tc>
          <w:tcPr>
            <w:tcW w:w="4581" w:type="dxa"/>
            <w:tcBorders/>
            <w:shd w:fill="CCEEFF" w:val="clear"/>
            <w:vAlign w:val="center"/>
          </w:tcPr>
          <w:p>
            <w:pPr>
              <w:pStyle w:val="TableContents"/>
              <w:bidi w:val="0"/>
              <w:spacing w:lineRule="auto" w:line="259" w:before="0" w:after="283"/>
              <w:jc w:val="left"/>
              <w:rPr>
                <w:rFonts w:ascii="Times New Roman;serif" w:hAnsi="Times New Roman;serif"/>
                <w:sz w:val="18"/>
              </w:rPr>
            </w:pPr>
            <w:r>
              <w:rPr>
                <w:rFonts w:ascii="Times New Roman;serif" w:hAnsi="Times New Roman;serif"/>
                <w:b w:val="false"/>
                <w:i w:val="false"/>
                <w:caps w:val="false"/>
                <w:smallCaps w:val="false"/>
                <w:color w:val="000000"/>
                <w:sz w:val="18"/>
              </w:rPr>
              <w:t>Repurchase of stock (61,455</w:t>
            </w:r>
            <w:r>
              <w:rPr>
                <w:rFonts w:ascii="Times New Roman;serif" w:hAnsi="Times New Roman;serif"/>
                <w:caps w:val="false"/>
                <w:smallCaps w:val="false"/>
                <w:color w:val="000000"/>
                <w:sz w:val="18"/>
              </w:rPr>
              <w:t xml:space="preserve"> </w:t>
            </w:r>
            <w:r>
              <w:rPr>
                <w:rFonts w:ascii="Times New Roman;serif" w:hAnsi="Times New Roman;serif"/>
                <w:b w:val="false"/>
                <w:i w:val="false"/>
                <w:caps w:val="false"/>
                <w:smallCaps w:val="false"/>
                <w:color w:val="000000"/>
                <w:sz w:val="18"/>
              </w:rPr>
              <w:t>shares)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(2,234)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1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(2,234)</w:t>
            </w:r>
          </w:p>
        </w:tc>
      </w:tr>
      <w:tr>
        <w:trPr/>
        <w:tc>
          <w:tcPr>
            <w:tcW w:w="4581" w:type="dxa"/>
            <w:tcBorders/>
            <w:vAlign w:val="center"/>
          </w:tcPr>
          <w:p>
            <w:pPr>
              <w:pStyle w:val="TableContents"/>
              <w:bidi w:val="0"/>
              <w:spacing w:lineRule="auto" w:line="259" w:before="0" w:after="283"/>
              <w:jc w:val="left"/>
              <w:rPr>
                <w:rFonts w:ascii="Times New Roman;serif" w:hAnsi="Times New Roman;serif"/>
                <w:sz w:val="18"/>
              </w:rPr>
            </w:pPr>
            <w:r>
              <w:rPr>
                <w:rFonts w:ascii="Times New Roman;serif" w:hAnsi="Times New Roman;serif"/>
                <w:b w:val="false"/>
                <w:i w:val="false"/>
                <w:caps w:val="false"/>
                <w:smallCaps w:val="false"/>
                <w:color w:val="000000"/>
                <w:sz w:val="18"/>
              </w:rPr>
              <w:t>Equity compensation plan (155,823</w:t>
            </w:r>
            <w:r>
              <w:rPr>
                <w:rFonts w:ascii="Times New Roman;serif" w:hAnsi="Times New Roman;serif"/>
                <w:caps w:val="false"/>
                <w:smallCaps w:val="false"/>
                <w:color w:val="000000"/>
                <w:sz w:val="18"/>
              </w:rPr>
              <w:t xml:space="preserve"> </w:t>
            </w:r>
            <w:r>
              <w:rPr>
                <w:rFonts w:ascii="Times New Roman;serif" w:hAnsi="Times New Roman;serif"/>
                <w:b w:val="false"/>
                <w:i w:val="false"/>
                <w:caps w:val="false"/>
                <w:smallCaps w:val="false"/>
                <w:color w:val="000000"/>
                <w:sz w:val="18"/>
              </w:rPr>
              <w:t>shares)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78</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(78)</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r>
      <w:tr>
        <w:trPr/>
        <w:tc>
          <w:tcPr>
            <w:tcW w:w="4581" w:type="dxa"/>
            <w:tcBorders/>
            <w:shd w:fill="CCEEFF" w:val="clear"/>
            <w:vAlign w:val="center"/>
          </w:tcPr>
          <w:p>
            <w:pPr>
              <w:pStyle w:val="TableContents"/>
              <w:bidi w:val="0"/>
              <w:spacing w:lineRule="auto" w:line="259" w:before="0" w:after="283"/>
              <w:jc w:val="left"/>
              <w:rPr>
                <w:rFonts w:ascii="Times New Roman;serif" w:hAnsi="Times New Roman;serif"/>
                <w:sz w:val="18"/>
              </w:rPr>
            </w:pPr>
            <w:r>
              <w:rPr>
                <w:rFonts w:ascii="Times New Roman;serif" w:hAnsi="Times New Roman;serif"/>
                <w:b w:val="false"/>
                <w:i w:val="false"/>
                <w:caps w:val="false"/>
                <w:smallCaps w:val="false"/>
                <w:color w:val="000000"/>
                <w:sz w:val="18"/>
              </w:rPr>
              <w:t>Exercise of stock options (9,703</w:t>
            </w:r>
            <w:r>
              <w:rPr>
                <w:rFonts w:ascii="Times New Roman;serif" w:hAnsi="Times New Roman;serif"/>
                <w:caps w:val="false"/>
                <w:smallCaps w:val="false"/>
                <w:color w:val="000000"/>
                <w:sz w:val="18"/>
              </w:rPr>
              <w:t xml:space="preserve"> </w:t>
            </w:r>
            <w:r>
              <w:rPr>
                <w:rFonts w:ascii="Times New Roman;serif" w:hAnsi="Times New Roman;serif"/>
                <w:b w:val="false"/>
                <w:i w:val="false"/>
                <w:caps w:val="false"/>
                <w:smallCaps w:val="false"/>
                <w:color w:val="000000"/>
                <w:sz w:val="18"/>
              </w:rPr>
              <w:t>shares)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5</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337</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17"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342</w:t>
            </w:r>
            <w:r>
              <w:rPr>
                <w:rFonts w:ascii="Times New Roman;serif" w:hAnsi="Times New Roman;serif"/>
                <w:caps w:val="false"/>
                <w:smallCaps w:val="false"/>
                <w:color w:val="000000"/>
                <w:sz w:val="18"/>
              </w:rPr>
              <w:t> </w:t>
            </w:r>
          </w:p>
        </w:tc>
      </w:tr>
      <w:tr>
        <w:trPr/>
        <w:tc>
          <w:tcPr>
            <w:tcW w:w="45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2,592</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(185)</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2,407</w:t>
            </w:r>
            <w:r>
              <w:rPr>
                <w:rFonts w:ascii="Times New Roman;serif" w:hAnsi="Times New Roman;serif"/>
                <w:caps w:val="false"/>
                <w:smallCaps w:val="false"/>
                <w:color w:val="000000"/>
                <w:sz w:val="18"/>
              </w:rPr>
              <w:t> </w:t>
            </w:r>
          </w:p>
        </w:tc>
      </w:tr>
      <w:tr>
        <w:trPr/>
        <w:tc>
          <w:tcPr>
            <w:tcW w:w="45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 xml:space="preserve">Other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(88)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04"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250</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17"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162</w:t>
            </w:r>
            <w:r>
              <w:rPr>
                <w:rFonts w:ascii="Times New Roman;serif" w:hAnsi="Times New Roman;serif"/>
                <w:caps w:val="false"/>
                <w:smallCaps w:val="false"/>
                <w:color w:val="000000"/>
                <w:sz w:val="18"/>
              </w:rPr>
              <w:t> </w:t>
            </w:r>
          </w:p>
        </w:tc>
      </w:tr>
      <w:tr>
        <w:trPr/>
        <w:tc>
          <w:tcPr>
            <w:tcW w:w="45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Balance at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3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140,053</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87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4,268,626</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87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2,143,020</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04"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(91,608)</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917"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6,460,091</w:t>
            </w:r>
            <w:r>
              <w:rPr>
                <w:rFonts w:ascii="Times New Roman;serif" w:hAnsi="Times New Roman;serif"/>
                <w:caps w:val="false"/>
                <w:smallCaps w:val="false"/>
                <w:color w:val="000000"/>
                <w:sz w:val="18"/>
              </w:rPr>
              <w:t> </w:t>
            </w:r>
          </w:p>
        </w:tc>
      </w:tr>
      <w:tr>
        <w:trPr/>
        <w:tc>
          <w:tcPr>
            <w:tcW w:w="45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 xml:space="preserve">Net income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107,827</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17"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107,827</w:t>
            </w:r>
            <w:r>
              <w:rPr>
                <w:rFonts w:ascii="Times New Roman;serif" w:hAnsi="Times New Roman;serif"/>
                <w:caps w:val="false"/>
                <w:smallCaps w:val="false"/>
                <w:color w:val="000000"/>
                <w:sz w:val="18"/>
              </w:rPr>
              <w:t> </w:t>
            </w:r>
          </w:p>
        </w:tc>
      </w:tr>
      <w:tr>
        <w:trPr/>
        <w:tc>
          <w:tcPr>
            <w:tcW w:w="4581" w:type="dxa"/>
            <w:tcBorders/>
            <w:vAlign w:val="center"/>
          </w:tcPr>
          <w:p>
            <w:pPr>
              <w:pStyle w:val="TableContents"/>
              <w:bidi w:val="0"/>
              <w:spacing w:lineRule="auto" w:line="259" w:before="0" w:after="283"/>
              <w:jc w:val="left"/>
              <w:rPr>
                <w:rFonts w:ascii="Times New Roman;serif" w:hAnsi="Times New Roman;serif"/>
                <w:sz w:val="18"/>
              </w:rPr>
            </w:pPr>
            <w:r>
              <w:rPr>
                <w:rFonts w:ascii="Times New Roman;serif" w:hAnsi="Times New Roman;serif"/>
                <w:b w:val="false"/>
                <w:i w:val="false"/>
                <w:caps w:val="false"/>
                <w:smallCaps w:val="false"/>
                <w:color w:val="000000"/>
                <w:sz w:val="18"/>
              </w:rPr>
              <w:t>Dividends of June 2, 2025 ($0.3255</w:t>
            </w:r>
            <w:r>
              <w:rPr>
                <w:rFonts w:ascii="Times New Roman;serif" w:hAnsi="Times New Roman;serif"/>
                <w:caps w:val="false"/>
                <w:smallCaps w:val="false"/>
                <w:color w:val="000000"/>
                <w:sz w:val="18"/>
              </w:rPr>
              <w:t xml:space="preserve"> </w:t>
            </w:r>
            <w:r>
              <w:rPr>
                <w:rFonts w:ascii="Times New Roman;serif" w:hAnsi="Times New Roman;serif"/>
                <w:b w:val="false"/>
                <w:i w:val="false"/>
                <w:caps w:val="false"/>
                <w:smallCaps w:val="false"/>
                <w:color w:val="000000"/>
                <w:sz w:val="18"/>
              </w:rPr>
              <w:t>per share)</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(1,197)</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(1,197)</w:t>
            </w:r>
          </w:p>
        </w:tc>
      </w:tr>
      <w:tr>
        <w:trPr/>
        <w:tc>
          <w:tcPr>
            <w:tcW w:w="4581" w:type="dxa"/>
            <w:tcBorders/>
            <w:shd w:fill="CCEEFF" w:val="clear"/>
            <w:vAlign w:val="center"/>
          </w:tcPr>
          <w:p>
            <w:pPr>
              <w:pStyle w:val="TableContents"/>
              <w:bidi w:val="0"/>
              <w:spacing w:lineRule="auto" w:line="259" w:before="0" w:after="283"/>
              <w:jc w:val="left"/>
              <w:rPr>
                <w:rFonts w:ascii="Times New Roman;serif" w:hAnsi="Times New Roman;serif"/>
                <w:sz w:val="18"/>
              </w:rPr>
            </w:pPr>
            <w:r>
              <w:rPr>
                <w:rFonts w:ascii="Times New Roman;serif" w:hAnsi="Times New Roman;serif"/>
                <w:b w:val="false"/>
                <w:i w:val="false"/>
                <w:caps w:val="false"/>
                <w:smallCaps w:val="false"/>
                <w:color w:val="000000"/>
                <w:sz w:val="18"/>
              </w:rPr>
              <w:t>Issuance of common stock under dividend reinvestment plan (105,842</w:t>
            </w:r>
            <w:r>
              <w:rPr>
                <w:rFonts w:ascii="Times New Roman;serif" w:hAnsi="Times New Roman;serif"/>
                <w:caps w:val="false"/>
                <w:smallCaps w:val="false"/>
                <w:color w:val="000000"/>
                <w:sz w:val="18"/>
              </w:rPr>
              <w:t xml:space="preserve"> </w:t>
            </w:r>
            <w:r>
              <w:rPr>
                <w:rFonts w:ascii="Times New Roman;serif" w:hAnsi="Times New Roman;serif"/>
                <w:b w:val="false"/>
                <w:i w:val="false"/>
                <w:caps w:val="false"/>
                <w:smallCaps w:val="false"/>
                <w:color w:val="000000"/>
                <w:sz w:val="18"/>
              </w:rPr>
              <w:t>shares)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53</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3,704</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17"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3,757</w:t>
            </w:r>
            <w:r>
              <w:rPr>
                <w:rFonts w:ascii="Times New Roman;serif" w:hAnsi="Times New Roman;serif"/>
                <w:caps w:val="false"/>
                <w:smallCaps w:val="false"/>
                <w:color w:val="000000"/>
                <w:sz w:val="18"/>
              </w:rPr>
              <w:t> </w:t>
            </w:r>
          </w:p>
        </w:tc>
      </w:tr>
      <w:tr>
        <w:trPr/>
        <w:tc>
          <w:tcPr>
            <w:tcW w:w="4581" w:type="dxa"/>
            <w:tcBorders/>
            <w:vAlign w:val="center"/>
          </w:tcPr>
          <w:p>
            <w:pPr>
              <w:pStyle w:val="TableContents"/>
              <w:bidi w:val="0"/>
              <w:spacing w:lineRule="auto" w:line="259" w:before="0" w:after="283"/>
              <w:jc w:val="left"/>
              <w:rPr>
                <w:rFonts w:ascii="Times New Roman;serif" w:hAnsi="Times New Roman;serif"/>
                <w:sz w:val="18"/>
              </w:rPr>
            </w:pPr>
            <w:r>
              <w:rPr>
                <w:rFonts w:ascii="Times New Roman;serif" w:hAnsi="Times New Roman;serif"/>
                <w:b w:val="false"/>
                <w:i w:val="false"/>
                <w:caps w:val="false"/>
                <w:smallCaps w:val="false"/>
                <w:color w:val="000000"/>
                <w:sz w:val="18"/>
              </w:rPr>
              <w:t>Issuance of common stock from at-the-market sale agreements (3,664,762</w:t>
            </w:r>
            <w:r>
              <w:rPr>
                <w:rFonts w:ascii="Times New Roman;serif" w:hAnsi="Times New Roman;serif"/>
                <w:caps w:val="false"/>
                <w:smallCaps w:val="false"/>
                <w:color w:val="000000"/>
                <w:sz w:val="18"/>
              </w:rPr>
              <w:t xml:space="preserve"> </w:t>
            </w:r>
            <w:r>
              <w:rPr>
                <w:rFonts w:ascii="Times New Roman;serif" w:hAnsi="Times New Roman;serif"/>
                <w:b w:val="false"/>
                <w:i w:val="false"/>
                <w:caps w:val="false"/>
                <w:smallCaps w:val="false"/>
                <w:color w:val="000000"/>
                <w:sz w:val="18"/>
              </w:rPr>
              <w:t>shares)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1,833</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143,663</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145,496</w:t>
            </w:r>
            <w:r>
              <w:rPr>
                <w:rFonts w:ascii="Times New Roman;serif" w:hAnsi="Times New Roman;serif"/>
                <w:caps w:val="false"/>
                <w:smallCaps w:val="false"/>
                <w:color w:val="000000"/>
                <w:sz w:val="18"/>
              </w:rPr>
              <w:t> </w:t>
            </w:r>
          </w:p>
        </w:tc>
      </w:tr>
      <w:tr>
        <w:trPr/>
        <w:tc>
          <w:tcPr>
            <w:tcW w:w="4581" w:type="dxa"/>
            <w:tcBorders/>
            <w:shd w:fill="CCEEFF" w:val="clear"/>
            <w:vAlign w:val="center"/>
          </w:tcPr>
          <w:p>
            <w:pPr>
              <w:pStyle w:val="TableContents"/>
              <w:bidi w:val="0"/>
              <w:spacing w:lineRule="auto" w:line="259" w:before="0" w:after="283"/>
              <w:jc w:val="left"/>
              <w:rPr>
                <w:rFonts w:ascii="Times New Roman;serif" w:hAnsi="Times New Roman;serif"/>
                <w:sz w:val="18"/>
              </w:rPr>
            </w:pPr>
            <w:r>
              <w:rPr>
                <w:rFonts w:ascii="Times New Roman;serif" w:hAnsi="Times New Roman;serif"/>
                <w:b w:val="false"/>
                <w:i w:val="false"/>
                <w:caps w:val="false"/>
                <w:smallCaps w:val="false"/>
                <w:color w:val="000000"/>
                <w:sz w:val="18"/>
              </w:rPr>
              <w:t>Repurchase of stock (75</w:t>
            </w:r>
            <w:r>
              <w:rPr>
                <w:rFonts w:ascii="Times New Roman;serif" w:hAnsi="Times New Roman;serif"/>
                <w:caps w:val="false"/>
                <w:smallCaps w:val="false"/>
                <w:color w:val="000000"/>
                <w:sz w:val="18"/>
              </w:rPr>
              <w:t xml:space="preserve"> </w:t>
            </w:r>
            <w:r>
              <w:rPr>
                <w:rFonts w:ascii="Times New Roman;serif" w:hAnsi="Times New Roman;serif"/>
                <w:b w:val="false"/>
                <w:i w:val="false"/>
                <w:caps w:val="false"/>
                <w:smallCaps w:val="false"/>
                <w:color w:val="000000"/>
                <w:sz w:val="18"/>
              </w:rPr>
              <w:t>shares)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1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(3)</w:t>
            </w:r>
          </w:p>
        </w:tc>
      </w:tr>
      <w:tr>
        <w:trPr/>
        <w:tc>
          <w:tcPr>
            <w:tcW w:w="4581" w:type="dxa"/>
            <w:tcBorders/>
            <w:vAlign w:val="center"/>
          </w:tcPr>
          <w:p>
            <w:pPr>
              <w:pStyle w:val="TableContents"/>
              <w:bidi w:val="0"/>
              <w:spacing w:lineRule="auto" w:line="259" w:before="0" w:after="283"/>
              <w:jc w:val="left"/>
              <w:rPr>
                <w:rFonts w:ascii="Times New Roman;serif" w:hAnsi="Times New Roman;serif"/>
                <w:sz w:val="18"/>
              </w:rPr>
            </w:pPr>
            <w:r>
              <w:rPr>
                <w:rFonts w:ascii="Times New Roman;serif" w:hAnsi="Times New Roman;serif"/>
                <w:b w:val="false"/>
                <w:i w:val="false"/>
                <w:caps w:val="false"/>
                <w:smallCaps w:val="false"/>
                <w:color w:val="000000"/>
                <w:sz w:val="18"/>
              </w:rPr>
              <w:t>Equity compensation plan (21,857</w:t>
            </w:r>
            <w:r>
              <w:rPr>
                <w:rFonts w:ascii="Times New Roman;serif" w:hAnsi="Times New Roman;serif"/>
                <w:caps w:val="false"/>
                <w:smallCaps w:val="false"/>
                <w:color w:val="000000"/>
                <w:sz w:val="18"/>
              </w:rPr>
              <w:t xml:space="preserve"> </w:t>
            </w:r>
            <w:r>
              <w:rPr>
                <w:rFonts w:ascii="Times New Roman;serif" w:hAnsi="Times New Roman;serif"/>
                <w:b w:val="false"/>
                <w:i w:val="false"/>
                <w:caps w:val="false"/>
                <w:smallCaps w:val="false"/>
                <w:color w:val="000000"/>
                <w:sz w:val="18"/>
              </w:rPr>
              <w:t>shares)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11</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(11)</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r>
      <w:tr>
        <w:trPr/>
        <w:tc>
          <w:tcPr>
            <w:tcW w:w="4581" w:type="dxa"/>
            <w:tcBorders/>
            <w:shd w:fill="CCEEFF" w:val="clear"/>
            <w:vAlign w:val="center"/>
          </w:tcPr>
          <w:p>
            <w:pPr>
              <w:pStyle w:val="TableContents"/>
              <w:bidi w:val="0"/>
              <w:spacing w:lineRule="auto" w:line="259" w:before="0" w:after="283"/>
              <w:jc w:val="left"/>
              <w:rPr>
                <w:rFonts w:ascii="Times New Roman;serif" w:hAnsi="Times New Roman;serif"/>
                <w:sz w:val="18"/>
              </w:rPr>
            </w:pPr>
            <w:r>
              <w:rPr>
                <w:rFonts w:ascii="Times New Roman;serif" w:hAnsi="Times New Roman;serif"/>
                <w:b w:val="false"/>
                <w:i w:val="false"/>
                <w:caps w:val="false"/>
                <w:smallCaps w:val="false"/>
                <w:color w:val="000000"/>
                <w:sz w:val="18"/>
              </w:rPr>
              <w:t>Exercise of stock options (2,117</w:t>
            </w:r>
            <w:r>
              <w:rPr>
                <w:rFonts w:ascii="Times New Roman;serif" w:hAnsi="Times New Roman;serif"/>
                <w:caps w:val="false"/>
                <w:smallCaps w:val="false"/>
                <w:color w:val="000000"/>
                <w:sz w:val="18"/>
              </w:rPr>
              <w:t xml:space="preserve"> </w:t>
            </w:r>
            <w:r>
              <w:rPr>
                <w:rFonts w:ascii="Times New Roman;serif" w:hAnsi="Times New Roman;serif"/>
                <w:b w:val="false"/>
                <w:i w:val="false"/>
                <w:caps w:val="false"/>
                <w:smallCaps w:val="false"/>
                <w:color w:val="000000"/>
                <w:sz w:val="18"/>
              </w:rPr>
              <w:t>shares)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1</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74</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17"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75</w:t>
            </w:r>
            <w:r>
              <w:rPr>
                <w:rFonts w:ascii="Times New Roman;serif" w:hAnsi="Times New Roman;serif"/>
                <w:caps w:val="false"/>
                <w:smallCaps w:val="false"/>
                <w:color w:val="000000"/>
                <w:sz w:val="18"/>
              </w:rPr>
              <w:t> </w:t>
            </w:r>
          </w:p>
        </w:tc>
      </w:tr>
      <w:tr>
        <w:trPr/>
        <w:tc>
          <w:tcPr>
            <w:tcW w:w="45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4,292</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(249)</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4,043</w:t>
            </w:r>
            <w:r>
              <w:rPr>
                <w:rFonts w:ascii="Times New Roman;serif" w:hAnsi="Times New Roman;serif"/>
                <w:caps w:val="false"/>
                <w:smallCaps w:val="false"/>
                <w:color w:val="000000"/>
                <w:sz w:val="18"/>
              </w:rPr>
              <w:t> </w:t>
            </w:r>
          </w:p>
        </w:tc>
      </w:tr>
      <w:tr>
        <w:trPr/>
        <w:tc>
          <w:tcPr>
            <w:tcW w:w="45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 xml:space="preserve">Other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04"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221</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17"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113</w:t>
            </w:r>
            <w:r>
              <w:rPr>
                <w:rFonts w:ascii="Times New Roman;serif" w:hAnsi="Times New Roman;serif"/>
                <w:caps w:val="false"/>
                <w:smallCaps w:val="false"/>
                <w:color w:val="000000"/>
                <w:sz w:val="18"/>
              </w:rPr>
              <w:t> </w:t>
            </w:r>
          </w:p>
        </w:tc>
      </w:tr>
      <w:tr>
        <w:trPr/>
        <w:tc>
          <w:tcPr>
            <w:tcW w:w="45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Balance at June 30, 2025</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3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141,951</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87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4,420,240</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87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2,249,401</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04"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(91,390)</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917"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6,720,202</w:t>
            </w:r>
            <w:r>
              <w:rPr>
                <w:rFonts w:ascii="Times New Roman;serif" w:hAnsi="Times New Roman;serif"/>
                <w:caps w:val="false"/>
                <w:smallCaps w:val="false"/>
                <w:color w:val="000000"/>
                <w:sz w:val="18"/>
              </w:rPr>
              <w:t> </w:t>
            </w:r>
          </w:p>
        </w:tc>
      </w:tr>
      <w:tr>
        <w:trPr/>
        <w:tc>
          <w:tcPr>
            <w:tcW w:w="4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73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87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87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704"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17"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10205" w:type="dxa"/>
            <w:gridSpan w:val="16"/>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The accompanying notes are an integral part of these consolidated financial statements</w:t>
            </w:r>
          </w:p>
        </w:tc>
      </w:tr>
    </w:tbl>
    <w:p>
      <w:pPr>
        <w:pStyle w:val="TextBody"/>
        <w:bidi w:val="0"/>
        <w:spacing w:lineRule="auto" w:line="192"/>
        <w:rPr>
          <w:rFonts w:ascii="Times New Roman;serif" w:hAnsi="Times New Roman;serif"/>
          <w:sz w:val="24"/>
        </w:rPr>
      </w:pPr>
      <w:r>
        <w:rPr>
          <w:rFonts w:ascii="Times New Roman;serif" w:hAnsi="Times New Roman;serif"/>
          <w:b w:val="false"/>
          <w:i w:val="false"/>
          <w:caps w:val="false"/>
          <w:smallCaps w:val="false"/>
          <w:color w:val="FFFFFF"/>
          <w:sz w:val="24"/>
        </w:rPr>
        <w:t>Click or tap here to enter text.</w:t>
      </w:r>
      <w:r>
        <w:rPr>
          <w:rFonts w:ascii="Times New Roman;serif" w:hAnsi="Times New Roman;serif"/>
          <w:caps w:val="false"/>
          <w:smallCaps w:val="false"/>
          <w:color w:val="FFFFFF"/>
          <w:sz w:val="24"/>
        </w:rPr>
        <w:t>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8</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563C1"/>
            <w:sz w:val="24"/>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ESSENTIAL UTILITIES, INC. AND SUBSIDIARIES </w:t>
      </w:r>
    </w:p>
    <w:p>
      <w:pPr>
        <w:pStyle w:val="TextBody"/>
        <w:bidi w:val="0"/>
        <w:spacing w:lineRule="auto" w:line="192"/>
        <w:rPr>
          <w:rFonts w:ascii="Times New Roman;serif" w:hAnsi="Times New Roman;serif"/>
          <w:b w:val="false"/>
          <w:i w:val="false"/>
          <w:caps w:val="false"/>
          <w:smallCaps w:val="false"/>
          <w:color w:val="000000"/>
          <w:spacing w:val="0"/>
          <w:sz w:val="24"/>
        </w:rPr>
      </w:pPr>
      <w:r>
        <w:rPr>
          <w:rFonts w:ascii="Times New Roman;serif" w:hAnsi="Times New Roman;serif"/>
          <w:b w:val="false"/>
          <w:i w:val="false"/>
          <w:caps w:val="false"/>
          <w:smallCaps w:val="false"/>
          <w:color w:val="000000"/>
          <w:spacing w:val="0"/>
          <w:sz w:val="24"/>
        </w:rPr>
        <w:t>CONDENSED CONSOLIDATED STATEMENTS OF CASH FLOW </w:t>
      </w:r>
    </w:p>
    <w:p>
      <w:pPr>
        <w:pStyle w:val="TextBody"/>
        <w:bidi w:val="0"/>
        <w:spacing w:lineRule="auto" w:line="192"/>
        <w:rPr>
          <w:rFonts w:ascii="Times New Roman;serif" w:hAnsi="Times New Roman;serif"/>
          <w:b w:val="false"/>
          <w:i w:val="false"/>
          <w:caps w:val="false"/>
          <w:smallCaps w:val="false"/>
          <w:color w:val="000000"/>
          <w:spacing w:val="0"/>
          <w:sz w:val="24"/>
        </w:rPr>
      </w:pPr>
      <w:r>
        <w:rPr>
          <w:rFonts w:ascii="Times New Roman;serif" w:hAnsi="Times New Roman;serif"/>
          <w:b w:val="false"/>
          <w:i w:val="false"/>
          <w:caps w:val="false"/>
          <w:smallCaps w:val="false"/>
          <w:color w:val="000000"/>
          <w:spacing w:val="0"/>
          <w:sz w:val="24"/>
        </w:rPr>
        <w:t>(In thousands of dollars) </w:t>
      </w:r>
    </w:p>
    <w:p>
      <w:pPr>
        <w:pStyle w:val="TextBody"/>
        <w:bidi w:val="0"/>
        <w:spacing w:lineRule="auto" w:line="192"/>
        <w:rPr>
          <w:rFonts w:ascii="Times New Roman;serif" w:hAnsi="Times New Roman;serif"/>
          <w:b w:val="false"/>
          <w:i w:val="false"/>
          <w:caps w:val="false"/>
          <w:smallCaps w:val="false"/>
          <w:color w:val="000000"/>
          <w:spacing w:val="0"/>
          <w:sz w:val="24"/>
        </w:rPr>
      </w:pPr>
      <w:r>
        <w:rPr>
          <w:rFonts w:ascii="Times New Roman;serif" w:hAnsi="Times New Roman;serif"/>
          <w:b w:val="false"/>
          <w:i w:val="false"/>
          <w:caps w:val="false"/>
          <w:smallCaps w:val="false"/>
          <w:color w:val="000000"/>
          <w:spacing w:val="0"/>
          <w:sz w:val="24"/>
        </w:rPr>
        <w:t>(UNAUDITED)</w:t>
      </w:r>
    </w:p>
    <w:p>
      <w:pPr>
        <w:pStyle w:val="TextBody"/>
        <w:bidi w:val="0"/>
        <w:spacing w:lineRule="auto" w:line="259"/>
        <w:rPr>
          <w:caps w:val="false"/>
          <w:smallCaps w:val="false"/>
          <w:color w:val="000000"/>
        </w:rPr>
      </w:pPr>
      <w:r>
        <w:rPr>
          <w:caps w:val="false"/>
          <w:smallCaps w:val="false"/>
          <w:color w:val="000000"/>
        </w:rPr>
        <w:t> </w:t>
      </w:r>
      <w:bookmarkStart w:id="14" w:name="Statement_of_CashFlows"/>
      <w:bookmarkEnd w:id="14"/>
    </w:p>
    <w:tbl>
      <w:tblPr>
        <w:tblW w:w="10205" w:type="dxa"/>
        <w:jc w:val="left"/>
        <w:tblInd w:w="0" w:type="dxa"/>
        <w:tblLayout w:type="fixed"/>
        <w:tblCellMar>
          <w:top w:w="0" w:type="dxa"/>
          <w:left w:w="0" w:type="dxa"/>
          <w:bottom w:w="0" w:type="dxa"/>
          <w:right w:w="0" w:type="dxa"/>
        </w:tblCellMar>
      </w:tblPr>
      <w:tblGrid>
        <w:gridCol w:w="7823"/>
        <w:gridCol w:w="109"/>
        <w:gridCol w:w="196"/>
        <w:gridCol w:w="795"/>
        <w:gridCol w:w="109"/>
        <w:gridCol w:w="196"/>
        <w:gridCol w:w="977"/>
      </w:tblGrid>
      <w:tr>
        <w:trPr/>
        <w:tc>
          <w:tcPr>
            <w:tcW w:w="78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r>
      <w:tr>
        <w:trPr/>
        <w:tc>
          <w:tcPr>
            <w:tcW w:w="78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3" w:type="dxa"/>
            <w:gridSpan w:val="5"/>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Six Months Ended</w:t>
            </w:r>
          </w:p>
        </w:tc>
      </w:tr>
      <w:tr>
        <w:trPr/>
        <w:tc>
          <w:tcPr>
            <w:tcW w:w="78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3"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June 30,</w:t>
            </w:r>
          </w:p>
        </w:tc>
      </w:tr>
      <w:tr>
        <w:trPr/>
        <w:tc>
          <w:tcPr>
            <w:tcW w:w="78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2026</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2025</w:t>
            </w:r>
          </w:p>
        </w:tc>
      </w:tr>
      <w:tr>
        <w:trPr/>
        <w:tc>
          <w:tcPr>
            <w:tcW w:w="782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Cash flows from operating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95"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77"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782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95"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330,117</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977"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391,616</w:t>
            </w:r>
            <w:r>
              <w:rPr>
                <w:rFonts w:ascii="Times New Roman;serif" w:hAnsi="Times New Roman;serif"/>
                <w:caps w:val="false"/>
                <w:smallCaps w:val="false"/>
                <w:color w:val="000000"/>
                <w:sz w:val="18"/>
              </w:rPr>
              <w:t> </w:t>
            </w:r>
          </w:p>
        </w:tc>
      </w:tr>
      <w:tr>
        <w:trPr/>
        <w:tc>
          <w:tcPr>
            <w:tcW w:w="782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Adjustments to reconcile net income to net cash flows from operating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9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77" w:type="dxa"/>
            <w:tcBorders/>
            <w:shd w:fill="CCEEFF" w:val="clear"/>
            <w:vAlign w:val="center"/>
          </w:tcPr>
          <w:p>
            <w:pPr>
              <w:pStyle w:val="TableContents"/>
              <w:bidi w:val="0"/>
              <w:spacing w:before="0" w:after="283"/>
              <w:jc w:val="left"/>
              <w:rPr>
                <w:sz w:val="4"/>
                <w:szCs w:val="4"/>
              </w:rPr>
            </w:pPr>
            <w:r>
              <w:rPr>
                <w:sz w:val="4"/>
                <w:szCs w:val="4"/>
              </w:rPr>
            </w:r>
          </w:p>
        </w:tc>
      </w:tr>
      <w:tr>
        <w:trPr/>
        <w:tc>
          <w:tcPr>
            <w:tcW w:w="782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 xml:space="preserve">Depreciation and amortization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224,021</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202,896</w:t>
            </w:r>
            <w:r>
              <w:rPr>
                <w:rFonts w:ascii="Times New Roman;serif" w:hAnsi="Times New Roman;serif"/>
                <w:caps w:val="false"/>
                <w:smallCaps w:val="false"/>
                <w:color w:val="000000"/>
                <w:sz w:val="18"/>
              </w:rPr>
              <w:t> </w:t>
            </w:r>
          </w:p>
        </w:tc>
      </w:tr>
      <w:tr>
        <w:trPr/>
        <w:tc>
          <w:tcPr>
            <w:tcW w:w="782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Deferred income taxes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95"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5,048</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7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(16,704)</w:t>
            </w:r>
          </w:p>
        </w:tc>
      </w:tr>
      <w:tr>
        <w:trPr/>
        <w:tc>
          <w:tcPr>
            <w:tcW w:w="782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Provision for doubtful accounts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9,300</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8,620</w:t>
            </w:r>
            <w:r>
              <w:rPr>
                <w:rFonts w:ascii="Times New Roman;serif" w:hAnsi="Times New Roman;serif"/>
                <w:caps w:val="false"/>
                <w:smallCaps w:val="false"/>
                <w:color w:val="000000"/>
                <w:sz w:val="18"/>
              </w:rPr>
              <w:t> </w:t>
            </w:r>
          </w:p>
        </w:tc>
      </w:tr>
      <w:tr>
        <w:trPr/>
        <w:tc>
          <w:tcPr>
            <w:tcW w:w="782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Stock-based compensation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95"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7,214</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77"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6,909</w:t>
            </w:r>
            <w:r>
              <w:rPr>
                <w:rFonts w:ascii="Times New Roman;serif" w:hAnsi="Times New Roman;serif"/>
                <w:caps w:val="false"/>
                <w:smallCaps w:val="false"/>
                <w:color w:val="000000"/>
                <w:sz w:val="18"/>
              </w:rPr>
              <w:t> </w:t>
            </w:r>
          </w:p>
        </w:tc>
      </w:tr>
      <w:tr>
        <w:trPr/>
        <w:tc>
          <w:tcPr>
            <w:tcW w:w="782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Gain on sale of utility system and other assets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(939)</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(493)</w:t>
            </w:r>
          </w:p>
        </w:tc>
      </w:tr>
      <w:tr>
        <w:trPr/>
        <w:tc>
          <w:tcPr>
            <w:tcW w:w="782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Net change in receivables, deferred purchased gas costs, inventory and prepayments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95"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81,141</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77"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35,915</w:t>
            </w:r>
            <w:r>
              <w:rPr>
                <w:rFonts w:ascii="Times New Roman;serif" w:hAnsi="Times New Roman;serif"/>
                <w:caps w:val="false"/>
                <w:smallCaps w:val="false"/>
                <w:color w:val="000000"/>
                <w:sz w:val="18"/>
              </w:rPr>
              <w:t> </w:t>
            </w:r>
          </w:p>
        </w:tc>
      </w:tr>
      <w:tr>
        <w:trPr/>
        <w:tc>
          <w:tcPr>
            <w:tcW w:w="782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Net change in payables, accrued interest, accrued taxes and other accrued liabilities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(65,378)</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(44,062)</w:t>
            </w:r>
          </w:p>
        </w:tc>
      </w:tr>
      <w:tr>
        <w:trPr/>
        <w:tc>
          <w:tcPr>
            <w:tcW w:w="782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Other,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95"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(1,544)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77"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(12,863)</w:t>
            </w:r>
          </w:p>
        </w:tc>
      </w:tr>
      <w:tr>
        <w:trPr/>
        <w:tc>
          <w:tcPr>
            <w:tcW w:w="782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Net cash flows from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95"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588,980</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977"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571,834</w:t>
            </w:r>
            <w:r>
              <w:rPr>
                <w:rFonts w:ascii="Times New Roman;serif" w:hAnsi="Times New Roman;serif"/>
                <w:caps w:val="false"/>
                <w:smallCaps w:val="false"/>
                <w:color w:val="000000"/>
                <w:sz w:val="18"/>
              </w:rPr>
              <w:t> </w:t>
            </w:r>
          </w:p>
        </w:tc>
      </w:tr>
      <w:tr>
        <w:trPr/>
        <w:tc>
          <w:tcPr>
            <w:tcW w:w="782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Cash flows from investing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95"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77"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782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Property, plant and equipment additions, including the debt component of allowance for funds used during construction of $3,597 and $4,145</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(662,167)</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(612,629)</w:t>
            </w:r>
          </w:p>
        </w:tc>
      </w:tr>
      <w:tr>
        <w:trPr/>
        <w:tc>
          <w:tcPr>
            <w:tcW w:w="782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Acquisitions of utility systems,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(23,157)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7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(20,536)</w:t>
            </w:r>
          </w:p>
        </w:tc>
      </w:tr>
      <w:tr>
        <w:trPr/>
        <w:tc>
          <w:tcPr>
            <w:tcW w:w="782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Proceeds from the sale of utility systems and other assets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983</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537</w:t>
            </w:r>
            <w:r>
              <w:rPr>
                <w:rFonts w:ascii="Times New Roman;serif" w:hAnsi="Times New Roman;serif"/>
                <w:caps w:val="false"/>
                <w:smallCaps w:val="false"/>
                <w:color w:val="000000"/>
                <w:sz w:val="18"/>
              </w:rPr>
              <w:t> </w:t>
            </w:r>
          </w:p>
        </w:tc>
      </w:tr>
      <w:tr>
        <w:trPr/>
        <w:tc>
          <w:tcPr>
            <w:tcW w:w="782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Convertible note investment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95"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20,000</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7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r>
      <w:tr>
        <w:trPr/>
        <w:tc>
          <w:tcPr>
            <w:tcW w:w="782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Other, net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(1,623)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7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(201)</w:t>
            </w:r>
          </w:p>
        </w:tc>
      </w:tr>
      <w:tr>
        <w:trPr/>
        <w:tc>
          <w:tcPr>
            <w:tcW w:w="782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 xml:space="preserve">Net cash flows used in investing activities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9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(665,964)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77"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(632,829)</w:t>
            </w:r>
          </w:p>
        </w:tc>
      </w:tr>
      <w:tr>
        <w:trPr/>
        <w:tc>
          <w:tcPr>
            <w:tcW w:w="782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Cash flows from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95"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77"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82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Customers' advances and contributions in aid of construction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95"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17,530</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77"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10,154</w:t>
            </w:r>
            <w:r>
              <w:rPr>
                <w:rFonts w:ascii="Times New Roman;serif" w:hAnsi="Times New Roman;serif"/>
                <w:caps w:val="false"/>
                <w:smallCaps w:val="false"/>
                <w:color w:val="000000"/>
                <w:sz w:val="18"/>
              </w:rPr>
              <w:t> </w:t>
            </w:r>
          </w:p>
        </w:tc>
      </w:tr>
      <w:tr>
        <w:trPr/>
        <w:tc>
          <w:tcPr>
            <w:tcW w:w="782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Repayments of customers' advances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(1,964)</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(2,192)</w:t>
            </w:r>
          </w:p>
        </w:tc>
      </w:tr>
      <w:tr>
        <w:trPr/>
        <w:tc>
          <w:tcPr>
            <w:tcW w:w="782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Net repayments of short-term debt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(109,139)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7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(168,502)</w:t>
            </w:r>
          </w:p>
        </w:tc>
      </w:tr>
      <w:tr>
        <w:trPr/>
        <w:tc>
          <w:tcPr>
            <w:tcW w:w="782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Net repayments (proceeds) from commercial paper program</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(183,277)</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567,400</w:t>
            </w:r>
            <w:r>
              <w:rPr>
                <w:rFonts w:ascii="Times New Roman;serif" w:hAnsi="Times New Roman;serif"/>
                <w:caps w:val="false"/>
                <w:smallCaps w:val="false"/>
                <w:color w:val="000000"/>
                <w:sz w:val="18"/>
              </w:rPr>
              <w:t> </w:t>
            </w:r>
          </w:p>
        </w:tc>
      </w:tr>
      <w:tr>
        <w:trPr/>
        <w:tc>
          <w:tcPr>
            <w:tcW w:w="782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Proceeds from other long-term debt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95"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521,520</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77"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985,725</w:t>
            </w:r>
            <w:r>
              <w:rPr>
                <w:rFonts w:ascii="Times New Roman;serif" w:hAnsi="Times New Roman;serif"/>
                <w:caps w:val="false"/>
                <w:smallCaps w:val="false"/>
                <w:color w:val="000000"/>
                <w:sz w:val="18"/>
              </w:rPr>
              <w:t> </w:t>
            </w:r>
          </w:p>
        </w:tc>
      </w:tr>
      <w:tr>
        <w:trPr/>
        <w:tc>
          <w:tcPr>
            <w:tcW w:w="782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Repayments of other long-term debt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(6,972)</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(1,307,301)</w:t>
            </w:r>
          </w:p>
        </w:tc>
      </w:tr>
      <w:tr>
        <w:trPr/>
        <w:tc>
          <w:tcPr>
            <w:tcW w:w="782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Change in cash overdraft position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(10,595)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7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(42,261)</w:t>
            </w:r>
          </w:p>
        </w:tc>
      </w:tr>
      <w:tr>
        <w:trPr/>
        <w:tc>
          <w:tcPr>
            <w:tcW w:w="782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Proceeds from issuance of common stock under dividend reinvestment plan</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7,519</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7,569</w:t>
            </w:r>
            <w:r>
              <w:rPr>
                <w:rFonts w:ascii="Times New Roman;serif" w:hAnsi="Times New Roman;serif"/>
                <w:caps w:val="false"/>
                <w:smallCaps w:val="false"/>
                <w:color w:val="000000"/>
                <w:sz w:val="18"/>
              </w:rPr>
              <w:t> </w:t>
            </w:r>
          </w:p>
        </w:tc>
      </w:tr>
      <w:tr>
        <w:trPr/>
        <w:tc>
          <w:tcPr>
            <w:tcW w:w="782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Proceeds from issuance of common stock from at-the-market sale agreement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95"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12,539</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77"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208,576</w:t>
            </w:r>
            <w:r>
              <w:rPr>
                <w:rFonts w:ascii="Times New Roman;serif" w:hAnsi="Times New Roman;serif"/>
                <w:caps w:val="false"/>
                <w:smallCaps w:val="false"/>
                <w:color w:val="000000"/>
                <w:sz w:val="18"/>
              </w:rPr>
              <w:t> </w:t>
            </w:r>
          </w:p>
        </w:tc>
      </w:tr>
      <w:tr>
        <w:trPr/>
        <w:tc>
          <w:tcPr>
            <w:tcW w:w="782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Proceeds from exercised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767</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417</w:t>
            </w:r>
            <w:r>
              <w:rPr>
                <w:rFonts w:ascii="Times New Roman;serif" w:hAnsi="Times New Roman;serif"/>
                <w:caps w:val="false"/>
                <w:smallCaps w:val="false"/>
                <w:color w:val="000000"/>
                <w:sz w:val="18"/>
              </w:rPr>
              <w:t> </w:t>
            </w:r>
          </w:p>
        </w:tc>
      </w:tr>
      <w:tr>
        <w:trPr/>
        <w:tc>
          <w:tcPr>
            <w:tcW w:w="782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Repurchase of common stock</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(2,945)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7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(2,237)</w:t>
            </w:r>
          </w:p>
        </w:tc>
      </w:tr>
      <w:tr>
        <w:trPr/>
        <w:tc>
          <w:tcPr>
            <w:tcW w:w="782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Dividends paid on common stock</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(194,169)</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(180,713)</w:t>
            </w:r>
          </w:p>
        </w:tc>
      </w:tr>
      <w:tr>
        <w:trPr/>
        <w:tc>
          <w:tcPr>
            <w:tcW w:w="782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Other,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95"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26</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77"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275</w:t>
            </w:r>
            <w:r>
              <w:rPr>
                <w:rFonts w:ascii="Times New Roman;serif" w:hAnsi="Times New Roman;serif"/>
                <w:caps w:val="false"/>
                <w:smallCaps w:val="false"/>
                <w:color w:val="000000"/>
                <w:sz w:val="18"/>
              </w:rPr>
              <w:t> </w:t>
            </w:r>
          </w:p>
        </w:tc>
      </w:tr>
      <w:tr>
        <w:trPr/>
        <w:tc>
          <w:tcPr>
            <w:tcW w:w="782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Net cash flows from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95"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50,840</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977"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76,910</w:t>
            </w:r>
            <w:r>
              <w:rPr>
                <w:rFonts w:ascii="Times New Roman;serif" w:hAnsi="Times New Roman;serif"/>
                <w:caps w:val="false"/>
                <w:smallCaps w:val="false"/>
                <w:color w:val="000000"/>
                <w:sz w:val="18"/>
              </w:rPr>
              <w:t> </w:t>
            </w:r>
          </w:p>
        </w:tc>
      </w:tr>
      <w:tr>
        <w:trPr/>
        <w:tc>
          <w:tcPr>
            <w:tcW w:w="782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Net change in cash and cash equivalents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95"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(26,144)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7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15,915</w:t>
            </w:r>
            <w:r>
              <w:rPr>
                <w:rFonts w:ascii="Times New Roman;serif" w:hAnsi="Times New Roman;serif"/>
                <w:caps w:val="false"/>
                <w:smallCaps w:val="false"/>
                <w:color w:val="000000"/>
                <w:sz w:val="18"/>
              </w:rPr>
              <w:t> </w:t>
            </w:r>
          </w:p>
        </w:tc>
      </w:tr>
      <w:tr>
        <w:trPr/>
        <w:tc>
          <w:tcPr>
            <w:tcW w:w="782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Cash and cash equivalents at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34,778</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7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9,156</w:t>
            </w:r>
            <w:r>
              <w:rPr>
                <w:rFonts w:ascii="Times New Roman;serif" w:hAnsi="Times New Roman;serif"/>
                <w:caps w:val="false"/>
                <w:smallCaps w:val="false"/>
                <w:color w:val="000000"/>
                <w:sz w:val="18"/>
              </w:rPr>
              <w:t> </w:t>
            </w:r>
          </w:p>
        </w:tc>
      </w:tr>
      <w:tr>
        <w:trPr/>
        <w:tc>
          <w:tcPr>
            <w:tcW w:w="782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Cash and cash equivalents at end of period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9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8,634</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977"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25,071</w:t>
            </w:r>
            <w:r>
              <w:rPr>
                <w:rFonts w:ascii="Times New Roman;serif" w:hAnsi="Times New Roman;serif"/>
                <w:caps w:val="false"/>
                <w:smallCaps w:val="false"/>
                <w:color w:val="000000"/>
                <w:sz w:val="18"/>
              </w:rPr>
              <w:t> </w:t>
            </w:r>
          </w:p>
        </w:tc>
      </w:tr>
      <w:tr>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205" w:type="dxa"/>
            <w:gridSpan w:val="7"/>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Non-cash investing activities:</w:t>
            </w:r>
          </w:p>
        </w:tc>
      </w:tr>
      <w:tr>
        <w:trPr/>
        <w:tc>
          <w:tcPr>
            <w:tcW w:w="782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Property, plant and equipment additions purchased at the period end, but not yet paid for</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95"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148,519</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977"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123,154</w:t>
            </w:r>
            <w:r>
              <w:rPr>
                <w:rFonts w:ascii="Times New Roman;serif" w:hAnsi="Times New Roman;serif"/>
                <w:caps w:val="false"/>
                <w:smallCaps w:val="false"/>
                <w:color w:val="000000"/>
                <w:sz w:val="18"/>
              </w:rPr>
              <w:t> </w:t>
            </w:r>
          </w:p>
        </w:tc>
      </w:tr>
      <w:tr>
        <w:trPr/>
        <w:tc>
          <w:tcPr>
            <w:tcW w:w="782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Non-cash utility property contributions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95"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9,741</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977"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9,122</w:t>
            </w:r>
            <w:r>
              <w:rPr>
                <w:rFonts w:ascii="Times New Roman;serif" w:hAnsi="Times New Roman;serif"/>
                <w:caps w:val="false"/>
                <w:smallCaps w:val="false"/>
                <w:color w:val="000000"/>
                <w:sz w:val="18"/>
              </w:rPr>
              <w:t> </w:t>
            </w:r>
          </w:p>
        </w:tc>
      </w:tr>
      <w:tr>
        <w:trPr/>
        <w:tc>
          <w:tcPr>
            <w:tcW w:w="78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r>
      <w:tr>
        <w:trPr/>
        <w:tc>
          <w:tcPr>
            <w:tcW w:w="10205" w:type="dxa"/>
            <w:gridSpan w:val="7"/>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The accompanying notes are an integral part of these consolidated financial statements</w:t>
            </w:r>
          </w:p>
        </w:tc>
      </w:tr>
    </w:tbl>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9</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563C1"/>
            <w:sz w:val="24"/>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ESSENTIAL UTILITIES, INC. AND SUBSIDIARIES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NOTES TO CONDENSED CONSOLIDATED FINANCIAL STATEMENTS</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(In thousands of dollars, except per share amounts)</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(UNAUDITED)</w:t>
      </w:r>
    </w:p>
    <w:p>
      <w:pPr>
        <w:pStyle w:val="TextBody"/>
        <w:bidi w:val="0"/>
        <w:spacing w:lineRule="auto" w:line="259"/>
        <w:rPr>
          <w:caps w:val="false"/>
          <w:smallCaps w:val="false"/>
          <w:color w:val="000000"/>
        </w:rPr>
      </w:pPr>
      <w:r>
        <w:rPr>
          <w:caps w:val="false"/>
          <w:smallCaps w:val="false"/>
          <w:color w:val="000000"/>
        </w:rPr>
        <w:t> </w:t>
      </w:r>
    </w:p>
    <w:p>
      <w:pPr>
        <w:pStyle w:val="TextBody"/>
        <w:bidi w:val="0"/>
        <w:spacing w:lineRule="auto" w:line="192"/>
        <w:rPr>
          <w:rFonts w:ascii="Times New Roman;serif" w:hAnsi="Times New Roman;serif"/>
          <w:sz w:val="24"/>
        </w:rPr>
      </w:pPr>
      <w:r>
        <w:rPr>
          <w:rFonts w:ascii="Times New Roman;serif" w:hAnsi="Times New Roman;serif"/>
          <w:b/>
          <w:i w:val="false"/>
          <w:caps w:val="false"/>
          <w:smallCaps w:val="false"/>
          <w:color w:val="000000"/>
          <w:sz w:val="24"/>
        </w:rPr>
        <w:t>Note 1</w:t>
      </w:r>
      <w:bookmarkStart w:id="15" w:name="Notes"/>
      <w:bookmarkEnd w:id="15"/>
      <w:r>
        <w:rPr>
          <w:rFonts w:ascii="Times New Roman;serif" w:hAnsi="Times New Roman;serif"/>
          <w:caps w:val="false"/>
          <w:smallCaps w:val="false"/>
          <w:color w:val="000000"/>
          <w:sz w:val="24"/>
        </w:rPr>
        <w:t xml:space="preserve"> – </w:t>
      </w:r>
      <w:r>
        <w:rPr>
          <w:rFonts w:ascii="Times New Roman;serif" w:hAnsi="Times New Roman;serif"/>
          <w:b/>
          <w:i/>
          <w:color w:val="000000"/>
          <w:sz w:val="24"/>
        </w:rPr>
        <w:t>Basis of Presentation</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 xml:space="preserve">The accompanying unaudited condensed consolidated balance sheets and statements of capitalization of Essential Utilities, Inc. and subsidiaries (collectively, the “Company”, “we”, “us” or “our”) at June 30, 2026, the unaudited condensed consolidated statements of operations and comprehensive income and of equity for the three and six months ended June 30, 2026 and 2025, and the unaudited condensed consolidated statements of cash flows for the six months ended June 30, 2026 and 2025, have been prepared in accordance with accounting principles generally accepted in the United States (“GAAP”) for interim reporting and the rules and regulations for reporting on Quarterly Reports on Form 10-Q. Because they cover interim periods, the statements and related notes to the financial statements do not include all disclosures and notes normally provided in annual financial statements and, therefore, should be read in conjunction with the Company’s Annual Report on Form 10-K for the year ended December 31, 2025. Interim results are not necessarily indicative of results for a full year. In the opinion of management, all adjustments, consisting of only recurring accruals, which are necessary to present a fair statement of its condensed consolidated balance sheets, condensed consolidated statements of capitalization, condensed consolidated statements of equity, condensed consolidated statements of operations and comprehensive income, and condensed consolidated statements of cash flow for the periods presented, have been made. </w:t>
      </w:r>
    </w:p>
    <w:p>
      <w:pPr>
        <w:pStyle w:val="TextBody"/>
        <w:bidi w:val="0"/>
        <w:spacing w:lineRule="auto" w:line="259"/>
        <w:rPr>
          <w:rFonts w:ascii="Times New Roman;serif" w:hAnsi="Times New Roman;serif"/>
          <w:sz w:val="24"/>
        </w:rPr>
      </w:pPr>
      <w:r>
        <w:rPr>
          <w:rFonts w:ascii="Times New Roman;serif" w:hAnsi="Times New Roman;serif"/>
          <w:b w:val="false"/>
          <w:i w:val="false"/>
          <w:caps w:val="false"/>
          <w:smallCaps w:val="false"/>
          <w:color w:val="000000"/>
          <w:sz w:val="24"/>
        </w:rPr>
        <w:t>The preparation of financial statements often requires the selection of specific accounting methods and policies. Significant estimates and judgments may be required in selecting and applying those methods and policies in the recognition of the assets and liabilities in its condensed consolidated balance sheets, the revenues and expenses in its condensed consolidated statements of operations and comprehensive income, and the information that is contained in its summary of significant accounting policies and notes to condensed consolidated financial statements. Making these estimates and judgments requires the analysis of information concerning events that may not yet be complete and of facts and circumstances that may change over time. Furthermore, we are exposed to the uncertain state of the economy and macroeconomic conditions, including inflation and volatility of interest rates. As these continue to evolve, future events and effects related to these conditions cannot be determined with precision. Accordingly, actual amounts or future results can differ materially from those estimates that the Company includes currently in its condensed consolidated financial statements, summary of significant accounting policies, and notes.</w:t>
      </w:r>
      <w:r>
        <w:rPr>
          <w:rFonts w:ascii="Times New Roman;serif" w:hAnsi="Times New Roman;serif"/>
          <w:caps w:val="false"/>
          <w:smallCaps w:val="false"/>
          <w:color w:val="000000"/>
          <w:sz w:val="24"/>
        </w:rPr>
        <w:t xml:space="preserve">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There have been no changes to the summary of significant accounting policies previously identified in the Company’s Annual Report on Form 10-K for the year ended December 31, 2025.</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10</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563C1"/>
            <w:sz w:val="24"/>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ESSENTIAL UTILITIES, INC. AND SUBSIDIARIES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NOTES TO CONDENSED CONSOLIDATED FINANCIAL STATEMENTS (continued)</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(In thousands of dollars, except per share amounts)</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(UNAUDITED)</w:t>
      </w:r>
    </w:p>
    <w:p>
      <w:pPr>
        <w:pStyle w:val="TextBody"/>
        <w:bidi w:val="0"/>
        <w:spacing w:lineRule="auto" w:line="259"/>
        <w:rPr>
          <w:caps w:val="false"/>
          <w:smallCaps w:val="false"/>
          <w:color w:val="000000"/>
        </w:rPr>
      </w:pPr>
      <w:r>
        <w:rPr>
          <w:caps w:val="false"/>
          <w:smallCaps w:val="false"/>
          <w:color w:val="000000"/>
        </w:rPr>
        <w:t> </w:t>
      </w:r>
    </w:p>
    <w:p>
      <w:pPr>
        <w:pStyle w:val="TextBody"/>
        <w:bidi w:val="0"/>
        <w:spacing w:lineRule="auto" w:line="259"/>
        <w:rPr>
          <w:rFonts w:ascii="Times New Roman;serif" w:hAnsi="Times New Roman;serif"/>
          <w:sz w:val="24"/>
        </w:rPr>
      </w:pPr>
      <w:r>
        <w:rPr>
          <w:rFonts w:ascii="Times New Roman;serif" w:hAnsi="Times New Roman;serif"/>
          <w:b/>
          <w:i w:val="false"/>
          <w:caps w:val="false"/>
          <w:smallCaps w:val="false"/>
          <w:color w:val="000000"/>
          <w:spacing w:val="0"/>
          <w:sz w:val="24"/>
        </w:rPr>
        <w:t xml:space="preserve">Note 2 – </w:t>
      </w:r>
      <w:r>
        <w:rPr>
          <w:rFonts w:ascii="Times New Roman;serif" w:hAnsi="Times New Roman;serif"/>
          <w:b/>
          <w:i/>
          <w:color w:val="000000"/>
          <w:spacing w:val="0"/>
          <w:sz w:val="24"/>
        </w:rPr>
        <w:t>Plan of Merger with American Water</w:t>
      </w:r>
    </w:p>
    <w:p>
      <w:pPr>
        <w:pStyle w:val="TextBody"/>
        <w:bidi w:val="0"/>
        <w:spacing w:lineRule="auto" w:line="259"/>
        <w:rPr>
          <w:rFonts w:ascii="Times New Roman;serif" w:hAnsi="Times New Roman;serif"/>
          <w:sz w:val="24"/>
        </w:rPr>
      </w:pPr>
      <w:r>
        <w:rPr>
          <w:rFonts w:ascii="Times New Roman;serif" w:hAnsi="Times New Roman;serif"/>
          <w:b w:val="false"/>
          <w:i w:val="false"/>
          <w:caps w:val="false"/>
          <w:smallCaps w:val="false"/>
          <w:color w:val="000000"/>
          <w:sz w:val="24"/>
        </w:rPr>
        <w:t>On October 26, 2025, the Company entered into an Agreement and Plan of Merger (the “Merger Agreement”) with American Water Works Company, Inc. (“American Water”) to combine the two companies in a stock-for-stock transaction, with the Company surviving the Merger as a wholly owned subsidiary of American Water.  Subject to the terms and conditions of the Merger Agreement, at the time at which the Merger becomes effective (the “Effective Time”), each share of the Company’s common stock, par value $0.50</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per share (“Essential Common Stock”), issued and outstanding immediately prior to the Effective Time, other than any shares of Essential Common Stock owned by American Water or Merger Sub or by the Company as treasury stock (in each case, other than restricted shares), will be converted into the right to receive 0.305</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shares (the “Exchange Ratio”) of validly issued, fully paid and nonassessable common stock, par value $0.01</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 xml:space="preserve">per share, of American Water (“American Water Common Stock”) (the aggregate number of such shares of American Water Common Stock to be issued in the Merger). On February 10, 2026, at the respective special shareholder meetings of the Company and American Water, each company’s shareholders approved the merger-related proposals, satisfying certain of the conditions to closing. </w:t>
      </w:r>
    </w:p>
    <w:p>
      <w:pPr>
        <w:pStyle w:val="TextBody"/>
        <w:bidi w:val="0"/>
        <w:spacing w:lineRule="auto" w:line="259"/>
        <w:rPr>
          <w:rFonts w:ascii="Times New Roman;serif" w:hAnsi="Times New Roman;serif"/>
          <w:sz w:val="24"/>
        </w:rPr>
      </w:pPr>
      <w:r>
        <w:rPr>
          <w:rFonts w:ascii="Times New Roman;serif" w:hAnsi="Times New Roman;serif"/>
          <w:b w:val="false"/>
          <w:i w:val="false"/>
          <w:caps w:val="false"/>
          <w:smallCaps w:val="false"/>
          <w:color w:val="000000"/>
          <w:sz w:val="24"/>
        </w:rPr>
        <w:t>Consummation of the Merger is subject to certain remaining customary conditions, including the receipt of certain governmental approvals, including (a) the expiration or termination of the applicable waiting period under the Hart-Scott-Rodino Antitrust Improvements Act of 1976, and (b) receipt of certain public utility commission approvals, in each case on such terms and conditions that would not, individually or in the aggregate, result in a “Burdensome Effect” (as defined in the Merger Agreement). As of the date of this report, public utility commission approvals have been received in Kentucky, Virginia, and Ohio, and a settlement in principle has been reached in Texas. There can be no guarantee that all of the remaining closing conditions and approvals will be satisfied, and the failure to complete the proposed Merger on a timely basis or at all may adversely affect the Company’s financial condition and results of operations. The Company currently estimates that the closing of the proposed Merger will occur by the end of the first quarter of 2027. For the three and six months ended June 30, 2026, merger-related costs of $1,191</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 xml:space="preserve">and $17,521, respectively, were included in operations and maintenance expense in the condensed consolidated statements of operations.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11</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563C1"/>
            <w:sz w:val="24"/>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ESSENTIAL UTILITIES, INC. AND SUBSIDIARIES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NOTES TO CONDENSED CONSOLIDATED FINANCIAL STATEMENTS (continued)</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(In thousands of dollars, except per share amounts)</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(UNAUDITED)</w:t>
      </w:r>
    </w:p>
    <w:p>
      <w:pPr>
        <w:pStyle w:val="TextBody"/>
        <w:bidi w:val="0"/>
        <w:spacing w:lineRule="auto" w:line="259"/>
        <w:rPr>
          <w:caps w:val="false"/>
          <w:smallCaps w:val="false"/>
          <w:color w:val="000000"/>
        </w:rPr>
      </w:pPr>
      <w:r>
        <w:rPr>
          <w:caps w:val="false"/>
          <w:smallCaps w:val="false"/>
          <w:color w:val="000000"/>
        </w:rPr>
        <w:t> </w:t>
      </w:r>
    </w:p>
    <w:p>
      <w:pPr>
        <w:pStyle w:val="TextBody"/>
        <w:bidi w:val="0"/>
        <w:spacing w:lineRule="auto" w:line="259"/>
        <w:rPr>
          <w:rFonts w:ascii="Times New Roman;serif" w:hAnsi="Times New Roman;serif"/>
          <w:sz w:val="24"/>
        </w:rPr>
      </w:pPr>
      <w:r>
        <w:rPr>
          <w:rFonts w:ascii="Times New Roman;serif" w:hAnsi="Times New Roman;serif"/>
          <w:b/>
          <w:i w:val="false"/>
          <w:caps w:val="false"/>
          <w:smallCaps w:val="false"/>
          <w:color w:val="000000"/>
          <w:spacing w:val="0"/>
          <w:sz w:val="24"/>
        </w:rPr>
        <w:t xml:space="preserve">Note 3 – </w:t>
      </w:r>
      <w:r>
        <w:rPr>
          <w:rFonts w:ascii="Times New Roman;serif" w:hAnsi="Times New Roman;serif"/>
          <w:b/>
          <w:i/>
          <w:color w:val="000000"/>
          <w:spacing w:val="0"/>
          <w:sz w:val="24"/>
        </w:rPr>
        <w:t>Revenue Recognition</w:t>
      </w:r>
    </w:p>
    <w:p>
      <w:pPr>
        <w:pStyle w:val="TextBody"/>
        <w:bidi w:val="0"/>
        <w:spacing w:lineRule="auto" w:line="259"/>
        <w:rPr>
          <w:rFonts w:ascii="Times New Roman;serif" w:hAnsi="Times New Roman;serif"/>
          <w:b w:val="false"/>
          <w:i w:val="false"/>
          <w:caps w:val="false"/>
          <w:smallCaps w:val="false"/>
          <w:color w:val="000000"/>
          <w:spacing w:val="0"/>
          <w:sz w:val="24"/>
        </w:rPr>
      </w:pPr>
      <w:r>
        <w:rPr>
          <w:rFonts w:ascii="Times New Roman;serif" w:hAnsi="Times New Roman;serif"/>
          <w:b w:val="false"/>
          <w:i w:val="false"/>
          <w:caps w:val="false"/>
          <w:smallCaps w:val="false"/>
          <w:color w:val="000000"/>
          <w:spacing w:val="0"/>
          <w:sz w:val="24"/>
        </w:rPr>
        <w:t>The following table presents our revenues disaggregated by major source and customer class:</w:t>
      </w:r>
    </w:p>
    <w:tbl>
      <w:tblPr>
        <w:tblW w:w="10205" w:type="dxa"/>
        <w:jc w:val="left"/>
        <w:tblInd w:w="0" w:type="dxa"/>
        <w:tblLayout w:type="fixed"/>
        <w:tblCellMar>
          <w:top w:w="0" w:type="dxa"/>
          <w:left w:w="0" w:type="dxa"/>
          <w:bottom w:w="0" w:type="dxa"/>
          <w:right w:w="0" w:type="dxa"/>
        </w:tblCellMar>
      </w:tblPr>
      <w:tblGrid>
        <w:gridCol w:w="1408"/>
        <w:gridCol w:w="207"/>
        <w:gridCol w:w="777"/>
        <w:gridCol w:w="109"/>
        <w:gridCol w:w="220"/>
        <w:gridCol w:w="828"/>
        <w:gridCol w:w="109"/>
        <w:gridCol w:w="221"/>
        <w:gridCol w:w="832"/>
        <w:gridCol w:w="109"/>
        <w:gridCol w:w="211"/>
        <w:gridCol w:w="695"/>
        <w:gridCol w:w="109"/>
        <w:gridCol w:w="207"/>
        <w:gridCol w:w="777"/>
        <w:gridCol w:w="109"/>
        <w:gridCol w:w="220"/>
        <w:gridCol w:w="828"/>
        <w:gridCol w:w="109"/>
        <w:gridCol w:w="221"/>
        <w:gridCol w:w="832"/>
        <w:gridCol w:w="109"/>
        <w:gridCol w:w="210"/>
        <w:gridCol w:w="748"/>
      </w:tblGrid>
      <w:tr>
        <w:trPr/>
        <w:tc>
          <w:tcPr>
            <w:tcW w:w="140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1408" w:type="dxa"/>
            <w:tcBorders/>
            <w:vAlign w:val="center"/>
          </w:tcPr>
          <w:p>
            <w:pPr>
              <w:pStyle w:val="TableContents"/>
              <w:bidi w:val="0"/>
              <w:spacing w:before="0" w:after="283"/>
              <w:jc w:val="left"/>
              <w:rPr>
                <w:sz w:val="4"/>
                <w:szCs w:val="4"/>
              </w:rPr>
            </w:pPr>
            <w:r>
              <w:rPr>
                <w:sz w:val="4"/>
                <w:szCs w:val="4"/>
              </w:rPr>
            </w:r>
          </w:p>
        </w:tc>
        <w:tc>
          <w:tcPr>
            <w:tcW w:w="4318" w:type="dxa"/>
            <w:gridSpan w:val="11"/>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4370" w:type="dxa"/>
            <w:gridSpan w:val="11"/>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Three Months Ended</w:t>
            </w:r>
          </w:p>
        </w:tc>
      </w:tr>
      <w:tr>
        <w:trPr/>
        <w:tc>
          <w:tcPr>
            <w:tcW w:w="1408" w:type="dxa"/>
            <w:tcBorders/>
            <w:vAlign w:val="center"/>
          </w:tcPr>
          <w:p>
            <w:pPr>
              <w:pStyle w:val="TableContents"/>
              <w:bidi w:val="0"/>
              <w:spacing w:before="0" w:after="283"/>
              <w:jc w:val="left"/>
              <w:rPr>
                <w:sz w:val="4"/>
                <w:szCs w:val="4"/>
              </w:rPr>
            </w:pPr>
            <w:r>
              <w:rPr>
                <w:sz w:val="4"/>
                <w:szCs w:val="4"/>
              </w:rPr>
            </w:r>
          </w:p>
        </w:tc>
        <w:tc>
          <w:tcPr>
            <w:tcW w:w="4318" w:type="dxa"/>
            <w:gridSpan w:val="11"/>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4370" w:type="dxa"/>
            <w:gridSpan w:val="11"/>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June 30, 2025</w:t>
            </w:r>
          </w:p>
        </w:tc>
      </w:tr>
      <w:tr>
        <w:trPr/>
        <w:tc>
          <w:tcPr>
            <w:tcW w:w="1408" w:type="dxa"/>
            <w:tcBorders/>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Water Revenues</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Wastewater Revenues</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Natural Gas Revenues</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Other Revenues</w:t>
            </w:r>
          </w:p>
        </w:tc>
        <w:tc>
          <w:tcPr>
            <w:tcW w:w="109" w:type="dxa"/>
            <w:tcBorders/>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Water Revenues</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Wastewater Revenues</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Natural Gas Revenues</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Other Revenues</w:t>
            </w:r>
          </w:p>
        </w:tc>
      </w:tr>
      <w:tr>
        <w:trPr/>
        <w:tc>
          <w:tcPr>
            <w:tcW w:w="140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Revenues from contracts with customers:</w:t>
            </w:r>
          </w:p>
        </w:tc>
        <w:tc>
          <w:tcPr>
            <w:tcW w:w="207"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77"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28"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32"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95"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77"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28"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32"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48"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140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 xml:space="preserve">Residential </w:t>
            </w:r>
          </w:p>
        </w:tc>
        <w:tc>
          <w:tcPr>
            <w:tcW w:w="20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77"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200,006</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828"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47,295</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832"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94,255</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6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77"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185,221</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828"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41,450</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832"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102,932</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4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r>
      <w:tr>
        <w:trPr/>
        <w:tc>
          <w:tcPr>
            <w:tcW w:w="140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 xml:space="preserve">Commercial </w:t>
            </w:r>
          </w:p>
        </w:tc>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777"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55,362</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0" w:type="dxa"/>
            <w:tcBorders/>
            <w:shd w:fill="CCEEFF" w:val="clear"/>
            <w:vAlign w:val="center"/>
          </w:tcPr>
          <w:p>
            <w:pPr>
              <w:pStyle w:val="TableContents"/>
              <w:bidi w:val="0"/>
              <w:spacing w:before="0" w:after="283"/>
              <w:jc w:val="left"/>
              <w:rPr>
                <w:sz w:val="4"/>
                <w:szCs w:val="4"/>
              </w:rPr>
            </w:pPr>
            <w:r>
              <w:rPr>
                <w:sz w:val="4"/>
                <w:szCs w:val="4"/>
              </w:rPr>
            </w:r>
          </w:p>
        </w:tc>
        <w:tc>
          <w:tcPr>
            <w:tcW w:w="828"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12,065</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1" w:type="dxa"/>
            <w:tcBorders/>
            <w:shd w:fill="CCEEFF" w:val="clear"/>
            <w:vAlign w:val="center"/>
          </w:tcPr>
          <w:p>
            <w:pPr>
              <w:pStyle w:val="TableContents"/>
              <w:bidi w:val="0"/>
              <w:spacing w:before="0" w:after="283"/>
              <w:jc w:val="left"/>
              <w:rPr>
                <w:sz w:val="4"/>
                <w:szCs w:val="4"/>
              </w:rPr>
            </w:pPr>
            <w:r>
              <w:rPr>
                <w:sz w:val="4"/>
                <w:szCs w:val="4"/>
              </w:rPr>
            </w:r>
          </w:p>
        </w:tc>
        <w:tc>
          <w:tcPr>
            <w:tcW w:w="832"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18,655</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777"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52,033</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0" w:type="dxa"/>
            <w:tcBorders/>
            <w:shd w:fill="CCEEFF" w:val="clear"/>
            <w:vAlign w:val="center"/>
          </w:tcPr>
          <w:p>
            <w:pPr>
              <w:pStyle w:val="TableContents"/>
              <w:bidi w:val="0"/>
              <w:spacing w:before="0" w:after="283"/>
              <w:jc w:val="left"/>
              <w:rPr>
                <w:sz w:val="4"/>
                <w:szCs w:val="4"/>
              </w:rPr>
            </w:pPr>
            <w:r>
              <w:rPr>
                <w:sz w:val="4"/>
                <w:szCs w:val="4"/>
              </w:rPr>
            </w:r>
          </w:p>
        </w:tc>
        <w:tc>
          <w:tcPr>
            <w:tcW w:w="828"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10,523</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1" w:type="dxa"/>
            <w:tcBorders/>
            <w:shd w:fill="CCEEFF" w:val="clear"/>
            <w:vAlign w:val="center"/>
          </w:tcPr>
          <w:p>
            <w:pPr>
              <w:pStyle w:val="TableContents"/>
              <w:bidi w:val="0"/>
              <w:spacing w:before="0" w:after="283"/>
              <w:jc w:val="left"/>
              <w:rPr>
                <w:sz w:val="4"/>
                <w:szCs w:val="4"/>
              </w:rPr>
            </w:pPr>
            <w:r>
              <w:rPr>
                <w:sz w:val="4"/>
                <w:szCs w:val="4"/>
              </w:rPr>
            </w:r>
          </w:p>
        </w:tc>
        <w:tc>
          <w:tcPr>
            <w:tcW w:w="832"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20,186</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0" w:type="dxa"/>
            <w:tcBorders/>
            <w:shd w:fill="CCEEFF" w:val="clear"/>
            <w:vAlign w:val="center"/>
          </w:tcPr>
          <w:p>
            <w:pPr>
              <w:pStyle w:val="TableContents"/>
              <w:bidi w:val="0"/>
              <w:spacing w:before="0" w:after="283"/>
              <w:jc w:val="left"/>
              <w:rPr>
                <w:sz w:val="4"/>
                <w:szCs w:val="4"/>
              </w:rPr>
            </w:pPr>
            <w:r>
              <w:rPr>
                <w:sz w:val="4"/>
                <w:szCs w:val="4"/>
              </w:rPr>
            </w:r>
          </w:p>
        </w:tc>
        <w:tc>
          <w:tcPr>
            <w:tcW w:w="74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r>
      <w:tr>
        <w:trPr/>
        <w:tc>
          <w:tcPr>
            <w:tcW w:w="140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Fire protection</w:t>
            </w:r>
          </w:p>
        </w:tc>
        <w:tc>
          <w:tcPr>
            <w:tcW w:w="20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11,974</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11,875</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r>
      <w:tr>
        <w:trPr/>
        <w:tc>
          <w:tcPr>
            <w:tcW w:w="140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Industrial</w:t>
            </w:r>
          </w:p>
        </w:tc>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777"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10,609</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0" w:type="dxa"/>
            <w:tcBorders/>
            <w:shd w:fill="CCEEFF" w:val="clear"/>
            <w:vAlign w:val="center"/>
          </w:tcPr>
          <w:p>
            <w:pPr>
              <w:pStyle w:val="TableContents"/>
              <w:bidi w:val="0"/>
              <w:spacing w:before="0" w:after="283"/>
              <w:jc w:val="left"/>
              <w:rPr>
                <w:sz w:val="4"/>
                <w:szCs w:val="4"/>
              </w:rPr>
            </w:pPr>
            <w:r>
              <w:rPr>
                <w:sz w:val="4"/>
                <w:szCs w:val="4"/>
              </w:rPr>
            </w:r>
          </w:p>
        </w:tc>
        <w:tc>
          <w:tcPr>
            <w:tcW w:w="828"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582</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1" w:type="dxa"/>
            <w:tcBorders/>
            <w:shd w:fill="CCEEFF" w:val="clear"/>
            <w:vAlign w:val="center"/>
          </w:tcPr>
          <w:p>
            <w:pPr>
              <w:pStyle w:val="TableContents"/>
              <w:bidi w:val="0"/>
              <w:spacing w:before="0" w:after="283"/>
              <w:jc w:val="left"/>
              <w:rPr>
                <w:sz w:val="4"/>
                <w:szCs w:val="4"/>
              </w:rPr>
            </w:pPr>
            <w:r>
              <w:rPr>
                <w:sz w:val="4"/>
                <w:szCs w:val="4"/>
              </w:rPr>
            </w:r>
          </w:p>
        </w:tc>
        <w:tc>
          <w:tcPr>
            <w:tcW w:w="832"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416</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777"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10,187</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0" w:type="dxa"/>
            <w:tcBorders/>
            <w:shd w:fill="CCEEFF" w:val="clear"/>
            <w:vAlign w:val="center"/>
          </w:tcPr>
          <w:p>
            <w:pPr>
              <w:pStyle w:val="TableContents"/>
              <w:bidi w:val="0"/>
              <w:spacing w:before="0" w:after="283"/>
              <w:jc w:val="left"/>
              <w:rPr>
                <w:sz w:val="4"/>
                <w:szCs w:val="4"/>
              </w:rPr>
            </w:pPr>
            <w:r>
              <w:rPr>
                <w:sz w:val="4"/>
                <w:szCs w:val="4"/>
              </w:rPr>
            </w:r>
          </w:p>
        </w:tc>
        <w:tc>
          <w:tcPr>
            <w:tcW w:w="828"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649</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1" w:type="dxa"/>
            <w:tcBorders/>
            <w:shd w:fill="CCEEFF" w:val="clear"/>
            <w:vAlign w:val="center"/>
          </w:tcPr>
          <w:p>
            <w:pPr>
              <w:pStyle w:val="TableContents"/>
              <w:bidi w:val="0"/>
              <w:spacing w:before="0" w:after="283"/>
              <w:jc w:val="left"/>
              <w:rPr>
                <w:sz w:val="4"/>
                <w:szCs w:val="4"/>
              </w:rPr>
            </w:pPr>
            <w:r>
              <w:rPr>
                <w:sz w:val="4"/>
                <w:szCs w:val="4"/>
              </w:rPr>
            </w:r>
          </w:p>
        </w:tc>
        <w:tc>
          <w:tcPr>
            <w:tcW w:w="832"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512</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0" w:type="dxa"/>
            <w:tcBorders/>
            <w:shd w:fill="CCEEFF" w:val="clear"/>
            <w:vAlign w:val="center"/>
          </w:tcPr>
          <w:p>
            <w:pPr>
              <w:pStyle w:val="TableContents"/>
              <w:bidi w:val="0"/>
              <w:spacing w:before="0" w:after="283"/>
              <w:jc w:val="left"/>
              <w:rPr>
                <w:sz w:val="4"/>
                <w:szCs w:val="4"/>
              </w:rPr>
            </w:pPr>
            <w:r>
              <w:rPr>
                <w:sz w:val="4"/>
                <w:szCs w:val="4"/>
              </w:rPr>
            </w:r>
          </w:p>
        </w:tc>
        <w:tc>
          <w:tcPr>
            <w:tcW w:w="74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r>
      <w:tr>
        <w:trPr/>
        <w:tc>
          <w:tcPr>
            <w:tcW w:w="140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Gas transportation &amp; storage</w:t>
            </w:r>
          </w:p>
        </w:tc>
        <w:tc>
          <w:tcPr>
            <w:tcW w:w="20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42,170</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41,561</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r>
      <w:tr>
        <w:trPr/>
        <w:tc>
          <w:tcPr>
            <w:tcW w:w="140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Other water</w:t>
            </w:r>
          </w:p>
        </w:tc>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777"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12,694</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0" w:type="dxa"/>
            <w:tcBorders/>
            <w:shd w:fill="CCEEFF" w:val="clear"/>
            <w:vAlign w:val="center"/>
          </w:tcPr>
          <w:p>
            <w:pPr>
              <w:pStyle w:val="TableContents"/>
              <w:bidi w:val="0"/>
              <w:spacing w:before="0" w:after="283"/>
              <w:jc w:val="left"/>
              <w:rPr>
                <w:sz w:val="4"/>
                <w:szCs w:val="4"/>
              </w:rPr>
            </w:pPr>
            <w:r>
              <w:rPr>
                <w:sz w:val="4"/>
                <w:szCs w:val="4"/>
              </w:rPr>
            </w:r>
          </w:p>
        </w:tc>
        <w:tc>
          <w:tcPr>
            <w:tcW w:w="82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1" w:type="dxa"/>
            <w:tcBorders/>
            <w:shd w:fill="CCEEFF" w:val="clear"/>
            <w:vAlign w:val="center"/>
          </w:tcPr>
          <w:p>
            <w:pPr>
              <w:pStyle w:val="TableContents"/>
              <w:bidi w:val="0"/>
              <w:spacing w:before="0" w:after="283"/>
              <w:jc w:val="left"/>
              <w:rPr>
                <w:sz w:val="4"/>
                <w:szCs w:val="4"/>
              </w:rPr>
            </w:pPr>
            <w:r>
              <w:rPr>
                <w:sz w:val="4"/>
                <w:szCs w:val="4"/>
              </w:rPr>
            </w:r>
          </w:p>
        </w:tc>
        <w:tc>
          <w:tcPr>
            <w:tcW w:w="83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777"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14,296</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0" w:type="dxa"/>
            <w:tcBorders/>
            <w:shd w:fill="CCEEFF" w:val="clear"/>
            <w:vAlign w:val="center"/>
          </w:tcPr>
          <w:p>
            <w:pPr>
              <w:pStyle w:val="TableContents"/>
              <w:bidi w:val="0"/>
              <w:spacing w:before="0" w:after="283"/>
              <w:jc w:val="left"/>
              <w:rPr>
                <w:sz w:val="4"/>
                <w:szCs w:val="4"/>
              </w:rPr>
            </w:pPr>
            <w:r>
              <w:rPr>
                <w:sz w:val="4"/>
                <w:szCs w:val="4"/>
              </w:rPr>
            </w:r>
          </w:p>
        </w:tc>
        <w:tc>
          <w:tcPr>
            <w:tcW w:w="82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1" w:type="dxa"/>
            <w:tcBorders/>
            <w:shd w:fill="CCEEFF" w:val="clear"/>
            <w:vAlign w:val="center"/>
          </w:tcPr>
          <w:p>
            <w:pPr>
              <w:pStyle w:val="TableContents"/>
              <w:bidi w:val="0"/>
              <w:spacing w:before="0" w:after="283"/>
              <w:jc w:val="left"/>
              <w:rPr>
                <w:sz w:val="4"/>
                <w:szCs w:val="4"/>
              </w:rPr>
            </w:pPr>
            <w:r>
              <w:rPr>
                <w:sz w:val="4"/>
                <w:szCs w:val="4"/>
              </w:rPr>
            </w:r>
          </w:p>
        </w:tc>
        <w:tc>
          <w:tcPr>
            <w:tcW w:w="83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0" w:type="dxa"/>
            <w:tcBorders/>
            <w:shd w:fill="CCEEFF" w:val="clear"/>
            <w:vAlign w:val="center"/>
          </w:tcPr>
          <w:p>
            <w:pPr>
              <w:pStyle w:val="TableContents"/>
              <w:bidi w:val="0"/>
              <w:spacing w:before="0" w:after="283"/>
              <w:jc w:val="left"/>
              <w:rPr>
                <w:sz w:val="4"/>
                <w:szCs w:val="4"/>
              </w:rPr>
            </w:pPr>
            <w:r>
              <w:rPr>
                <w:sz w:val="4"/>
                <w:szCs w:val="4"/>
              </w:rPr>
            </w:r>
          </w:p>
        </w:tc>
        <w:tc>
          <w:tcPr>
            <w:tcW w:w="74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r>
      <w:tr>
        <w:trPr/>
        <w:tc>
          <w:tcPr>
            <w:tcW w:w="140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Other wastewater</w:t>
            </w:r>
          </w:p>
        </w:tc>
        <w:tc>
          <w:tcPr>
            <w:tcW w:w="20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2,560</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3,110</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r>
      <w:tr>
        <w:trPr/>
        <w:tc>
          <w:tcPr>
            <w:tcW w:w="140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Other utility</w:t>
            </w:r>
          </w:p>
        </w:tc>
        <w:tc>
          <w:tcPr>
            <w:tcW w:w="207"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77"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0"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28"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32"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9,499</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95"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3,178</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7"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77"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0"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28"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32"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7,417</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0"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48"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2,684</w:t>
            </w:r>
            <w:r>
              <w:rPr>
                <w:rFonts w:ascii="Times New Roman;serif" w:hAnsi="Times New Roman;serif"/>
                <w:caps w:val="false"/>
                <w:smallCaps w:val="false"/>
                <w:color w:val="000000"/>
                <w:sz w:val="18"/>
              </w:rPr>
              <w:t> </w:t>
            </w:r>
          </w:p>
        </w:tc>
      </w:tr>
      <w:tr>
        <w:trPr/>
        <w:tc>
          <w:tcPr>
            <w:tcW w:w="140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Revenues from contracts with customers</w:t>
            </w:r>
          </w:p>
        </w:tc>
        <w:tc>
          <w:tcPr>
            <w:tcW w:w="207"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77"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290,645</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28"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62,502</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32"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164,995</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95"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3,178</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77"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273,612</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28"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55,732</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32"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172,608</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48"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2,684</w:t>
            </w:r>
            <w:r>
              <w:rPr>
                <w:rFonts w:ascii="Times New Roman;serif" w:hAnsi="Times New Roman;serif"/>
                <w:caps w:val="false"/>
                <w:smallCaps w:val="false"/>
                <w:color w:val="000000"/>
                <w:sz w:val="18"/>
              </w:rPr>
              <w:t> </w:t>
            </w:r>
          </w:p>
        </w:tc>
      </w:tr>
      <w:tr>
        <w:trPr/>
        <w:tc>
          <w:tcPr>
            <w:tcW w:w="140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Alternative revenue program</w:t>
            </w:r>
          </w:p>
        </w:tc>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777"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645</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0" w:type="dxa"/>
            <w:tcBorders/>
            <w:shd w:fill="CCEEFF" w:val="clear"/>
            <w:vAlign w:val="center"/>
          </w:tcPr>
          <w:p>
            <w:pPr>
              <w:pStyle w:val="TableContents"/>
              <w:bidi w:val="0"/>
              <w:spacing w:before="0" w:after="283"/>
              <w:jc w:val="left"/>
              <w:rPr>
                <w:sz w:val="4"/>
                <w:szCs w:val="4"/>
              </w:rPr>
            </w:pPr>
            <w:r>
              <w:rPr>
                <w:sz w:val="4"/>
                <w:szCs w:val="4"/>
              </w:rPr>
            </w:r>
          </w:p>
        </w:tc>
        <w:tc>
          <w:tcPr>
            <w:tcW w:w="828"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574</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1" w:type="dxa"/>
            <w:tcBorders/>
            <w:shd w:fill="CCEEFF" w:val="clear"/>
            <w:vAlign w:val="center"/>
          </w:tcPr>
          <w:p>
            <w:pPr>
              <w:pStyle w:val="TableContents"/>
              <w:bidi w:val="0"/>
              <w:spacing w:before="0" w:after="283"/>
              <w:jc w:val="left"/>
              <w:rPr>
                <w:sz w:val="4"/>
                <w:szCs w:val="4"/>
              </w:rPr>
            </w:pPr>
            <w:r>
              <w:rPr>
                <w:sz w:val="4"/>
                <w:szCs w:val="4"/>
              </w:rPr>
            </w:r>
          </w:p>
        </w:tc>
        <w:tc>
          <w:tcPr>
            <w:tcW w:w="832"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4,284</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777"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24</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0" w:type="dxa"/>
            <w:tcBorders/>
            <w:shd w:fill="CCEEFF" w:val="clear"/>
            <w:vAlign w:val="center"/>
          </w:tcPr>
          <w:p>
            <w:pPr>
              <w:pStyle w:val="TableContents"/>
              <w:bidi w:val="0"/>
              <w:spacing w:before="0" w:after="283"/>
              <w:jc w:val="left"/>
              <w:rPr>
                <w:sz w:val="4"/>
                <w:szCs w:val="4"/>
              </w:rPr>
            </w:pPr>
            <w:r>
              <w:rPr>
                <w:sz w:val="4"/>
                <w:szCs w:val="4"/>
              </w:rPr>
            </w:r>
          </w:p>
        </w:tc>
        <w:tc>
          <w:tcPr>
            <w:tcW w:w="828"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230</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1" w:type="dxa"/>
            <w:tcBorders/>
            <w:shd w:fill="CCEEFF" w:val="clear"/>
            <w:vAlign w:val="center"/>
          </w:tcPr>
          <w:p>
            <w:pPr>
              <w:pStyle w:val="TableContents"/>
              <w:bidi w:val="0"/>
              <w:spacing w:before="0" w:after="283"/>
              <w:jc w:val="left"/>
              <w:rPr>
                <w:sz w:val="4"/>
                <w:szCs w:val="4"/>
              </w:rPr>
            </w:pPr>
            <w:r>
              <w:rPr>
                <w:sz w:val="4"/>
                <w:szCs w:val="4"/>
              </w:rPr>
            </w:r>
          </w:p>
        </w:tc>
        <w:tc>
          <w:tcPr>
            <w:tcW w:w="832"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4,713</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0" w:type="dxa"/>
            <w:tcBorders/>
            <w:shd w:fill="CCEEFF" w:val="clear"/>
            <w:vAlign w:val="center"/>
          </w:tcPr>
          <w:p>
            <w:pPr>
              <w:pStyle w:val="TableContents"/>
              <w:bidi w:val="0"/>
              <w:spacing w:before="0" w:after="283"/>
              <w:jc w:val="left"/>
              <w:rPr>
                <w:sz w:val="4"/>
                <w:szCs w:val="4"/>
              </w:rPr>
            </w:pPr>
            <w:r>
              <w:rPr>
                <w:sz w:val="4"/>
                <w:szCs w:val="4"/>
              </w:rPr>
            </w:r>
          </w:p>
        </w:tc>
        <w:tc>
          <w:tcPr>
            <w:tcW w:w="74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r>
      <w:tr>
        <w:trPr/>
        <w:tc>
          <w:tcPr>
            <w:tcW w:w="140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Other and eliminations</w:t>
            </w:r>
          </w:p>
        </w:tc>
        <w:tc>
          <w:tcPr>
            <w:tcW w:w="20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7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2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32"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4,031</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7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2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32"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4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5,304</w:t>
            </w:r>
            <w:r>
              <w:rPr>
                <w:rFonts w:ascii="Times New Roman;serif" w:hAnsi="Times New Roman;serif"/>
                <w:caps w:val="false"/>
                <w:smallCaps w:val="false"/>
                <w:color w:val="000000"/>
                <w:sz w:val="18"/>
              </w:rPr>
              <w:t> </w:t>
            </w:r>
          </w:p>
        </w:tc>
      </w:tr>
      <w:tr>
        <w:trPr/>
        <w:tc>
          <w:tcPr>
            <w:tcW w:w="140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Consolidated</w:t>
            </w:r>
          </w:p>
        </w:tc>
        <w:tc>
          <w:tcPr>
            <w:tcW w:w="207"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77"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291,290</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828"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63,076</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832"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169,279</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69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7,209</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77"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273,636</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828"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55,962</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832"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177,321</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48"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7,988</w:t>
            </w:r>
            <w:r>
              <w:rPr>
                <w:rFonts w:ascii="Times New Roman;serif" w:hAnsi="Times New Roman;serif"/>
                <w:caps w:val="false"/>
                <w:smallCaps w:val="false"/>
                <w:color w:val="000000"/>
                <w:sz w:val="18"/>
              </w:rPr>
              <w:t> </w:t>
            </w:r>
          </w:p>
        </w:tc>
      </w:tr>
      <w:tr>
        <w:trPr/>
        <w:tc>
          <w:tcPr>
            <w:tcW w:w="1408" w:type="dxa"/>
            <w:tcBorders/>
            <w:vAlign w:val="center"/>
          </w:tcPr>
          <w:p>
            <w:pPr>
              <w:pStyle w:val="TableContents"/>
              <w:bidi w:val="0"/>
              <w:spacing w:before="0" w:after="283"/>
              <w:jc w:val="left"/>
              <w:rPr>
                <w:sz w:val="4"/>
                <w:szCs w:val="4"/>
              </w:rPr>
            </w:pPr>
            <w:r>
              <w:rPr>
                <w:sz w:val="4"/>
                <w:szCs w:val="4"/>
              </w:rPr>
            </w:r>
          </w:p>
        </w:tc>
        <w:tc>
          <w:tcPr>
            <w:tcW w:w="207"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777"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828"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832"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695"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777"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828"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832"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748"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140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1408" w:type="dxa"/>
            <w:tcBorders/>
            <w:vAlign w:val="center"/>
          </w:tcPr>
          <w:p>
            <w:pPr>
              <w:pStyle w:val="TableContents"/>
              <w:bidi w:val="0"/>
              <w:spacing w:before="0" w:after="283"/>
              <w:jc w:val="left"/>
              <w:rPr>
                <w:sz w:val="4"/>
                <w:szCs w:val="4"/>
              </w:rPr>
            </w:pPr>
            <w:r>
              <w:rPr>
                <w:sz w:val="4"/>
                <w:szCs w:val="4"/>
              </w:rPr>
            </w:r>
          </w:p>
        </w:tc>
        <w:tc>
          <w:tcPr>
            <w:tcW w:w="4318" w:type="dxa"/>
            <w:gridSpan w:val="11"/>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4370" w:type="dxa"/>
            <w:gridSpan w:val="11"/>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Six Months Ended</w:t>
            </w:r>
          </w:p>
        </w:tc>
      </w:tr>
      <w:tr>
        <w:trPr/>
        <w:tc>
          <w:tcPr>
            <w:tcW w:w="1408" w:type="dxa"/>
            <w:tcBorders/>
            <w:vAlign w:val="center"/>
          </w:tcPr>
          <w:p>
            <w:pPr>
              <w:pStyle w:val="TableContents"/>
              <w:bidi w:val="0"/>
              <w:spacing w:before="0" w:after="283"/>
              <w:jc w:val="left"/>
              <w:rPr>
                <w:sz w:val="4"/>
                <w:szCs w:val="4"/>
              </w:rPr>
            </w:pPr>
            <w:r>
              <w:rPr>
                <w:sz w:val="4"/>
                <w:szCs w:val="4"/>
              </w:rPr>
            </w:r>
          </w:p>
        </w:tc>
        <w:tc>
          <w:tcPr>
            <w:tcW w:w="4318" w:type="dxa"/>
            <w:gridSpan w:val="11"/>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4370" w:type="dxa"/>
            <w:gridSpan w:val="11"/>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June 30, 2025</w:t>
            </w:r>
          </w:p>
        </w:tc>
      </w:tr>
      <w:tr>
        <w:trPr/>
        <w:tc>
          <w:tcPr>
            <w:tcW w:w="1408" w:type="dxa"/>
            <w:tcBorders/>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Water Revenues</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Wastewater Revenues</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Natural Gas Revenues</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Other Revenues</w:t>
            </w:r>
          </w:p>
        </w:tc>
        <w:tc>
          <w:tcPr>
            <w:tcW w:w="109" w:type="dxa"/>
            <w:tcBorders/>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Water Revenues</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Wastewater Revenues</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Natural Gas Revenues</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Other Revenues</w:t>
            </w:r>
          </w:p>
        </w:tc>
      </w:tr>
      <w:tr>
        <w:trPr/>
        <w:tc>
          <w:tcPr>
            <w:tcW w:w="140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Revenues from contracts with customers:</w:t>
            </w:r>
          </w:p>
        </w:tc>
        <w:tc>
          <w:tcPr>
            <w:tcW w:w="207"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77"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2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32"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95"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77"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2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32"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4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140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 xml:space="preserve">Residential </w:t>
            </w:r>
          </w:p>
        </w:tc>
        <w:tc>
          <w:tcPr>
            <w:tcW w:w="20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77"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378,246</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828"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90,118</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832"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450,380</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6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77"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349,098</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828"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79,811</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832"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405,005</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4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r>
      <w:tr>
        <w:trPr/>
        <w:tc>
          <w:tcPr>
            <w:tcW w:w="140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 xml:space="preserve">Commercial </w:t>
            </w:r>
          </w:p>
        </w:tc>
        <w:tc>
          <w:tcPr>
            <w:tcW w:w="20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104,636</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22,728</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95,707</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97,510</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19,704</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81,537</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r>
      <w:tr>
        <w:trPr/>
        <w:tc>
          <w:tcPr>
            <w:tcW w:w="140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Fire protection</w:t>
            </w:r>
          </w:p>
        </w:tc>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777"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23,533</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0" w:type="dxa"/>
            <w:tcBorders/>
            <w:shd w:fill="CCEEFF" w:val="clear"/>
            <w:vAlign w:val="center"/>
          </w:tcPr>
          <w:p>
            <w:pPr>
              <w:pStyle w:val="TableContents"/>
              <w:bidi w:val="0"/>
              <w:spacing w:before="0" w:after="283"/>
              <w:jc w:val="left"/>
              <w:rPr>
                <w:sz w:val="4"/>
                <w:szCs w:val="4"/>
              </w:rPr>
            </w:pPr>
            <w:r>
              <w:rPr>
                <w:sz w:val="4"/>
                <w:szCs w:val="4"/>
              </w:rPr>
            </w:r>
          </w:p>
        </w:tc>
        <w:tc>
          <w:tcPr>
            <w:tcW w:w="82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1" w:type="dxa"/>
            <w:tcBorders/>
            <w:shd w:fill="CCEEFF" w:val="clear"/>
            <w:vAlign w:val="center"/>
          </w:tcPr>
          <w:p>
            <w:pPr>
              <w:pStyle w:val="TableContents"/>
              <w:bidi w:val="0"/>
              <w:spacing w:before="0" w:after="283"/>
              <w:jc w:val="left"/>
              <w:rPr>
                <w:sz w:val="4"/>
                <w:szCs w:val="4"/>
              </w:rPr>
            </w:pPr>
            <w:r>
              <w:rPr>
                <w:sz w:val="4"/>
                <w:szCs w:val="4"/>
              </w:rPr>
            </w:r>
          </w:p>
        </w:tc>
        <w:tc>
          <w:tcPr>
            <w:tcW w:w="83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777"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23,029</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0" w:type="dxa"/>
            <w:tcBorders/>
            <w:shd w:fill="CCEEFF" w:val="clear"/>
            <w:vAlign w:val="center"/>
          </w:tcPr>
          <w:p>
            <w:pPr>
              <w:pStyle w:val="TableContents"/>
              <w:bidi w:val="0"/>
              <w:spacing w:before="0" w:after="283"/>
              <w:jc w:val="left"/>
              <w:rPr>
                <w:sz w:val="4"/>
                <w:szCs w:val="4"/>
              </w:rPr>
            </w:pPr>
            <w:r>
              <w:rPr>
                <w:sz w:val="4"/>
                <w:szCs w:val="4"/>
              </w:rPr>
            </w:r>
          </w:p>
        </w:tc>
        <w:tc>
          <w:tcPr>
            <w:tcW w:w="82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1" w:type="dxa"/>
            <w:tcBorders/>
            <w:shd w:fill="CCEEFF" w:val="clear"/>
            <w:vAlign w:val="center"/>
          </w:tcPr>
          <w:p>
            <w:pPr>
              <w:pStyle w:val="TableContents"/>
              <w:bidi w:val="0"/>
              <w:spacing w:before="0" w:after="283"/>
              <w:jc w:val="left"/>
              <w:rPr>
                <w:sz w:val="4"/>
                <w:szCs w:val="4"/>
              </w:rPr>
            </w:pPr>
            <w:r>
              <w:rPr>
                <w:sz w:val="4"/>
                <w:szCs w:val="4"/>
              </w:rPr>
            </w:r>
          </w:p>
        </w:tc>
        <w:tc>
          <w:tcPr>
            <w:tcW w:w="83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0" w:type="dxa"/>
            <w:tcBorders/>
            <w:shd w:fill="CCEEFF" w:val="clear"/>
            <w:vAlign w:val="center"/>
          </w:tcPr>
          <w:p>
            <w:pPr>
              <w:pStyle w:val="TableContents"/>
              <w:bidi w:val="0"/>
              <w:spacing w:before="0" w:after="283"/>
              <w:jc w:val="left"/>
              <w:rPr>
                <w:sz w:val="4"/>
                <w:szCs w:val="4"/>
              </w:rPr>
            </w:pPr>
            <w:r>
              <w:rPr>
                <w:sz w:val="4"/>
                <w:szCs w:val="4"/>
              </w:rPr>
            </w:r>
          </w:p>
        </w:tc>
        <w:tc>
          <w:tcPr>
            <w:tcW w:w="74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r>
      <w:tr>
        <w:trPr/>
        <w:tc>
          <w:tcPr>
            <w:tcW w:w="140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Industrial</w:t>
            </w:r>
          </w:p>
        </w:tc>
        <w:tc>
          <w:tcPr>
            <w:tcW w:w="20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20,426</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1,381</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2,259</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19,238</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1,250</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1,786</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r>
      <w:tr>
        <w:trPr/>
        <w:tc>
          <w:tcPr>
            <w:tcW w:w="140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Gas transportation &amp; storage</w:t>
            </w:r>
          </w:p>
        </w:tc>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77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0" w:type="dxa"/>
            <w:tcBorders/>
            <w:shd w:fill="CCEEFF" w:val="clear"/>
            <w:vAlign w:val="center"/>
          </w:tcPr>
          <w:p>
            <w:pPr>
              <w:pStyle w:val="TableContents"/>
              <w:bidi w:val="0"/>
              <w:spacing w:before="0" w:after="283"/>
              <w:jc w:val="left"/>
              <w:rPr>
                <w:sz w:val="4"/>
                <w:szCs w:val="4"/>
              </w:rPr>
            </w:pPr>
            <w:r>
              <w:rPr>
                <w:sz w:val="4"/>
                <w:szCs w:val="4"/>
              </w:rPr>
            </w:r>
          </w:p>
        </w:tc>
        <w:tc>
          <w:tcPr>
            <w:tcW w:w="82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1" w:type="dxa"/>
            <w:tcBorders/>
            <w:shd w:fill="CCEEFF" w:val="clear"/>
            <w:vAlign w:val="center"/>
          </w:tcPr>
          <w:p>
            <w:pPr>
              <w:pStyle w:val="TableContents"/>
              <w:bidi w:val="0"/>
              <w:spacing w:before="0" w:after="283"/>
              <w:jc w:val="left"/>
              <w:rPr>
                <w:sz w:val="4"/>
                <w:szCs w:val="4"/>
              </w:rPr>
            </w:pPr>
            <w:r>
              <w:rPr>
                <w:sz w:val="4"/>
                <w:szCs w:val="4"/>
              </w:rPr>
            </w:r>
          </w:p>
        </w:tc>
        <w:tc>
          <w:tcPr>
            <w:tcW w:w="832"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142,781</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77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0" w:type="dxa"/>
            <w:tcBorders/>
            <w:shd w:fill="CCEEFF" w:val="clear"/>
            <w:vAlign w:val="center"/>
          </w:tcPr>
          <w:p>
            <w:pPr>
              <w:pStyle w:val="TableContents"/>
              <w:bidi w:val="0"/>
              <w:spacing w:before="0" w:after="283"/>
              <w:jc w:val="left"/>
              <w:rPr>
                <w:sz w:val="4"/>
                <w:szCs w:val="4"/>
              </w:rPr>
            </w:pPr>
            <w:r>
              <w:rPr>
                <w:sz w:val="4"/>
                <w:szCs w:val="4"/>
              </w:rPr>
            </w:r>
          </w:p>
        </w:tc>
        <w:tc>
          <w:tcPr>
            <w:tcW w:w="82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1" w:type="dxa"/>
            <w:tcBorders/>
            <w:shd w:fill="CCEEFF" w:val="clear"/>
            <w:vAlign w:val="center"/>
          </w:tcPr>
          <w:p>
            <w:pPr>
              <w:pStyle w:val="TableContents"/>
              <w:bidi w:val="0"/>
              <w:spacing w:before="0" w:after="283"/>
              <w:jc w:val="left"/>
              <w:rPr>
                <w:sz w:val="4"/>
                <w:szCs w:val="4"/>
              </w:rPr>
            </w:pPr>
            <w:r>
              <w:rPr>
                <w:sz w:val="4"/>
                <w:szCs w:val="4"/>
              </w:rPr>
            </w:r>
          </w:p>
        </w:tc>
        <w:tc>
          <w:tcPr>
            <w:tcW w:w="832"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138,084</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0" w:type="dxa"/>
            <w:tcBorders/>
            <w:shd w:fill="CCEEFF" w:val="clear"/>
            <w:vAlign w:val="center"/>
          </w:tcPr>
          <w:p>
            <w:pPr>
              <w:pStyle w:val="TableContents"/>
              <w:bidi w:val="0"/>
              <w:spacing w:before="0" w:after="283"/>
              <w:jc w:val="left"/>
              <w:rPr>
                <w:sz w:val="4"/>
                <w:szCs w:val="4"/>
              </w:rPr>
            </w:pPr>
            <w:r>
              <w:rPr>
                <w:sz w:val="4"/>
                <w:szCs w:val="4"/>
              </w:rPr>
            </w:r>
          </w:p>
        </w:tc>
        <w:tc>
          <w:tcPr>
            <w:tcW w:w="74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r>
      <w:tr>
        <w:trPr/>
        <w:tc>
          <w:tcPr>
            <w:tcW w:w="140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Other water</w:t>
            </w:r>
          </w:p>
        </w:tc>
        <w:tc>
          <w:tcPr>
            <w:tcW w:w="20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26,967</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31,964</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r>
      <w:tr>
        <w:trPr/>
        <w:tc>
          <w:tcPr>
            <w:tcW w:w="140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Other wastewater</w:t>
            </w:r>
          </w:p>
        </w:tc>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77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0" w:type="dxa"/>
            <w:tcBorders/>
            <w:shd w:fill="CCEEFF" w:val="clear"/>
            <w:vAlign w:val="center"/>
          </w:tcPr>
          <w:p>
            <w:pPr>
              <w:pStyle w:val="TableContents"/>
              <w:bidi w:val="0"/>
              <w:spacing w:before="0" w:after="283"/>
              <w:jc w:val="left"/>
              <w:rPr>
                <w:sz w:val="4"/>
                <w:szCs w:val="4"/>
              </w:rPr>
            </w:pPr>
            <w:r>
              <w:rPr>
                <w:sz w:val="4"/>
                <w:szCs w:val="4"/>
              </w:rPr>
            </w:r>
          </w:p>
        </w:tc>
        <w:tc>
          <w:tcPr>
            <w:tcW w:w="828"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5,835</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1" w:type="dxa"/>
            <w:tcBorders/>
            <w:shd w:fill="CCEEFF" w:val="clear"/>
            <w:vAlign w:val="center"/>
          </w:tcPr>
          <w:p>
            <w:pPr>
              <w:pStyle w:val="TableContents"/>
              <w:bidi w:val="0"/>
              <w:spacing w:before="0" w:after="283"/>
              <w:jc w:val="left"/>
              <w:rPr>
                <w:sz w:val="4"/>
                <w:szCs w:val="4"/>
              </w:rPr>
            </w:pPr>
            <w:r>
              <w:rPr>
                <w:sz w:val="4"/>
                <w:szCs w:val="4"/>
              </w:rPr>
            </w:r>
          </w:p>
        </w:tc>
        <w:tc>
          <w:tcPr>
            <w:tcW w:w="83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77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0" w:type="dxa"/>
            <w:tcBorders/>
            <w:shd w:fill="CCEEFF" w:val="clear"/>
            <w:vAlign w:val="center"/>
          </w:tcPr>
          <w:p>
            <w:pPr>
              <w:pStyle w:val="TableContents"/>
              <w:bidi w:val="0"/>
              <w:spacing w:before="0" w:after="283"/>
              <w:jc w:val="left"/>
              <w:rPr>
                <w:sz w:val="4"/>
                <w:szCs w:val="4"/>
              </w:rPr>
            </w:pPr>
            <w:r>
              <w:rPr>
                <w:sz w:val="4"/>
                <w:szCs w:val="4"/>
              </w:rPr>
            </w:r>
          </w:p>
        </w:tc>
        <w:tc>
          <w:tcPr>
            <w:tcW w:w="828"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6,270</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1" w:type="dxa"/>
            <w:tcBorders/>
            <w:shd w:fill="CCEEFF" w:val="clear"/>
            <w:vAlign w:val="center"/>
          </w:tcPr>
          <w:p>
            <w:pPr>
              <w:pStyle w:val="TableContents"/>
              <w:bidi w:val="0"/>
              <w:spacing w:before="0" w:after="283"/>
              <w:jc w:val="left"/>
              <w:rPr>
                <w:sz w:val="4"/>
                <w:szCs w:val="4"/>
              </w:rPr>
            </w:pPr>
            <w:r>
              <w:rPr>
                <w:sz w:val="4"/>
                <w:szCs w:val="4"/>
              </w:rPr>
            </w:r>
          </w:p>
        </w:tc>
        <w:tc>
          <w:tcPr>
            <w:tcW w:w="83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0" w:type="dxa"/>
            <w:tcBorders/>
            <w:shd w:fill="CCEEFF" w:val="clear"/>
            <w:vAlign w:val="center"/>
          </w:tcPr>
          <w:p>
            <w:pPr>
              <w:pStyle w:val="TableContents"/>
              <w:bidi w:val="0"/>
              <w:spacing w:before="0" w:after="283"/>
              <w:jc w:val="left"/>
              <w:rPr>
                <w:sz w:val="4"/>
                <w:szCs w:val="4"/>
              </w:rPr>
            </w:pPr>
            <w:r>
              <w:rPr>
                <w:sz w:val="4"/>
                <w:szCs w:val="4"/>
              </w:rPr>
            </w:r>
          </w:p>
        </w:tc>
        <w:tc>
          <w:tcPr>
            <w:tcW w:w="74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r>
      <w:tr>
        <w:trPr/>
        <w:tc>
          <w:tcPr>
            <w:tcW w:w="140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Other utility</w:t>
            </w:r>
          </w:p>
        </w:tc>
        <w:tc>
          <w:tcPr>
            <w:tcW w:w="20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7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2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32"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9,502</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5,971</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7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2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32"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18,181</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4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5,575</w:t>
            </w:r>
            <w:r>
              <w:rPr>
                <w:rFonts w:ascii="Times New Roman;serif" w:hAnsi="Times New Roman;serif"/>
                <w:caps w:val="false"/>
                <w:smallCaps w:val="false"/>
                <w:color w:val="000000"/>
                <w:sz w:val="18"/>
              </w:rPr>
              <w:t> </w:t>
            </w:r>
          </w:p>
        </w:tc>
      </w:tr>
      <w:tr>
        <w:trPr/>
        <w:tc>
          <w:tcPr>
            <w:tcW w:w="140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Revenues from contracts with customers</w:t>
            </w:r>
          </w:p>
        </w:tc>
        <w:tc>
          <w:tcPr>
            <w:tcW w:w="207"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7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553,808</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2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120,062</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32"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700,629</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95"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5,971</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7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520,839</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2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107,035</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32"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644,593</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4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5,575</w:t>
            </w:r>
            <w:r>
              <w:rPr>
                <w:rFonts w:ascii="Times New Roman;serif" w:hAnsi="Times New Roman;serif"/>
                <w:caps w:val="false"/>
                <w:smallCaps w:val="false"/>
                <w:color w:val="000000"/>
                <w:sz w:val="18"/>
              </w:rPr>
              <w:t> </w:t>
            </w:r>
          </w:p>
        </w:tc>
      </w:tr>
      <w:tr>
        <w:trPr/>
        <w:tc>
          <w:tcPr>
            <w:tcW w:w="140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Alternative revenue program</w:t>
            </w:r>
          </w:p>
        </w:tc>
        <w:tc>
          <w:tcPr>
            <w:tcW w:w="20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552</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126</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(1,938)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(281)</w:t>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(38)</w:t>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3,525</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r>
      <w:tr>
        <w:trPr/>
        <w:tc>
          <w:tcPr>
            <w:tcW w:w="140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Other and eliminations</w:t>
            </w:r>
          </w:p>
        </w:tc>
        <w:tc>
          <w:tcPr>
            <w:tcW w:w="207"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77"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0"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28"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32"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95"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13,403</w:t>
            </w:r>
            <w:r>
              <w:rPr>
                <w:rFonts w:ascii="Times New Roman;serif" w:hAnsi="Times New Roman;serif"/>
                <w:caps w:val="false"/>
                <w:smallCaps w:val="false"/>
                <w:color w:val="000000"/>
                <w:sz w:val="18"/>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7"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77"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0"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28"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32"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0"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48"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17,285</w:t>
            </w:r>
            <w:r>
              <w:rPr>
                <w:rFonts w:ascii="Times New Roman;serif" w:hAnsi="Times New Roman;serif"/>
                <w:caps w:val="false"/>
                <w:smallCaps w:val="false"/>
                <w:color w:val="000000"/>
                <w:sz w:val="18"/>
              </w:rPr>
              <w:t> </w:t>
            </w:r>
          </w:p>
        </w:tc>
      </w:tr>
      <w:tr>
        <w:trPr/>
        <w:tc>
          <w:tcPr>
            <w:tcW w:w="140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Consolidated</w:t>
            </w:r>
          </w:p>
        </w:tc>
        <w:tc>
          <w:tcPr>
            <w:tcW w:w="207"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77"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554,360</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828"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120,188</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832"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698,691</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695"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19,374</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77"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520,558</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828"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106,997</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832"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648,118</w:t>
            </w:r>
            <w:r>
              <w:rPr>
                <w:rFonts w:ascii="Times New Roman;serif" w:hAnsi="Times New Roman;serif"/>
                <w:caps w:val="false"/>
                <w:smallCaps w:val="false"/>
                <w:color w:val="000000"/>
                <w:sz w:val="18"/>
              </w:rPr>
              <w:t> </w:t>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48"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color w:val="000000"/>
                <w:sz w:val="18"/>
              </w:rPr>
              <w:t>22,860</w:t>
            </w:r>
            <w:r>
              <w:rPr>
                <w:rFonts w:ascii="Times New Roman;serif" w:hAnsi="Times New Roman;serif"/>
                <w:caps w:val="false"/>
                <w:smallCaps w:val="false"/>
                <w:color w:val="000000"/>
                <w:sz w:val="18"/>
              </w:rPr>
              <w:t> </w:t>
            </w:r>
          </w:p>
        </w:tc>
      </w:tr>
      <w:tr>
        <w:trPr/>
        <w:tc>
          <w:tcPr>
            <w:tcW w:w="1408" w:type="dxa"/>
            <w:tcBorders/>
            <w:vAlign w:val="center"/>
          </w:tcPr>
          <w:p>
            <w:pPr>
              <w:pStyle w:val="TableContents"/>
              <w:bidi w:val="0"/>
              <w:spacing w:before="0" w:after="283"/>
              <w:jc w:val="left"/>
              <w:rPr>
                <w:sz w:val="4"/>
                <w:szCs w:val="4"/>
              </w:rPr>
            </w:pPr>
            <w:r>
              <w:rPr>
                <w:sz w:val="4"/>
                <w:szCs w:val="4"/>
              </w:rPr>
            </w:r>
          </w:p>
        </w:tc>
        <w:tc>
          <w:tcPr>
            <w:tcW w:w="207"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777"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828"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832"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695"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777"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828"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832"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748"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9"/>
        <w:rPr>
          <w:caps w:val="false"/>
          <w:smallCaps w:val="false"/>
          <w:color w:val="000000"/>
        </w:rPr>
      </w:pPr>
      <w:r>
        <w:rPr>
          <w:caps w:val="false"/>
          <w:smallCaps w:val="false"/>
          <w:color w:val="000000"/>
        </w:rPr>
        <w:t> </w:t>
      </w:r>
    </w:p>
    <w:p>
      <w:pPr>
        <w:pStyle w:val="TextBody"/>
        <w:bidi w:val="0"/>
        <w:spacing w:lineRule="auto" w:line="259"/>
        <w:rPr>
          <w:rFonts w:ascii="Times New Roman;serif" w:hAnsi="Times New Roman;serif"/>
          <w:b w:val="false"/>
          <w:i w:val="false"/>
          <w:caps w:val="false"/>
          <w:smallCaps w:val="false"/>
          <w:color w:val="000000"/>
          <w:sz w:val="24"/>
        </w:rPr>
      </w:pPr>
      <w:bookmarkStart w:id="16" w:name="_Hlk204166914"/>
      <w:bookmarkStart w:id="17" w:name="_Hlk204166831"/>
      <w:bookmarkEnd w:id="16"/>
      <w:bookmarkEnd w:id="17"/>
      <w:r>
        <w:rPr>
          <w:rFonts w:ascii="Times New Roman;serif" w:hAnsi="Times New Roman;serif"/>
          <w:b w:val="false"/>
          <w:i w:val="false"/>
          <w:caps w:val="false"/>
          <w:smallCaps w:val="false"/>
          <w:color w:val="000000"/>
          <w:sz w:val="24"/>
        </w:rPr>
        <w:t>12</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563C1"/>
            <w:sz w:val="24"/>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ESSENTIAL UTILITIES, INC. AND SUBSIDIARIES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NOTES TO CONDENSED CONSOLIDATED FINANCIAL STATEMENTS (continued)</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(In thousands of dollars, except per share amounts)</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(UNAUDITED)</w:t>
      </w:r>
    </w:p>
    <w:p>
      <w:pPr>
        <w:pStyle w:val="TextBody"/>
        <w:bidi w:val="0"/>
        <w:spacing w:lineRule="auto" w:line="259"/>
        <w:rPr>
          <w:caps w:val="false"/>
          <w:smallCaps w:val="false"/>
          <w:color w:val="000000"/>
        </w:rPr>
      </w:pPr>
      <w:r>
        <w:rPr>
          <w:caps w:val="false"/>
          <w:smallCaps w:val="false"/>
          <w:color w:val="000000"/>
        </w:rPr>
        <w:t> </w:t>
      </w:r>
    </w:p>
    <w:p>
      <w:pPr>
        <w:pStyle w:val="TextBody"/>
        <w:bidi w:val="0"/>
        <w:spacing w:lineRule="auto" w:line="259"/>
        <w:rPr>
          <w:rFonts w:ascii="Times New Roman;serif" w:hAnsi="Times New Roman;serif"/>
          <w:sz w:val="24"/>
        </w:rPr>
      </w:pPr>
      <w:r>
        <w:rPr>
          <w:rFonts w:ascii="Times New Roman;serif" w:hAnsi="Times New Roman;serif"/>
          <w:b/>
          <w:i w:val="false"/>
          <w:caps w:val="false"/>
          <w:smallCaps w:val="false"/>
          <w:color w:val="000000"/>
          <w:spacing w:val="0"/>
          <w:sz w:val="24"/>
        </w:rPr>
        <w:t xml:space="preserve">Note 4 – </w:t>
      </w:r>
      <w:r>
        <w:rPr>
          <w:rFonts w:ascii="Times New Roman;serif" w:hAnsi="Times New Roman;serif"/>
          <w:b/>
          <w:i/>
          <w:color w:val="000000"/>
          <w:spacing w:val="0"/>
          <w:sz w:val="24"/>
        </w:rPr>
        <w:t>Water and Wastewater Utility</w:t>
      </w:r>
      <w:r>
        <w:rPr>
          <w:rFonts w:ascii="Times New Roman;serif" w:hAnsi="Times New Roman;serif"/>
          <w:caps w:val="false"/>
          <w:smallCaps w:val="false"/>
          <w:color w:val="000000"/>
          <w:spacing w:val="0"/>
          <w:sz w:val="24"/>
        </w:rPr>
        <w:t xml:space="preserve"> </w:t>
      </w:r>
      <w:r>
        <w:rPr>
          <w:rFonts w:ascii="Times New Roman;serif" w:hAnsi="Times New Roman;serif"/>
          <w:b/>
          <w:i/>
          <w:color w:val="000000"/>
          <w:spacing w:val="0"/>
          <w:sz w:val="24"/>
        </w:rPr>
        <w:t>Acquisitions</w:t>
      </w:r>
      <w:r>
        <w:rPr>
          <w:rFonts w:ascii="Times New Roman;serif" w:hAnsi="Times New Roman;serif"/>
          <w:caps w:val="false"/>
          <w:smallCaps w:val="false"/>
          <w:color w:val="000000"/>
          <w:spacing w:val="0"/>
          <w:sz w:val="24"/>
        </w:rPr>
        <w:t xml:space="preserve"> </w:t>
      </w:r>
    </w:p>
    <w:p>
      <w:pPr>
        <w:pStyle w:val="TextBody"/>
        <w:bidi w:val="0"/>
        <w:spacing w:lineRule="auto" w:line="259"/>
        <w:rPr>
          <w:rFonts w:ascii="Times New Roman;serif" w:hAnsi="Times New Roman;serif"/>
          <w:b/>
          <w:i/>
          <w:color w:val="000000"/>
          <w:spacing w:val="0"/>
          <w:sz w:val="24"/>
        </w:rPr>
      </w:pPr>
      <w:r>
        <w:rPr>
          <w:rFonts w:ascii="Times New Roman;serif" w:hAnsi="Times New Roman;serif"/>
          <w:b/>
          <w:i/>
          <w:color w:val="000000"/>
          <w:spacing w:val="0"/>
          <w:sz w:val="24"/>
        </w:rPr>
        <w:t>Completed Acquisitions</w:t>
      </w:r>
    </w:p>
    <w:p>
      <w:pPr>
        <w:pStyle w:val="TextBody"/>
        <w:bidi w:val="0"/>
        <w:spacing w:lineRule="auto" w:line="259"/>
        <w:rPr>
          <w:rFonts w:ascii="Times New Roman;serif" w:hAnsi="Times New Roman;serif"/>
          <w:b w:val="false"/>
          <w:i/>
          <w:color w:val="000000"/>
          <w:spacing w:val="0"/>
          <w:sz w:val="24"/>
        </w:rPr>
      </w:pPr>
      <w:r>
        <w:rPr>
          <w:rFonts w:ascii="Times New Roman;serif" w:hAnsi="Times New Roman;serif"/>
          <w:b w:val="false"/>
          <w:i/>
          <w:color w:val="000000"/>
          <w:spacing w:val="0"/>
          <w:sz w:val="24"/>
        </w:rPr>
        <w:t>Business combinations</w:t>
      </w:r>
    </w:p>
    <w:p>
      <w:pPr>
        <w:pStyle w:val="TextBody"/>
        <w:bidi w:val="0"/>
        <w:spacing w:lineRule="auto" w:line="259"/>
        <w:rPr>
          <w:rFonts w:ascii="CG Omega W1" w:hAnsi="CG Omega W1"/>
          <w:sz w:val="24"/>
        </w:rPr>
      </w:pPr>
      <w:r>
        <w:rPr>
          <w:rFonts w:ascii="Times New Roman;serif" w:hAnsi="Times New Roman;serif"/>
          <w:b w:val="false"/>
          <w:i w:val="false"/>
          <w:caps w:val="false"/>
          <w:smallCaps w:val="false"/>
          <w:color w:val="000000"/>
          <w:spacing w:val="0"/>
          <w:sz w:val="24"/>
        </w:rPr>
        <w:t>In March 2026, the Company acquired Greenville Municipal Water Authority’s water utility system in Greenville, Pennsylvania, which serves approximately 3,000</w:t>
      </w:r>
      <w:r>
        <w:rPr>
          <w:rFonts w:ascii="CG Omega W1" w:hAnsi="CG Omega W1"/>
          <w:caps w:val="false"/>
          <w:smallCaps w:val="false"/>
          <w:color w:val="000000"/>
          <w:spacing w:val="0"/>
          <w:sz w:val="24"/>
        </w:rPr>
        <w:t xml:space="preserve"> </w:t>
      </w:r>
      <w:r>
        <w:rPr>
          <w:rFonts w:ascii="Times New Roman;serif" w:hAnsi="Times New Roman;serif"/>
          <w:b w:val="false"/>
          <w:i w:val="false"/>
          <w:caps w:val="false"/>
          <w:smallCaps w:val="false"/>
          <w:color w:val="000000"/>
          <w:spacing w:val="0"/>
          <w:sz w:val="24"/>
        </w:rPr>
        <w:t>customers for $18,000. The purchase price allocation for this acquisition consisted primarily of property, plant and equipment of $17,500</w:t>
      </w:r>
      <w:r>
        <w:rPr>
          <w:rFonts w:ascii="CG Omega W1" w:hAnsi="CG Omega W1"/>
          <w:caps w:val="false"/>
          <w:smallCaps w:val="false"/>
          <w:color w:val="000000"/>
          <w:spacing w:val="0"/>
          <w:sz w:val="24"/>
        </w:rPr>
        <w:t xml:space="preserve"> </w:t>
      </w:r>
      <w:r>
        <w:rPr>
          <w:rFonts w:ascii="Times New Roman;serif" w:hAnsi="Times New Roman;serif"/>
          <w:b w:val="false"/>
          <w:i w:val="false"/>
          <w:caps w:val="false"/>
          <w:smallCaps w:val="false"/>
          <w:color w:val="000000"/>
          <w:spacing w:val="0"/>
          <w:sz w:val="24"/>
        </w:rPr>
        <w:t>and goodwill of $500.</w:t>
      </w:r>
      <w:r>
        <w:rPr>
          <w:rFonts w:ascii="CG Omega W1" w:hAnsi="CG Omega W1"/>
          <w:caps w:val="false"/>
          <w:smallCaps w:val="false"/>
          <w:color w:val="000000"/>
          <w:spacing w:val="0"/>
          <w:sz w:val="24"/>
        </w:rPr>
        <w:t xml:space="preserve"> </w:t>
      </w:r>
    </w:p>
    <w:p>
      <w:pPr>
        <w:pStyle w:val="TextBody"/>
        <w:shd w:fill="FFFFFF" w:val="clear"/>
        <w:bidi w:val="0"/>
        <w:spacing w:lineRule="auto" w:line="259"/>
        <w:rPr>
          <w:rFonts w:ascii="Times New Roman;serif" w:hAnsi="Times New Roman;serif"/>
          <w:sz w:val="24"/>
        </w:rPr>
      </w:pPr>
      <w:r>
        <w:rPr>
          <w:rFonts w:ascii="Times New Roman;serif" w:hAnsi="Times New Roman;serif"/>
          <w:b w:val="false"/>
          <w:i w:val="false"/>
          <w:caps w:val="false"/>
          <w:smallCaps w:val="false"/>
          <w:color w:val="000000"/>
          <w:spacing w:val="0"/>
          <w:sz w:val="24"/>
        </w:rPr>
        <w:t>In July 2025, the Company acquired the wastewater utility system of the City of Beaver Falls, Pennsylvania for $37,750.  The system serves approximately 3,200</w:t>
      </w:r>
      <w:r>
        <w:rPr>
          <w:rFonts w:ascii="Times New Roman;serif" w:hAnsi="Times New Roman;serif"/>
          <w:caps w:val="false"/>
          <w:smallCaps w:val="false"/>
          <w:color w:val="000000"/>
          <w:spacing w:val="0"/>
          <w:sz w:val="24"/>
        </w:rPr>
        <w:t xml:space="preserve"> </w:t>
      </w:r>
      <w:r>
        <w:rPr>
          <w:rFonts w:ascii="Times New Roman;serif" w:hAnsi="Times New Roman;serif"/>
          <w:b w:val="false"/>
          <w:i w:val="false"/>
          <w:caps w:val="false"/>
          <w:smallCaps w:val="false"/>
          <w:color w:val="000000"/>
          <w:spacing w:val="0"/>
          <w:sz w:val="24"/>
        </w:rPr>
        <w:t>customers in the City of Beaver Falls and also provides bulk transmission and treatment service for approximately 3,800</w:t>
      </w:r>
      <w:r>
        <w:rPr>
          <w:rFonts w:ascii="Times New Roman;serif" w:hAnsi="Times New Roman;serif"/>
          <w:caps w:val="false"/>
          <w:smallCaps w:val="false"/>
          <w:color w:val="000000"/>
          <w:spacing w:val="0"/>
          <w:sz w:val="24"/>
        </w:rPr>
        <w:t xml:space="preserve"> </w:t>
      </w:r>
      <w:r>
        <w:rPr>
          <w:rFonts w:ascii="Times New Roman;serif" w:hAnsi="Times New Roman;serif"/>
          <w:b w:val="false"/>
          <w:i w:val="false"/>
          <w:caps w:val="false"/>
          <w:smallCaps w:val="false"/>
          <w:color w:val="000000"/>
          <w:spacing w:val="0"/>
          <w:sz w:val="24"/>
        </w:rPr>
        <w:t>equivalent dwelling units in seven</w:t>
      </w:r>
      <w:r>
        <w:rPr>
          <w:rFonts w:ascii="Times New Roman;serif" w:hAnsi="Times New Roman;serif"/>
          <w:caps w:val="false"/>
          <w:smallCaps w:val="false"/>
          <w:color w:val="000000"/>
          <w:spacing w:val="0"/>
          <w:sz w:val="24"/>
        </w:rPr>
        <w:t xml:space="preserve"> </w:t>
      </w:r>
      <w:r>
        <w:rPr>
          <w:rFonts w:ascii="Times New Roman;serif" w:hAnsi="Times New Roman;serif"/>
          <w:b w:val="false"/>
          <w:i w:val="false"/>
          <w:caps w:val="false"/>
          <w:smallCaps w:val="false"/>
          <w:color w:val="000000"/>
          <w:spacing w:val="0"/>
          <w:sz w:val="24"/>
        </w:rPr>
        <w:t xml:space="preserve">nearby municipalities. </w:t>
      </w:r>
      <w:r>
        <w:rPr>
          <w:rFonts w:ascii="Times New Roman;serif" w:hAnsi="Times New Roman;serif"/>
          <w:b w:val="false"/>
          <w:i w:val="false"/>
          <w:caps w:val="false"/>
          <w:smallCaps w:val="false"/>
          <w:color w:val="000000"/>
          <w:sz w:val="24"/>
        </w:rPr>
        <w:t>The purchase price allocation for this acquisition consisted primarily of property, plant and equipment of $29,900</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 xml:space="preserve">and goodwill of $7,850. </w:t>
      </w:r>
    </w:p>
    <w:p>
      <w:pPr>
        <w:pStyle w:val="TextBody"/>
        <w:shd w:fill="FFFFFF" w:val="clear"/>
        <w:bidi w:val="0"/>
        <w:spacing w:lineRule="auto" w:line="259"/>
        <w:rPr>
          <w:rFonts w:ascii="Times New Roman;serif" w:hAnsi="Times New Roman;serif"/>
          <w:sz w:val="24"/>
        </w:rPr>
      </w:pPr>
      <w:r>
        <w:rPr>
          <w:rFonts w:ascii="Times New Roman;serif" w:hAnsi="Times New Roman;serif"/>
          <w:b w:val="false"/>
          <w:i w:val="false"/>
          <w:caps w:val="false"/>
          <w:smallCaps w:val="false"/>
          <w:color w:val="000000"/>
          <w:sz w:val="24"/>
        </w:rPr>
        <w:t>The pro-forma effect of the above utility systems acquired is not material either individually or collectively to the Company’s results of operations.</w:t>
      </w:r>
      <w:r>
        <w:rPr>
          <w:rFonts w:ascii="Times New Roman;serif" w:hAnsi="Times New Roman;serif"/>
          <w:caps w:val="false"/>
          <w:smallCaps w:val="false"/>
          <w:color w:val="000000"/>
          <w:sz w:val="24"/>
        </w:rPr>
        <w:t xml:space="preserve"> </w:t>
      </w:r>
    </w:p>
    <w:p>
      <w:pPr>
        <w:pStyle w:val="TextBody"/>
        <w:bidi w:val="0"/>
        <w:spacing w:lineRule="auto" w:line="259"/>
        <w:rPr>
          <w:rFonts w:ascii="Times New Roman;serif" w:hAnsi="Times New Roman;serif"/>
          <w:b w:val="false"/>
          <w:i/>
          <w:color w:val="000000"/>
          <w:spacing w:val="0"/>
          <w:sz w:val="24"/>
        </w:rPr>
      </w:pPr>
      <w:r>
        <w:rPr>
          <w:rFonts w:ascii="Times New Roman;serif" w:hAnsi="Times New Roman;serif"/>
          <w:b w:val="false"/>
          <w:i/>
          <w:color w:val="000000"/>
          <w:spacing w:val="0"/>
          <w:sz w:val="24"/>
        </w:rPr>
        <w:t>Asset Acquisitions</w:t>
      </w:r>
    </w:p>
    <w:p>
      <w:pPr>
        <w:pStyle w:val="TextBody"/>
        <w:bidi w:val="0"/>
        <w:spacing w:lineRule="auto" w:line="259"/>
        <w:rPr>
          <w:rFonts w:ascii="Times New Roman;serif" w:hAnsi="Times New Roman;serif"/>
          <w:sz w:val="24"/>
        </w:rPr>
      </w:pPr>
      <w:r>
        <w:rPr>
          <w:rFonts w:ascii="Times New Roman;serif" w:hAnsi="Times New Roman;serif"/>
          <w:b w:val="false"/>
          <w:i w:val="false"/>
          <w:caps w:val="false"/>
          <w:smallCaps w:val="false"/>
          <w:color w:val="000000"/>
          <w:spacing w:val="0"/>
          <w:sz w:val="24"/>
        </w:rPr>
        <w:t>In May 2026, the Company acquired Integra Water Texas, LLC’s wastewater system assets in Bastrop County, Texas, which serve approximately 1,100</w:t>
      </w:r>
      <w:r>
        <w:rPr>
          <w:rFonts w:ascii="Times New Roman;serif" w:hAnsi="Times New Roman;serif"/>
          <w:caps w:val="false"/>
          <w:smallCaps w:val="false"/>
          <w:color w:val="000000"/>
          <w:spacing w:val="0"/>
          <w:sz w:val="24"/>
        </w:rPr>
        <w:t xml:space="preserve"> </w:t>
      </w:r>
      <w:r>
        <w:rPr>
          <w:rFonts w:ascii="Times New Roman;serif" w:hAnsi="Times New Roman;serif"/>
          <w:b w:val="false"/>
          <w:i w:val="false"/>
          <w:caps w:val="false"/>
          <w:smallCaps w:val="false"/>
          <w:color w:val="000000"/>
          <w:spacing w:val="0"/>
          <w:sz w:val="24"/>
        </w:rPr>
        <w:t>equivalent dwelling units for $4,877.</w:t>
      </w:r>
    </w:p>
    <w:p>
      <w:pPr>
        <w:pStyle w:val="TextBody"/>
        <w:bidi w:val="0"/>
        <w:spacing w:lineRule="auto" w:line="259"/>
        <w:rPr>
          <w:rFonts w:ascii="Times New Roman;serif" w:hAnsi="Times New Roman;serif"/>
          <w:sz w:val="24"/>
        </w:rPr>
      </w:pPr>
      <w:r>
        <w:rPr>
          <w:rFonts w:ascii="Times New Roman;serif" w:hAnsi="Times New Roman;serif"/>
          <w:b w:val="false"/>
          <w:i w:val="false"/>
          <w:caps w:val="false"/>
          <w:smallCaps w:val="false"/>
          <w:color w:val="000000"/>
          <w:spacing w:val="0"/>
          <w:sz w:val="24"/>
        </w:rPr>
        <w:t>In April 2025, the Company acquired the Village of Midvale’s water system in Ohio, which serves approximately 1,000</w:t>
      </w:r>
      <w:r>
        <w:rPr>
          <w:rFonts w:ascii="Times New Roman;serif" w:hAnsi="Times New Roman;serif"/>
          <w:caps w:val="false"/>
          <w:smallCaps w:val="false"/>
          <w:color w:val="000000"/>
          <w:spacing w:val="0"/>
          <w:sz w:val="24"/>
        </w:rPr>
        <w:t xml:space="preserve"> </w:t>
      </w:r>
      <w:r>
        <w:rPr>
          <w:rFonts w:ascii="Times New Roman;serif" w:hAnsi="Times New Roman;serif"/>
          <w:b w:val="false"/>
          <w:i w:val="false"/>
          <w:caps w:val="false"/>
          <w:smallCaps w:val="false"/>
          <w:color w:val="000000"/>
          <w:spacing w:val="0"/>
          <w:sz w:val="24"/>
        </w:rPr>
        <w:t xml:space="preserve">customers for $2,950. </w:t>
      </w:r>
    </w:p>
    <w:p>
      <w:pPr>
        <w:pStyle w:val="TextBody"/>
        <w:bidi w:val="0"/>
        <w:spacing w:lineRule="auto" w:line="259"/>
        <w:rPr>
          <w:rFonts w:ascii="Times New Roman;serif" w:hAnsi="Times New Roman;serif"/>
          <w:sz w:val="24"/>
        </w:rPr>
      </w:pPr>
      <w:r>
        <w:rPr>
          <w:rFonts w:ascii="Times New Roman;serif" w:hAnsi="Times New Roman;serif"/>
          <w:b w:val="false"/>
          <w:i w:val="false"/>
          <w:caps w:val="false"/>
          <w:smallCaps w:val="false"/>
          <w:color w:val="000000"/>
          <w:spacing w:val="0"/>
          <w:sz w:val="24"/>
        </w:rPr>
        <w:t>In January 2025, the Company acquired Greenville Sanitary Authority’s wastewater utility assets, which serve approximately 2,300</w:t>
      </w:r>
      <w:r>
        <w:rPr>
          <w:rFonts w:ascii="Times New Roman;serif" w:hAnsi="Times New Roman;serif"/>
          <w:caps w:val="false"/>
          <w:smallCaps w:val="false"/>
          <w:color w:val="000000"/>
          <w:spacing w:val="0"/>
          <w:sz w:val="24"/>
        </w:rPr>
        <w:t xml:space="preserve"> </w:t>
      </w:r>
      <w:r>
        <w:rPr>
          <w:rFonts w:ascii="Times New Roman;serif" w:hAnsi="Times New Roman;serif"/>
          <w:b w:val="false"/>
          <w:i w:val="false"/>
          <w:caps w:val="false"/>
          <w:smallCaps w:val="false"/>
          <w:color w:val="000000"/>
          <w:spacing w:val="0"/>
          <w:sz w:val="24"/>
        </w:rPr>
        <w:t>customers in Greenville, Pennsylvania for $18,000.</w:t>
      </w:r>
    </w:p>
    <w:p>
      <w:pPr>
        <w:pStyle w:val="TextBody"/>
        <w:bidi w:val="0"/>
        <w:spacing w:lineRule="auto" w:line="259"/>
        <w:rPr>
          <w:rFonts w:ascii="Times New Roman;serif" w:hAnsi="Times New Roman;serif"/>
          <w:b/>
          <w:i/>
          <w:color w:val="000000"/>
          <w:spacing w:val="0"/>
          <w:sz w:val="24"/>
        </w:rPr>
      </w:pPr>
      <w:r>
        <w:rPr>
          <w:rFonts w:ascii="Times New Roman;serif" w:hAnsi="Times New Roman;serif"/>
          <w:b/>
          <w:i/>
          <w:color w:val="000000"/>
          <w:spacing w:val="0"/>
          <w:sz w:val="24"/>
        </w:rPr>
        <w:t>Pending Acquisitions</w:t>
      </w:r>
    </w:p>
    <w:p>
      <w:pPr>
        <w:pStyle w:val="TextBody"/>
        <w:bidi w:val="0"/>
        <w:spacing w:lineRule="auto" w:line="259"/>
        <w:rPr>
          <w:rFonts w:ascii="Times New Roman;serif" w:hAnsi="Times New Roman;serif"/>
          <w:sz w:val="24"/>
        </w:rPr>
      </w:pPr>
      <w:r>
        <w:rPr>
          <w:rFonts w:ascii="Times New Roman;serif" w:hAnsi="Times New Roman;serif"/>
          <w:b w:val="false"/>
          <w:i w:val="false"/>
          <w:caps w:val="false"/>
          <w:smallCaps w:val="false"/>
          <w:color w:val="000000"/>
          <w:spacing w:val="0"/>
          <w:sz w:val="24"/>
        </w:rPr>
        <w:t>In March 2026, the Company entered into a purchase agreement to acquire public water and wastewater system assets in Wake County, North Carolina, which serve approximately 1,026</w:t>
      </w:r>
      <w:r>
        <w:rPr>
          <w:rFonts w:ascii="Times New Roman;serif" w:hAnsi="Times New Roman;serif"/>
          <w:caps w:val="false"/>
          <w:smallCaps w:val="false"/>
          <w:color w:val="000000"/>
          <w:spacing w:val="0"/>
          <w:sz w:val="24"/>
        </w:rPr>
        <w:t xml:space="preserve"> </w:t>
      </w:r>
      <w:r>
        <w:rPr>
          <w:rFonts w:ascii="Times New Roman;serif" w:hAnsi="Times New Roman;serif"/>
          <w:b w:val="false"/>
          <w:i w:val="false"/>
          <w:caps w:val="false"/>
          <w:smallCaps w:val="false"/>
          <w:color w:val="000000"/>
          <w:spacing w:val="0"/>
          <w:sz w:val="24"/>
        </w:rPr>
        <w:t>customers for $4,360. We expect this acquisition to close in early 2027.</w:t>
      </w:r>
    </w:p>
    <w:p>
      <w:pPr>
        <w:pStyle w:val="TextBody"/>
        <w:bidi w:val="0"/>
        <w:spacing w:lineRule="auto" w:line="259"/>
        <w:rPr>
          <w:rFonts w:ascii="Times New Roman;serif" w:hAnsi="Times New Roman;serif"/>
          <w:sz w:val="24"/>
        </w:rPr>
      </w:pPr>
      <w:r>
        <w:rPr>
          <w:rFonts w:ascii="Times New Roman;serif" w:hAnsi="Times New Roman;serif"/>
          <w:b w:val="false"/>
          <w:i w:val="false"/>
          <w:caps w:val="false"/>
          <w:smallCaps w:val="false"/>
          <w:color w:val="000000"/>
          <w:sz w:val="24"/>
        </w:rPr>
        <w:t>In June 2024, the Company entered into a purchase agreement to acquire private water and wastewater utility assets in Harris County, Texas, which serve approximately 400</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 xml:space="preserve">equivalent retail customers for $1,125. This acquisition is expected to close later in 2026. </w:t>
      </w:r>
    </w:p>
    <w:p>
      <w:pPr>
        <w:pStyle w:val="TextBody"/>
        <w:shd w:fill="FFFFFF" w:val="clear"/>
        <w:bidi w:val="0"/>
        <w:spacing w:lineRule="auto" w:line="259"/>
        <w:rPr>
          <w:rFonts w:ascii="Times New Roman;serif" w:hAnsi="Times New Roman;serif"/>
          <w:sz w:val="24"/>
        </w:rPr>
      </w:pPr>
      <w:bookmarkStart w:id="18" w:name="_Hlk115954562"/>
      <w:bookmarkEnd w:id="18"/>
      <w:r>
        <w:rPr>
          <w:rFonts w:ascii="Times New Roman;serif" w:hAnsi="Times New Roman;serif"/>
          <w:b w:val="false"/>
          <w:i w:val="false"/>
          <w:caps w:val="false"/>
          <w:smallCaps w:val="false"/>
          <w:color w:val="000000"/>
          <w:sz w:val="24"/>
        </w:rPr>
        <w:t>The purchase price for these pending acquisitions are subject to certain adjustments at closing, and are subject to regulatory approval, including the final determination of the fair value of the rate base acquired.</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 xml:space="preserve">We plan to finance the purchase price of these acquisitions by utilizing our commercial paper program and revolving credit facility until permanent debt and common equity are secured. Closings for our utility acquisitions are subject to the timing of the respective regulatory approval processes.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13</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563C1"/>
            <w:sz w:val="24"/>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ESSENTIAL UTILITIES, INC. AND SUBSIDIARIES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NOTES TO CONDENSED CONSOLIDATED FINANCIAL STATEMENTS (continued)</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(In thousands of dollars, except per share amounts)</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(UNAUDITED)</w:t>
      </w:r>
    </w:p>
    <w:p>
      <w:pPr>
        <w:pStyle w:val="TextBody"/>
        <w:bidi w:val="0"/>
        <w:spacing w:lineRule="auto" w:line="259"/>
        <w:rPr>
          <w:caps w:val="false"/>
          <w:smallCaps w:val="false"/>
          <w:color w:val="000000"/>
        </w:rPr>
      </w:pPr>
      <w:r>
        <w:rPr>
          <w:caps w:val="false"/>
          <w:smallCaps w:val="false"/>
          <w:color w:val="000000"/>
        </w:rPr>
        <w:t> </w:t>
      </w:r>
    </w:p>
    <w:p>
      <w:pPr>
        <w:pStyle w:val="TextBody"/>
        <w:bidi w:val="0"/>
        <w:spacing w:lineRule="auto" w:line="259"/>
        <w:rPr>
          <w:rFonts w:ascii="Times New Roman;serif" w:hAnsi="Times New Roman;serif"/>
          <w:b w:val="false"/>
          <w:i/>
          <w:color w:val="000000"/>
          <w:spacing w:val="0"/>
          <w:sz w:val="24"/>
          <w:u w:val="single"/>
        </w:rPr>
      </w:pPr>
      <w:r>
        <w:rPr>
          <w:rFonts w:ascii="Times New Roman;serif" w:hAnsi="Times New Roman;serif"/>
          <w:b w:val="false"/>
          <w:i/>
          <w:color w:val="000000"/>
          <w:spacing w:val="0"/>
          <w:sz w:val="24"/>
          <w:u w:val="single"/>
        </w:rPr>
        <w:t>DELCORA Purchase Agreement</w:t>
      </w:r>
    </w:p>
    <w:p>
      <w:pPr>
        <w:pStyle w:val="TextBody"/>
        <w:bidi w:val="0"/>
        <w:spacing w:lineRule="auto" w:line="259"/>
        <w:rPr>
          <w:rFonts w:ascii="Garamond;serif" w:hAnsi="Garamond;serif"/>
          <w:sz w:val="24"/>
        </w:rPr>
      </w:pPr>
      <w:r>
        <w:rPr>
          <w:rFonts w:ascii="Times New Roman;serif" w:hAnsi="Times New Roman;serif"/>
          <w:b w:val="false"/>
          <w:i w:val="false"/>
          <w:caps w:val="false"/>
          <w:smallCaps w:val="false"/>
          <w:color w:val="000000"/>
          <w:sz w:val="24"/>
        </w:rPr>
        <w:t>In 2019, the Company entered into a purchase agreement to acquire the wastewater utility system assets of the Delaware County Regional Water Quality Control Authority (“DELCORA”), which consist of approximately 16,000</w:t>
      </w:r>
      <w:r>
        <w:rPr>
          <w:rFonts w:ascii="Garamond;serif" w:hAnsi="Garamond;serif"/>
          <w:caps w:val="false"/>
          <w:smallCaps w:val="false"/>
          <w:color w:val="000000"/>
          <w:sz w:val="24"/>
        </w:rPr>
        <w:t xml:space="preserve"> </w:t>
      </w:r>
      <w:r>
        <w:rPr>
          <w:rFonts w:ascii="Times New Roman;serif" w:hAnsi="Times New Roman;serif"/>
          <w:b w:val="false"/>
          <w:i w:val="false"/>
          <w:caps w:val="false"/>
          <w:smallCaps w:val="false"/>
          <w:color w:val="000000"/>
          <w:sz w:val="24"/>
        </w:rPr>
        <w:t>customers, or the equivalent of 198,000</w:t>
      </w:r>
      <w:r>
        <w:rPr>
          <w:rFonts w:ascii="Garamond;serif" w:hAnsi="Garamond;serif"/>
          <w:caps w:val="false"/>
          <w:smallCaps w:val="false"/>
          <w:color w:val="000000"/>
          <w:sz w:val="24"/>
        </w:rPr>
        <w:t xml:space="preserve"> </w:t>
      </w:r>
      <w:r>
        <w:rPr>
          <w:rFonts w:ascii="Times New Roman;serif" w:hAnsi="Times New Roman;serif"/>
          <w:b w:val="false"/>
          <w:i w:val="false"/>
          <w:caps w:val="false"/>
          <w:smallCaps w:val="false"/>
          <w:color w:val="000000"/>
          <w:sz w:val="24"/>
        </w:rPr>
        <w:t>retail customers, in 42</w:t>
      </w:r>
      <w:r>
        <w:rPr>
          <w:rFonts w:ascii="Garamond;serif" w:hAnsi="Garamond;serif"/>
          <w:caps w:val="false"/>
          <w:smallCaps w:val="false"/>
          <w:color w:val="000000"/>
          <w:sz w:val="24"/>
        </w:rPr>
        <w:t xml:space="preserve"> </w:t>
      </w:r>
      <w:r>
        <w:rPr>
          <w:rFonts w:ascii="Times New Roman;serif" w:hAnsi="Times New Roman;serif"/>
          <w:b w:val="false"/>
          <w:i w:val="false"/>
          <w:caps w:val="false"/>
          <w:smallCaps w:val="false"/>
          <w:color w:val="000000"/>
          <w:sz w:val="24"/>
        </w:rPr>
        <w:t>municipalities in Southeast Pennsylvania for $276,500. There are several legal proceedings involving the Company as a result of the purchase agreement that are on-going. The purchase price for this pending acquisition is subject to certain adjustments at closing, and is subject to regulatory approval, including the final determination of the fair value of the rate base acquired. We plan to finance the purchase price of this acquisition with a mix of equity and debt financing, utilizing our commercial paper program and revolving credit facility until permanent debt is secured. Closing of our acquisition of DELCORA is subject to regulatory approval and on-going litigation.</w:t>
      </w:r>
    </w:p>
    <w:p>
      <w:pPr>
        <w:pStyle w:val="TextBody"/>
        <w:bidi w:val="0"/>
        <w:spacing w:lineRule="auto" w:line="259"/>
        <w:rPr>
          <w:rFonts w:ascii="Times New Roman;serif" w:hAnsi="Times New Roman;serif"/>
          <w:sz w:val="24"/>
        </w:rPr>
      </w:pPr>
      <w:r>
        <w:rPr>
          <w:rFonts w:ascii="Times New Roman;serif" w:hAnsi="Times New Roman;serif"/>
          <w:b/>
          <w:i w:val="false"/>
          <w:caps w:val="false"/>
          <w:smallCaps w:val="false"/>
          <w:color w:val="000000"/>
          <w:spacing w:val="0"/>
          <w:sz w:val="24"/>
        </w:rPr>
        <w:t xml:space="preserve">Note 5 – </w:t>
      </w:r>
      <w:r>
        <w:rPr>
          <w:rFonts w:ascii="Times New Roman;serif" w:hAnsi="Times New Roman;serif"/>
          <w:b/>
          <w:i/>
          <w:color w:val="000000"/>
          <w:spacing w:val="0"/>
          <w:sz w:val="24"/>
        </w:rPr>
        <w:t>Convertible Note Investment</w:t>
      </w:r>
    </w:p>
    <w:p>
      <w:pPr>
        <w:pStyle w:val="TextBody"/>
        <w:bidi w:val="0"/>
        <w:spacing w:lineRule="auto" w:line="259"/>
        <w:rPr>
          <w:rFonts w:ascii="Times New Roman;serif" w:hAnsi="Times New Roman;serif"/>
          <w:sz w:val="24"/>
        </w:rPr>
      </w:pPr>
      <w:r>
        <w:rPr>
          <w:rFonts w:ascii="Times New Roman;serif" w:hAnsi="Times New Roman;serif"/>
          <w:b w:val="false"/>
          <w:i w:val="false"/>
          <w:caps w:val="false"/>
          <w:smallCaps w:val="false"/>
          <w:color w:val="000000"/>
          <w:spacing w:val="0"/>
          <w:sz w:val="24"/>
        </w:rPr>
        <w:t>In 2025, the Company purchased $25,125</w:t>
      </w:r>
      <w:r>
        <w:rPr>
          <w:rFonts w:ascii="Times New Roman;serif" w:hAnsi="Times New Roman;serif"/>
          <w:caps w:val="false"/>
          <w:smallCaps w:val="false"/>
          <w:color w:val="000000"/>
          <w:spacing w:val="0"/>
          <w:sz w:val="24"/>
        </w:rPr>
        <w:t xml:space="preserve"> </w:t>
      </w:r>
      <w:r>
        <w:rPr>
          <w:rFonts w:ascii="Times New Roman;serif" w:hAnsi="Times New Roman;serif"/>
          <w:b w:val="false"/>
          <w:i w:val="false"/>
          <w:caps w:val="false"/>
          <w:smallCaps w:val="false"/>
          <w:color w:val="000000"/>
          <w:spacing w:val="0"/>
          <w:sz w:val="24"/>
        </w:rPr>
        <w:t>of convertible notes (“Convertible Note Investment”) from IEP Hummingbird Energy LLC (“IEP”), a subsidiary of International Electric Power III, LLC, to fund the development of a gas-fired plant to power a data center being developed in Greene County, PA. The Convertible Note Investment bears zero</w:t>
      </w:r>
      <w:r>
        <w:rPr>
          <w:rFonts w:ascii="Times New Roman;serif" w:hAnsi="Times New Roman;serif"/>
          <w:caps w:val="false"/>
          <w:smallCaps w:val="false"/>
          <w:color w:val="000000"/>
          <w:spacing w:val="0"/>
          <w:sz w:val="24"/>
        </w:rPr>
        <w:t xml:space="preserve"> </w:t>
      </w:r>
      <w:r>
        <w:rPr>
          <w:rFonts w:ascii="Times New Roman;serif" w:hAnsi="Times New Roman;serif"/>
          <w:b w:val="false"/>
          <w:i w:val="false"/>
          <w:caps w:val="false"/>
          <w:smallCaps w:val="false"/>
          <w:color w:val="000000"/>
          <w:spacing w:val="0"/>
          <w:sz w:val="24"/>
        </w:rPr>
        <w:t>interest, includes a fixed $16,500</w:t>
      </w:r>
      <w:r>
        <w:rPr>
          <w:rFonts w:ascii="Times New Roman;serif" w:hAnsi="Times New Roman;serif"/>
          <w:caps w:val="false"/>
          <w:smallCaps w:val="false"/>
          <w:color w:val="000000"/>
          <w:spacing w:val="0"/>
          <w:sz w:val="24"/>
        </w:rPr>
        <w:t xml:space="preserve"> </w:t>
      </w:r>
      <w:r>
        <w:rPr>
          <w:rFonts w:ascii="Times New Roman;serif" w:hAnsi="Times New Roman;serif"/>
          <w:b w:val="false"/>
          <w:i w:val="false"/>
          <w:caps w:val="false"/>
          <w:smallCaps w:val="false"/>
          <w:color w:val="000000"/>
          <w:spacing w:val="0"/>
          <w:sz w:val="24"/>
        </w:rPr>
        <w:t xml:space="preserve">loan fee concurrently payable to the Company at maturity with the principal amount of the notes on September 30, 2026, and contains conversion rights into equity at any time on or after maturity or upon certain triggering events, such as a project financial closing or equity financing, as defined in the agreement. The agreement also grants the Company the right of first refusal to certain water and gas business opportunities and additional equity kickers upon the occurrence of a financing event or change of control. </w:t>
      </w:r>
    </w:p>
    <w:p>
      <w:pPr>
        <w:pStyle w:val="TextBody"/>
        <w:bidi w:val="0"/>
        <w:spacing w:lineRule="auto" w:line="259"/>
        <w:rPr>
          <w:rFonts w:ascii="Times New Roman;serif" w:hAnsi="Times New Roman;serif"/>
          <w:b w:val="false"/>
          <w:i w:val="false"/>
          <w:caps w:val="false"/>
          <w:smallCaps w:val="false"/>
          <w:color w:val="000000"/>
          <w:spacing w:val="0"/>
          <w:sz w:val="24"/>
        </w:rPr>
      </w:pPr>
      <w:r>
        <w:rPr>
          <w:rFonts w:ascii="Times New Roman;serif" w:hAnsi="Times New Roman;serif"/>
          <w:b w:val="false"/>
          <w:i w:val="false"/>
          <w:caps w:val="false"/>
          <w:smallCaps w:val="false"/>
          <w:color w:val="000000"/>
          <w:spacing w:val="0"/>
          <w:sz w:val="24"/>
        </w:rPr>
        <w:t xml:space="preserve">Due to a change in project scope to focus on grid provided power, on January 20, 2026, the Company received $20,000, representing the reimbursement of the deposit paid to the gas turbine manufacturer. The Company continues to be an investor in the project via its remaining convertible notes holdings and continues to have a right of first refusal to certain water and gas business opportunities.  As of June 30, 2026, the Company’s remaining Convertible Note Investment amounted to $5,125. </w:t>
      </w:r>
    </w:p>
    <w:p>
      <w:pPr>
        <w:pStyle w:val="TextBody"/>
        <w:bidi w:val="0"/>
        <w:spacing w:lineRule="auto" w:line="259"/>
        <w:rPr>
          <w:rFonts w:ascii="Times New Roman;serif" w:hAnsi="Times New Roman;serif"/>
          <w:sz w:val="24"/>
        </w:rPr>
      </w:pPr>
      <w:r>
        <w:rPr>
          <w:rFonts w:ascii="Times New Roman;serif" w:hAnsi="Times New Roman;serif"/>
          <w:b w:val="false"/>
          <w:i w:val="false"/>
          <w:caps w:val="false"/>
          <w:smallCaps w:val="false"/>
          <w:color w:val="000000"/>
          <w:spacing w:val="0"/>
          <w:sz w:val="24"/>
        </w:rPr>
        <w:t xml:space="preserve">The Convertible Note Investment is accounted for as an available-for-sale debt security under Accounting Standards Codification 320, </w:t>
      </w:r>
      <w:r>
        <w:rPr>
          <w:rFonts w:ascii="Times New Roman;serif" w:hAnsi="Times New Roman;serif"/>
          <w:b w:val="false"/>
          <w:i/>
          <w:color w:val="000000"/>
          <w:spacing w:val="0"/>
          <w:sz w:val="24"/>
        </w:rPr>
        <w:t>Investments – Debt Securities</w:t>
      </w:r>
      <w:r>
        <w:rPr>
          <w:rFonts w:ascii="Times New Roman;serif" w:hAnsi="Times New Roman;serif"/>
          <w:b w:val="false"/>
          <w:i w:val="false"/>
          <w:caps w:val="false"/>
          <w:smallCaps w:val="false"/>
          <w:color w:val="000000"/>
          <w:spacing w:val="0"/>
          <w:sz w:val="24"/>
        </w:rPr>
        <w:t xml:space="preserve">. The Company elected to measure the Convertible Note Investment using the fair value option, wherein bifurcation of an embedded derivative is not necessary, and all the related gains and losses due to change in fair value are reflected in Other expense (income) in the accompanying condensed consolidated statement of operations. </w:t>
      </w:r>
    </w:p>
    <w:p>
      <w:pPr>
        <w:pStyle w:val="TextBody"/>
        <w:bidi w:val="0"/>
        <w:spacing w:lineRule="auto" w:line="259"/>
        <w:rPr>
          <w:rFonts w:ascii="Times New Roman;serif" w:hAnsi="Times New Roman;serif"/>
          <w:b w:val="false"/>
          <w:i w:val="false"/>
          <w:caps w:val="false"/>
          <w:smallCaps w:val="false"/>
          <w:color w:val="000000"/>
          <w:spacing w:val="0"/>
          <w:sz w:val="24"/>
        </w:rPr>
      </w:pPr>
      <w:r>
        <w:rPr>
          <w:rFonts w:ascii="Times New Roman;serif" w:hAnsi="Times New Roman;serif"/>
          <w:b w:val="false"/>
          <w:i w:val="false"/>
          <w:caps w:val="false"/>
          <w:smallCaps w:val="false"/>
          <w:color w:val="000000"/>
          <w:spacing w:val="0"/>
          <w:sz w:val="24"/>
        </w:rPr>
        <w:t>The Convertible Note Investment is classified as long-term asset within Deferred charges and other assets in the accompanying condensed consolidated balance sheets. Changes in the fair value of this Level 3 investment (see Note 8) for the six-month period ended June 30, 2026 were as follows:</w:t>
      </w:r>
    </w:p>
    <w:tbl>
      <w:tblPr>
        <w:tblW w:w="10205" w:type="dxa"/>
        <w:jc w:val="left"/>
        <w:tblInd w:w="0" w:type="dxa"/>
        <w:tblLayout w:type="fixed"/>
        <w:tblCellMar>
          <w:top w:w="0" w:type="dxa"/>
          <w:left w:w="0" w:type="dxa"/>
          <w:bottom w:w="0" w:type="dxa"/>
          <w:right w:w="0" w:type="dxa"/>
        </w:tblCellMar>
      </w:tblPr>
      <w:tblGrid>
        <w:gridCol w:w="2146"/>
        <w:gridCol w:w="517"/>
        <w:gridCol w:w="249"/>
        <w:gridCol w:w="1754"/>
        <w:gridCol w:w="109"/>
        <w:gridCol w:w="226"/>
        <w:gridCol w:w="883"/>
        <w:gridCol w:w="109"/>
        <w:gridCol w:w="1093"/>
        <w:gridCol w:w="877"/>
        <w:gridCol w:w="109"/>
        <w:gridCol w:w="524"/>
        <w:gridCol w:w="1609"/>
      </w:tblGrid>
      <w:tr>
        <w:trPr/>
        <w:tc>
          <w:tcPr>
            <w:tcW w:w="214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r>
      <w:tr>
        <w:trPr/>
        <w:tc>
          <w:tcPr>
            <w:tcW w:w="2146" w:type="dxa"/>
            <w:tcBorders/>
            <w:vAlign w:val="center"/>
          </w:tcPr>
          <w:p>
            <w:pPr>
              <w:pStyle w:val="TableContents"/>
              <w:bidi w:val="0"/>
              <w:spacing w:before="0" w:after="283"/>
              <w:jc w:val="left"/>
              <w:rPr>
                <w:sz w:val="4"/>
                <w:szCs w:val="4"/>
              </w:rPr>
            </w:pPr>
            <w:r>
              <w:rPr>
                <w:sz w:val="4"/>
                <w:szCs w:val="4"/>
              </w:rPr>
            </w:r>
          </w:p>
        </w:tc>
        <w:tc>
          <w:tcPr>
            <w:tcW w:w="2520" w:type="dxa"/>
            <w:gridSpan w:val="3"/>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 xml:space="preserve">Fair Value as of December 31, 2025 </w:t>
            </w:r>
          </w:p>
        </w:tc>
        <w:tc>
          <w:tcPr>
            <w:tcW w:w="109" w:type="dxa"/>
            <w:tcBorders/>
            <w:vAlign w:val="center"/>
          </w:tcPr>
          <w:p>
            <w:pPr>
              <w:pStyle w:val="TableContents"/>
              <w:bidi w:val="0"/>
              <w:spacing w:before="0" w:after="283"/>
              <w:jc w:val="left"/>
              <w:rPr>
                <w:sz w:val="4"/>
                <w:szCs w:val="4"/>
              </w:rPr>
            </w:pPr>
            <w:r>
              <w:rPr>
                <w:sz w:val="4"/>
                <w:szCs w:val="4"/>
              </w:rPr>
            </w:r>
          </w:p>
        </w:tc>
        <w:tc>
          <w:tcPr>
            <w:tcW w:w="1109"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Payments</w:t>
            </w:r>
          </w:p>
        </w:tc>
        <w:tc>
          <w:tcPr>
            <w:tcW w:w="109" w:type="dxa"/>
            <w:tcBorders/>
            <w:vAlign w:val="center"/>
          </w:tcPr>
          <w:p>
            <w:pPr>
              <w:pStyle w:val="TableContents"/>
              <w:bidi w:val="0"/>
              <w:spacing w:before="0" w:after="283"/>
              <w:jc w:val="left"/>
              <w:rPr>
                <w:sz w:val="4"/>
                <w:szCs w:val="4"/>
              </w:rPr>
            </w:pPr>
            <w:r>
              <w:rPr>
                <w:sz w:val="4"/>
                <w:szCs w:val="4"/>
              </w:rPr>
            </w:r>
          </w:p>
        </w:tc>
        <w:tc>
          <w:tcPr>
            <w:tcW w:w="197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Unrealized Gains (Losses)</w:t>
            </w:r>
          </w:p>
        </w:tc>
        <w:tc>
          <w:tcPr>
            <w:tcW w:w="109" w:type="dxa"/>
            <w:tcBorders/>
            <w:vAlign w:val="center"/>
          </w:tcPr>
          <w:p>
            <w:pPr>
              <w:pStyle w:val="TableContents"/>
              <w:bidi w:val="0"/>
              <w:spacing w:before="0" w:after="283"/>
              <w:jc w:val="left"/>
              <w:rPr>
                <w:sz w:val="4"/>
                <w:szCs w:val="4"/>
              </w:rPr>
            </w:pPr>
            <w:r>
              <w:rPr>
                <w:sz w:val="4"/>
                <w:szCs w:val="4"/>
              </w:rPr>
            </w:r>
          </w:p>
        </w:tc>
        <w:tc>
          <w:tcPr>
            <w:tcW w:w="2133"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Fair Value as of June 30, 2026</w:t>
            </w:r>
          </w:p>
        </w:tc>
      </w:tr>
      <w:tr>
        <w:trPr/>
        <w:tc>
          <w:tcPr>
            <w:tcW w:w="21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Convertible Note Investment</w:t>
            </w:r>
          </w:p>
        </w:tc>
        <w:tc>
          <w:tcPr>
            <w:tcW w:w="517"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24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754"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25,125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88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(20,000)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3"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87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24"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1609"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5,125</w:t>
            </w:r>
          </w:p>
        </w:tc>
      </w:tr>
    </w:tbl>
    <w:p>
      <w:pPr>
        <w:pStyle w:val="TextBody"/>
        <w:bidi w:val="0"/>
        <w:spacing w:lineRule="auto" w:line="259"/>
        <w:rPr>
          <w:rFonts w:ascii="Times New Roman;serif" w:hAnsi="Times New Roman;serif"/>
          <w:b w:val="false"/>
          <w:i w:val="false"/>
          <w:caps w:val="false"/>
          <w:smallCaps w:val="false"/>
          <w:color w:val="000000"/>
          <w:sz w:val="24"/>
        </w:rPr>
      </w:pPr>
      <w:bookmarkStart w:id="19" w:name="_Hlk211514087"/>
      <w:bookmarkEnd w:id="19"/>
      <w:r>
        <w:rPr>
          <w:rFonts w:ascii="Times New Roman;serif" w:hAnsi="Times New Roman;serif"/>
          <w:b w:val="false"/>
          <w:i w:val="false"/>
          <w:caps w:val="false"/>
          <w:smallCaps w:val="false"/>
          <w:color w:val="000000"/>
          <w:sz w:val="24"/>
        </w:rPr>
        <w:t>14</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563C1"/>
            <w:sz w:val="24"/>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ESSENTIAL UTILITIES, INC. AND SUBSIDIARIES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NOTES TO CONDENSED CONSOLIDATED FINANCIAL STATEMENTS (continued)</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(In thousands of dollars, except per share amounts)</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(UNAUDITED)</w:t>
      </w:r>
    </w:p>
    <w:p>
      <w:pPr>
        <w:pStyle w:val="TextBody"/>
        <w:bidi w:val="0"/>
        <w:spacing w:lineRule="auto" w:line="259"/>
        <w:rPr>
          <w:caps w:val="false"/>
          <w:smallCaps w:val="false"/>
          <w:color w:val="000000"/>
        </w:rPr>
      </w:pPr>
      <w:r>
        <w:rPr>
          <w:caps w:val="false"/>
          <w:smallCaps w:val="false"/>
          <w:color w:val="000000"/>
        </w:rPr>
        <w:t>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 xml:space="preserve">The Company is not a primary beneficiary of IEP as it does not have both (1) the power to direct the activities that most significantly impact IEP’s economic performance, and (2) the obligation to absorb losses or the right to receive benefits that could be significant to IEP. Therefore, the Company is not required to consolidate IEP in its financial statements. The Company reconsiders whether it is the primary beneficiary on an ongoing basis. As of June 30, 2026, the maximum risk of loss by the Company is limited to its remaining Convertible Note Investment of $5,125. </w:t>
      </w:r>
    </w:p>
    <w:p>
      <w:pPr>
        <w:pStyle w:val="TextBody"/>
        <w:bidi w:val="0"/>
        <w:spacing w:lineRule="auto" w:line="259"/>
        <w:rPr>
          <w:caps w:val="false"/>
          <w:smallCaps w:val="false"/>
          <w:color w:val="000000"/>
        </w:rPr>
      </w:pPr>
      <w:r>
        <w:rPr>
          <w:caps w:val="false"/>
          <w:smallCaps w:val="false"/>
          <w:color w:val="000000"/>
        </w:rPr>
        <w:t> </w:t>
      </w:r>
    </w:p>
    <w:p>
      <w:pPr>
        <w:pStyle w:val="TextBody"/>
        <w:bidi w:val="0"/>
        <w:spacing w:lineRule="auto" w:line="259"/>
        <w:rPr>
          <w:rFonts w:ascii="Times New Roman;serif" w:hAnsi="Times New Roman;serif"/>
          <w:sz w:val="24"/>
        </w:rPr>
      </w:pPr>
      <w:r>
        <w:rPr>
          <w:rFonts w:ascii="Times New Roman;serif" w:hAnsi="Times New Roman;serif"/>
          <w:b/>
          <w:i w:val="false"/>
          <w:caps w:val="false"/>
          <w:smallCaps w:val="false"/>
          <w:color w:val="000000"/>
          <w:spacing w:val="0"/>
          <w:sz w:val="24"/>
        </w:rPr>
        <w:t xml:space="preserve">Note 6 – </w:t>
      </w:r>
      <w:r>
        <w:rPr>
          <w:rFonts w:ascii="Times New Roman;serif" w:hAnsi="Times New Roman;serif"/>
          <w:b/>
          <w:i/>
          <w:color w:val="000000"/>
          <w:spacing w:val="0"/>
          <w:sz w:val="24"/>
        </w:rPr>
        <w:t>Goodwill</w:t>
      </w:r>
      <w:r>
        <w:rPr>
          <w:rFonts w:ascii="Times New Roman;serif" w:hAnsi="Times New Roman;serif"/>
          <w:caps w:val="false"/>
          <w:smallCaps w:val="false"/>
          <w:color w:val="000000"/>
          <w:spacing w:val="0"/>
          <w:sz w:val="24"/>
        </w:rPr>
        <w:t> </w:t>
      </w:r>
    </w:p>
    <w:p>
      <w:pPr>
        <w:pStyle w:val="TextBody"/>
        <w:bidi w:val="0"/>
        <w:spacing w:lineRule="auto" w:line="259"/>
        <w:rPr>
          <w:rFonts w:ascii="Times New Roman;serif" w:hAnsi="Times New Roman;serif"/>
          <w:b w:val="false"/>
          <w:i w:val="false"/>
          <w:caps w:val="false"/>
          <w:smallCaps w:val="false"/>
          <w:color w:val="000000"/>
          <w:spacing w:val="0"/>
          <w:sz w:val="24"/>
        </w:rPr>
      </w:pPr>
      <w:r>
        <w:rPr>
          <w:rFonts w:ascii="Times New Roman;serif" w:hAnsi="Times New Roman;serif"/>
          <w:b w:val="false"/>
          <w:i w:val="false"/>
          <w:caps w:val="false"/>
          <w:smallCaps w:val="false"/>
          <w:color w:val="000000"/>
          <w:spacing w:val="0"/>
          <w:sz w:val="24"/>
        </w:rPr>
        <w:t>The following table summarizes the changes in the Company’s goodwill, by business segment: </w:t>
      </w:r>
    </w:p>
    <w:tbl>
      <w:tblPr>
        <w:tblW w:w="10205" w:type="dxa"/>
        <w:jc w:val="left"/>
        <w:tblInd w:w="0" w:type="dxa"/>
        <w:tblLayout w:type="fixed"/>
        <w:tblCellMar>
          <w:top w:w="0" w:type="dxa"/>
          <w:left w:w="0" w:type="dxa"/>
          <w:bottom w:w="0" w:type="dxa"/>
          <w:right w:w="0" w:type="dxa"/>
        </w:tblCellMar>
      </w:tblPr>
      <w:tblGrid>
        <w:gridCol w:w="4402"/>
        <w:gridCol w:w="109"/>
        <w:gridCol w:w="342"/>
        <w:gridCol w:w="1100"/>
        <w:gridCol w:w="109"/>
        <w:gridCol w:w="349"/>
        <w:gridCol w:w="1545"/>
        <w:gridCol w:w="109"/>
        <w:gridCol w:w="211"/>
        <w:gridCol w:w="571"/>
        <w:gridCol w:w="109"/>
        <w:gridCol w:w="221"/>
        <w:gridCol w:w="1028"/>
      </w:tblGrid>
      <w:tr>
        <w:trPr/>
        <w:tc>
          <w:tcPr>
            <w:tcW w:w="4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r>
      <w:tr>
        <w:trPr/>
        <w:tc>
          <w:tcPr>
            <w:tcW w:w="4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r>
      <w:tr>
        <w:trPr/>
        <w:tc>
          <w:tcPr>
            <w:tcW w:w="4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Regulated Water</w:t>
            </w:r>
          </w:p>
        </w:tc>
        <w:tc>
          <w:tcPr>
            <w:tcW w:w="109" w:type="dxa"/>
            <w:tcBorders/>
            <w:vAlign w:val="center"/>
          </w:tcPr>
          <w:p>
            <w:pPr>
              <w:pStyle w:val="TableContents"/>
              <w:bidi w:val="0"/>
              <w:spacing w:before="0" w:after="283"/>
              <w:jc w:val="left"/>
              <w:rPr>
                <w:sz w:val="4"/>
                <w:szCs w:val="4"/>
              </w:rPr>
            </w:pPr>
            <w:r>
              <w:rPr>
                <w:sz w:val="4"/>
                <w:szCs w:val="4"/>
              </w:rPr>
            </w:r>
          </w:p>
        </w:tc>
        <w:tc>
          <w:tcPr>
            <w:tcW w:w="1894"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Regulated Natural Gas</w:t>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249"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Consolidated</w:t>
            </w:r>
          </w:p>
        </w:tc>
      </w:tr>
      <w:tr>
        <w:trPr/>
        <w:tc>
          <w:tcPr>
            <w:tcW w:w="440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Balance at December 31, 2025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10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66,271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45"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2,277,447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7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4,841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2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2,348,559</w:t>
            </w:r>
          </w:p>
        </w:tc>
      </w:tr>
      <w:tr>
        <w:trPr/>
        <w:tc>
          <w:tcPr>
            <w:tcW w:w="440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Goodwill acquired (See Note 4)</w:t>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500</w:t>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500</w:t>
            </w:r>
          </w:p>
        </w:tc>
      </w:tr>
      <w:tr>
        <w:trPr/>
        <w:tc>
          <w:tcPr>
            <w:tcW w:w="440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Reclassification to utility plant acquisition adjustment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42"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49" w:type="dxa"/>
            <w:tcBorders/>
            <w:shd w:fill="CCEEFF" w:val="clear"/>
            <w:vAlign w:val="center"/>
          </w:tcPr>
          <w:p>
            <w:pPr>
              <w:pStyle w:val="TableContents"/>
              <w:bidi w:val="0"/>
              <w:spacing w:before="0" w:after="283"/>
              <w:jc w:val="left"/>
              <w:rPr>
                <w:sz w:val="4"/>
                <w:szCs w:val="4"/>
              </w:rPr>
            </w:pPr>
            <w:r>
              <w:rPr>
                <w:sz w:val="4"/>
                <w:szCs w:val="4"/>
              </w:rPr>
            </w:r>
          </w:p>
        </w:tc>
        <w:tc>
          <w:tcPr>
            <w:tcW w:w="154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1" w:type="dxa"/>
            <w:tcBorders/>
            <w:shd w:fill="CCEEFF" w:val="clear"/>
            <w:vAlign w:val="center"/>
          </w:tcPr>
          <w:p>
            <w:pPr>
              <w:pStyle w:val="TableContents"/>
              <w:bidi w:val="0"/>
              <w:spacing w:before="0" w:after="283"/>
              <w:jc w:val="left"/>
              <w:rPr>
                <w:sz w:val="4"/>
                <w:szCs w:val="4"/>
              </w:rPr>
            </w:pPr>
            <w:r>
              <w:rPr>
                <w:sz w:val="4"/>
                <w:szCs w:val="4"/>
              </w:rPr>
            </w:r>
          </w:p>
        </w:tc>
        <w:tc>
          <w:tcPr>
            <w:tcW w:w="102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w:t>
            </w:r>
          </w:p>
        </w:tc>
      </w:tr>
      <w:tr>
        <w:trPr/>
        <w:tc>
          <w:tcPr>
            <w:tcW w:w="440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Balance at June 30, 2026</w:t>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100"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66,737</w:t>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45"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2,277,447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7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4,841</w:t>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28"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2,349,025</w:t>
            </w:r>
          </w:p>
        </w:tc>
      </w:tr>
    </w:tbl>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One of our subsidiaries in the Regulated Water segment has a mechanism that allows the reclassification of goodwill to utility plant acquisition adjustment. The mechanism provides for the transfer over time, and the recovery through customer rates, of goodwill associated with some acquisitions upon achieving specific objectives.</w:t>
      </w:r>
    </w:p>
    <w:p>
      <w:pPr>
        <w:pStyle w:val="TextBody"/>
        <w:bidi w:val="0"/>
        <w:spacing w:lineRule="auto" w:line="259"/>
        <w:rPr>
          <w:rFonts w:ascii="Times New Roman;serif" w:hAnsi="Times New Roman;serif"/>
          <w:sz w:val="24"/>
        </w:rPr>
      </w:pPr>
      <w:r>
        <w:rPr>
          <w:rFonts w:ascii="Times New Roman;serif" w:hAnsi="Times New Roman;serif"/>
          <w:b/>
          <w:i w:val="false"/>
          <w:caps w:val="false"/>
          <w:smallCaps w:val="false"/>
          <w:color w:val="000000"/>
          <w:sz w:val="24"/>
        </w:rPr>
        <w:t xml:space="preserve">Note 7 – </w:t>
      </w:r>
      <w:r>
        <w:rPr>
          <w:rFonts w:ascii="Times New Roman;serif" w:hAnsi="Times New Roman;serif"/>
          <w:b/>
          <w:i/>
          <w:color w:val="000000"/>
          <w:sz w:val="24"/>
        </w:rPr>
        <w:t xml:space="preserve">Capitalization </w:t>
      </w:r>
    </w:p>
    <w:p>
      <w:pPr>
        <w:pStyle w:val="TextBody"/>
        <w:bidi w:val="0"/>
        <w:spacing w:lineRule="auto" w:line="259"/>
        <w:rPr>
          <w:rFonts w:ascii="Times New Roman;serif" w:hAnsi="Times New Roman;serif"/>
          <w:b/>
          <w:i/>
          <w:color w:val="000000"/>
          <w:sz w:val="24"/>
        </w:rPr>
      </w:pPr>
      <w:r>
        <w:rPr>
          <w:rFonts w:ascii="Times New Roman;serif" w:hAnsi="Times New Roman;serif"/>
          <w:b/>
          <w:i/>
          <w:color w:val="000000"/>
          <w:sz w:val="24"/>
        </w:rPr>
        <w:t>At-the-Market Offering</w:t>
      </w:r>
    </w:p>
    <w:p>
      <w:pPr>
        <w:pStyle w:val="TextBody"/>
        <w:bidi w:val="0"/>
        <w:spacing w:lineRule="auto" w:line="259"/>
        <w:rPr>
          <w:rFonts w:ascii="Times New Roman;serif" w:hAnsi="Times New Roman;serif"/>
          <w:sz w:val="24"/>
        </w:rPr>
      </w:pPr>
      <w:r>
        <w:rPr>
          <w:rFonts w:ascii="Times New Roman;serif" w:hAnsi="Times New Roman;serif"/>
          <w:b w:val="false"/>
          <w:i w:val="false"/>
          <w:caps w:val="false"/>
          <w:smallCaps w:val="false"/>
          <w:color w:val="000000"/>
          <w:sz w:val="24"/>
        </w:rPr>
        <w:t>On August 13, 2024, the Company established a new at-the-market equity sales program (“ATM”), under which it may issue and sell shares of its common stock up to an aggregate offering price of $1,000,000</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(“2024 ATM”). During the three months ended June 30, 2026, we issued 264,356</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shares of common stock for net proceeds of approximately $10,700</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under the 2024 ATM. During the six months ended June 30, 2026, we issued 308,656</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shares of common stock for net proceeds of approximately $12,500</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under the 2024 ATM. As of June 30, 2026, the 2024 ATM had approximately $648,000</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 xml:space="preserve">of equity available for issuance. The Company used the net proceeds from the sales of shares through the 2024 ATM for working capital and repaying a portion of outstanding indebtedness. </w:t>
      </w:r>
    </w:p>
    <w:p>
      <w:pPr>
        <w:pStyle w:val="TextBody"/>
        <w:bidi w:val="0"/>
        <w:spacing w:lineRule="auto" w:line="259"/>
        <w:rPr>
          <w:rFonts w:ascii="Times New Roman;serif" w:hAnsi="Times New Roman;serif"/>
          <w:b/>
          <w:i/>
          <w:color w:val="000000"/>
          <w:sz w:val="24"/>
        </w:rPr>
      </w:pPr>
      <w:r>
        <w:rPr>
          <w:rFonts w:ascii="Times New Roman;serif" w:hAnsi="Times New Roman;serif"/>
          <w:b/>
          <w:i/>
          <w:color w:val="000000"/>
          <w:sz w:val="24"/>
        </w:rPr>
        <w:t>Commercial Paper Program</w:t>
      </w:r>
    </w:p>
    <w:p>
      <w:pPr>
        <w:pStyle w:val="TextBody"/>
        <w:bidi w:val="0"/>
        <w:spacing w:lineRule="auto" w:line="259"/>
        <w:rPr>
          <w:rFonts w:ascii="Times New Roman;serif" w:hAnsi="Times New Roman;serif"/>
          <w:sz w:val="24"/>
        </w:rPr>
      </w:pPr>
      <w:r>
        <w:rPr>
          <w:rFonts w:ascii="Times New Roman;serif" w:hAnsi="Times New Roman;serif"/>
          <w:b w:val="false"/>
          <w:i w:val="false"/>
          <w:caps w:val="false"/>
          <w:smallCaps w:val="false"/>
          <w:color w:val="000000"/>
          <w:sz w:val="24"/>
        </w:rPr>
        <w:t>On March 19, 2025, the Company established a commercial paper program (the “CP Program”) that allows it to issue, through private placement, short-term, unsecured commercial paper notes (the “CP Notes”) in an aggregate principal amount not to exceed $1,000,000.  Maturities of CP Notes may vary, but cannot exceed 364</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 xml:space="preserve">days from the date of issue.  Amounts available under the Program may be borrowed, repaid, and re-borrowed from time to time.  The CP Program is reinforced by the Company’s revolving credit facility, as amounts undrawn under the Company’s revolving credit facility are available to repay the CP Notes.  Notes issued under the CP Program rank equally with the Company’s present and future unsecured indebtedness.  The Company utilizes the proceeds from the sale of the CP Notes for general corporate purposes, which may include working capital, capital expenditures, water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15</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563C1"/>
            <w:sz w:val="24"/>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ESSENTIAL UTILITIES, INC. AND SUBSIDIARIES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NOTES TO CONDENSED CONSOLIDATED FINANCIAL STATEMENTS (continued)</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(In thousands of dollars, except per share amounts)</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(UNAUDITED)</w:t>
      </w:r>
    </w:p>
    <w:p>
      <w:pPr>
        <w:pStyle w:val="TextBody"/>
        <w:bidi w:val="0"/>
        <w:spacing w:lineRule="auto" w:line="259"/>
        <w:rPr>
          <w:caps w:val="false"/>
          <w:smallCaps w:val="false"/>
          <w:color w:val="000000"/>
        </w:rPr>
      </w:pPr>
      <w:r>
        <w:rPr>
          <w:caps w:val="false"/>
          <w:smallCaps w:val="false"/>
          <w:color w:val="000000"/>
        </w:rPr>
        <w:t>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and wastewater utility acquisitions, and repaying outstanding indebtedness, including under the Company’s revolving credit facility or the revolving credit facilities of its subsidiaries.     </w:t>
      </w:r>
    </w:p>
    <w:p>
      <w:pPr>
        <w:pStyle w:val="TextBody"/>
        <w:bidi w:val="0"/>
        <w:spacing w:lineRule="auto" w:line="259"/>
        <w:rPr>
          <w:rFonts w:ascii="Times New Roman;serif" w:hAnsi="Times New Roman;serif"/>
          <w:sz w:val="24"/>
        </w:rPr>
      </w:pPr>
      <w:r>
        <w:rPr>
          <w:rFonts w:ascii="Times New Roman;serif" w:hAnsi="Times New Roman;serif"/>
          <w:b w:val="false"/>
          <w:i w:val="false"/>
          <w:caps w:val="false"/>
          <w:smallCaps w:val="false"/>
          <w:color w:val="000000"/>
          <w:sz w:val="24"/>
        </w:rPr>
        <w:t>As of June 30, 2026, outstanding borrowings under the Company’s commercial paper program were $384,723, net of unamortized discount on issuance of $455, with a weighted average interest rate of 4.07% and weighted average remaining term of 11</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 xml:space="preserve">days.  Outstanding CP Notes are classified as long-term debt in the accompanying condensed consolidated balance sheets and condensed consolidated statements of capitalization since the Company has the intent and ability to refinance the CP Notes on a long-term basis using the Company’s revolving credit facility.  The carrying value of CP Notes approximates their fair value, primarily due to their market interest rates, and are classified as Level 2 in the fair value hierarchy (see Note 8).    </w:t>
      </w:r>
    </w:p>
    <w:p>
      <w:pPr>
        <w:pStyle w:val="TextBody"/>
        <w:bidi w:val="0"/>
        <w:spacing w:lineRule="auto" w:line="259"/>
        <w:rPr>
          <w:rFonts w:ascii="Times New Roman;serif" w:hAnsi="Times New Roman;serif"/>
          <w:b/>
          <w:i/>
          <w:color w:val="000000"/>
          <w:sz w:val="24"/>
        </w:rPr>
      </w:pPr>
      <w:r>
        <w:rPr>
          <w:rFonts w:ascii="Times New Roman;serif" w:hAnsi="Times New Roman;serif"/>
          <w:b/>
          <w:i/>
          <w:color w:val="000000"/>
          <w:sz w:val="24"/>
        </w:rPr>
        <w:t xml:space="preserve">Long-term and Short-Term Debt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 xml:space="preserve">The condensed consolidated statements of capitalization provide a summary of the Company’s long-term and short-term debt as of June 30, 2026 and December 31, 2025. </w:t>
      </w:r>
    </w:p>
    <w:p>
      <w:pPr>
        <w:pStyle w:val="TextBody"/>
        <w:bidi w:val="0"/>
        <w:spacing w:lineRule="auto" w:line="259"/>
        <w:rPr>
          <w:rFonts w:ascii="Times New Roman;serif" w:hAnsi="Times New Roman;serif"/>
          <w:sz w:val="24"/>
        </w:rPr>
      </w:pPr>
      <w:r>
        <w:rPr>
          <w:rFonts w:ascii="Times New Roman;serif" w:hAnsi="Times New Roman;serif"/>
          <w:b w:val="false"/>
          <w:i w:val="false"/>
          <w:caps w:val="false"/>
          <w:smallCaps w:val="false"/>
          <w:color w:val="000000"/>
          <w:sz w:val="24"/>
        </w:rPr>
        <w:t>On June 16, 2026, the Company entered into an amendment to its $1,000,000</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unsecured long-term revolving credit facility. The amendment extended the maturity date of the facility by another year, to December 2028, and removed the second sustainability performance target applicable to interest rates and commitment fees. Following the amendment, the Company’s interest rates and commitment fees are subject solely to the greenhouse gas emissions sustainability performance adjustment. All other terms of the facility remained unchanged. As of June 30, 2026 and December 31, 2025, the Company had no</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 xml:space="preserve">outstanding borrowings under this unsecured revolving credit facility; however, it serves as the backstop for the Company’s CP Program. </w:t>
      </w:r>
    </w:p>
    <w:p>
      <w:pPr>
        <w:pStyle w:val="TextBody"/>
        <w:bidi w:val="0"/>
        <w:spacing w:lineRule="auto" w:line="259"/>
        <w:rPr>
          <w:rFonts w:ascii="Times New Roman;serif" w:hAnsi="Times New Roman;serif"/>
          <w:sz w:val="24"/>
        </w:rPr>
      </w:pPr>
      <w:r>
        <w:rPr>
          <w:rFonts w:ascii="Times New Roman;serif" w:hAnsi="Times New Roman;serif"/>
          <w:b w:val="false"/>
          <w:i w:val="false"/>
          <w:caps w:val="false"/>
          <w:smallCaps w:val="false"/>
          <w:color w:val="000000"/>
          <w:sz w:val="24"/>
        </w:rPr>
        <w:t>On May 1, 2026, Aqua Pennsylvania and Peoples Natural Gas Companies amended their respective $100,000</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and $300,000</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revolving credit agreements, extending the maturity date by another 364-day period. The funds borrowed under these revolving credit agreements are classified as loans payable and are used to provide working capital.</w:t>
      </w:r>
    </w:p>
    <w:p>
      <w:pPr>
        <w:pStyle w:val="TextBody"/>
        <w:bidi w:val="0"/>
        <w:spacing w:lineRule="auto" w:line="259"/>
        <w:rPr>
          <w:rFonts w:ascii="Times New Roman;serif" w:hAnsi="Times New Roman;serif"/>
          <w:sz w:val="24"/>
        </w:rPr>
      </w:pPr>
      <w:r>
        <w:rPr>
          <w:rFonts w:ascii="Times New Roman;serif" w:hAnsi="Times New Roman;serif"/>
          <w:b w:val="false"/>
          <w:i w:val="false"/>
          <w:caps w:val="false"/>
          <w:smallCaps w:val="false"/>
          <w:color w:val="000000"/>
          <w:sz w:val="24"/>
        </w:rPr>
        <w:t>On March 9, 2026, the Company issued $500,000</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of senior notes, less expenses of $5,140, due on March 15, 2036, with an interest rate of 5.125%. The Company used the proceeds from the issuance of the senior notes to repay a portion of its commercial paper borrowings and for general corporate purposes.</w:t>
      </w:r>
    </w:p>
    <w:p>
      <w:pPr>
        <w:pStyle w:val="TextBody"/>
        <w:bidi w:val="0"/>
        <w:spacing w:lineRule="auto" w:line="259"/>
        <w:rPr>
          <w:rFonts w:ascii="Times New Roman;serif" w:hAnsi="Times New Roman;serif"/>
          <w:sz w:val="24"/>
        </w:rPr>
      </w:pPr>
      <w:r>
        <w:rPr>
          <w:rFonts w:ascii="Times New Roman;serif" w:hAnsi="Times New Roman;serif"/>
          <w:b w:val="false"/>
          <w:i w:val="false"/>
          <w:caps w:val="false"/>
          <w:smallCaps w:val="false"/>
          <w:color w:val="000000"/>
          <w:sz w:val="24"/>
        </w:rPr>
        <w:t>In addition to the notes issued by the Company above, during the six months ended June 30, 2026, the Company’s regulated water subsidiaries obtained in the aggregate $27,100</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of low-interest government loans, with interest rates ranging from 0.00% to 1.743% and maturity dates ranging from 2030</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to 2049.</w:t>
      </w:r>
    </w:p>
    <w:p>
      <w:pPr>
        <w:pStyle w:val="TextBody"/>
        <w:bidi w:val="0"/>
        <w:spacing w:lineRule="auto" w:line="259"/>
        <w:rPr>
          <w:rFonts w:ascii="Times New Roman;serif" w:hAnsi="Times New Roman;serif"/>
          <w:sz w:val="24"/>
        </w:rPr>
      </w:pPr>
      <w:r>
        <w:rPr>
          <w:rFonts w:ascii="Times New Roman;serif" w:hAnsi="Times New Roman;serif"/>
          <w:b w:val="false"/>
          <w:i w:val="false"/>
          <w:caps w:val="false"/>
          <w:smallCaps w:val="false"/>
          <w:color w:val="000000"/>
          <w:sz w:val="24"/>
        </w:rPr>
        <w:t>At June 30, 2026, our $1,000,000</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unsecured revolving credit facility, had $600,974</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available for borrowing (net of $384,723</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of capacity designated for outstanding principal borrowings under our commercial paper program and $14,303</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letter of credit usage). Additionally, at June 30, 2026, we had short-term lines of credit of $400,000, primarily used for working capital, of which $359,000</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 xml:space="preserve">was available for borrowing.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16</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563C1"/>
            <w:sz w:val="24"/>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ESSENTIAL UTILITIES, INC. AND SUBSIDIARIES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NOTES TO CONDENSED CONSOLIDATED FINANCIAL STATEMENTS (continued)</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(In thousands of dollars, except per share amounts)</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(UNAUDITED)</w:t>
      </w:r>
    </w:p>
    <w:p>
      <w:pPr>
        <w:pStyle w:val="TextBody"/>
        <w:bidi w:val="0"/>
        <w:spacing w:lineRule="auto" w:line="259"/>
        <w:rPr>
          <w:caps w:val="false"/>
          <w:smallCaps w:val="false"/>
          <w:color w:val="000000"/>
        </w:rPr>
      </w:pPr>
      <w:r>
        <w:rPr>
          <w:caps w:val="false"/>
          <w:smallCaps w:val="false"/>
          <w:color w:val="000000"/>
        </w:rPr>
        <w:t>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The Company is obligated to comply with covenants under some of its loan and debt agreements. These covenants contain a number of restrictive financial covenants, which among other things limit, subject to specific exceptions, the Company’s ratio of consolidated total indebtedness to consolidated total capitalization, and require a minimum level of earnings coverage over interest expense. The Company was in compliance with its debt covenants under its loan and debt agreements as of June 30, 2026. Failure to comply with the Company’s debt covenants could result in an event of default, which could result in the Company being required to repay or finance its borrowings before their due date, possibly limiting the Company’s future borrowings, and increasing its borrowing costs.</w:t>
      </w:r>
    </w:p>
    <w:p>
      <w:pPr>
        <w:pStyle w:val="TextBody"/>
        <w:bidi w:val="0"/>
        <w:spacing w:lineRule="auto" w:line="259"/>
        <w:rPr>
          <w:rFonts w:ascii="Times New Roman;serif" w:hAnsi="Times New Roman;serif"/>
          <w:sz w:val="24"/>
        </w:rPr>
      </w:pPr>
      <w:r>
        <w:rPr>
          <w:rFonts w:ascii="Times New Roman;serif" w:hAnsi="Times New Roman;serif"/>
          <w:b/>
          <w:i w:val="false"/>
          <w:caps w:val="false"/>
          <w:smallCaps w:val="false"/>
          <w:color w:val="000000"/>
          <w:sz w:val="24"/>
        </w:rPr>
        <w:t xml:space="preserve">Note 8 – </w:t>
      </w:r>
      <w:r>
        <w:rPr>
          <w:rFonts w:ascii="Times New Roman;serif" w:hAnsi="Times New Roman;serif"/>
          <w:b/>
          <w:i/>
          <w:color w:val="000000"/>
          <w:sz w:val="24"/>
        </w:rPr>
        <w:t>Financial Instruments</w:t>
      </w:r>
      <w:r>
        <w:rPr>
          <w:rFonts w:ascii="Times New Roman;serif" w:hAnsi="Times New Roman;serif"/>
          <w:caps w:val="false"/>
          <w:smallCaps w:val="false"/>
          <w:color w:val="000000"/>
          <w:sz w:val="24"/>
        </w:rPr>
        <w:t> </w:t>
      </w:r>
    </w:p>
    <w:p>
      <w:pPr>
        <w:pStyle w:val="TextBody"/>
        <w:bidi w:val="0"/>
        <w:spacing w:lineRule="auto" w:line="259"/>
        <w:rPr>
          <w:caps w:val="false"/>
          <w:smallCaps w:val="false"/>
          <w:color w:val="000000"/>
        </w:rPr>
      </w:pPr>
      <w:r>
        <w:rPr>
          <w:caps w:val="false"/>
          <w:smallCaps w:val="false"/>
          <w:color w:val="000000"/>
        </w:rPr>
        <w:t> </w:t>
      </w:r>
    </w:p>
    <w:p>
      <w:pPr>
        <w:pStyle w:val="TextBody"/>
        <w:bidi w:val="0"/>
        <w:spacing w:lineRule="auto" w:line="259"/>
        <w:rPr>
          <w:rFonts w:ascii="Times New Roman;serif" w:hAnsi="Times New Roman;serif"/>
          <w:b w:val="false"/>
          <w:i w:val="false"/>
          <w:caps w:val="false"/>
          <w:smallCaps w:val="false"/>
          <w:color w:val="000000"/>
          <w:spacing w:val="0"/>
          <w:sz w:val="24"/>
        </w:rPr>
      </w:pPr>
      <w:r>
        <w:rPr>
          <w:rFonts w:ascii="Times New Roman;serif" w:hAnsi="Times New Roman;serif"/>
          <w:b w:val="false"/>
          <w:i w:val="false"/>
          <w:caps w:val="false"/>
          <w:smallCaps w:val="false"/>
          <w:color w:val="000000"/>
          <w:spacing w:val="0"/>
          <w:sz w:val="24"/>
        </w:rPr>
        <w:t>Financial instruments are recorded at carrying value in the financial statements and approximate fair value as of the dates presented.  The fair value of these instruments is disclosed below in accordance with current accounting guidance related to financial instruments. There have been no changes in the valuation techniques used to measure fair value, or asset or liability transfers between the levels of the fair value hierarchy for the six months ended June 30, 2026. </w:t>
      </w:r>
    </w:p>
    <w:p>
      <w:pPr>
        <w:pStyle w:val="TextBody"/>
        <w:bidi w:val="0"/>
        <w:spacing w:lineRule="auto" w:line="259"/>
        <w:rPr>
          <w:rFonts w:ascii="Times New Roman;serif" w:hAnsi="Times New Roman;serif"/>
          <w:sz w:val="24"/>
        </w:rPr>
      </w:pPr>
      <w:r>
        <w:rPr>
          <w:rFonts w:ascii="Times New Roman;serif" w:hAnsi="Times New Roman;serif"/>
          <w:b w:val="false"/>
          <w:i w:val="false"/>
          <w:caps w:val="false"/>
          <w:smallCaps w:val="false"/>
          <w:color w:val="000000"/>
          <w:spacing w:val="0"/>
          <w:sz w:val="24"/>
        </w:rPr>
        <w:t>The fair value of loans payable is determined based on its carrying amount and utilizing Level 1 methods and assumptions. As of June 30, 2026 and December 31, 2025, the carrying amount of the Company’s loans payable was $41,000</w:t>
      </w:r>
      <w:r>
        <w:rPr>
          <w:rFonts w:ascii="Times New Roman;serif" w:hAnsi="Times New Roman;serif"/>
          <w:caps w:val="false"/>
          <w:smallCaps w:val="false"/>
          <w:color w:val="000000"/>
          <w:spacing w:val="0"/>
          <w:sz w:val="24"/>
        </w:rPr>
        <w:t xml:space="preserve"> </w:t>
      </w:r>
      <w:r>
        <w:rPr>
          <w:rFonts w:ascii="Times New Roman;serif" w:hAnsi="Times New Roman;serif"/>
          <w:b w:val="false"/>
          <w:i w:val="false"/>
          <w:caps w:val="false"/>
          <w:smallCaps w:val="false"/>
          <w:color w:val="000000"/>
          <w:spacing w:val="0"/>
          <w:sz w:val="24"/>
        </w:rPr>
        <w:t>and $150,139, respectively, which equates to their estimated fair value. The fair value of cash and cash equivalents is determined based on Level 1 methods and assumptions. As of June 30, 2026 and December 31, 2025, the carrying amounts of the Company's cash and cash equivalents was $8,634</w:t>
      </w:r>
      <w:r>
        <w:rPr>
          <w:rFonts w:ascii="Times New Roman;serif" w:hAnsi="Times New Roman;serif"/>
          <w:caps w:val="false"/>
          <w:smallCaps w:val="false"/>
          <w:color w:val="000000"/>
          <w:spacing w:val="0"/>
          <w:sz w:val="24"/>
        </w:rPr>
        <w:t xml:space="preserve"> </w:t>
      </w:r>
      <w:r>
        <w:rPr>
          <w:rFonts w:ascii="Times New Roman;serif" w:hAnsi="Times New Roman;serif"/>
          <w:b w:val="false"/>
          <w:i w:val="false"/>
          <w:caps w:val="false"/>
          <w:smallCaps w:val="false"/>
          <w:color w:val="000000"/>
          <w:spacing w:val="0"/>
          <w:sz w:val="24"/>
        </w:rPr>
        <w:t>and $34,778, respectively, which equates to their fair value. The Company’s assets underlying the deferred compensation and non-qualified pension plans are determined by the fair value of mutual funds, which are based on quoted market prices from active markets utilizing Level 1 methods and assumptions. As of June 30, 2026 and December 31, 2025, the carrying amount of these securities was $36,359</w:t>
      </w:r>
      <w:r>
        <w:rPr>
          <w:rFonts w:ascii="Times New Roman;serif" w:hAnsi="Times New Roman;serif"/>
          <w:caps w:val="false"/>
          <w:smallCaps w:val="false"/>
          <w:color w:val="000000"/>
          <w:spacing w:val="0"/>
          <w:sz w:val="24"/>
        </w:rPr>
        <w:t xml:space="preserve"> </w:t>
      </w:r>
      <w:r>
        <w:rPr>
          <w:rFonts w:ascii="Times New Roman;serif" w:hAnsi="Times New Roman;serif"/>
          <w:b w:val="false"/>
          <w:i w:val="false"/>
          <w:caps w:val="false"/>
          <w:smallCaps w:val="false"/>
          <w:color w:val="000000"/>
          <w:spacing w:val="0"/>
          <w:sz w:val="24"/>
        </w:rPr>
        <w:t xml:space="preserve">and $33,862, respectively, which equates to their fair value, and is reported in the condensed consolidated balance sheet in deferred charges and other assets. </w:t>
      </w:r>
    </w:p>
    <w:p>
      <w:pPr>
        <w:pStyle w:val="TextBody"/>
        <w:bidi w:val="0"/>
        <w:spacing w:lineRule="auto" w:line="259"/>
        <w:rPr>
          <w:rFonts w:ascii="Times New Roman;serif" w:hAnsi="Times New Roman;serif"/>
          <w:b w:val="false"/>
          <w:i w:val="false"/>
          <w:caps w:val="false"/>
          <w:smallCaps w:val="false"/>
          <w:color w:val="000000"/>
          <w:spacing w:val="0"/>
          <w:sz w:val="24"/>
        </w:rPr>
      </w:pPr>
      <w:r>
        <w:rPr>
          <w:rFonts w:ascii="Times New Roman;serif" w:hAnsi="Times New Roman;serif"/>
          <w:b w:val="false"/>
          <w:i w:val="false"/>
          <w:caps w:val="false"/>
          <w:smallCaps w:val="false"/>
          <w:color w:val="000000"/>
          <w:spacing w:val="0"/>
          <w:sz w:val="24"/>
        </w:rPr>
        <w:t>Unrealized gain and loss on equity securities held in conjunction with our non-qualified pension plan is as follows: </w:t>
      </w:r>
    </w:p>
    <w:tbl>
      <w:tblPr>
        <w:tblW w:w="10205" w:type="dxa"/>
        <w:jc w:val="left"/>
        <w:tblInd w:w="0" w:type="dxa"/>
        <w:tblLayout w:type="fixed"/>
        <w:tblCellMar>
          <w:top w:w="0" w:type="dxa"/>
          <w:left w:w="0" w:type="dxa"/>
          <w:bottom w:w="0" w:type="dxa"/>
          <w:right w:w="0" w:type="dxa"/>
        </w:tblCellMar>
      </w:tblPr>
      <w:tblGrid>
        <w:gridCol w:w="6591"/>
        <w:gridCol w:w="109"/>
        <w:gridCol w:w="224"/>
        <w:gridCol w:w="716"/>
        <w:gridCol w:w="115"/>
        <w:gridCol w:w="224"/>
        <w:gridCol w:w="444"/>
        <w:gridCol w:w="109"/>
        <w:gridCol w:w="211"/>
        <w:gridCol w:w="671"/>
        <w:gridCol w:w="109"/>
        <w:gridCol w:w="211"/>
        <w:gridCol w:w="471"/>
      </w:tblGrid>
      <w:tr>
        <w:trPr/>
        <w:tc>
          <w:tcPr>
            <w:tcW w:w="6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6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6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3" w:type="dxa"/>
            <w:gridSpan w:val="5"/>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673" w:type="dxa"/>
            <w:gridSpan w:val="5"/>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Six Months Ended</w:t>
            </w:r>
          </w:p>
        </w:tc>
      </w:tr>
      <w:tr>
        <w:trPr/>
        <w:tc>
          <w:tcPr>
            <w:tcW w:w="6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3"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673"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June 30,</w:t>
            </w:r>
          </w:p>
        </w:tc>
      </w:tr>
      <w:tr>
        <w:trPr/>
        <w:tc>
          <w:tcPr>
            <w:tcW w:w="6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2026</w:t>
            </w:r>
          </w:p>
        </w:tc>
        <w:tc>
          <w:tcPr>
            <w:tcW w:w="115"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2026</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2025</w:t>
            </w:r>
          </w:p>
        </w:tc>
      </w:tr>
      <w:tr>
        <w:trPr/>
        <w:tc>
          <w:tcPr>
            <w:tcW w:w="65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gain/(loss) recognized during the period on equity securities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1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(2,880)</w:t>
            </w:r>
          </w:p>
        </w:tc>
        <w:tc>
          <w:tcPr>
            <w:tcW w:w="115" w:type="dxa"/>
            <w:tcBorders/>
            <w:shd w:fill="CCEEFF" w:val="cle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444"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7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47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622</w:t>
            </w:r>
          </w:p>
        </w:tc>
      </w:tr>
      <w:tr>
        <w:trPr/>
        <w:tc>
          <w:tcPr>
            <w:tcW w:w="65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net gain recognized during the period on equity securities sold during the period</w:t>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1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44"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7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65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Unrealized gain/(loss) recognized during the reporting period on equity securities still held at the reporting date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1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(2,880)</w:t>
            </w:r>
          </w:p>
        </w:tc>
        <w:tc>
          <w:tcPr>
            <w:tcW w:w="115" w:type="dxa"/>
            <w:tcBorders/>
            <w:shd w:fill="CCEEFF" w:val="cle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444"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7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47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622</w:t>
            </w:r>
          </w:p>
        </w:tc>
      </w:tr>
    </w:tbl>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 xml:space="preserve">The net gain/(loss) recognized on equity securities is presented on the condensed consolidated statements of operations and comprehensive income on the line item “Other, net”.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17</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563C1"/>
            <w:sz w:val="24"/>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ESSENTIAL UTILITIES, INC. AND SUBSIDIARIES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NOTES TO CONDENSED CONSOLIDATED FINANCIAL STATEMENTS (continued)</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(In thousands of dollars, except per share amounts)</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(UNAUDITED)</w:t>
      </w:r>
    </w:p>
    <w:p>
      <w:pPr>
        <w:pStyle w:val="TextBody"/>
        <w:bidi w:val="0"/>
        <w:spacing w:lineRule="auto" w:line="259"/>
        <w:rPr>
          <w:caps w:val="false"/>
          <w:smallCaps w:val="false"/>
          <w:color w:val="000000"/>
        </w:rPr>
      </w:pPr>
      <w:r>
        <w:rPr>
          <w:caps w:val="false"/>
          <w:smallCaps w:val="false"/>
          <w:color w:val="000000"/>
        </w:rPr>
        <w:t>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The carrying amounts and estimated fair values of the Company’s long-term debt (which includes CP Notes) is as follows:</w:t>
      </w:r>
    </w:p>
    <w:tbl>
      <w:tblPr>
        <w:tblW w:w="4991" w:type="dxa"/>
        <w:jc w:val="left"/>
        <w:tblInd w:w="0" w:type="dxa"/>
        <w:tblLayout w:type="fixed"/>
        <w:tblCellMar>
          <w:top w:w="0" w:type="dxa"/>
          <w:left w:w="0" w:type="dxa"/>
          <w:bottom w:w="0" w:type="dxa"/>
          <w:right w:w="0" w:type="dxa"/>
        </w:tblCellMar>
      </w:tblPr>
      <w:tblGrid>
        <w:gridCol w:w="1996"/>
        <w:gridCol w:w="109"/>
        <w:gridCol w:w="226"/>
        <w:gridCol w:w="1066"/>
        <w:gridCol w:w="109"/>
        <w:gridCol w:w="251"/>
        <w:gridCol w:w="1234"/>
      </w:tblGrid>
      <w:tr>
        <w:trPr/>
        <w:tc>
          <w:tcPr>
            <w:tcW w:w="1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r>
      <w:tr>
        <w:trPr/>
        <w:tc>
          <w:tcPr>
            <w:tcW w:w="1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r>
      <w:tr>
        <w:trPr/>
        <w:tc>
          <w:tcPr>
            <w:tcW w:w="1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2"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485"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December 31,</w:t>
            </w:r>
          </w:p>
        </w:tc>
      </w:tr>
      <w:tr>
        <w:trPr/>
        <w:tc>
          <w:tcPr>
            <w:tcW w:w="1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2026</w:t>
            </w:r>
          </w:p>
        </w:tc>
        <w:tc>
          <w:tcPr>
            <w:tcW w:w="109" w:type="dxa"/>
            <w:tcBorders/>
            <w:vAlign w:val="center"/>
          </w:tcPr>
          <w:p>
            <w:pPr>
              <w:pStyle w:val="TableContents"/>
              <w:bidi w:val="0"/>
              <w:spacing w:before="0" w:after="283"/>
              <w:jc w:val="left"/>
              <w:rPr>
                <w:sz w:val="4"/>
                <w:szCs w:val="4"/>
              </w:rPr>
            </w:pPr>
            <w:r>
              <w:rPr>
                <w:sz w:val="4"/>
                <w:szCs w:val="4"/>
              </w:rPr>
            </w:r>
          </w:p>
        </w:tc>
        <w:tc>
          <w:tcPr>
            <w:tcW w:w="1485"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2025</w:t>
            </w:r>
          </w:p>
        </w:tc>
      </w:tr>
      <w:tr>
        <w:trPr/>
        <w:tc>
          <w:tcPr>
            <w:tcW w:w="19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Carrying amount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106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8,516,167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1234"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8,181,848</w:t>
            </w:r>
          </w:p>
        </w:tc>
      </w:tr>
      <w:tr>
        <w:trPr/>
        <w:tc>
          <w:tcPr>
            <w:tcW w:w="19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Estimated fair value</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106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7,549,667</w:t>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123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7,326,133</w:t>
            </w:r>
          </w:p>
        </w:tc>
      </w:tr>
    </w:tbl>
    <w:p>
      <w:pPr>
        <w:pStyle w:val="TextBody"/>
        <w:bidi w:val="0"/>
        <w:spacing w:lineRule="auto" w:line="259"/>
        <w:rPr>
          <w:caps w:val="false"/>
          <w:smallCaps w:val="false"/>
          <w:color w:val="000000"/>
        </w:rPr>
      </w:pPr>
      <w:r>
        <w:rPr>
          <w:caps w:val="false"/>
          <w:smallCaps w:val="false"/>
          <w:color w:val="000000"/>
        </w:rPr>
        <w:t>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 xml:space="preserve">The fair value of long-term debt has been determined by discounting the future cash flows using current market interest rates for similar financial instruments of the same duration utilizing Level 2 methods and assumptions.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 xml:space="preserve">The Convertible Note Investment is recorded at fair value on a recurring basis. Since observable price quotations were not available, this is classified as a Level 3 measurement within fair value hierarchy (see Note 5). </w:t>
      </w:r>
    </w:p>
    <w:p>
      <w:pPr>
        <w:pStyle w:val="TextBody"/>
        <w:bidi w:val="0"/>
        <w:spacing w:lineRule="auto" w:line="259"/>
        <w:rPr>
          <w:rFonts w:ascii="Times New Roman;serif" w:hAnsi="Times New Roman;serif"/>
          <w:sz w:val="24"/>
        </w:rPr>
      </w:pPr>
      <w:r>
        <w:rPr>
          <w:rFonts w:ascii="Times New Roman;serif" w:hAnsi="Times New Roman;serif"/>
          <w:b/>
          <w:i w:val="false"/>
          <w:caps w:val="false"/>
          <w:smallCaps w:val="false"/>
          <w:color w:val="000000"/>
          <w:sz w:val="24"/>
        </w:rPr>
        <w:t xml:space="preserve">Note 9 – </w:t>
      </w:r>
      <w:r>
        <w:rPr>
          <w:rFonts w:ascii="Times New Roman;serif" w:hAnsi="Times New Roman;serif"/>
          <w:b/>
          <w:i/>
          <w:color w:val="000000"/>
          <w:sz w:val="24"/>
        </w:rPr>
        <w:t>Net Income per Common Share</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Basic net income per common share is based on the weighted average number of common shares outstanding and the weighted average minimum number of shares issued upon settlement of the stock purchase contracts issued under the tangible equity units. Diluted net income per common share is based on the weighted average number of common shares outstanding and potentially dilutive shares. The dilutive effect of employee stock-based compensation is included in the computation of diluted net income per common share. The dilutive effect of stock-based compensation is calculated using the treasury stock method and expected proceeds upon exercise of the stock-based compensation. The treasury stock method assumes that the proceeds from stock-based compensation is used to purchase the Company’s common stock at the average market price during the period. The following table summarizes the shares, in thousands, used in computing basic and diluted net income per common share: </w:t>
      </w:r>
    </w:p>
    <w:tbl>
      <w:tblPr>
        <w:tblW w:w="10205" w:type="dxa"/>
        <w:jc w:val="left"/>
        <w:tblInd w:w="0" w:type="dxa"/>
        <w:tblLayout w:type="fixed"/>
        <w:tblCellMar>
          <w:top w:w="0" w:type="dxa"/>
          <w:left w:w="0" w:type="dxa"/>
          <w:bottom w:w="0" w:type="dxa"/>
          <w:right w:w="0" w:type="dxa"/>
        </w:tblCellMar>
      </w:tblPr>
      <w:tblGrid>
        <w:gridCol w:w="6006"/>
        <w:gridCol w:w="109"/>
        <w:gridCol w:w="968"/>
        <w:gridCol w:w="118"/>
        <w:gridCol w:w="968"/>
        <w:gridCol w:w="109"/>
        <w:gridCol w:w="886"/>
        <w:gridCol w:w="109"/>
        <w:gridCol w:w="932"/>
      </w:tblGrid>
      <w:tr>
        <w:trPr/>
        <w:tc>
          <w:tcPr>
            <w:tcW w:w="6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r>
      <w:tr>
        <w:trPr/>
        <w:tc>
          <w:tcPr>
            <w:tcW w:w="6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r>
      <w:tr>
        <w:trPr/>
        <w:tc>
          <w:tcPr>
            <w:tcW w:w="6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927" w:type="dxa"/>
            <w:gridSpan w:val="3"/>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Six Months Ended</w:t>
            </w:r>
          </w:p>
        </w:tc>
      </w:tr>
      <w:tr>
        <w:trPr/>
        <w:tc>
          <w:tcPr>
            <w:tcW w:w="6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4" w:type="dxa"/>
            <w:gridSpan w:val="3"/>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927" w:type="dxa"/>
            <w:gridSpan w:val="3"/>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June 30,</w:t>
            </w:r>
          </w:p>
        </w:tc>
      </w:tr>
      <w:tr>
        <w:trPr/>
        <w:tc>
          <w:tcPr>
            <w:tcW w:w="6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8"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2026</w:t>
            </w:r>
          </w:p>
        </w:tc>
        <w:tc>
          <w:tcPr>
            <w:tcW w:w="11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68"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2025</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2026</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32"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2025</w:t>
            </w:r>
          </w:p>
        </w:tc>
      </w:tr>
      <w:tr>
        <w:trPr/>
        <w:tc>
          <w:tcPr>
            <w:tcW w:w="60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Average common shares outstanding during the period for basic computation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283,655</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96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280,275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283,419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2"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277,748</w:t>
            </w:r>
          </w:p>
        </w:tc>
      </w:tr>
      <w:tr>
        <w:trPr/>
        <w:tc>
          <w:tcPr>
            <w:tcW w:w="60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Effect of dilutive securities:</w:t>
            </w:r>
          </w:p>
        </w:tc>
        <w:tc>
          <w:tcPr>
            <w:tcW w:w="109"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r>
      <w:tr>
        <w:trPr/>
        <w:tc>
          <w:tcPr>
            <w:tcW w:w="60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Employee stock-based compensation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8"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433</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968"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450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579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2"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587</w:t>
            </w:r>
          </w:p>
        </w:tc>
      </w:tr>
      <w:tr>
        <w:trPr/>
        <w:tc>
          <w:tcPr>
            <w:tcW w:w="60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Average common shares outstanding during the period for diluted computation</w:t>
            </w:r>
          </w:p>
        </w:tc>
        <w:tc>
          <w:tcPr>
            <w:tcW w:w="109" w:type="dxa"/>
            <w:tcBorders/>
            <w:vAlign w:val="center"/>
          </w:tcPr>
          <w:p>
            <w:pPr>
              <w:pStyle w:val="TableContents"/>
              <w:bidi w:val="0"/>
              <w:spacing w:before="0" w:after="283"/>
              <w:jc w:val="left"/>
              <w:rPr>
                <w:sz w:val="4"/>
                <w:szCs w:val="4"/>
              </w:rPr>
            </w:pPr>
            <w:r>
              <w:rPr>
                <w:sz w:val="4"/>
                <w:szCs w:val="4"/>
              </w:rPr>
            </w:r>
          </w:p>
        </w:tc>
        <w:tc>
          <w:tcPr>
            <w:tcW w:w="968"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284,088</w:t>
            </w:r>
          </w:p>
        </w:tc>
        <w:tc>
          <w:tcPr>
            <w:tcW w:w="118" w:type="dxa"/>
            <w:tcBorders/>
            <w:vAlign w:val="center"/>
          </w:tcPr>
          <w:p>
            <w:pPr>
              <w:pStyle w:val="TableContents"/>
              <w:bidi w:val="0"/>
              <w:spacing w:before="0" w:after="283"/>
              <w:jc w:val="left"/>
              <w:rPr>
                <w:sz w:val="4"/>
                <w:szCs w:val="4"/>
              </w:rPr>
            </w:pPr>
            <w:r>
              <w:rPr>
                <w:sz w:val="4"/>
                <w:szCs w:val="4"/>
              </w:rPr>
            </w:r>
          </w:p>
        </w:tc>
        <w:tc>
          <w:tcPr>
            <w:tcW w:w="968"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280,725</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283,998</w:t>
            </w:r>
          </w:p>
        </w:tc>
        <w:tc>
          <w:tcPr>
            <w:tcW w:w="109" w:type="dxa"/>
            <w:tcBorders/>
            <w:vAlign w:val="center"/>
          </w:tcPr>
          <w:p>
            <w:pPr>
              <w:pStyle w:val="TableContents"/>
              <w:bidi w:val="0"/>
              <w:spacing w:before="0" w:after="283"/>
              <w:jc w:val="left"/>
              <w:rPr>
                <w:sz w:val="4"/>
                <w:szCs w:val="4"/>
              </w:rPr>
            </w:pPr>
            <w:r>
              <w:rPr>
                <w:sz w:val="4"/>
                <w:szCs w:val="4"/>
              </w:rPr>
            </w:r>
          </w:p>
        </w:tc>
        <w:tc>
          <w:tcPr>
            <w:tcW w:w="932"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278,335</w:t>
            </w:r>
          </w:p>
        </w:tc>
      </w:tr>
    </w:tbl>
    <w:p>
      <w:pPr>
        <w:pStyle w:val="TextBody"/>
        <w:bidi w:val="0"/>
        <w:spacing w:lineRule="auto" w:line="259"/>
        <w:rPr>
          <w:rFonts w:ascii="Times New Roman;serif" w:hAnsi="Times New Roman;serif"/>
          <w:sz w:val="24"/>
        </w:rPr>
      </w:pPr>
      <w:r>
        <w:rPr>
          <w:rFonts w:ascii="Times New Roman;serif" w:hAnsi="Times New Roman;serif"/>
          <w:b w:val="false"/>
          <w:i w:val="false"/>
          <w:caps w:val="false"/>
          <w:smallCaps w:val="false"/>
          <w:color w:val="000000"/>
          <w:sz w:val="24"/>
        </w:rPr>
        <w:t>The number of outstanding employee stock options, in thousands, that were not included in the diluted earnings per share calculation because the effect would have been anti-dilutive was: 630</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for the three and six months ended June 30, 2026; and 441</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 xml:space="preserve">for the three and six months ended June 30, 2025. Additionally, the dilutive effect of performance share units and restricted share units granted are included in the Company’s calculation of diluted net income per share.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18</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563C1"/>
            <w:sz w:val="24"/>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ESSENTIAL UTILITIES, INC. AND SUBSIDIARIES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NOTES TO CONDENSED CONSOLIDATED FINANCIAL STATEMENTS (continued)</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(In thousands of dollars, except per share amounts)</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(UNAUDITED)</w:t>
      </w:r>
    </w:p>
    <w:p>
      <w:pPr>
        <w:pStyle w:val="TextBody"/>
        <w:bidi w:val="0"/>
        <w:spacing w:lineRule="auto" w:line="259"/>
        <w:rPr>
          <w:caps w:val="false"/>
          <w:smallCaps w:val="false"/>
          <w:color w:val="000000"/>
        </w:rPr>
      </w:pPr>
      <w:r>
        <w:rPr>
          <w:caps w:val="false"/>
          <w:smallCaps w:val="false"/>
          <w:color w:val="000000"/>
        </w:rPr>
        <w:t> </w:t>
      </w:r>
    </w:p>
    <w:p>
      <w:pPr>
        <w:pStyle w:val="TextBody"/>
        <w:bidi w:val="0"/>
        <w:spacing w:lineRule="auto" w:line="259"/>
        <w:rPr>
          <w:rFonts w:ascii="Times New Roman;serif" w:hAnsi="Times New Roman;serif"/>
          <w:sz w:val="24"/>
        </w:rPr>
      </w:pPr>
      <w:r>
        <w:rPr>
          <w:rFonts w:ascii="Times New Roman;serif" w:hAnsi="Times New Roman;serif"/>
          <w:b/>
          <w:i w:val="false"/>
          <w:caps w:val="false"/>
          <w:smallCaps w:val="false"/>
          <w:color w:val="000000"/>
          <w:sz w:val="24"/>
        </w:rPr>
        <w:t xml:space="preserve">Note 10 – </w:t>
      </w:r>
      <w:r>
        <w:rPr>
          <w:rFonts w:ascii="Times New Roman;serif" w:hAnsi="Times New Roman;serif"/>
          <w:b/>
          <w:i/>
          <w:color w:val="000000"/>
          <w:sz w:val="24"/>
        </w:rPr>
        <w:t>Stock-based Compensation</w:t>
      </w:r>
      <w:r>
        <w:rPr>
          <w:rFonts w:ascii="Times New Roman;serif" w:hAnsi="Times New Roman;serif"/>
          <w:caps w:val="false"/>
          <w:smallCaps w:val="false"/>
          <w:color w:val="000000"/>
          <w:sz w:val="24"/>
        </w:rPr>
        <w:t> </w:t>
      </w:r>
    </w:p>
    <w:p>
      <w:pPr>
        <w:pStyle w:val="TextBody"/>
        <w:bidi w:val="0"/>
        <w:spacing w:lineRule="auto" w:line="259"/>
        <w:rPr>
          <w:rFonts w:ascii="Times New Roman;serif" w:hAnsi="Times New Roman;serif"/>
          <w:sz w:val="24"/>
        </w:rPr>
      </w:pPr>
      <w:r>
        <w:rPr>
          <w:rFonts w:ascii="Times New Roman;serif" w:hAnsi="Times New Roman;serif"/>
          <w:b w:val="false"/>
          <w:i w:val="false"/>
          <w:caps w:val="false"/>
          <w:smallCaps w:val="false"/>
          <w:color w:val="000000"/>
          <w:sz w:val="24"/>
        </w:rPr>
        <w:t>Under the Company’s Amended and Restated Equity Compensation Plan (the “Plan”), stock options, stock units, stock awards, stock appreciation rights, dividend equivalents, and other stock-based awards may be granted to employees, non-employee directors, and consultants and advisors. At June 30, 2026, 284,600</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 xml:space="preserve">shares were still available for issuance under the Plan. </w:t>
      </w:r>
    </w:p>
    <w:p>
      <w:pPr>
        <w:pStyle w:val="TextBody"/>
        <w:bidi w:val="0"/>
        <w:spacing w:lineRule="auto" w:line="259"/>
        <w:rPr>
          <w:caps w:val="false"/>
          <w:smallCaps w:val="false"/>
          <w:color w:val="000000"/>
        </w:rPr>
      </w:pPr>
      <w:r>
        <w:rPr>
          <w:caps w:val="false"/>
          <w:smallCaps w:val="false"/>
          <w:color w:val="000000"/>
        </w:rPr>
        <w:t> </w:t>
      </w:r>
    </w:p>
    <w:p>
      <w:pPr>
        <w:pStyle w:val="TextBody"/>
        <w:bidi w:val="0"/>
        <w:spacing w:lineRule="auto" w:line="259"/>
        <w:rPr>
          <w:rFonts w:ascii="Times New Roman;serif" w:hAnsi="Times New Roman;serif"/>
          <w:sz w:val="24"/>
        </w:rPr>
      </w:pPr>
      <w:r>
        <w:rPr>
          <w:rFonts w:ascii="Times New Roman;serif" w:hAnsi="Times New Roman;serif"/>
          <w:b/>
          <w:i/>
          <w:color w:val="000000"/>
          <w:sz w:val="24"/>
        </w:rPr>
        <w:t>Performance Share Units</w:t>
      </w:r>
      <w:r>
        <w:rPr>
          <w:rFonts w:ascii="Times New Roman;serif" w:hAnsi="Times New Roman;serif"/>
          <w:color w:val="000000"/>
          <w:sz w:val="24"/>
        </w:rPr>
        <w:t xml:space="preserve"> </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A performance share unit (“PSU”) represents the right to receive a share of the Company’s common stock if specified performance goals are met over the three year</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 xml:space="preserve">performance period specified in the grant, subject to exceptions through the respective vesting period, which is generally three years. Each grantee is granted a target award of PSUs and may earn between 0% and 200% of the target amount depending on the Company’s performance against the performance goals.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The performance goals of the 2026 and 2025 grants consisted of the following metrics:</w:t>
      </w:r>
    </w:p>
    <w:tbl>
      <w:tblPr>
        <w:tblW w:w="10205" w:type="dxa"/>
        <w:jc w:val="left"/>
        <w:tblInd w:w="0" w:type="dxa"/>
        <w:tblLayout w:type="fixed"/>
        <w:tblCellMar>
          <w:top w:w="0" w:type="dxa"/>
          <w:left w:w="0" w:type="dxa"/>
          <w:bottom w:w="0" w:type="dxa"/>
          <w:right w:w="0" w:type="dxa"/>
        </w:tblCellMar>
      </w:tblPr>
      <w:tblGrid>
        <w:gridCol w:w="9401"/>
        <w:gridCol w:w="804"/>
      </w:tblGrid>
      <w:tr>
        <w:trPr/>
        <w:tc>
          <w:tcPr>
            <w:tcW w:w="940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r>
      <w:tr>
        <w:trPr/>
        <w:tc>
          <w:tcPr>
            <w:tcW w:w="94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Metric 1 – Company’s total shareholder return (“TSR”) compared to the TSR for a specific peer group of investor-owned utilities (a market-based condition)</w:t>
            </w:r>
          </w:p>
        </w:tc>
        <w:tc>
          <w:tcPr>
            <w:tcW w:w="80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40.00%</w:t>
            </w:r>
          </w:p>
        </w:tc>
      </w:tr>
      <w:tr>
        <w:trPr/>
        <w:tc>
          <w:tcPr>
            <w:tcW w:w="94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Metric 2 – Achievement of a three-year average return on equity target (a performance-based condition)</w:t>
            </w:r>
          </w:p>
        </w:tc>
        <w:tc>
          <w:tcPr>
            <w:tcW w:w="80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30.00%</w:t>
            </w:r>
          </w:p>
        </w:tc>
      </w:tr>
      <w:tr>
        <w:trPr/>
        <w:tc>
          <w:tcPr>
            <w:tcW w:w="94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Metric 3 – Achievement of a consolidated operations and maintenance expense target over a three-year measurement period (a performance-based condition)</w:t>
            </w:r>
          </w:p>
        </w:tc>
        <w:tc>
          <w:tcPr>
            <w:tcW w:w="80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30.00%</w:t>
            </w:r>
          </w:p>
        </w:tc>
      </w:tr>
    </w:tbl>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The following were the assumptions used in the pricing model for the 2026 and 2025 grants:</w:t>
      </w:r>
    </w:p>
    <w:tbl>
      <w:tblPr>
        <w:tblW w:w="4135" w:type="dxa"/>
        <w:jc w:val="left"/>
        <w:tblInd w:w="0" w:type="dxa"/>
        <w:tblLayout w:type="fixed"/>
        <w:tblCellMar>
          <w:top w:w="0" w:type="dxa"/>
          <w:left w:w="0" w:type="dxa"/>
          <w:bottom w:w="0" w:type="dxa"/>
          <w:right w:w="0" w:type="dxa"/>
        </w:tblCellMar>
      </w:tblPr>
      <w:tblGrid>
        <w:gridCol w:w="2191"/>
        <w:gridCol w:w="109"/>
        <w:gridCol w:w="841"/>
        <w:gridCol w:w="109"/>
        <w:gridCol w:w="701"/>
        <w:gridCol w:w="184"/>
      </w:tblGrid>
      <w:tr>
        <w:trPr/>
        <w:tc>
          <w:tcPr>
            <w:tcW w:w="2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5" w:type="dxa"/>
            <w:gridSpan w:val="2"/>
            <w:tcBorders/>
            <w:vAlign w:val="center"/>
          </w:tcPr>
          <w:p>
            <w:pPr>
              <w:pStyle w:val="TableContents"/>
              <w:bidi w:val="0"/>
              <w:spacing w:before="0" w:after="283"/>
              <w:jc w:val="left"/>
              <w:rPr>
                <w:sz w:val="4"/>
                <w:szCs w:val="4"/>
              </w:rPr>
            </w:pPr>
            <w:r>
              <w:rPr>
                <w:sz w:val="4"/>
                <w:szCs w:val="4"/>
              </w:rPr>
            </w:r>
          </w:p>
        </w:tc>
      </w:tr>
      <w:tr>
        <w:trPr/>
        <w:tc>
          <w:tcPr>
            <w:tcW w:w="2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5" w:type="dxa"/>
            <w:gridSpan w:val="2"/>
            <w:tcBorders/>
            <w:vAlign w:val="center"/>
          </w:tcPr>
          <w:p>
            <w:pPr>
              <w:pStyle w:val="TableContents"/>
              <w:bidi w:val="0"/>
              <w:spacing w:before="0" w:after="283"/>
              <w:jc w:val="left"/>
              <w:rPr>
                <w:sz w:val="4"/>
                <w:szCs w:val="4"/>
              </w:rPr>
            </w:pPr>
            <w:r>
              <w:rPr>
                <w:sz w:val="4"/>
                <w:szCs w:val="4"/>
              </w:rPr>
            </w:r>
          </w:p>
        </w:tc>
      </w:tr>
      <w:tr>
        <w:trPr/>
        <w:tc>
          <w:tcPr>
            <w:tcW w:w="2191" w:type="dxa"/>
            <w:tcBorders/>
            <w:vAlign w:val="center"/>
          </w:tcPr>
          <w:p>
            <w:pPr>
              <w:pStyle w:val="TableContents"/>
              <w:bidi w:val="0"/>
              <w:spacing w:before="0" w:after="283"/>
              <w:jc w:val="left"/>
              <w:rPr>
                <w:sz w:val="4"/>
                <w:szCs w:val="4"/>
              </w:rPr>
            </w:pPr>
            <w:r>
              <w:rPr>
                <w:sz w:val="4"/>
                <w:szCs w:val="4"/>
              </w:rPr>
            </w:r>
          </w:p>
        </w:tc>
        <w:tc>
          <w:tcPr>
            <w:tcW w:w="95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2026</w:t>
            </w:r>
          </w:p>
        </w:tc>
        <w:tc>
          <w:tcPr>
            <w:tcW w:w="109" w:type="dxa"/>
            <w:tcBorders/>
            <w:vAlign w:val="center"/>
          </w:tcPr>
          <w:p>
            <w:pPr>
              <w:pStyle w:val="TableContents"/>
              <w:bidi w:val="0"/>
              <w:spacing w:before="0" w:after="283"/>
              <w:jc w:val="left"/>
              <w:rPr>
                <w:sz w:val="4"/>
                <w:szCs w:val="4"/>
              </w:rPr>
            </w:pPr>
            <w:r>
              <w:rPr>
                <w:sz w:val="4"/>
                <w:szCs w:val="4"/>
              </w:rPr>
            </w:r>
          </w:p>
        </w:tc>
        <w:tc>
          <w:tcPr>
            <w:tcW w:w="70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2025</w:t>
            </w:r>
          </w:p>
        </w:tc>
        <w:tc>
          <w:tcPr>
            <w:tcW w:w="18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1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Expected term (years)</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5" w:type="dxa"/>
            <w:gridSpan w:val="2"/>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3</w:t>
            </w:r>
          </w:p>
        </w:tc>
      </w:tr>
      <w:tr>
        <w:trPr/>
        <w:tc>
          <w:tcPr>
            <w:tcW w:w="21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Risk-free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3.63%</w:t>
            </w:r>
          </w:p>
        </w:tc>
        <w:tc>
          <w:tcPr>
            <w:tcW w:w="109" w:type="dxa"/>
            <w:tcBorders/>
            <w:vAlign w:val="center"/>
          </w:tcPr>
          <w:p>
            <w:pPr>
              <w:pStyle w:val="TableContents"/>
              <w:bidi w:val="0"/>
              <w:spacing w:before="0" w:after="283"/>
              <w:jc w:val="left"/>
              <w:rPr>
                <w:sz w:val="4"/>
                <w:szCs w:val="4"/>
              </w:rPr>
            </w:pPr>
            <w:r>
              <w:rPr>
                <w:sz w:val="4"/>
                <w:szCs w:val="4"/>
              </w:rPr>
            </w:r>
          </w:p>
        </w:tc>
        <w:tc>
          <w:tcPr>
            <w:tcW w:w="885"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4.19%</w:t>
            </w:r>
          </w:p>
        </w:tc>
      </w:tr>
      <w:tr>
        <w:trPr/>
        <w:tc>
          <w:tcPr>
            <w:tcW w:w="21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Expected volatility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21.61%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23.20%</w:t>
            </w:r>
          </w:p>
        </w:tc>
      </w:tr>
    </w:tbl>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 xml:space="preserve">The following table provides compensation expense for PSUs: </w:t>
      </w:r>
    </w:p>
    <w:tbl>
      <w:tblPr>
        <w:tblW w:w="10205" w:type="dxa"/>
        <w:jc w:val="left"/>
        <w:tblInd w:w="0" w:type="dxa"/>
        <w:tblLayout w:type="fixed"/>
        <w:tblCellMar>
          <w:top w:w="0" w:type="dxa"/>
          <w:left w:w="0" w:type="dxa"/>
          <w:bottom w:w="0" w:type="dxa"/>
          <w:right w:w="0" w:type="dxa"/>
        </w:tblCellMar>
      </w:tblPr>
      <w:tblGrid>
        <w:gridCol w:w="5893"/>
        <w:gridCol w:w="109"/>
        <w:gridCol w:w="252"/>
        <w:gridCol w:w="720"/>
        <w:gridCol w:w="121"/>
        <w:gridCol w:w="252"/>
        <w:gridCol w:w="720"/>
        <w:gridCol w:w="109"/>
        <w:gridCol w:w="228"/>
        <w:gridCol w:w="654"/>
        <w:gridCol w:w="54"/>
        <w:gridCol w:w="55"/>
        <w:gridCol w:w="111"/>
        <w:gridCol w:w="115"/>
        <w:gridCol w:w="654"/>
        <w:gridCol w:w="158"/>
      </w:tblGrid>
      <w:tr>
        <w:trPr/>
        <w:tc>
          <w:tcPr>
            <w:tcW w:w="5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09" w:type="dxa"/>
            <w:gridSpan w:val="2"/>
            <w:tcBorders/>
            <w:vAlign w:val="center"/>
          </w:tcPr>
          <w:p>
            <w:pPr>
              <w:pStyle w:val="TableContents"/>
              <w:bidi w:val="0"/>
              <w:spacing w:before="0" w:after="283"/>
              <w:jc w:val="left"/>
              <w:rPr>
                <w:sz w:val="4"/>
                <w:szCs w:val="4"/>
              </w:rPr>
            </w:pPr>
            <w:r>
              <w:rPr>
                <w:sz w:val="4"/>
                <w:szCs w:val="4"/>
              </w:rPr>
            </w:r>
          </w:p>
        </w:tc>
        <w:tc>
          <w:tcPr>
            <w:tcW w:w="226" w:type="dxa"/>
            <w:gridSpan w:val="2"/>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58"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5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09" w:type="dxa"/>
            <w:gridSpan w:val="2"/>
            <w:tcBorders/>
            <w:vAlign w:val="center"/>
          </w:tcPr>
          <w:p>
            <w:pPr>
              <w:pStyle w:val="TableContents"/>
              <w:bidi w:val="0"/>
              <w:spacing w:before="0" w:after="283"/>
              <w:jc w:val="left"/>
              <w:rPr>
                <w:sz w:val="4"/>
                <w:szCs w:val="4"/>
              </w:rPr>
            </w:pPr>
            <w:r>
              <w:rPr>
                <w:sz w:val="4"/>
                <w:szCs w:val="4"/>
              </w:rPr>
            </w:r>
          </w:p>
        </w:tc>
        <w:tc>
          <w:tcPr>
            <w:tcW w:w="226" w:type="dxa"/>
            <w:gridSpan w:val="2"/>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58"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5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5" w:type="dxa"/>
            <w:gridSpan w:val="5"/>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2029" w:type="dxa"/>
            <w:gridSpan w:val="8"/>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Six Months Ended</w:t>
            </w:r>
          </w:p>
        </w:tc>
      </w:tr>
      <w:tr>
        <w:trPr/>
        <w:tc>
          <w:tcPr>
            <w:tcW w:w="5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5"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2029" w:type="dxa"/>
            <w:gridSpan w:val="8"/>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June 30,</w:t>
            </w:r>
          </w:p>
        </w:tc>
      </w:tr>
      <w:tr>
        <w:trPr/>
        <w:tc>
          <w:tcPr>
            <w:tcW w:w="5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2026</w:t>
            </w:r>
          </w:p>
        </w:tc>
        <w:tc>
          <w:tcPr>
            <w:tcW w:w="12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2025</w:t>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2026</w:t>
            </w:r>
          </w:p>
        </w:tc>
        <w:tc>
          <w:tcPr>
            <w:tcW w:w="166" w:type="dxa"/>
            <w:gridSpan w:val="2"/>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2025</w:t>
            </w:r>
          </w:p>
        </w:tc>
      </w:tr>
      <w:tr>
        <w:trPr/>
        <w:tc>
          <w:tcPr>
            <w:tcW w:w="589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Stock-based compensation within operations and maintenance expenses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72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2,417</w:t>
            </w:r>
          </w:p>
        </w:tc>
        <w:tc>
          <w:tcPr>
            <w:tcW w:w="121" w:type="dxa"/>
            <w:tcBorders/>
            <w:shd w:fill="CCEEFF" w:val="cle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72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1,831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654"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3,568</w:t>
            </w:r>
          </w:p>
        </w:tc>
        <w:tc>
          <w:tcPr>
            <w:tcW w:w="109" w:type="dxa"/>
            <w:gridSpan w:val="2"/>
            <w:tcBorders/>
            <w:shd w:fill="CCEEFF" w:val="clear"/>
            <w:vAlign w:val="center"/>
          </w:tcPr>
          <w:p>
            <w:pPr>
              <w:pStyle w:val="TableContents"/>
              <w:bidi w:val="0"/>
              <w:spacing w:before="0" w:after="283"/>
              <w:jc w:val="left"/>
              <w:rPr>
                <w:sz w:val="4"/>
                <w:szCs w:val="4"/>
              </w:rPr>
            </w:pPr>
            <w:r>
              <w:rPr>
                <w:sz w:val="4"/>
                <w:szCs w:val="4"/>
              </w:rPr>
            </w:r>
          </w:p>
        </w:tc>
        <w:tc>
          <w:tcPr>
            <w:tcW w:w="226" w:type="dxa"/>
            <w:gridSpan w:val="2"/>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654"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3,247</w:t>
            </w:r>
          </w:p>
        </w:tc>
        <w:tc>
          <w:tcPr>
            <w:tcW w:w="158"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589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Income tax benefit</w:t>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72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608</w:t>
            </w:r>
          </w:p>
        </w:tc>
        <w:tc>
          <w:tcPr>
            <w:tcW w:w="12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72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463</w:t>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65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898</w:t>
            </w:r>
          </w:p>
        </w:tc>
        <w:tc>
          <w:tcPr>
            <w:tcW w:w="109" w:type="dxa"/>
            <w:gridSpan w:val="2"/>
            <w:tcBorders/>
            <w:vAlign w:val="center"/>
          </w:tcPr>
          <w:p>
            <w:pPr>
              <w:pStyle w:val="TableContents"/>
              <w:bidi w:val="0"/>
              <w:spacing w:before="0" w:after="283"/>
              <w:jc w:val="left"/>
              <w:rPr>
                <w:sz w:val="4"/>
                <w:szCs w:val="4"/>
              </w:rPr>
            </w:pPr>
            <w:r>
              <w:rPr>
                <w:sz w:val="4"/>
                <w:szCs w:val="4"/>
              </w:rPr>
            </w:r>
          </w:p>
        </w:tc>
        <w:tc>
          <w:tcPr>
            <w:tcW w:w="226" w:type="dxa"/>
            <w:gridSpan w:val="2"/>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65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821</w:t>
            </w:r>
          </w:p>
        </w:tc>
        <w:tc>
          <w:tcPr>
            <w:tcW w:w="158"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19</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563C1"/>
            <w:sz w:val="24"/>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ESSENTIAL UTILITIES, INC. AND SUBSIDIARIES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NOTES TO CONDENSED CONSOLIDATED FINANCIAL STATEMENTS (continued)</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(In thousands of dollars, except per share amounts)</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(UNAUDITED)</w:t>
      </w:r>
    </w:p>
    <w:p>
      <w:pPr>
        <w:pStyle w:val="TextBody"/>
        <w:bidi w:val="0"/>
        <w:spacing w:lineRule="auto" w:line="259"/>
        <w:rPr>
          <w:caps w:val="false"/>
          <w:smallCaps w:val="false"/>
          <w:color w:val="000000"/>
        </w:rPr>
      </w:pPr>
      <w:r>
        <w:rPr>
          <w:caps w:val="false"/>
          <w:smallCaps w:val="false"/>
          <w:color w:val="000000"/>
        </w:rPr>
        <w:t> </w:t>
      </w:r>
    </w:p>
    <w:p>
      <w:pPr>
        <w:pStyle w:val="TextBody"/>
        <w:bidi w:val="0"/>
        <w:spacing w:lineRule="auto" w:line="259"/>
        <w:rPr>
          <w:rFonts w:ascii="Times New Roman;serif" w:hAnsi="Times New Roman;serif"/>
          <w:sz w:val="24"/>
        </w:rPr>
      </w:pPr>
      <w:r>
        <w:rPr>
          <w:rFonts w:ascii="Times New Roman;serif" w:hAnsi="Times New Roman;serif"/>
          <w:b w:val="false"/>
          <w:i w:val="false"/>
          <w:caps w:val="false"/>
          <w:smallCaps w:val="false"/>
          <w:color w:val="000000"/>
          <w:sz w:val="24"/>
        </w:rPr>
        <w:t>The following table summarizes the PSU transactions for the six months ended June 30, 2026:</w:t>
      </w:r>
      <w:r>
        <w:rPr>
          <w:rFonts w:ascii="Times New Roman;serif" w:hAnsi="Times New Roman;serif"/>
          <w:color w:val="000000"/>
          <w:sz w:val="24"/>
        </w:rPr>
        <w:t xml:space="preserve">  </w:t>
      </w:r>
    </w:p>
    <w:tbl>
      <w:tblPr>
        <w:tblW w:w="7049" w:type="dxa"/>
        <w:jc w:val="left"/>
        <w:tblInd w:w="0" w:type="dxa"/>
        <w:tblLayout w:type="fixed"/>
        <w:tblCellMar>
          <w:top w:w="0" w:type="dxa"/>
          <w:left w:w="0" w:type="dxa"/>
          <w:bottom w:w="0" w:type="dxa"/>
          <w:right w:w="0" w:type="dxa"/>
        </w:tblCellMar>
      </w:tblPr>
      <w:tblGrid>
        <w:gridCol w:w="4351"/>
        <w:gridCol w:w="109"/>
        <w:gridCol w:w="109"/>
        <w:gridCol w:w="1216"/>
        <w:gridCol w:w="109"/>
        <w:gridCol w:w="284"/>
        <w:gridCol w:w="871"/>
      </w:tblGrid>
      <w:tr>
        <w:trPr/>
        <w:tc>
          <w:tcPr>
            <w:tcW w:w="4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4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4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Number</w:t>
            </w:r>
          </w:p>
        </w:tc>
        <w:tc>
          <w:tcPr>
            <w:tcW w:w="109" w:type="dxa"/>
            <w:tcBorders/>
            <w:vAlign w:val="center"/>
          </w:tcPr>
          <w:p>
            <w:pPr>
              <w:pStyle w:val="TableContents"/>
              <w:bidi w:val="0"/>
              <w:spacing w:before="0" w:after="283"/>
              <w:jc w:val="left"/>
              <w:rPr>
                <w:sz w:val="4"/>
                <w:szCs w:val="4"/>
              </w:rPr>
            </w:pPr>
            <w:r>
              <w:rPr>
                <w:sz w:val="4"/>
                <w:szCs w:val="4"/>
              </w:rPr>
            </w:r>
          </w:p>
        </w:tc>
        <w:tc>
          <w:tcPr>
            <w:tcW w:w="1155"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Weighted</w:t>
            </w:r>
          </w:p>
        </w:tc>
      </w:tr>
      <w:tr>
        <w:trPr/>
        <w:tc>
          <w:tcPr>
            <w:tcW w:w="4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of</w:t>
            </w:r>
          </w:p>
        </w:tc>
        <w:tc>
          <w:tcPr>
            <w:tcW w:w="109" w:type="dxa"/>
            <w:tcBorders/>
            <w:vAlign w:val="center"/>
          </w:tcPr>
          <w:p>
            <w:pPr>
              <w:pStyle w:val="TableContents"/>
              <w:bidi w:val="0"/>
              <w:spacing w:before="0" w:after="283"/>
              <w:jc w:val="left"/>
              <w:rPr>
                <w:sz w:val="4"/>
                <w:szCs w:val="4"/>
              </w:rPr>
            </w:pPr>
            <w:r>
              <w:rPr>
                <w:sz w:val="4"/>
                <w:szCs w:val="4"/>
              </w:rPr>
            </w:r>
          </w:p>
        </w:tc>
        <w:tc>
          <w:tcPr>
            <w:tcW w:w="1155"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Average</w:t>
            </w:r>
          </w:p>
        </w:tc>
      </w:tr>
      <w:tr>
        <w:trPr/>
        <w:tc>
          <w:tcPr>
            <w:tcW w:w="4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Share Units</w:t>
            </w:r>
          </w:p>
        </w:tc>
        <w:tc>
          <w:tcPr>
            <w:tcW w:w="109" w:type="dxa"/>
            <w:tcBorders/>
            <w:vAlign w:val="center"/>
          </w:tcPr>
          <w:p>
            <w:pPr>
              <w:pStyle w:val="TableContents"/>
              <w:bidi w:val="0"/>
              <w:spacing w:before="0" w:after="283"/>
              <w:jc w:val="left"/>
              <w:rPr>
                <w:sz w:val="4"/>
                <w:szCs w:val="4"/>
              </w:rPr>
            </w:pPr>
            <w:r>
              <w:rPr>
                <w:sz w:val="4"/>
                <w:szCs w:val="4"/>
              </w:rPr>
            </w:r>
          </w:p>
        </w:tc>
        <w:tc>
          <w:tcPr>
            <w:tcW w:w="1155"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Fair Value</w:t>
            </w:r>
          </w:p>
        </w:tc>
      </w:tr>
      <w:tr>
        <w:trPr/>
        <w:tc>
          <w:tcPr>
            <w:tcW w:w="435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Nonvested share units at beginning of period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512,454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87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35.85</w:t>
            </w:r>
          </w:p>
        </w:tc>
      </w:tr>
      <w:tr>
        <w:trPr/>
        <w:tc>
          <w:tcPr>
            <w:tcW w:w="43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Granted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172,080</w:t>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8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41.44</w:t>
            </w:r>
          </w:p>
        </w:tc>
      </w:tr>
      <w:tr>
        <w:trPr/>
        <w:tc>
          <w:tcPr>
            <w:tcW w:w="435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Performance criteria adjustment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(21,934)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8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34.92</w:t>
            </w:r>
          </w:p>
        </w:tc>
      </w:tr>
      <w:tr>
        <w:trPr/>
        <w:tc>
          <w:tcPr>
            <w:tcW w:w="43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Actual vested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(84,704)</w:t>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8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45.07</w:t>
            </w:r>
          </w:p>
        </w:tc>
      </w:tr>
      <w:tr>
        <w:trPr/>
        <w:tc>
          <w:tcPr>
            <w:tcW w:w="435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Forfeited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(14,324)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8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37.30</w:t>
            </w:r>
          </w:p>
        </w:tc>
      </w:tr>
      <w:tr>
        <w:trPr/>
        <w:tc>
          <w:tcPr>
            <w:tcW w:w="43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Nonvested share units at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563,572</w:t>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8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36.17</w:t>
            </w:r>
          </w:p>
        </w:tc>
      </w:tr>
      <w:tr>
        <w:trPr/>
        <w:tc>
          <w:tcPr>
            <w:tcW w:w="4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9"/>
        <w:rPr>
          <w:caps w:val="false"/>
          <w:smallCaps w:val="false"/>
          <w:color w:val="000000"/>
        </w:rPr>
      </w:pPr>
      <w:r>
        <w:rPr>
          <w:caps w:val="false"/>
          <w:smallCaps w:val="false"/>
          <w:color w:val="000000"/>
        </w:rPr>
        <w:t> </w:t>
      </w:r>
    </w:p>
    <w:p>
      <w:pPr>
        <w:pStyle w:val="TextBody"/>
        <w:bidi w:val="0"/>
        <w:spacing w:lineRule="auto" w:line="259"/>
        <w:rPr>
          <w:caps w:val="false"/>
          <w:smallCaps w:val="false"/>
          <w:color w:val="000000"/>
        </w:rPr>
      </w:pPr>
      <w:r>
        <w:rPr>
          <w:caps w:val="false"/>
          <w:smallCaps w:val="false"/>
          <w:color w:val="000000"/>
        </w:rPr>
        <w:t> </w:t>
      </w:r>
    </w:p>
    <w:p>
      <w:pPr>
        <w:pStyle w:val="TextBody"/>
        <w:bidi w:val="0"/>
        <w:spacing w:lineRule="auto" w:line="259"/>
        <w:rPr>
          <w:rFonts w:ascii="Times New Roman;serif" w:hAnsi="Times New Roman;serif"/>
          <w:sz w:val="24"/>
        </w:rPr>
      </w:pPr>
      <w:r>
        <w:rPr>
          <w:rFonts w:ascii="Times New Roman;serif" w:hAnsi="Times New Roman;serif"/>
          <w:b w:val="false"/>
          <w:i w:val="false"/>
          <w:caps w:val="false"/>
          <w:smallCaps w:val="false"/>
          <w:color w:val="000000"/>
          <w:sz w:val="24"/>
        </w:rPr>
        <w:t>The per unit weighted-average fair value at the date of grant for PSUs granted during the six months ended June 30, 2026 and 2025 was $41.44</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 xml:space="preserve">and $34.25, respectively. </w:t>
      </w:r>
    </w:p>
    <w:p>
      <w:pPr>
        <w:pStyle w:val="TextBody"/>
        <w:bidi w:val="0"/>
        <w:spacing w:lineRule="auto" w:line="259"/>
        <w:rPr>
          <w:rFonts w:ascii="Times New Roman;serif" w:hAnsi="Times New Roman;serif"/>
          <w:sz w:val="24"/>
        </w:rPr>
      </w:pPr>
      <w:r>
        <w:rPr>
          <w:rFonts w:ascii="Times New Roman;serif" w:hAnsi="Times New Roman;serif"/>
          <w:b/>
          <w:i/>
          <w:color w:val="000000"/>
          <w:sz w:val="24"/>
        </w:rPr>
        <w:t>Restricted Stock Units</w:t>
      </w:r>
      <w:r>
        <w:rPr>
          <w:rFonts w:ascii="Times New Roman;serif" w:hAnsi="Times New Roman;serif"/>
          <w:color w:val="000000"/>
          <w:sz w:val="24"/>
        </w:rPr>
        <w:t xml:space="preserve"> – </w:t>
      </w:r>
      <w:r>
        <w:rPr>
          <w:rFonts w:ascii="Times New Roman;serif" w:hAnsi="Times New Roman;serif"/>
          <w:b w:val="false"/>
          <w:i w:val="false"/>
          <w:caps w:val="false"/>
          <w:smallCaps w:val="false"/>
          <w:color w:val="000000"/>
          <w:sz w:val="24"/>
        </w:rPr>
        <w:t>A restricted stock unit (“RSU”) represents the right to receive a share of the Company’s common stock. In prior years, RSUs were eligible to be earned at the end of a specified restricted period, which is generally three years, beginning on the date of grant. Beginning in 2025, RSUs granted vest 33% each year. The following table provides the compensation expense and income tax benefit for RSUs:</w:t>
      </w:r>
    </w:p>
    <w:tbl>
      <w:tblPr>
        <w:tblW w:w="10205" w:type="dxa"/>
        <w:jc w:val="left"/>
        <w:tblInd w:w="0" w:type="dxa"/>
        <w:tblLayout w:type="fixed"/>
        <w:tblCellMar>
          <w:top w:w="0" w:type="dxa"/>
          <w:left w:w="0" w:type="dxa"/>
          <w:bottom w:w="0" w:type="dxa"/>
          <w:right w:w="0" w:type="dxa"/>
        </w:tblCellMar>
      </w:tblPr>
      <w:tblGrid>
        <w:gridCol w:w="6001"/>
        <w:gridCol w:w="109"/>
        <w:gridCol w:w="252"/>
        <w:gridCol w:w="722"/>
        <w:gridCol w:w="121"/>
        <w:gridCol w:w="252"/>
        <w:gridCol w:w="722"/>
        <w:gridCol w:w="109"/>
        <w:gridCol w:w="227"/>
        <w:gridCol w:w="651"/>
        <w:gridCol w:w="109"/>
        <w:gridCol w:w="227"/>
        <w:gridCol w:w="703"/>
      </w:tblGrid>
      <w:tr>
        <w:trPr/>
        <w:tc>
          <w:tcPr>
            <w:tcW w:w="6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r>
      <w:tr>
        <w:trPr/>
        <w:tc>
          <w:tcPr>
            <w:tcW w:w="6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r>
      <w:tr>
        <w:trPr/>
        <w:tc>
          <w:tcPr>
            <w:tcW w:w="6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9" w:type="dxa"/>
            <w:gridSpan w:val="5"/>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917" w:type="dxa"/>
            <w:gridSpan w:val="5"/>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Six Months Ended</w:t>
            </w:r>
          </w:p>
        </w:tc>
      </w:tr>
      <w:tr>
        <w:trPr/>
        <w:tc>
          <w:tcPr>
            <w:tcW w:w="6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9"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917"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June 30,</w:t>
            </w:r>
          </w:p>
        </w:tc>
      </w:tr>
      <w:tr>
        <w:trPr/>
        <w:tc>
          <w:tcPr>
            <w:tcW w:w="6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2026</w:t>
            </w:r>
          </w:p>
        </w:tc>
        <w:tc>
          <w:tcPr>
            <w:tcW w:w="12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2025</w:t>
            </w:r>
          </w:p>
        </w:tc>
        <w:tc>
          <w:tcPr>
            <w:tcW w:w="109" w:type="dxa"/>
            <w:tcBorders/>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2026</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2025</w:t>
            </w:r>
          </w:p>
        </w:tc>
      </w:tr>
      <w:tr>
        <w:trPr/>
        <w:tc>
          <w:tcPr>
            <w:tcW w:w="60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Stock-based compensation within operations and maintenance expenses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722"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1,053</w:t>
            </w:r>
          </w:p>
        </w:tc>
        <w:tc>
          <w:tcPr>
            <w:tcW w:w="121" w:type="dxa"/>
            <w:tcBorders/>
            <w:shd w:fill="CCEEFF" w:val="cle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722"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1,621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65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2,288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70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2,528</w:t>
            </w:r>
          </w:p>
        </w:tc>
      </w:tr>
      <w:tr>
        <w:trPr/>
        <w:tc>
          <w:tcPr>
            <w:tcW w:w="60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Income tax benefit</w:t>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72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265</w:t>
            </w:r>
          </w:p>
        </w:tc>
        <w:tc>
          <w:tcPr>
            <w:tcW w:w="12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72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410</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65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576</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70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639</w:t>
            </w:r>
          </w:p>
        </w:tc>
      </w:tr>
    </w:tbl>
    <w:p>
      <w:pPr>
        <w:pStyle w:val="TextBody"/>
        <w:bidi w:val="0"/>
        <w:spacing w:lineRule="auto" w:line="259"/>
        <w:rPr>
          <w:caps w:val="false"/>
          <w:smallCaps w:val="false"/>
          <w:color w:val="000000"/>
        </w:rPr>
      </w:pPr>
      <w:r>
        <w:rPr>
          <w:caps w:val="false"/>
          <w:smallCaps w:val="false"/>
          <w:color w:val="000000"/>
        </w:rPr>
        <w:t>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The following table summarizes the RSU transactions for the six months ended June 30, 2026: </w:t>
      </w:r>
    </w:p>
    <w:tbl>
      <w:tblPr>
        <w:tblW w:w="7049" w:type="dxa"/>
        <w:jc w:val="left"/>
        <w:tblInd w:w="0" w:type="dxa"/>
        <w:tblLayout w:type="fixed"/>
        <w:tblCellMar>
          <w:top w:w="0" w:type="dxa"/>
          <w:left w:w="0" w:type="dxa"/>
          <w:bottom w:w="0" w:type="dxa"/>
          <w:right w:w="0" w:type="dxa"/>
        </w:tblCellMar>
      </w:tblPr>
      <w:tblGrid>
        <w:gridCol w:w="4351"/>
        <w:gridCol w:w="109"/>
        <w:gridCol w:w="109"/>
        <w:gridCol w:w="1216"/>
        <w:gridCol w:w="109"/>
        <w:gridCol w:w="284"/>
        <w:gridCol w:w="871"/>
      </w:tblGrid>
      <w:tr>
        <w:trPr/>
        <w:tc>
          <w:tcPr>
            <w:tcW w:w="4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4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4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Number</w:t>
            </w:r>
          </w:p>
        </w:tc>
        <w:tc>
          <w:tcPr>
            <w:tcW w:w="109" w:type="dxa"/>
            <w:tcBorders/>
            <w:vAlign w:val="center"/>
          </w:tcPr>
          <w:p>
            <w:pPr>
              <w:pStyle w:val="TableContents"/>
              <w:bidi w:val="0"/>
              <w:spacing w:before="0" w:after="283"/>
              <w:jc w:val="left"/>
              <w:rPr>
                <w:sz w:val="4"/>
                <w:szCs w:val="4"/>
              </w:rPr>
            </w:pPr>
            <w:r>
              <w:rPr>
                <w:sz w:val="4"/>
                <w:szCs w:val="4"/>
              </w:rPr>
            </w:r>
          </w:p>
        </w:tc>
        <w:tc>
          <w:tcPr>
            <w:tcW w:w="1155"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Weighted</w:t>
            </w:r>
          </w:p>
        </w:tc>
      </w:tr>
      <w:tr>
        <w:trPr/>
        <w:tc>
          <w:tcPr>
            <w:tcW w:w="4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of</w:t>
            </w:r>
          </w:p>
        </w:tc>
        <w:tc>
          <w:tcPr>
            <w:tcW w:w="109" w:type="dxa"/>
            <w:tcBorders/>
            <w:vAlign w:val="center"/>
          </w:tcPr>
          <w:p>
            <w:pPr>
              <w:pStyle w:val="TableContents"/>
              <w:bidi w:val="0"/>
              <w:spacing w:before="0" w:after="283"/>
              <w:jc w:val="left"/>
              <w:rPr>
                <w:sz w:val="4"/>
                <w:szCs w:val="4"/>
              </w:rPr>
            </w:pPr>
            <w:r>
              <w:rPr>
                <w:sz w:val="4"/>
                <w:szCs w:val="4"/>
              </w:rPr>
            </w:r>
          </w:p>
        </w:tc>
        <w:tc>
          <w:tcPr>
            <w:tcW w:w="1155"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Average</w:t>
            </w:r>
          </w:p>
        </w:tc>
      </w:tr>
      <w:tr>
        <w:trPr/>
        <w:tc>
          <w:tcPr>
            <w:tcW w:w="4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Stock Units</w:t>
            </w:r>
          </w:p>
        </w:tc>
        <w:tc>
          <w:tcPr>
            <w:tcW w:w="109" w:type="dxa"/>
            <w:tcBorders/>
            <w:vAlign w:val="center"/>
          </w:tcPr>
          <w:p>
            <w:pPr>
              <w:pStyle w:val="TableContents"/>
              <w:bidi w:val="0"/>
              <w:spacing w:before="0" w:after="283"/>
              <w:jc w:val="left"/>
              <w:rPr>
                <w:sz w:val="4"/>
                <w:szCs w:val="4"/>
              </w:rPr>
            </w:pPr>
            <w:r>
              <w:rPr>
                <w:sz w:val="4"/>
                <w:szCs w:val="4"/>
              </w:rPr>
            </w:r>
          </w:p>
        </w:tc>
        <w:tc>
          <w:tcPr>
            <w:tcW w:w="1155"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Fair Value</w:t>
            </w:r>
          </w:p>
        </w:tc>
      </w:tr>
      <w:tr>
        <w:trPr/>
        <w:tc>
          <w:tcPr>
            <w:tcW w:w="435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Nonvested stock units at beginning of period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297,334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87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37.52</w:t>
            </w:r>
          </w:p>
        </w:tc>
      </w:tr>
      <w:tr>
        <w:trPr/>
        <w:tc>
          <w:tcPr>
            <w:tcW w:w="43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Granted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149,931</w:t>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8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39.28</w:t>
            </w:r>
          </w:p>
        </w:tc>
      </w:tr>
      <w:tr>
        <w:trPr/>
        <w:tc>
          <w:tcPr>
            <w:tcW w:w="435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Stock units vested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(109,832)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8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40.92</w:t>
            </w:r>
          </w:p>
        </w:tc>
      </w:tr>
      <w:tr>
        <w:trPr/>
        <w:tc>
          <w:tcPr>
            <w:tcW w:w="43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Forfeited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(7,793)</w:t>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8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36.93</w:t>
            </w:r>
          </w:p>
        </w:tc>
      </w:tr>
      <w:tr>
        <w:trPr/>
        <w:tc>
          <w:tcPr>
            <w:tcW w:w="435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Nonvested stock units at end of period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329,640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8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37.50</w:t>
            </w:r>
          </w:p>
        </w:tc>
      </w:tr>
    </w:tbl>
    <w:p>
      <w:pPr>
        <w:pStyle w:val="TextBody"/>
        <w:bidi w:val="0"/>
        <w:spacing w:lineRule="auto" w:line="259"/>
        <w:rPr>
          <w:color w:val="000000"/>
        </w:rPr>
      </w:pPr>
      <w:r>
        <w:rPr>
          <w:color w:val="000000"/>
        </w:rPr>
        <w:t> </w:t>
      </w:r>
    </w:p>
    <w:p>
      <w:pPr>
        <w:pStyle w:val="TextBody"/>
        <w:bidi w:val="0"/>
        <w:spacing w:lineRule="auto" w:line="259"/>
        <w:rPr>
          <w:rFonts w:ascii="Times New Roman;serif" w:hAnsi="Times New Roman;serif"/>
          <w:sz w:val="24"/>
        </w:rPr>
      </w:pPr>
      <w:r>
        <w:rPr>
          <w:rFonts w:ascii="Times New Roman;serif" w:hAnsi="Times New Roman;serif"/>
          <w:b w:val="false"/>
          <w:i w:val="false"/>
          <w:caps w:val="false"/>
          <w:smallCaps w:val="false"/>
          <w:color w:val="000000"/>
          <w:sz w:val="24"/>
        </w:rPr>
        <w:t>The per unit weighted-average fair value at the date of grant for RSUs granted during the six months ended June 30, 2026 and 2025 was $39.28</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and $35.54, respectively.</w:t>
      </w:r>
      <w:r>
        <w:rPr>
          <w:rFonts w:ascii="Times New Roman;serif" w:hAnsi="Times New Roman;serif"/>
          <w:color w:val="000000"/>
          <w:sz w:val="24"/>
        </w:rPr>
        <w:t xml:space="preserve">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20</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563C1"/>
            <w:sz w:val="24"/>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ESSENTIAL UTILITIES, INC. AND SUBSIDIARIES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NOTES TO CONDENSED CONSOLIDATED FINANCIAL STATEMENTS (continued)</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(In thousands of dollars, except per share amounts)</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(UNAUDITED)</w:t>
      </w:r>
    </w:p>
    <w:p>
      <w:pPr>
        <w:pStyle w:val="TextBody"/>
        <w:bidi w:val="0"/>
        <w:spacing w:lineRule="auto" w:line="259"/>
        <w:rPr>
          <w:caps w:val="false"/>
          <w:smallCaps w:val="false"/>
          <w:color w:val="000000"/>
        </w:rPr>
      </w:pPr>
      <w:r>
        <w:rPr>
          <w:caps w:val="false"/>
          <w:smallCaps w:val="false"/>
          <w:color w:val="000000"/>
        </w:rPr>
        <w:t> </w:t>
      </w:r>
    </w:p>
    <w:p>
      <w:pPr>
        <w:pStyle w:val="TextBody"/>
        <w:bidi w:val="0"/>
        <w:spacing w:lineRule="auto" w:line="259"/>
        <w:rPr>
          <w:rFonts w:ascii="Times New Roman;serif" w:hAnsi="Times New Roman;serif"/>
          <w:sz w:val="24"/>
        </w:rPr>
      </w:pPr>
      <w:r>
        <w:rPr>
          <w:rFonts w:ascii="Times New Roman;serif" w:hAnsi="Times New Roman;serif"/>
          <w:b/>
          <w:i/>
          <w:color w:val="000000"/>
          <w:sz w:val="24"/>
        </w:rPr>
        <w:t xml:space="preserve">Stock Options </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A stock option represents the option to purchase a number of shares of common stock of the Company as specified in the stock option grant agreement at the exercise price per share as determined by the closing market price of our common stock on the grant date. Stock options are exercisable in installments of 33% annually, starting one year</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from the grant date and expire 10</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years from the grant date, subject to satisfaction of designated performance goals. The following table provides the compensation cost and income tax benefit for stock-based compensation related to stock options: </w:t>
      </w:r>
    </w:p>
    <w:tbl>
      <w:tblPr>
        <w:tblW w:w="10205" w:type="dxa"/>
        <w:jc w:val="left"/>
        <w:tblInd w:w="0" w:type="dxa"/>
        <w:tblLayout w:type="fixed"/>
        <w:tblCellMar>
          <w:top w:w="0" w:type="dxa"/>
          <w:left w:w="0" w:type="dxa"/>
          <w:bottom w:w="0" w:type="dxa"/>
          <w:right w:w="0" w:type="dxa"/>
        </w:tblCellMar>
      </w:tblPr>
      <w:tblGrid>
        <w:gridCol w:w="6078"/>
        <w:gridCol w:w="109"/>
        <w:gridCol w:w="305"/>
        <w:gridCol w:w="630"/>
        <w:gridCol w:w="147"/>
        <w:gridCol w:w="305"/>
        <w:gridCol w:w="630"/>
        <w:gridCol w:w="109"/>
        <w:gridCol w:w="248"/>
        <w:gridCol w:w="512"/>
        <w:gridCol w:w="119"/>
        <w:gridCol w:w="248"/>
        <w:gridCol w:w="765"/>
      </w:tblGrid>
      <w:tr>
        <w:trPr/>
        <w:tc>
          <w:tcPr>
            <w:tcW w:w="60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r>
      <w:tr>
        <w:trPr/>
        <w:tc>
          <w:tcPr>
            <w:tcW w:w="60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r>
      <w:tr>
        <w:trPr/>
        <w:tc>
          <w:tcPr>
            <w:tcW w:w="60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7" w:type="dxa"/>
            <w:gridSpan w:val="5"/>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892" w:type="dxa"/>
            <w:gridSpan w:val="5"/>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Six Months Ended</w:t>
            </w:r>
          </w:p>
        </w:tc>
      </w:tr>
      <w:tr>
        <w:trPr/>
        <w:tc>
          <w:tcPr>
            <w:tcW w:w="60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7"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44" w:type="dxa"/>
            <w:gridSpan w:val="4"/>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June 30,</w:t>
            </w:r>
          </w:p>
        </w:tc>
      </w:tr>
      <w:tr>
        <w:trPr/>
        <w:tc>
          <w:tcPr>
            <w:tcW w:w="60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2026</w:t>
            </w:r>
          </w:p>
        </w:tc>
        <w:tc>
          <w:tcPr>
            <w:tcW w:w="147"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2025</w:t>
            </w:r>
          </w:p>
        </w:tc>
        <w:tc>
          <w:tcPr>
            <w:tcW w:w="109" w:type="dxa"/>
            <w:tcBorders/>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2026</w:t>
            </w:r>
          </w:p>
        </w:tc>
        <w:tc>
          <w:tcPr>
            <w:tcW w:w="11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2025</w:t>
            </w:r>
          </w:p>
        </w:tc>
      </w:tr>
      <w:tr>
        <w:trPr/>
        <w:tc>
          <w:tcPr>
            <w:tcW w:w="607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Stock-based compensation within operations and maintenance expenses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63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245</w:t>
            </w:r>
          </w:p>
        </w:tc>
        <w:tc>
          <w:tcPr>
            <w:tcW w:w="147" w:type="dxa"/>
            <w:tcBorders/>
            <w:shd w:fill="CCEEFF" w:val="cle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63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840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512"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525</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765"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1,109</w:t>
            </w:r>
          </w:p>
        </w:tc>
      </w:tr>
      <w:tr>
        <w:trPr/>
        <w:tc>
          <w:tcPr>
            <w:tcW w:w="607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Income tax benefit</w:t>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63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61</w:t>
            </w:r>
          </w:p>
        </w:tc>
        <w:tc>
          <w:tcPr>
            <w:tcW w:w="14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63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211</w:t>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51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132</w:t>
            </w:r>
          </w:p>
        </w:tc>
        <w:tc>
          <w:tcPr>
            <w:tcW w:w="11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76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279</w:t>
            </w:r>
          </w:p>
        </w:tc>
      </w:tr>
      <w:tr>
        <w:trPr/>
        <w:tc>
          <w:tcPr>
            <w:tcW w:w="60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The fair value of options was estimated at the grant date using the Black-Scholes option-pricing model.  The following assumptions were used in the application of this valuation model for the 2026 and 2025 grants:</w:t>
      </w:r>
    </w:p>
    <w:p>
      <w:pPr>
        <w:pStyle w:val="TextBody"/>
        <w:bidi w:val="0"/>
        <w:spacing w:lineRule="auto" w:line="259"/>
        <w:rPr>
          <w:rFonts w:cs="Tahoma;sans-serif"/>
          <w:bCs w:val="false"/>
          <w:iCs w:val="false"/>
          <w:caps w:val="false"/>
          <w:smallCaps w:val="false"/>
          <w:color w:val="000000"/>
          <w:szCs w:val="2"/>
        </w:rPr>
      </w:pPr>
      <w:r>
        <w:rPr>
          <w:rFonts w:cs="Tahoma;sans-serif"/>
          <w:bCs w:val="false"/>
          <w:iCs w:val="false"/>
          <w:caps w:val="false"/>
          <w:smallCaps w:val="false"/>
          <w:color w:val="000000"/>
          <w:szCs w:val="2"/>
        </w:rPr>
        <w:t>﻿</w:t>
      </w:r>
    </w:p>
    <w:tbl>
      <w:tblPr>
        <w:tblW w:w="5255" w:type="dxa"/>
        <w:jc w:val="left"/>
        <w:tblInd w:w="0" w:type="dxa"/>
        <w:tblLayout w:type="fixed"/>
        <w:tblCellMar>
          <w:top w:w="0" w:type="dxa"/>
          <w:left w:w="0" w:type="dxa"/>
          <w:bottom w:w="0" w:type="dxa"/>
          <w:right w:w="0" w:type="dxa"/>
        </w:tblCellMar>
      </w:tblPr>
      <w:tblGrid>
        <w:gridCol w:w="3076"/>
        <w:gridCol w:w="226"/>
        <w:gridCol w:w="841"/>
        <w:gridCol w:w="226"/>
        <w:gridCol w:w="886"/>
      </w:tblGrid>
      <w:tr>
        <w:trPr/>
        <w:tc>
          <w:tcPr>
            <w:tcW w:w="307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3076" w:type="dxa"/>
            <w:tcBorders/>
            <w:vAlign w:val="center"/>
          </w:tcPr>
          <w:p>
            <w:pPr>
              <w:pStyle w:val="TableContents"/>
              <w:bidi w:val="0"/>
              <w:spacing w:before="0" w:after="283"/>
              <w:jc w:val="left"/>
              <w:rPr>
                <w:sz w:val="4"/>
                <w:szCs w:val="4"/>
              </w:rPr>
            </w:pPr>
            <w:r>
              <w:rPr>
                <w:sz w:val="4"/>
                <w:szCs w:val="4"/>
              </w:rPr>
            </w:r>
          </w:p>
        </w:tc>
        <w:tc>
          <w:tcPr>
            <w:tcW w:w="106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2026</w:t>
            </w:r>
          </w:p>
        </w:tc>
        <w:tc>
          <w:tcPr>
            <w:tcW w:w="111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2025</w:t>
            </w:r>
          </w:p>
        </w:tc>
      </w:tr>
      <w:tr>
        <w:trPr/>
        <w:tc>
          <w:tcPr>
            <w:tcW w:w="30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Expected term (years)</w:t>
            </w:r>
          </w:p>
        </w:tc>
        <w:tc>
          <w:tcPr>
            <w:tcW w:w="22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5.5</w:t>
            </w:r>
          </w:p>
        </w:tc>
        <w:tc>
          <w:tcPr>
            <w:tcW w:w="22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5.5</w:t>
            </w:r>
          </w:p>
        </w:tc>
      </w:tr>
      <w:tr>
        <w:trPr/>
        <w:tc>
          <w:tcPr>
            <w:tcW w:w="30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Risk-free interest rate</w:t>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3.85%</w:t>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4.22%</w:t>
            </w:r>
          </w:p>
        </w:tc>
      </w:tr>
      <w:tr>
        <w:trPr/>
        <w:tc>
          <w:tcPr>
            <w:tcW w:w="30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Expected volatility</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22.48%</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28.50%</w:t>
            </w:r>
          </w:p>
        </w:tc>
      </w:tr>
      <w:tr>
        <w:trPr/>
        <w:tc>
          <w:tcPr>
            <w:tcW w:w="30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Dividend yield</w:t>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3.49%</w:t>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3.69%</w:t>
            </w:r>
          </w:p>
        </w:tc>
      </w:tr>
      <w:tr>
        <w:trPr/>
        <w:tc>
          <w:tcPr>
            <w:tcW w:w="30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Grant date fair value per option</w:t>
            </w:r>
          </w:p>
        </w:tc>
        <w:tc>
          <w:tcPr>
            <w:tcW w:w="2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7.00</w:t>
            </w:r>
          </w:p>
        </w:tc>
        <w:tc>
          <w:tcPr>
            <w:tcW w:w="2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8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7.95</w:t>
            </w:r>
          </w:p>
        </w:tc>
      </w:tr>
    </w:tbl>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The following table summarizes stock option transactions for the six months ended June 30, 2026:</w:t>
      </w:r>
    </w:p>
    <w:tbl>
      <w:tblPr>
        <w:tblW w:w="8286" w:type="dxa"/>
        <w:jc w:val="left"/>
        <w:tblInd w:w="0" w:type="dxa"/>
        <w:tblLayout w:type="fixed"/>
        <w:tblCellMar>
          <w:top w:w="0" w:type="dxa"/>
          <w:left w:w="0" w:type="dxa"/>
          <w:bottom w:w="0" w:type="dxa"/>
          <w:right w:w="0" w:type="dxa"/>
        </w:tblCellMar>
      </w:tblPr>
      <w:tblGrid>
        <w:gridCol w:w="3421"/>
        <w:gridCol w:w="109"/>
        <w:gridCol w:w="1066"/>
        <w:gridCol w:w="109"/>
        <w:gridCol w:w="264"/>
        <w:gridCol w:w="757"/>
        <w:gridCol w:w="109"/>
        <w:gridCol w:w="1201"/>
        <w:gridCol w:w="109"/>
        <w:gridCol w:w="281"/>
        <w:gridCol w:w="860"/>
      </w:tblGrid>
      <w:tr>
        <w:trPr/>
        <w:tc>
          <w:tcPr>
            <w:tcW w:w="3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3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3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Weighted</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Weighted</w:t>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3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Average</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Average</w:t>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Aggregate</w:t>
            </w:r>
          </w:p>
        </w:tc>
      </w:tr>
      <w:tr>
        <w:trPr/>
        <w:tc>
          <w:tcPr>
            <w:tcW w:w="3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Exercise</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Remaining</w:t>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Intrinsic</w:t>
            </w:r>
          </w:p>
        </w:tc>
      </w:tr>
      <w:tr>
        <w:trPr/>
        <w:tc>
          <w:tcPr>
            <w:tcW w:w="3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Shares</w:t>
            </w:r>
          </w:p>
        </w:tc>
        <w:tc>
          <w:tcPr>
            <w:tcW w:w="109" w:type="dxa"/>
            <w:tcBorders/>
            <w:vAlign w:val="center"/>
          </w:tcPr>
          <w:p>
            <w:pPr>
              <w:pStyle w:val="TableContents"/>
              <w:bidi w:val="0"/>
              <w:spacing w:before="0" w:after="283"/>
              <w:jc w:val="left"/>
              <w:rPr>
                <w:sz w:val="4"/>
                <w:szCs w:val="4"/>
              </w:rPr>
            </w:pPr>
            <w:r>
              <w:rPr>
                <w:sz w:val="4"/>
                <w:szCs w:val="4"/>
              </w:rPr>
            </w:r>
          </w:p>
        </w:tc>
        <w:tc>
          <w:tcPr>
            <w:tcW w:w="1021"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Price</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Life (years)</w:t>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Value</w:t>
            </w:r>
          </w:p>
        </w:tc>
      </w:tr>
      <w:tr>
        <w:trPr/>
        <w:tc>
          <w:tcPr>
            <w:tcW w:w="34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Outstanding at beginning of period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6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1,069,386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75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36.63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60"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34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Granted</w:t>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197,851</w:t>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75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39.15</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34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Forfeited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(2,895)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75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36.61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1" w:type="dxa"/>
            <w:tcBorders/>
            <w:shd w:fill="CCEEFF" w:val="clear"/>
            <w:vAlign w:val="center"/>
          </w:tcPr>
          <w:p>
            <w:pPr>
              <w:pStyle w:val="TableContents"/>
              <w:bidi w:val="0"/>
              <w:spacing w:before="0" w:after="283"/>
              <w:jc w:val="left"/>
              <w:rPr>
                <w:sz w:val="4"/>
                <w:szCs w:val="4"/>
              </w:rPr>
            </w:pPr>
            <w:r>
              <w:rPr>
                <w:sz w:val="4"/>
                <w:szCs w:val="4"/>
              </w:rPr>
            </w:r>
          </w:p>
        </w:tc>
        <w:tc>
          <w:tcPr>
            <w:tcW w:w="860" w:type="dxa"/>
            <w:tcBorders/>
            <w:shd w:fill="CCEEFF" w:val="clear"/>
            <w:vAlign w:val="center"/>
          </w:tcPr>
          <w:p>
            <w:pPr>
              <w:pStyle w:val="TableContents"/>
              <w:bidi w:val="0"/>
              <w:spacing w:before="0" w:after="283"/>
              <w:jc w:val="left"/>
              <w:rPr>
                <w:sz w:val="4"/>
                <w:szCs w:val="4"/>
              </w:rPr>
            </w:pPr>
            <w:r>
              <w:rPr>
                <w:sz w:val="4"/>
                <w:szCs w:val="4"/>
              </w:rPr>
            </w:r>
          </w:p>
        </w:tc>
      </w:tr>
      <w:tr>
        <w:trPr/>
        <w:tc>
          <w:tcPr>
            <w:tcW w:w="34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Exercised</w:t>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(23,175)</w:t>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75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33.07</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34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Outstanding at end of period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6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1,241,167</w:t>
            </w:r>
          </w:p>
        </w:tc>
        <w:tc>
          <w:tcPr>
            <w:tcW w:w="109" w:type="dxa"/>
            <w:tcBorders>
              <w:bottom w:val="double" w:sz="6"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264" w:type="dxa"/>
            <w:tcBorders>
              <w:bottom w:val="double" w:sz="6"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757" w:type="dxa"/>
            <w:tcBorders>
              <w:bottom w:val="double" w:sz="6"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37.11</w:t>
            </w:r>
          </w:p>
        </w:tc>
        <w:tc>
          <w:tcPr>
            <w:tcW w:w="109" w:type="dxa"/>
            <w:tcBorders>
              <w:bottom w:val="double" w:sz="6"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201" w:type="dxa"/>
            <w:tcBorders>
              <w:bottom w:val="double" w:sz="6"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5.4</w:t>
            </w:r>
          </w:p>
        </w:tc>
        <w:tc>
          <w:tcPr>
            <w:tcW w:w="109" w:type="dxa"/>
            <w:tcBorders>
              <w:bottom w:val="double" w:sz="6"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281" w:type="dxa"/>
            <w:tcBorders>
              <w:bottom w:val="double" w:sz="6"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860" w:type="dxa"/>
            <w:tcBorders>
              <w:bottom w:val="double" w:sz="6"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2,587</w:t>
            </w:r>
          </w:p>
        </w:tc>
      </w:tr>
      <w:tr>
        <w:trPr/>
        <w:tc>
          <w:tcPr>
            <w:tcW w:w="3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264"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757"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20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28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860"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34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Exercisable at end of period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66" w:type="dxa"/>
            <w:tcBorders>
              <w:bottom w:val="double" w:sz="6"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875,772</w:t>
            </w:r>
          </w:p>
        </w:tc>
        <w:tc>
          <w:tcPr>
            <w:tcW w:w="109" w:type="dxa"/>
            <w:tcBorders>
              <w:bottom w:val="double" w:sz="6"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264" w:type="dxa"/>
            <w:tcBorders>
              <w:bottom w:val="double" w:sz="6"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757" w:type="dxa"/>
            <w:tcBorders>
              <w:bottom w:val="double" w:sz="6"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36.94</w:t>
            </w:r>
          </w:p>
        </w:tc>
        <w:tc>
          <w:tcPr>
            <w:tcW w:w="109" w:type="dxa"/>
            <w:tcBorders>
              <w:bottom w:val="double" w:sz="6"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201" w:type="dxa"/>
            <w:tcBorders>
              <w:bottom w:val="double" w:sz="6"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3.8</w:t>
            </w:r>
          </w:p>
        </w:tc>
        <w:tc>
          <w:tcPr>
            <w:tcW w:w="109" w:type="dxa"/>
            <w:tcBorders>
              <w:bottom w:val="double" w:sz="6"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281" w:type="dxa"/>
            <w:tcBorders>
              <w:bottom w:val="double" w:sz="6"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860" w:type="dxa"/>
            <w:tcBorders>
              <w:bottom w:val="double" w:sz="6"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2,125</w:t>
            </w:r>
          </w:p>
        </w:tc>
      </w:tr>
    </w:tbl>
    <w:p>
      <w:pPr>
        <w:pStyle w:val="TextBody"/>
        <w:bidi w:val="0"/>
        <w:spacing w:lineRule="auto" w:line="259"/>
        <w:rPr>
          <w:color w:val="000000"/>
        </w:rPr>
      </w:pPr>
      <w:r>
        <w:rPr>
          <w:color w:val="000000"/>
        </w:rPr>
        <w:t>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21</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563C1"/>
            <w:sz w:val="24"/>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ESSENTIAL UTILITIES, INC. AND SUBSIDIARIES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NOTES TO CONDENSED CONSOLIDATED FINANCIAL STATEMENTS (continued)</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(In thousands of dollars, except per share amounts)</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(UNAUDITED)</w:t>
      </w:r>
    </w:p>
    <w:p>
      <w:pPr>
        <w:pStyle w:val="TextBody"/>
        <w:bidi w:val="0"/>
        <w:spacing w:lineRule="auto" w:line="259"/>
        <w:rPr>
          <w:caps w:val="false"/>
          <w:smallCaps w:val="false"/>
          <w:color w:val="000000"/>
        </w:rPr>
      </w:pPr>
      <w:r>
        <w:rPr>
          <w:caps w:val="false"/>
          <w:smallCaps w:val="false"/>
          <w:color w:val="000000"/>
        </w:rPr>
        <w:t> </w:t>
      </w:r>
    </w:p>
    <w:p>
      <w:pPr>
        <w:pStyle w:val="TextBody"/>
        <w:bidi w:val="0"/>
        <w:spacing w:lineRule="auto" w:line="259"/>
        <w:rPr>
          <w:rFonts w:ascii="Times New Roman;serif" w:hAnsi="Times New Roman;serif"/>
          <w:sz w:val="24"/>
        </w:rPr>
      </w:pPr>
      <w:r>
        <w:rPr>
          <w:rFonts w:ascii="Times New Roman;serif" w:hAnsi="Times New Roman;serif"/>
          <w:b/>
          <w:i/>
          <w:color w:val="000000"/>
          <w:sz w:val="24"/>
        </w:rPr>
        <w:t xml:space="preserve">Restricted Stock – </w:t>
      </w:r>
      <w:r>
        <w:rPr>
          <w:rFonts w:ascii="Times New Roman;serif" w:hAnsi="Times New Roman;serif"/>
          <w:b w:val="false"/>
          <w:i w:val="false"/>
          <w:caps w:val="false"/>
          <w:smallCaps w:val="false"/>
          <w:color w:val="000000"/>
          <w:sz w:val="24"/>
        </w:rPr>
        <w:t>Restricted stock awards provide the grantee with the rights of a shareholder, including the right to receive dividends and to vote such shares, but not the right to sell or otherwise transfer the shares during the restriction period, which is one year from the date of issuance of the award. The following table provides the compensation cost and income tax benefit for stock-based compensation related to restricted stock:</w:t>
      </w:r>
    </w:p>
    <w:tbl>
      <w:tblPr>
        <w:tblW w:w="10205" w:type="dxa"/>
        <w:jc w:val="left"/>
        <w:tblInd w:w="0" w:type="dxa"/>
        <w:tblLayout w:type="fixed"/>
        <w:tblCellMar>
          <w:top w:w="0" w:type="dxa"/>
          <w:left w:w="0" w:type="dxa"/>
          <w:bottom w:w="0" w:type="dxa"/>
          <w:right w:w="0" w:type="dxa"/>
        </w:tblCellMar>
      </w:tblPr>
      <w:tblGrid>
        <w:gridCol w:w="6149"/>
        <w:gridCol w:w="109"/>
        <w:gridCol w:w="361"/>
        <w:gridCol w:w="551"/>
        <w:gridCol w:w="173"/>
        <w:gridCol w:w="361"/>
        <w:gridCol w:w="551"/>
        <w:gridCol w:w="109"/>
        <w:gridCol w:w="321"/>
        <w:gridCol w:w="489"/>
        <w:gridCol w:w="153"/>
        <w:gridCol w:w="321"/>
        <w:gridCol w:w="557"/>
      </w:tblGrid>
      <w:tr>
        <w:trPr/>
        <w:tc>
          <w:tcPr>
            <w:tcW w:w="6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r>
      <w:tr>
        <w:trPr/>
        <w:tc>
          <w:tcPr>
            <w:tcW w:w="6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7" w:type="dxa"/>
            <w:gridSpan w:val="5"/>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841" w:type="dxa"/>
            <w:gridSpan w:val="5"/>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Six Months Ended</w:t>
            </w:r>
          </w:p>
        </w:tc>
      </w:tr>
      <w:tr>
        <w:trPr/>
        <w:tc>
          <w:tcPr>
            <w:tcW w:w="6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7"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841"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June 30,</w:t>
            </w:r>
          </w:p>
        </w:tc>
      </w:tr>
      <w:tr>
        <w:trPr/>
        <w:tc>
          <w:tcPr>
            <w:tcW w:w="6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2026</w:t>
            </w:r>
          </w:p>
        </w:tc>
        <w:tc>
          <w:tcPr>
            <w:tcW w:w="17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2025</w:t>
            </w:r>
          </w:p>
        </w:tc>
        <w:tc>
          <w:tcPr>
            <w:tcW w:w="109" w:type="dxa"/>
            <w:tcBorders/>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2026</w:t>
            </w:r>
          </w:p>
        </w:tc>
        <w:tc>
          <w:tcPr>
            <w:tcW w:w="15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2025</w:t>
            </w:r>
          </w:p>
        </w:tc>
      </w:tr>
      <w:tr>
        <w:trPr/>
        <w:tc>
          <w:tcPr>
            <w:tcW w:w="614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Stock-based compensation within operations and maintenance expenses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55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12</w:t>
            </w:r>
          </w:p>
        </w:tc>
        <w:tc>
          <w:tcPr>
            <w:tcW w:w="173" w:type="dxa"/>
            <w:tcBorders/>
            <w:shd w:fill="CCEEFF" w:val="cle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55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489"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24</w:t>
            </w:r>
          </w:p>
        </w:tc>
        <w:tc>
          <w:tcPr>
            <w:tcW w:w="153" w:type="dxa"/>
            <w:tcBorders/>
            <w:shd w:fill="CCEEFF" w:val="cle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55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24</w:t>
            </w:r>
          </w:p>
        </w:tc>
      </w:tr>
      <w:tr>
        <w:trPr/>
        <w:tc>
          <w:tcPr>
            <w:tcW w:w="614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Income tax benefit</w:t>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55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4</w:t>
            </w:r>
          </w:p>
        </w:tc>
        <w:tc>
          <w:tcPr>
            <w:tcW w:w="17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55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3</w:t>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48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7</w:t>
            </w:r>
          </w:p>
        </w:tc>
        <w:tc>
          <w:tcPr>
            <w:tcW w:w="153"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55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6</w:t>
            </w:r>
          </w:p>
        </w:tc>
      </w:tr>
    </w:tbl>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The following table summarizes restricted stock transactions for the six months ended June 30, 2026:</w:t>
      </w:r>
    </w:p>
    <w:p>
      <w:pPr>
        <w:pStyle w:val="TextBody"/>
        <w:bidi w:val="0"/>
        <w:spacing w:lineRule="auto" w:line="259"/>
        <w:rPr>
          <w:rFonts w:ascii="Times New Roman;serif" w:hAnsi="Times New Roman;serif"/>
          <w:b w:val="false"/>
          <w:i w:val="false"/>
          <w:caps w:val="false"/>
          <w:smallCaps w:val="false"/>
          <w:color w:val="000000"/>
          <w:sz w:val="2"/>
        </w:rPr>
      </w:pPr>
      <w:r>
        <w:rPr>
          <w:rFonts w:ascii="Times New Roman;serif" w:hAnsi="Times New Roman;serif"/>
          <w:b w:val="false"/>
          <w:i w:val="false"/>
          <w:caps w:val="false"/>
          <w:smallCaps w:val="false"/>
          <w:color w:val="000000"/>
          <w:sz w:val="2"/>
        </w:rPr>
        <w:t>t</w:t>
      </w:r>
    </w:p>
    <w:tbl>
      <w:tblPr>
        <w:tblW w:w="7015" w:type="dxa"/>
        <w:jc w:val="left"/>
        <w:tblInd w:w="0" w:type="dxa"/>
        <w:tblLayout w:type="fixed"/>
        <w:tblCellMar>
          <w:top w:w="0" w:type="dxa"/>
          <w:left w:w="0" w:type="dxa"/>
          <w:bottom w:w="0" w:type="dxa"/>
          <w:right w:w="0" w:type="dxa"/>
        </w:tblCellMar>
      </w:tblPr>
      <w:tblGrid>
        <w:gridCol w:w="4756"/>
        <w:gridCol w:w="109"/>
        <w:gridCol w:w="886"/>
        <w:gridCol w:w="109"/>
        <w:gridCol w:w="284"/>
        <w:gridCol w:w="871"/>
      </w:tblGrid>
      <w:tr>
        <w:trPr/>
        <w:tc>
          <w:tcPr>
            <w:tcW w:w="4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4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Number</w:t>
            </w:r>
          </w:p>
        </w:tc>
        <w:tc>
          <w:tcPr>
            <w:tcW w:w="109" w:type="dxa"/>
            <w:tcBorders/>
            <w:vAlign w:val="center"/>
          </w:tcPr>
          <w:p>
            <w:pPr>
              <w:pStyle w:val="TableContents"/>
              <w:bidi w:val="0"/>
              <w:spacing w:before="0" w:after="283"/>
              <w:jc w:val="left"/>
              <w:rPr>
                <w:sz w:val="4"/>
                <w:szCs w:val="4"/>
              </w:rPr>
            </w:pPr>
            <w:r>
              <w:rPr>
                <w:sz w:val="4"/>
                <w:szCs w:val="4"/>
              </w:rPr>
            </w:r>
          </w:p>
        </w:tc>
        <w:tc>
          <w:tcPr>
            <w:tcW w:w="1155"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Weighted</w:t>
            </w:r>
          </w:p>
        </w:tc>
      </w:tr>
      <w:tr>
        <w:trPr/>
        <w:tc>
          <w:tcPr>
            <w:tcW w:w="4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of</w:t>
            </w:r>
          </w:p>
        </w:tc>
        <w:tc>
          <w:tcPr>
            <w:tcW w:w="109" w:type="dxa"/>
            <w:tcBorders/>
            <w:vAlign w:val="center"/>
          </w:tcPr>
          <w:p>
            <w:pPr>
              <w:pStyle w:val="TableContents"/>
              <w:bidi w:val="0"/>
              <w:spacing w:before="0" w:after="283"/>
              <w:jc w:val="left"/>
              <w:rPr>
                <w:sz w:val="4"/>
                <w:szCs w:val="4"/>
              </w:rPr>
            </w:pPr>
            <w:r>
              <w:rPr>
                <w:sz w:val="4"/>
                <w:szCs w:val="4"/>
              </w:rPr>
            </w:r>
          </w:p>
        </w:tc>
        <w:tc>
          <w:tcPr>
            <w:tcW w:w="1155"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Average</w:t>
            </w:r>
          </w:p>
        </w:tc>
      </w:tr>
      <w:tr>
        <w:trPr/>
        <w:tc>
          <w:tcPr>
            <w:tcW w:w="4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Shares</w:t>
            </w:r>
          </w:p>
        </w:tc>
        <w:tc>
          <w:tcPr>
            <w:tcW w:w="109" w:type="dxa"/>
            <w:tcBorders/>
            <w:vAlign w:val="center"/>
          </w:tcPr>
          <w:p>
            <w:pPr>
              <w:pStyle w:val="TableContents"/>
              <w:bidi w:val="0"/>
              <w:spacing w:before="0" w:after="283"/>
              <w:jc w:val="left"/>
              <w:rPr>
                <w:sz w:val="4"/>
                <w:szCs w:val="4"/>
              </w:rPr>
            </w:pPr>
            <w:r>
              <w:rPr>
                <w:sz w:val="4"/>
                <w:szCs w:val="4"/>
              </w:rPr>
            </w:r>
          </w:p>
        </w:tc>
        <w:tc>
          <w:tcPr>
            <w:tcW w:w="1155"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Fair Value</w:t>
            </w:r>
          </w:p>
        </w:tc>
      </w:tr>
      <w:tr>
        <w:trPr/>
        <w:tc>
          <w:tcPr>
            <w:tcW w:w="475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Nonvested restricted stock at beginning of period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87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r>
      <w:tr>
        <w:trPr/>
        <w:tc>
          <w:tcPr>
            <w:tcW w:w="475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Granted</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1,323</w:t>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8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37.79</w:t>
            </w:r>
          </w:p>
        </w:tc>
      </w:tr>
      <w:tr>
        <w:trPr/>
        <w:tc>
          <w:tcPr>
            <w:tcW w:w="475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Vested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4"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87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r>
      <w:tr>
        <w:trPr/>
        <w:tc>
          <w:tcPr>
            <w:tcW w:w="475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Nonvested restricted stock at end of period</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1,323</w:t>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871" w:type="dxa"/>
            <w:tcBorders>
              <w:bottom w:val="double" w:sz="6"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37.79</w:t>
            </w:r>
          </w:p>
        </w:tc>
      </w:tr>
    </w:tbl>
    <w:p>
      <w:pPr>
        <w:pStyle w:val="TextBody"/>
        <w:bidi w:val="0"/>
        <w:spacing w:lineRule="auto" w:line="259"/>
        <w:rPr>
          <w:rFonts w:ascii="Times New Roman;serif" w:hAnsi="Times New Roman;serif"/>
          <w:sz w:val="24"/>
        </w:rPr>
      </w:pPr>
      <w:r>
        <w:rPr>
          <w:rFonts w:ascii="Times New Roman;serif" w:hAnsi="Times New Roman;serif"/>
          <w:b/>
          <w:i/>
          <w:color w:val="000000"/>
          <w:sz w:val="24"/>
        </w:rPr>
        <w:t xml:space="preserve">Stock Awards </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 xml:space="preserve">Stock awards represent the issuance of the Company’s common stock, without restriction. The issuance of stock awards results in compensation expense that is equal to the fair market value of the stock on the grant date and is expensed immediately upon grant. The following table provides the compensation cost and income tax benefit for stock-based compensation related to stock awards: </w:t>
      </w:r>
    </w:p>
    <w:tbl>
      <w:tblPr>
        <w:tblW w:w="10205" w:type="dxa"/>
        <w:jc w:val="left"/>
        <w:tblInd w:w="0" w:type="dxa"/>
        <w:tblLayout w:type="fixed"/>
        <w:tblCellMar>
          <w:top w:w="0" w:type="dxa"/>
          <w:left w:w="0" w:type="dxa"/>
          <w:bottom w:w="0" w:type="dxa"/>
          <w:right w:w="0" w:type="dxa"/>
        </w:tblCellMar>
      </w:tblPr>
      <w:tblGrid>
        <w:gridCol w:w="6126"/>
        <w:gridCol w:w="109"/>
        <w:gridCol w:w="371"/>
        <w:gridCol w:w="766"/>
        <w:gridCol w:w="178"/>
        <w:gridCol w:w="395"/>
        <w:gridCol w:w="299"/>
        <w:gridCol w:w="109"/>
        <w:gridCol w:w="329"/>
        <w:gridCol w:w="678"/>
        <w:gridCol w:w="158"/>
        <w:gridCol w:w="346"/>
        <w:gridCol w:w="341"/>
      </w:tblGrid>
      <w:tr>
        <w:trPr/>
        <w:tc>
          <w:tcPr>
            <w:tcW w:w="6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r>
      <w:tr>
        <w:trPr/>
        <w:tc>
          <w:tcPr>
            <w:tcW w:w="6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r>
      <w:tr>
        <w:trPr/>
        <w:tc>
          <w:tcPr>
            <w:tcW w:w="6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9" w:type="dxa"/>
            <w:gridSpan w:val="5"/>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852" w:type="dxa"/>
            <w:gridSpan w:val="5"/>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Six Months Ended</w:t>
            </w:r>
          </w:p>
        </w:tc>
      </w:tr>
      <w:tr>
        <w:trPr/>
        <w:tc>
          <w:tcPr>
            <w:tcW w:w="6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9"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852"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June 30,</w:t>
            </w:r>
          </w:p>
        </w:tc>
      </w:tr>
      <w:tr>
        <w:trPr/>
        <w:tc>
          <w:tcPr>
            <w:tcW w:w="6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2026</w:t>
            </w:r>
          </w:p>
        </w:tc>
        <w:tc>
          <w:tcPr>
            <w:tcW w:w="17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94"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2025</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2026</w:t>
            </w:r>
          </w:p>
        </w:tc>
        <w:tc>
          <w:tcPr>
            <w:tcW w:w="15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87"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2025</w:t>
            </w:r>
          </w:p>
        </w:tc>
      </w:tr>
      <w:tr>
        <w:trPr/>
        <w:tc>
          <w:tcPr>
            <w:tcW w:w="61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Stock-based compensation within operations and maintenance expenses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76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810</w:t>
            </w:r>
          </w:p>
        </w:tc>
        <w:tc>
          <w:tcPr>
            <w:tcW w:w="178" w:type="dxa"/>
            <w:tcBorders/>
            <w:shd w:fill="CCEEFF" w:val="cle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299"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67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810</w:t>
            </w:r>
          </w:p>
        </w:tc>
        <w:tc>
          <w:tcPr>
            <w:tcW w:w="158" w:type="dxa"/>
            <w:tcBorders/>
            <w:shd w:fill="CCEEFF" w:val="cle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34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r>
      <w:tr>
        <w:trPr/>
        <w:tc>
          <w:tcPr>
            <w:tcW w:w="61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Income tax benefit</w:t>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76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218</w:t>
            </w:r>
          </w:p>
        </w:tc>
        <w:tc>
          <w:tcPr>
            <w:tcW w:w="17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29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67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218</w:t>
            </w:r>
          </w:p>
        </w:tc>
        <w:tc>
          <w:tcPr>
            <w:tcW w:w="15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3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r>
    </w:tbl>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22</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563C1"/>
            <w:sz w:val="24"/>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ESSENTIAL UTILITIES, INC. AND SUBSIDIARIES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NOTES TO CONDENSED CONSOLIDATED FINANCIAL STATEMENTS (continued)</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(In thousands of dollars, except per share amounts)</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(UNAUDITED)</w:t>
      </w:r>
    </w:p>
    <w:p>
      <w:pPr>
        <w:pStyle w:val="TextBody"/>
        <w:bidi w:val="0"/>
        <w:spacing w:lineRule="auto" w:line="259"/>
        <w:rPr>
          <w:caps w:val="false"/>
          <w:smallCaps w:val="false"/>
          <w:color w:val="000000"/>
        </w:rPr>
      </w:pPr>
      <w:r>
        <w:rPr>
          <w:caps w:val="false"/>
          <w:smallCaps w:val="false"/>
          <w:color w:val="000000"/>
        </w:rPr>
        <w:t>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The following table summarizes stock award transactions for the six months ended June 30, 2026:</w:t>
      </w:r>
    </w:p>
    <w:tbl>
      <w:tblPr>
        <w:tblW w:w="7405" w:type="dxa"/>
        <w:jc w:val="left"/>
        <w:tblInd w:w="0" w:type="dxa"/>
        <w:tblLayout w:type="fixed"/>
        <w:tblCellMar>
          <w:top w:w="0" w:type="dxa"/>
          <w:left w:w="0" w:type="dxa"/>
          <w:bottom w:w="0" w:type="dxa"/>
          <w:right w:w="0" w:type="dxa"/>
        </w:tblCellMar>
      </w:tblPr>
      <w:tblGrid>
        <w:gridCol w:w="4576"/>
        <w:gridCol w:w="109"/>
        <w:gridCol w:w="1456"/>
        <w:gridCol w:w="109"/>
        <w:gridCol w:w="284"/>
        <w:gridCol w:w="871"/>
      </w:tblGrid>
      <w:tr>
        <w:trPr/>
        <w:tc>
          <w:tcPr>
            <w:tcW w:w="4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4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4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Number</w:t>
            </w:r>
          </w:p>
        </w:tc>
        <w:tc>
          <w:tcPr>
            <w:tcW w:w="109" w:type="dxa"/>
            <w:tcBorders/>
            <w:vAlign w:val="center"/>
          </w:tcPr>
          <w:p>
            <w:pPr>
              <w:pStyle w:val="TableContents"/>
              <w:bidi w:val="0"/>
              <w:spacing w:before="0" w:after="283"/>
              <w:jc w:val="left"/>
              <w:rPr>
                <w:sz w:val="4"/>
                <w:szCs w:val="4"/>
              </w:rPr>
            </w:pPr>
            <w:r>
              <w:rPr>
                <w:sz w:val="4"/>
                <w:szCs w:val="4"/>
              </w:rPr>
            </w:r>
          </w:p>
        </w:tc>
        <w:tc>
          <w:tcPr>
            <w:tcW w:w="1155"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Weighted</w:t>
            </w:r>
          </w:p>
        </w:tc>
      </w:tr>
      <w:tr>
        <w:trPr/>
        <w:tc>
          <w:tcPr>
            <w:tcW w:w="4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of</w:t>
            </w:r>
          </w:p>
        </w:tc>
        <w:tc>
          <w:tcPr>
            <w:tcW w:w="109" w:type="dxa"/>
            <w:tcBorders/>
            <w:vAlign w:val="center"/>
          </w:tcPr>
          <w:p>
            <w:pPr>
              <w:pStyle w:val="TableContents"/>
              <w:bidi w:val="0"/>
              <w:spacing w:before="0" w:after="283"/>
              <w:jc w:val="left"/>
              <w:rPr>
                <w:sz w:val="4"/>
                <w:szCs w:val="4"/>
              </w:rPr>
            </w:pPr>
            <w:r>
              <w:rPr>
                <w:sz w:val="4"/>
                <w:szCs w:val="4"/>
              </w:rPr>
            </w:r>
          </w:p>
        </w:tc>
        <w:tc>
          <w:tcPr>
            <w:tcW w:w="1155"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Average</w:t>
            </w:r>
          </w:p>
        </w:tc>
      </w:tr>
      <w:tr>
        <w:trPr/>
        <w:tc>
          <w:tcPr>
            <w:tcW w:w="4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Stock Awards</w:t>
            </w:r>
          </w:p>
        </w:tc>
        <w:tc>
          <w:tcPr>
            <w:tcW w:w="109" w:type="dxa"/>
            <w:tcBorders/>
            <w:vAlign w:val="center"/>
          </w:tcPr>
          <w:p>
            <w:pPr>
              <w:pStyle w:val="TableContents"/>
              <w:bidi w:val="0"/>
              <w:spacing w:before="0" w:after="283"/>
              <w:jc w:val="left"/>
              <w:rPr>
                <w:sz w:val="4"/>
                <w:szCs w:val="4"/>
              </w:rPr>
            </w:pPr>
            <w:r>
              <w:rPr>
                <w:sz w:val="4"/>
                <w:szCs w:val="4"/>
              </w:rPr>
            </w:r>
          </w:p>
        </w:tc>
        <w:tc>
          <w:tcPr>
            <w:tcW w:w="1155"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Fair Value</w:t>
            </w:r>
          </w:p>
        </w:tc>
      </w:tr>
      <w:tr>
        <w:trPr/>
        <w:tc>
          <w:tcPr>
            <w:tcW w:w="45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Nonvested stock awards at beginning of period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5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87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r>
      <w:tr>
        <w:trPr/>
        <w:tc>
          <w:tcPr>
            <w:tcW w:w="45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Granted</w:t>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21,996</w:t>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8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36.83</w:t>
            </w:r>
          </w:p>
        </w:tc>
      </w:tr>
      <w:tr>
        <w:trPr/>
        <w:tc>
          <w:tcPr>
            <w:tcW w:w="45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Vested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5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(21,996)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8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36.83</w:t>
            </w:r>
          </w:p>
        </w:tc>
      </w:tr>
      <w:tr>
        <w:trPr/>
        <w:tc>
          <w:tcPr>
            <w:tcW w:w="45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Nonvested stock awards at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8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r>
    </w:tbl>
    <w:p>
      <w:pPr>
        <w:pStyle w:val="TextBody"/>
        <w:bidi w:val="0"/>
        <w:spacing w:lineRule="auto" w:line="259"/>
        <w:rPr>
          <w:rFonts w:ascii="Times New Roman;serif" w:hAnsi="Times New Roman;serif"/>
          <w:sz w:val="24"/>
        </w:rPr>
      </w:pPr>
      <w:bookmarkStart w:id="20" w:name="_Hlk39133620"/>
      <w:bookmarkEnd w:id="20"/>
      <w:r>
        <w:rPr>
          <w:rFonts w:ascii="Times New Roman;serif" w:hAnsi="Times New Roman;serif"/>
          <w:b/>
          <w:i w:val="false"/>
          <w:caps w:val="false"/>
          <w:smallCaps w:val="false"/>
          <w:color w:val="000000"/>
          <w:sz w:val="24"/>
        </w:rPr>
        <w:t xml:space="preserve">Note 11 – </w:t>
      </w:r>
      <w:r>
        <w:rPr>
          <w:rFonts w:ascii="Times New Roman;serif" w:hAnsi="Times New Roman;serif"/>
          <w:b/>
          <w:i/>
          <w:color w:val="000000"/>
          <w:sz w:val="24"/>
        </w:rPr>
        <w:t>Pension Plans and Other Postretirement Benefits</w:t>
      </w:r>
      <w:r>
        <w:rPr>
          <w:rFonts w:ascii="Times New Roman;serif" w:hAnsi="Times New Roman;serif"/>
          <w:caps w:val="false"/>
          <w:smallCaps w:val="false"/>
          <w:color w:val="000000"/>
          <w:sz w:val="24"/>
        </w:rPr>
        <w:t xml:space="preserve">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 xml:space="preserve">The Company maintains a qualified defined benefit pension plan (the “Pension Plan”), a nonqualified pension plan, and other postretirement benefit plans for certain of its employees.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The following tables provide the components of net periodic benefit cost for the Company’s pension and other postretirement benefit plans:</w:t>
      </w:r>
    </w:p>
    <w:tbl>
      <w:tblPr>
        <w:tblW w:w="7855" w:type="dxa"/>
        <w:jc w:val="left"/>
        <w:tblInd w:w="0" w:type="dxa"/>
        <w:tblLayout w:type="fixed"/>
        <w:tblCellMar>
          <w:top w:w="0" w:type="dxa"/>
          <w:left w:w="0" w:type="dxa"/>
          <w:bottom w:w="0" w:type="dxa"/>
          <w:right w:w="0" w:type="dxa"/>
        </w:tblCellMar>
      </w:tblPr>
      <w:tblGrid>
        <w:gridCol w:w="3286"/>
        <w:gridCol w:w="109"/>
        <w:gridCol w:w="226"/>
        <w:gridCol w:w="796"/>
        <w:gridCol w:w="109"/>
        <w:gridCol w:w="226"/>
        <w:gridCol w:w="796"/>
        <w:gridCol w:w="109"/>
        <w:gridCol w:w="226"/>
        <w:gridCol w:w="796"/>
        <w:gridCol w:w="109"/>
        <w:gridCol w:w="226"/>
        <w:gridCol w:w="841"/>
      </w:tblGrid>
      <w:tr>
        <w:trPr/>
        <w:tc>
          <w:tcPr>
            <w:tcW w:w="3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3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0" w:type="dxa"/>
            <w:gridSpan w:val="11"/>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Pension Benefits</w:t>
            </w:r>
          </w:p>
        </w:tc>
      </w:tr>
      <w:tr>
        <w:trPr/>
        <w:tc>
          <w:tcPr>
            <w:tcW w:w="3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3" w:type="dxa"/>
            <w:gridSpan w:val="5"/>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Three Months Ended</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198" w:type="dxa"/>
            <w:gridSpan w:val="5"/>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Six Months Ended</w:t>
            </w:r>
          </w:p>
        </w:tc>
      </w:tr>
      <w:tr>
        <w:trPr/>
        <w:tc>
          <w:tcPr>
            <w:tcW w:w="3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3"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2198"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June 30,</w:t>
            </w:r>
          </w:p>
        </w:tc>
      </w:tr>
      <w:tr>
        <w:trPr/>
        <w:tc>
          <w:tcPr>
            <w:tcW w:w="3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2026</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2025</w:t>
            </w:r>
          </w:p>
        </w:tc>
        <w:tc>
          <w:tcPr>
            <w:tcW w:w="109" w:type="dxa"/>
            <w:tcBorders/>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2026</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2025</w:t>
            </w:r>
          </w:p>
        </w:tc>
      </w:tr>
      <w:tr>
        <w:trPr/>
        <w:tc>
          <w:tcPr>
            <w:tcW w:w="32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Service cost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79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79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304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79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444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84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608</w:t>
            </w:r>
          </w:p>
        </w:tc>
      </w:tr>
      <w:tr>
        <w:trPr/>
        <w:tc>
          <w:tcPr>
            <w:tcW w:w="32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Interest cost</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3,770</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3,991</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7,541</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7,982</w:t>
            </w:r>
          </w:p>
        </w:tc>
      </w:tr>
      <w:tr>
        <w:trPr/>
        <w:tc>
          <w:tcPr>
            <w:tcW w:w="32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Expected return on plan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(4,251)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(4,266)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(8,502)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(8,532)</w:t>
            </w:r>
          </w:p>
        </w:tc>
      </w:tr>
      <w:tr>
        <w:trPr/>
        <w:tc>
          <w:tcPr>
            <w:tcW w:w="32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Amortization of prior service cost</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76</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78</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153</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156</w:t>
            </w:r>
          </w:p>
        </w:tc>
      </w:tr>
      <w:tr>
        <w:trPr/>
        <w:tc>
          <w:tcPr>
            <w:tcW w:w="32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Amortization of actuarial loss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825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833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1,649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1,666</w:t>
            </w:r>
          </w:p>
        </w:tc>
      </w:tr>
      <w:tr>
        <w:trPr/>
        <w:tc>
          <w:tcPr>
            <w:tcW w:w="32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Net periodic benefit cost</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7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642</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7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940</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7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1,285</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84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1,880</w:t>
            </w:r>
          </w:p>
        </w:tc>
      </w:tr>
    </w:tbl>
    <w:tbl>
      <w:tblPr>
        <w:tblW w:w="7923" w:type="dxa"/>
        <w:jc w:val="left"/>
        <w:tblInd w:w="0" w:type="dxa"/>
        <w:tblLayout w:type="fixed"/>
        <w:tblCellMar>
          <w:top w:w="0" w:type="dxa"/>
          <w:left w:w="0" w:type="dxa"/>
          <w:bottom w:w="0" w:type="dxa"/>
          <w:right w:w="0" w:type="dxa"/>
        </w:tblCellMar>
      </w:tblPr>
      <w:tblGrid>
        <w:gridCol w:w="3166"/>
        <w:gridCol w:w="109"/>
        <w:gridCol w:w="226"/>
        <w:gridCol w:w="874"/>
        <w:gridCol w:w="119"/>
        <w:gridCol w:w="248"/>
        <w:gridCol w:w="874"/>
        <w:gridCol w:w="109"/>
        <w:gridCol w:w="226"/>
        <w:gridCol w:w="796"/>
        <w:gridCol w:w="109"/>
        <w:gridCol w:w="226"/>
        <w:gridCol w:w="841"/>
      </w:tblGrid>
      <w:tr>
        <w:trPr/>
        <w:tc>
          <w:tcPr>
            <w:tcW w:w="3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3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8" w:type="dxa"/>
            <w:gridSpan w:val="11"/>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Other</w:t>
            </w:r>
          </w:p>
        </w:tc>
      </w:tr>
      <w:tr>
        <w:trPr/>
        <w:tc>
          <w:tcPr>
            <w:tcW w:w="3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8" w:type="dxa"/>
            <w:gridSpan w:val="11"/>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Postretirement Benefits</w:t>
            </w:r>
          </w:p>
        </w:tc>
      </w:tr>
      <w:tr>
        <w:trPr/>
        <w:tc>
          <w:tcPr>
            <w:tcW w:w="3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115" w:type="dxa"/>
            <w:gridSpan w:val="4"/>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Three Months Ended</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972" w:type="dxa"/>
            <w:gridSpan w:val="4"/>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Six Months Ended</w:t>
            </w:r>
          </w:p>
        </w:tc>
      </w:tr>
      <w:tr>
        <w:trPr/>
        <w:tc>
          <w:tcPr>
            <w:tcW w:w="3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15" w:type="dxa"/>
            <w:gridSpan w:val="4"/>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972" w:type="dxa"/>
            <w:gridSpan w:val="4"/>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June 30,</w:t>
            </w:r>
          </w:p>
        </w:tc>
      </w:tr>
      <w:tr>
        <w:trPr/>
        <w:tc>
          <w:tcPr>
            <w:tcW w:w="3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2026</w:t>
            </w:r>
          </w:p>
        </w:tc>
        <w:tc>
          <w:tcPr>
            <w:tcW w:w="11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2025</w:t>
            </w:r>
          </w:p>
        </w:tc>
        <w:tc>
          <w:tcPr>
            <w:tcW w:w="109" w:type="dxa"/>
            <w:tcBorders/>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2026</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2025</w:t>
            </w:r>
          </w:p>
        </w:tc>
      </w:tr>
      <w:tr>
        <w:trPr/>
        <w:tc>
          <w:tcPr>
            <w:tcW w:w="31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Service cost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874"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415</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874"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372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79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830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84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744</w:t>
            </w:r>
          </w:p>
        </w:tc>
      </w:tr>
      <w:tr>
        <w:trPr/>
        <w:tc>
          <w:tcPr>
            <w:tcW w:w="31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Interest cost</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1,139</w:t>
            </w:r>
          </w:p>
        </w:tc>
        <w:tc>
          <w:tcPr>
            <w:tcW w:w="11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1,132</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2,277</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2,264</w:t>
            </w:r>
          </w:p>
        </w:tc>
      </w:tr>
      <w:tr>
        <w:trPr/>
        <w:tc>
          <w:tcPr>
            <w:tcW w:w="31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Expected return on plan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87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(1,154)</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248" w:type="dxa"/>
            <w:tcBorders/>
            <w:shd w:fill="CCEEFF" w:val="clear"/>
            <w:vAlign w:val="center"/>
          </w:tcPr>
          <w:p>
            <w:pPr>
              <w:pStyle w:val="TableContents"/>
              <w:bidi w:val="0"/>
              <w:spacing w:before="0" w:after="283"/>
              <w:jc w:val="left"/>
              <w:rPr>
                <w:sz w:val="4"/>
                <w:szCs w:val="4"/>
              </w:rPr>
            </w:pPr>
            <w:r>
              <w:rPr>
                <w:sz w:val="4"/>
                <w:szCs w:val="4"/>
              </w:rPr>
            </w:r>
          </w:p>
        </w:tc>
        <w:tc>
          <w:tcPr>
            <w:tcW w:w="87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(1,071)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(2,309)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(2,142)</w:t>
            </w:r>
          </w:p>
        </w:tc>
      </w:tr>
      <w:tr>
        <w:trPr/>
        <w:tc>
          <w:tcPr>
            <w:tcW w:w="31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Amortization of actuarial gain</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4"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(663)</w:t>
            </w:r>
          </w:p>
        </w:tc>
        <w:tc>
          <w:tcPr>
            <w:tcW w:w="119" w:type="dxa"/>
            <w:tcBorders/>
            <w:vAlign w:val="center"/>
          </w:tcPr>
          <w:p>
            <w:pPr>
              <w:pStyle w:val="TableContents"/>
              <w:bidi w:val="0"/>
              <w:spacing w:before="0" w:after="283"/>
              <w:jc w:val="left"/>
              <w:rPr>
                <w:sz w:val="4"/>
                <w:szCs w:val="4"/>
              </w:rPr>
            </w:pPr>
            <w:r>
              <w:rPr>
                <w:sz w:val="4"/>
                <w:szCs w:val="4"/>
              </w:rPr>
            </w:r>
          </w:p>
        </w:tc>
        <w:tc>
          <w:tcPr>
            <w:tcW w:w="24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4"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(401)</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(1,325)</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(802)</w:t>
            </w:r>
          </w:p>
        </w:tc>
      </w:tr>
      <w:tr>
        <w:trPr/>
        <w:tc>
          <w:tcPr>
            <w:tcW w:w="31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Net periodic benefit cost (credit)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874"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(263)</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874"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79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(527)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84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64</w:t>
            </w:r>
          </w:p>
        </w:tc>
      </w:tr>
    </w:tbl>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23</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563C1"/>
            <w:sz w:val="24"/>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ESSENTIAL UTILITIES, INC. AND SUBSIDIARIES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NOTES TO CONDENSED CONSOLIDATED FINANCIAL STATEMENTS (continued)</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(In thousands of dollars, except per share amounts)</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(UNAUDITED)</w:t>
      </w:r>
    </w:p>
    <w:p>
      <w:pPr>
        <w:pStyle w:val="TextBody"/>
        <w:bidi w:val="0"/>
        <w:spacing w:lineRule="auto" w:line="259"/>
        <w:rPr>
          <w:caps w:val="false"/>
          <w:smallCaps w:val="false"/>
          <w:color w:val="000000"/>
        </w:rPr>
      </w:pPr>
      <w:r>
        <w:rPr>
          <w:caps w:val="false"/>
          <w:smallCaps w:val="false"/>
          <w:color w:val="000000"/>
        </w:rPr>
        <w:t>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 xml:space="preserve">The net periodic benefit cost is based on estimated values and an extensive use of assumptions about the discount rate, expected return on plan assets, the rate of future compensation increases received by the Company’s employees, mortality, turnover, and medical costs. The Company presents the components of net periodic benefit cost other than service cost in the condensed consolidated statements of operations and comprehensive income on the line item “Other”. </w:t>
      </w:r>
    </w:p>
    <w:p>
      <w:pPr>
        <w:pStyle w:val="TextBody"/>
        <w:bidi w:val="0"/>
        <w:spacing w:lineRule="auto" w:line="259"/>
        <w:rPr>
          <w:rFonts w:ascii="Times New Roman;serif" w:hAnsi="Times New Roman;serif"/>
          <w:sz w:val="24"/>
        </w:rPr>
      </w:pPr>
      <w:r>
        <w:rPr>
          <w:rFonts w:ascii="Times New Roman;serif" w:hAnsi="Times New Roman;serif"/>
          <w:b w:val="false"/>
          <w:i w:val="false"/>
          <w:caps w:val="false"/>
          <w:smallCaps w:val="false"/>
          <w:color w:val="000000"/>
          <w:sz w:val="24"/>
        </w:rPr>
        <w:t>In December 2025, the Company’s Board of Directors approved the termination of the non-qualified pension plan. Consequently, participants no longer accrue benefits under the plan. The settlement of the related benefit obligations is expected to occur in the fourth quarter of 2026. As of June 30, 2026 and December 31, 2025, the total benefit obligation associated with the non-qualified pension plan was $19,021</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and $18,406, respectively, and is included in other accrued liabilities in the consolidated balance sheets.</w:t>
      </w:r>
    </w:p>
    <w:p>
      <w:pPr>
        <w:pStyle w:val="TextBody"/>
        <w:bidi w:val="0"/>
        <w:spacing w:lineRule="auto" w:line="259"/>
        <w:rPr>
          <w:rFonts w:ascii="Times New Roman;serif" w:hAnsi="Times New Roman;serif"/>
          <w:sz w:val="24"/>
        </w:rPr>
      </w:pPr>
      <w:r>
        <w:rPr>
          <w:rFonts w:ascii="Times New Roman;serif" w:hAnsi="Times New Roman;serif"/>
          <w:b w:val="false"/>
          <w:i w:val="false"/>
          <w:caps w:val="false"/>
          <w:smallCaps w:val="false"/>
          <w:color w:val="000000"/>
          <w:sz w:val="24"/>
        </w:rPr>
        <w:t>The Company did not make cash contributions to the Pension Plan during the first half of 2026 and intends to make cash contributions of $2,416</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later in the year.  </w:t>
      </w:r>
    </w:p>
    <w:p>
      <w:pPr>
        <w:pStyle w:val="TextBody"/>
        <w:bidi w:val="0"/>
        <w:spacing w:lineRule="auto" w:line="259"/>
        <w:rPr>
          <w:rFonts w:ascii="Times New Roman;serif" w:hAnsi="Times New Roman;serif"/>
          <w:sz w:val="24"/>
        </w:rPr>
      </w:pPr>
      <w:r>
        <w:rPr>
          <w:rFonts w:ascii="Times New Roman;serif" w:hAnsi="Times New Roman;serif"/>
          <w:b/>
          <w:i w:val="false"/>
          <w:caps w:val="false"/>
          <w:smallCaps w:val="false"/>
          <w:color w:val="000000"/>
          <w:sz w:val="24"/>
        </w:rPr>
        <w:t xml:space="preserve">Note 12 – </w:t>
      </w:r>
      <w:r>
        <w:rPr>
          <w:rFonts w:ascii="Times New Roman;serif" w:hAnsi="Times New Roman;serif"/>
          <w:b/>
          <w:i/>
          <w:color w:val="000000"/>
          <w:sz w:val="24"/>
        </w:rPr>
        <w:t>Rate Activity</w:t>
      </w:r>
      <w:r>
        <w:rPr>
          <w:rFonts w:ascii="Times New Roman;serif" w:hAnsi="Times New Roman;serif"/>
          <w:caps w:val="false"/>
          <w:smallCaps w:val="false"/>
          <w:color w:val="000000"/>
          <w:sz w:val="24"/>
        </w:rPr>
        <w:t> </w:t>
      </w:r>
    </w:p>
    <w:p>
      <w:pPr>
        <w:pStyle w:val="TextBody"/>
        <w:bidi w:val="0"/>
        <w:spacing w:lineRule="auto" w:line="259"/>
        <w:rPr>
          <w:rFonts w:ascii="Times New Roman;serif" w:hAnsi="Times New Roman;serif"/>
          <w:b w:val="false"/>
          <w:i/>
          <w:color w:val="000000"/>
          <w:sz w:val="24"/>
        </w:rPr>
      </w:pPr>
      <w:r>
        <w:rPr>
          <w:rFonts w:ascii="Times New Roman;serif" w:hAnsi="Times New Roman;serif"/>
          <w:b w:val="false"/>
          <w:i/>
          <w:color w:val="000000"/>
          <w:sz w:val="24"/>
        </w:rPr>
        <w:t>Completed Rate Case Proceedings</w:t>
      </w:r>
    </w:p>
    <w:p>
      <w:pPr>
        <w:pStyle w:val="TextBody"/>
        <w:bidi w:val="0"/>
        <w:spacing w:lineRule="auto" w:line="259"/>
        <w:rPr>
          <w:rFonts w:ascii="Times New Roman;serif" w:hAnsi="Times New Roman;serif"/>
          <w:sz w:val="24"/>
        </w:rPr>
      </w:pPr>
      <w:r>
        <w:rPr>
          <w:rFonts w:ascii="Times New Roman;serif" w:hAnsi="Times New Roman;serif"/>
          <w:b w:val="false"/>
          <w:i w:val="false"/>
          <w:caps w:val="false"/>
          <w:smallCaps w:val="false"/>
          <w:color w:val="000000"/>
          <w:sz w:val="24"/>
        </w:rPr>
        <w:t>On July 6, 2026, the Company’s regulated water and wastewater operating subsidiary in North Carolina received a final order from the North Carolina Utilities Commission authorizing new base rates designed to increase operating revenues on an annual basis by $24,240</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in the first year of new rates being implemented and then by an additional $5,455</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and $5,306</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in the second and third years, respectively.  The Company implemented interim rates in January 2026 and expects to bill customers for the difference between interim rates and the final approved rates.</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 xml:space="preserve">On June 10, 2026, the Company’s regulated water and wastewater operating subsidiaries in Ohio received an order from the Public Utilities Commission of Ohio (“PUCO”) approving new base rates designed to increase operating revenues on an annual basis by $10,536. On July 10, 2026, the Office of the Ohio Consumers’ Counsel filed an application for rehearing of the PUCO order. New rates went into effect on July 22, 2026. </w:t>
      </w:r>
    </w:p>
    <w:p>
      <w:pPr>
        <w:pStyle w:val="TextBody"/>
        <w:bidi w:val="0"/>
        <w:spacing w:lineRule="auto" w:line="259"/>
        <w:rPr>
          <w:rFonts w:ascii="Times New Roman;serif" w:hAnsi="Times New Roman;serif"/>
          <w:sz w:val="24"/>
        </w:rPr>
      </w:pPr>
      <w:r>
        <w:rPr>
          <w:rFonts w:ascii="Times New Roman;serif" w:hAnsi="Times New Roman;serif"/>
          <w:b w:val="false"/>
          <w:i w:val="false"/>
          <w:caps w:val="false"/>
          <w:smallCaps w:val="false"/>
          <w:color w:val="000000"/>
          <w:sz w:val="24"/>
        </w:rPr>
        <w:t>On July 1, 2025, the Company’s natural gas operating subsidiary in Kentucky received an order from the Kentucky Public Service Commission approving the settlement agreement that allowed base rate increases designed to increase total annual operating revenue by $7,700</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 xml:space="preserve">or 11.2%. New rates went into effect on July 1, 2025. </w:t>
      </w:r>
    </w:p>
    <w:p>
      <w:pPr>
        <w:pStyle w:val="TextBody"/>
        <w:bidi w:val="0"/>
        <w:spacing w:lineRule="auto" w:line="259"/>
        <w:rPr>
          <w:rFonts w:ascii="Times New Roman;serif" w:hAnsi="Times New Roman;serif"/>
          <w:sz w:val="24"/>
        </w:rPr>
      </w:pPr>
      <w:r>
        <w:rPr>
          <w:rFonts w:ascii="Times New Roman;serif" w:hAnsi="Times New Roman;serif"/>
          <w:b w:val="false"/>
          <w:i w:val="false"/>
          <w:caps w:val="false"/>
          <w:smallCaps w:val="false"/>
          <w:color w:val="000000"/>
          <w:sz w:val="24"/>
        </w:rPr>
        <w:t>On February 7, 2025, the Pennsylvania Public Utility Commission (“PAPUC”) issued an order approving, with certain minor modifications, the joint petition for non-unanimous partial settlement filed by Aqua Pennsylvania, Office of Consumer Advocate, and other groups, that allowed a base rate increase designed to increase total annual operating revenues by $73,000. New rates went into effect on February 22, 2025. At the time the rate order was received, the rates in effect also included $37,940</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in Distribution System Improvement Charges (“DSIC”), which was 6.73% above prior base rates. Consequently, the aggregate annual base rates increased by $110,940</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 xml:space="preserve">since the last base rate increase and DSIC was reset to zero.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24</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563C1"/>
            <w:sz w:val="24"/>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ESSENTIAL UTILITIES, INC. AND SUBSIDIARIES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NOTES TO CONDENSED CONSOLIDATED FINANCIAL STATEMENTS (continued)</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(In thousands of dollars, except per share amounts)</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(UNAUDITED)</w:t>
      </w:r>
    </w:p>
    <w:p>
      <w:pPr>
        <w:pStyle w:val="TextBody"/>
        <w:bidi w:val="0"/>
        <w:spacing w:lineRule="auto" w:line="259"/>
        <w:rPr>
          <w:caps w:val="false"/>
          <w:smallCaps w:val="false"/>
          <w:color w:val="000000"/>
        </w:rPr>
      </w:pPr>
      <w:r>
        <w:rPr>
          <w:caps w:val="false"/>
          <w:smallCaps w:val="false"/>
          <w:color w:val="000000"/>
        </w:rPr>
        <w:t> </w:t>
      </w:r>
    </w:p>
    <w:p>
      <w:pPr>
        <w:pStyle w:val="TextBody"/>
        <w:bidi w:val="0"/>
        <w:spacing w:lineRule="auto" w:line="259"/>
        <w:rPr>
          <w:rFonts w:ascii="Times New Roman;serif" w:hAnsi="Times New Roman;serif"/>
          <w:sz w:val="24"/>
        </w:rPr>
      </w:pPr>
      <w:r>
        <w:rPr>
          <w:rFonts w:ascii="Times New Roman;serif" w:hAnsi="Times New Roman;serif"/>
          <w:b w:val="false"/>
          <w:i w:val="false"/>
          <w:caps w:val="false"/>
          <w:smallCaps w:val="false"/>
          <w:color w:val="000000"/>
          <w:sz w:val="24"/>
        </w:rPr>
        <w:t>During the first six months of 2026, two</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of the Company’s water utility operating divisions in Ohio and two</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of the Company’s wastewater utility operating divisions in Indiana implemented approved base rate increases designed to increase total operating revenues on an annual basis by $1,834</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and by $1,003, respectively. Further, during the first six months ended of 2026, the Company implemented infrastructure rehabilitation surcharges designed to increase total operating revenues on an annual basis by $3,653</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in its water and wastewater utility operating divisions in Pennsylvania, by $2,610</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in its water and wastewater utility operating divisions in Illinois, by $9,804</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in its natural gas operating division in Pennsylvania, and by $2,892</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 xml:space="preserve">in its natural gas operating division in Kentucky. </w:t>
      </w:r>
    </w:p>
    <w:p>
      <w:pPr>
        <w:pStyle w:val="TextBody"/>
        <w:bidi w:val="0"/>
        <w:spacing w:lineRule="auto" w:line="259"/>
        <w:rPr>
          <w:rFonts w:ascii="Times New Roman;serif" w:hAnsi="Times New Roman;serif"/>
          <w:b w:val="false"/>
          <w:i/>
          <w:color w:val="000000"/>
          <w:sz w:val="24"/>
        </w:rPr>
      </w:pPr>
      <w:r>
        <w:rPr>
          <w:rFonts w:ascii="Times New Roman;serif" w:hAnsi="Times New Roman;serif"/>
          <w:b w:val="false"/>
          <w:i/>
          <w:color w:val="000000"/>
          <w:sz w:val="24"/>
        </w:rPr>
        <w:t xml:space="preserve">Pending Base Rate Cases </w:t>
      </w:r>
    </w:p>
    <w:p>
      <w:pPr>
        <w:pStyle w:val="TextBody"/>
        <w:bidi w:val="0"/>
        <w:spacing w:lineRule="auto" w:line="259"/>
        <w:rPr>
          <w:rFonts w:ascii="Times New Roman;serif" w:hAnsi="Times New Roman;serif"/>
          <w:sz w:val="24"/>
        </w:rPr>
      </w:pPr>
      <w:r>
        <w:rPr>
          <w:rFonts w:ascii="Times New Roman;serif" w:hAnsi="Times New Roman;serif"/>
          <w:b w:val="false"/>
          <w:i w:val="false"/>
          <w:caps w:val="false"/>
          <w:smallCaps w:val="false"/>
          <w:color w:val="000000"/>
          <w:sz w:val="24"/>
        </w:rPr>
        <w:t>On June 12, 2026, the Company’s regulated water and wastewater subsidiary in Indiana filed an application with the Indiana Utility Regulatory Commission designed to increase rates by $4,813</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in the first year of new rates being implemented, then by an additional $1,960</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and $308</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in the second and third years, respectively.</w:t>
      </w:r>
    </w:p>
    <w:p>
      <w:pPr>
        <w:pStyle w:val="TextBody"/>
        <w:bidi w:val="0"/>
        <w:spacing w:lineRule="auto" w:line="259"/>
        <w:rPr>
          <w:rFonts w:ascii="Times New Roman;serif" w:hAnsi="Times New Roman;serif"/>
          <w:sz w:val="24"/>
        </w:rPr>
      </w:pPr>
      <w:r>
        <w:rPr>
          <w:rFonts w:ascii="Times New Roman;serif" w:hAnsi="Times New Roman;serif"/>
          <w:b w:val="false"/>
          <w:i w:val="false"/>
          <w:caps w:val="false"/>
          <w:smallCaps w:val="false"/>
          <w:color w:val="000000"/>
          <w:sz w:val="24"/>
        </w:rPr>
        <w:t>On May 26, 2026,</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Aqua Illinois filed an application with the Illinois Commerce Commission designed to increase water and wastewater rates by $26,501</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 xml:space="preserve">annually. </w:t>
      </w:r>
    </w:p>
    <w:p>
      <w:pPr>
        <w:pStyle w:val="TextBody"/>
        <w:bidi w:val="0"/>
        <w:spacing w:lineRule="auto" w:line="259"/>
        <w:rPr>
          <w:rFonts w:ascii="Times New Roman;serif" w:hAnsi="Times New Roman;serif"/>
          <w:sz w:val="24"/>
        </w:rPr>
      </w:pPr>
      <w:r>
        <w:rPr>
          <w:rFonts w:ascii="Times New Roman;serif" w:hAnsi="Times New Roman;serif"/>
          <w:b w:val="false"/>
          <w:i w:val="false"/>
          <w:caps w:val="false"/>
          <w:smallCaps w:val="false"/>
          <w:color w:val="000000"/>
          <w:sz w:val="24"/>
        </w:rPr>
        <w:t>On March 27, 2026, the Company’s natural gas operating subsidiary in Pennsylvania filed an application with the PAPUC to increase operating revenues for its natural gas distribution service by approximately $163,000</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 xml:space="preserve">annually. </w:t>
      </w:r>
    </w:p>
    <w:p>
      <w:pPr>
        <w:pStyle w:val="TextBody"/>
        <w:bidi w:val="0"/>
        <w:spacing w:lineRule="auto" w:line="259"/>
        <w:rPr>
          <w:rFonts w:ascii="Times New Roman;serif" w:hAnsi="Times New Roman;serif"/>
          <w:sz w:val="24"/>
        </w:rPr>
      </w:pPr>
      <w:r>
        <w:rPr>
          <w:rFonts w:ascii="Times New Roman;serif" w:hAnsi="Times New Roman;serif"/>
          <w:b w:val="false"/>
          <w:i w:val="false"/>
          <w:caps w:val="false"/>
          <w:smallCaps w:val="false"/>
          <w:color w:val="000000"/>
          <w:sz w:val="24"/>
        </w:rPr>
        <w:t>On January 30, 2026, the Company’s regulated water and wastewater operating subsidiary in New Jersey, Aqua New Jersey, filed an application with the New Jersey Board of Public Utilities designed to increase revenues by $7,886</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annually.</w:t>
      </w:r>
    </w:p>
    <w:p>
      <w:pPr>
        <w:pStyle w:val="TextBody"/>
        <w:bidi w:val="0"/>
        <w:spacing w:lineRule="auto" w:line="259"/>
        <w:rPr>
          <w:rFonts w:ascii="Times New Roman;serif" w:hAnsi="Times New Roman;serif"/>
          <w:sz w:val="24"/>
        </w:rPr>
      </w:pPr>
      <w:r>
        <w:rPr>
          <w:rFonts w:ascii="Times New Roman;serif" w:hAnsi="Times New Roman;serif"/>
          <w:b w:val="false"/>
          <w:i w:val="false"/>
          <w:caps w:val="false"/>
          <w:smallCaps w:val="false"/>
          <w:color w:val="000000"/>
          <w:sz w:val="24"/>
        </w:rPr>
        <w:t>On July 30, 2025, the Company’s regulated water and wastewater operating subsidiary in Virginia, Aqua Virginia, filed an application with the State Corporation Commission designed to increase revenues by $7,927</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annually. Interim rates were implemented on January 26, 2026,</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based on an estimate of the final outcome of the order, with the difference between interim and final approved rates subject to refund to customers.</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On June 20, 2025, the Company’s regulated water and wastewater operating subsidiary in Texas, Aqua Texas, filed an application with the Public Utility Commission of Texas designed to increase rates by $29,149. Interim rates were implemented on March 9, 2026, based on an estimate of the final outcome of the order, with the difference between interim and final approved rates subject to refund to customers.</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25</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563C1"/>
            <w:sz w:val="24"/>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ESSENTIAL UTILITIES, INC. AND SUBSIDIARIES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NOTES TO CONDENSED CONSOLIDATED FINANCIAL STATEMENTS (continued)</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(In thousands of dollars, except per share amounts)</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(UNAUDITED)</w:t>
      </w:r>
    </w:p>
    <w:p>
      <w:pPr>
        <w:pStyle w:val="TextBody"/>
        <w:bidi w:val="0"/>
        <w:spacing w:lineRule="auto" w:line="259"/>
        <w:rPr>
          <w:caps w:val="false"/>
          <w:smallCaps w:val="false"/>
          <w:color w:val="000000"/>
        </w:rPr>
      </w:pPr>
      <w:r>
        <w:rPr>
          <w:caps w:val="false"/>
          <w:smallCaps w:val="false"/>
          <w:color w:val="000000"/>
        </w:rPr>
        <w:t> </w:t>
      </w:r>
    </w:p>
    <w:p>
      <w:pPr>
        <w:pStyle w:val="TextBody"/>
        <w:bidi w:val="0"/>
        <w:spacing w:lineRule="auto" w:line="259"/>
        <w:rPr>
          <w:rFonts w:ascii="Times New Roman;serif" w:hAnsi="Times New Roman;serif"/>
          <w:sz w:val="24"/>
        </w:rPr>
      </w:pPr>
      <w:r>
        <w:rPr>
          <w:rFonts w:ascii="Times New Roman;serif" w:hAnsi="Times New Roman;serif"/>
          <w:b/>
          <w:i w:val="false"/>
          <w:caps w:val="false"/>
          <w:smallCaps w:val="false"/>
          <w:color w:val="000000"/>
          <w:sz w:val="24"/>
        </w:rPr>
        <w:t xml:space="preserve">Note 13 – </w:t>
      </w:r>
      <w:r>
        <w:rPr>
          <w:rFonts w:ascii="Times New Roman;serif" w:hAnsi="Times New Roman;serif"/>
          <w:b/>
          <w:i/>
          <w:color w:val="000000"/>
          <w:sz w:val="24"/>
        </w:rPr>
        <w:t>Taxes Other than Income Taxes</w:t>
      </w:r>
      <w:r>
        <w:rPr>
          <w:rFonts w:ascii="Times New Roman;serif" w:hAnsi="Times New Roman;serif"/>
          <w:caps w:val="false"/>
          <w:smallCaps w:val="false"/>
          <w:color w:val="000000"/>
          <w:sz w:val="24"/>
        </w:rPr>
        <w:t> </w:t>
      </w:r>
    </w:p>
    <w:p>
      <w:pPr>
        <w:pStyle w:val="TextBody"/>
        <w:bidi w:val="0"/>
        <w:spacing w:lineRule="auto" w:line="259"/>
        <w:rPr>
          <w:caps w:val="false"/>
          <w:smallCaps w:val="false"/>
          <w:color w:val="000000"/>
        </w:rPr>
      </w:pPr>
      <w:r>
        <w:rPr>
          <w:caps w:val="false"/>
          <w:smallCaps w:val="false"/>
          <w:color w:val="000000"/>
        </w:rPr>
        <w:t>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The following table provides the components of taxes other than income taxes:</w:t>
      </w:r>
    </w:p>
    <w:tbl>
      <w:tblPr>
        <w:tblW w:w="7990" w:type="dxa"/>
        <w:jc w:val="left"/>
        <w:tblInd w:w="0" w:type="dxa"/>
        <w:tblLayout w:type="fixed"/>
        <w:tblCellMar>
          <w:top w:w="0" w:type="dxa"/>
          <w:left w:w="0" w:type="dxa"/>
          <w:bottom w:w="0" w:type="dxa"/>
          <w:right w:w="0" w:type="dxa"/>
        </w:tblCellMar>
      </w:tblPr>
      <w:tblGrid>
        <w:gridCol w:w="3481"/>
        <w:gridCol w:w="109"/>
        <w:gridCol w:w="226"/>
        <w:gridCol w:w="766"/>
        <w:gridCol w:w="109"/>
        <w:gridCol w:w="226"/>
        <w:gridCol w:w="796"/>
        <w:gridCol w:w="109"/>
        <w:gridCol w:w="226"/>
        <w:gridCol w:w="766"/>
        <w:gridCol w:w="109"/>
        <w:gridCol w:w="226"/>
        <w:gridCol w:w="841"/>
      </w:tblGrid>
      <w:tr>
        <w:trPr/>
        <w:tc>
          <w:tcPr>
            <w:tcW w:w="3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3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3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3" w:type="dxa"/>
            <w:gridSpan w:val="5"/>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2168" w:type="dxa"/>
            <w:gridSpan w:val="5"/>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Six Months Ended</w:t>
            </w:r>
          </w:p>
        </w:tc>
      </w:tr>
      <w:tr>
        <w:trPr/>
        <w:tc>
          <w:tcPr>
            <w:tcW w:w="3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3"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2168"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June 30,</w:t>
            </w:r>
          </w:p>
        </w:tc>
      </w:tr>
      <w:tr>
        <w:trPr/>
        <w:tc>
          <w:tcPr>
            <w:tcW w:w="3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2026</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2025</w:t>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2026</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2025</w:t>
            </w:r>
          </w:p>
        </w:tc>
      </w:tr>
      <w:tr>
        <w:trPr/>
        <w:tc>
          <w:tcPr>
            <w:tcW w:w="34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Property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76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9,894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79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9,085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76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19,553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84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18,156</w:t>
            </w:r>
          </w:p>
        </w:tc>
      </w:tr>
      <w:tr>
        <w:trPr/>
        <w:tc>
          <w:tcPr>
            <w:tcW w:w="34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Gross receipts, excise and franchise</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4,926</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4,600</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9,584</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7,486</w:t>
            </w:r>
          </w:p>
        </w:tc>
      </w:tr>
      <w:tr>
        <w:trPr/>
        <w:tc>
          <w:tcPr>
            <w:tcW w:w="34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Payroll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5,519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5,405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13,070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12,366</w:t>
            </w:r>
          </w:p>
        </w:tc>
      </w:tr>
      <w:tr>
        <w:trPr/>
        <w:tc>
          <w:tcPr>
            <w:tcW w:w="34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Regulatory assessments</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2,236</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2,017</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4,511</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4,052</w:t>
            </w:r>
          </w:p>
        </w:tc>
      </w:tr>
      <w:tr>
        <w:trPr/>
        <w:tc>
          <w:tcPr>
            <w:tcW w:w="34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Pumping fees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1,303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1,964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2,595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3,304</w:t>
            </w:r>
          </w:p>
        </w:tc>
      </w:tr>
      <w:tr>
        <w:trPr/>
        <w:tc>
          <w:tcPr>
            <w:tcW w:w="34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 xml:space="preserve">Other </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575</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(2,199)</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1,120</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(1,613)</w:t>
            </w:r>
          </w:p>
        </w:tc>
      </w:tr>
      <w:tr>
        <w:trPr/>
        <w:tc>
          <w:tcPr>
            <w:tcW w:w="34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Total taxes other than income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76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24,453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79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20,872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76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50,433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t>
            </w:r>
          </w:p>
        </w:tc>
        <w:tc>
          <w:tcPr>
            <w:tcW w:w="84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43,751</w:t>
            </w:r>
          </w:p>
        </w:tc>
      </w:tr>
      <w:tr>
        <w:trPr/>
        <w:tc>
          <w:tcPr>
            <w:tcW w:w="3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76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7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76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84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9"/>
        <w:rPr>
          <w:rFonts w:ascii="Times New Roman;serif" w:hAnsi="Times New Roman;serif"/>
          <w:b w:val="false"/>
          <w:i w:val="false"/>
          <w:caps w:val="false"/>
          <w:smallCaps w:val="false"/>
          <w:color w:val="000000"/>
          <w:sz w:val="2"/>
        </w:rPr>
      </w:pPr>
      <w:r>
        <w:rPr>
          <w:rFonts w:ascii="Times New Roman;serif" w:hAnsi="Times New Roman;serif"/>
          <w:b w:val="false"/>
          <w:i w:val="false"/>
          <w:caps w:val="false"/>
          <w:smallCaps w:val="false"/>
          <w:color w:val="000000"/>
          <w:sz w:val="2"/>
        </w:rPr>
        <w:t>\</w:t>
      </w:r>
    </w:p>
    <w:p>
      <w:pPr>
        <w:pStyle w:val="TextBody"/>
        <w:bidi w:val="0"/>
        <w:spacing w:lineRule="auto" w:line="259"/>
        <w:rPr>
          <w:rFonts w:ascii="Times New Roman;serif" w:hAnsi="Times New Roman;serif"/>
          <w:sz w:val="24"/>
        </w:rPr>
      </w:pPr>
      <w:r>
        <w:rPr>
          <w:rFonts w:ascii="Times New Roman;serif" w:hAnsi="Times New Roman;serif"/>
          <w:b/>
          <w:i w:val="false"/>
          <w:caps w:val="false"/>
          <w:smallCaps w:val="false"/>
          <w:color w:val="000000"/>
          <w:sz w:val="24"/>
        </w:rPr>
        <w:t xml:space="preserve">Note 14 – </w:t>
      </w:r>
      <w:r>
        <w:rPr>
          <w:rFonts w:ascii="Times New Roman;serif" w:hAnsi="Times New Roman;serif"/>
          <w:b/>
          <w:i/>
          <w:color w:val="000000"/>
          <w:sz w:val="24"/>
        </w:rPr>
        <w:t>Segment Information</w:t>
      </w:r>
      <w:r>
        <w:rPr>
          <w:rFonts w:ascii="Times New Roman;serif" w:hAnsi="Times New Roman;serif"/>
          <w:caps w:val="false"/>
          <w:smallCaps w:val="false"/>
          <w:color w:val="000000"/>
          <w:sz w:val="24"/>
        </w:rPr>
        <w:t> </w:t>
      </w:r>
    </w:p>
    <w:p>
      <w:pPr>
        <w:pStyle w:val="TextBody"/>
        <w:bidi w:val="0"/>
        <w:spacing w:lineRule="auto" w:line="259"/>
        <w:rPr>
          <w:caps w:val="false"/>
          <w:smallCaps w:val="false"/>
          <w:color w:val="000000"/>
        </w:rPr>
      </w:pPr>
      <w:r>
        <w:rPr>
          <w:caps w:val="false"/>
          <w:smallCaps w:val="false"/>
          <w:color w:val="000000"/>
        </w:rPr>
        <w:t>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The Company identifies a business as an operating segment if: i) it engages in business activities from which it may earn revenues and incur expenses; ii) its operating results are regularly reviewed by the chief operating decision maker (“CODM”), who is the Company’s Chief Executive Officer, to make decisions about resources to be allocated to the segment and assess its performance; and iii) it has available discrete financial information. The CODM reviews financial information, such as budget-to-actual variances and comparisons against prior period, at the operating segment level, and uses that information when making decisions about the allocation of operating and capital resources to each segment. The CODM evaluates the performance of the Company’s reportable segments based on a number of factors, the primary measure being the net income (loss) of each segment.</w:t>
      </w:r>
    </w:p>
    <w:p>
      <w:pPr>
        <w:pStyle w:val="TextBody"/>
        <w:bidi w:val="0"/>
        <w:spacing w:lineRule="auto" w:line="259"/>
        <w:rPr>
          <w:rFonts w:ascii="Times New Roman;serif" w:hAnsi="Times New Roman;serif"/>
          <w:sz w:val="24"/>
        </w:rPr>
      </w:pPr>
      <w:r>
        <w:rPr>
          <w:rFonts w:ascii="Times New Roman;serif" w:hAnsi="Times New Roman;serif"/>
          <w:b w:val="false"/>
          <w:i w:val="false"/>
          <w:caps w:val="false"/>
          <w:smallCaps w:val="false"/>
          <w:color w:val="000000"/>
          <w:sz w:val="24"/>
        </w:rPr>
        <w:t>The Company has eleven</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operating segments and two</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reportable segments. The Regulated Water segment is comprised of eight</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operating segments representing its water and wastewater regulated utility companies, which are organized by the states where the Company provides water and wastewater services. The eight</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water and wastewater utility operating segments are aggregated into one</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reportable segment, because each of these operating segments has the following similarities: economic characteristics, nature of services, production processes, customers, water distribution or wastewater collection methods, and the nature of the regulatory environment. The Regulated Natural Gas segment is comprised of one</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 xml:space="preserve">operating segment representing the Company’s natural gas utility companies, which provide natural gas distribution to retail, commercial, and industrial customers. </w:t>
      </w:r>
    </w:p>
    <w:p>
      <w:pPr>
        <w:pStyle w:val="TextBody"/>
        <w:bidi w:val="0"/>
        <w:spacing w:lineRule="auto" w:line="259"/>
        <w:rPr>
          <w:rFonts w:ascii="Times New Roman;serif" w:hAnsi="Times New Roman;serif"/>
          <w:sz w:val="24"/>
        </w:rPr>
      </w:pPr>
      <w:r>
        <w:rPr>
          <w:rFonts w:ascii="Times New Roman;serif" w:hAnsi="Times New Roman;serif"/>
          <w:b w:val="false"/>
          <w:i w:val="false"/>
          <w:caps w:val="false"/>
          <w:smallCaps w:val="false"/>
          <w:color w:val="000000"/>
          <w:sz w:val="24"/>
        </w:rPr>
        <w:t>In addition to the Company’s two</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reportable segments, the Company includes two</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 xml:space="preserve">operating segments within the Other category below. These segments are not quantitatively significant and are comprised of its non-regulated natural gas operations and non-regulated water and wastewater operations. In addition to these segments, Other is comprised of business activities not included in the reportable segments, corporate costs that have not been allocated to the Regulated Water and Regulated Natural Gas segments, and intersegment eliminations. Corporate costs include general and administrative expenses, and interest expense. The Company reports these corporate costs within Other as they relate to corporate-focused responsibilities and decisions and are not included in internal measures of segment operating performance used by the Company to measure the underlying performance of the operating segments.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26</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563C1"/>
            <w:sz w:val="24"/>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ESSENTIAL UTILITIES, INC. AND SUBSIDIARIES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NOTES TO CONDENSED CONSOLIDATED FINANCIAL STATEMENTS (continued)</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(In thousands of dollars, except per share amounts)</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(UNAUDITED)</w:t>
      </w:r>
    </w:p>
    <w:p>
      <w:pPr>
        <w:pStyle w:val="TextBody"/>
        <w:bidi w:val="0"/>
        <w:spacing w:lineRule="auto" w:line="259"/>
        <w:rPr>
          <w:caps w:val="false"/>
          <w:smallCaps w:val="false"/>
          <w:color w:val="000000"/>
        </w:rPr>
      </w:pPr>
      <w:r>
        <w:rPr>
          <w:caps w:val="false"/>
          <w:smallCaps w:val="false"/>
          <w:color w:val="000000"/>
        </w:rPr>
        <w:t> </w:t>
      </w:r>
    </w:p>
    <w:p>
      <w:pPr>
        <w:pStyle w:val="TextBody"/>
        <w:bidi w:val="0"/>
        <w:spacing w:lineRule="auto" w:line="259"/>
        <w:rPr>
          <w:rFonts w:ascii="Times New Roman;serif" w:hAnsi="Times New Roman;serif"/>
          <w:sz w:val="24"/>
        </w:rPr>
      </w:pPr>
      <w:r>
        <w:rPr>
          <w:rFonts w:ascii="Times New Roman;serif" w:hAnsi="Times New Roman;serif"/>
          <w:b w:val="false"/>
          <w:i w:val="false"/>
          <w:caps w:val="false"/>
          <w:smallCaps w:val="false"/>
          <w:color w:val="000000"/>
          <w:sz w:val="24"/>
        </w:rPr>
        <w:t>The following table presents information about the Company’s reportable segments and reconciliations to consolidated amounts. Asset information by segment is not utilized for purposes of assessing performance or allocating resources, and, as a result, such information is not presented.</w:t>
      </w:r>
      <w:r>
        <w:rPr>
          <w:rFonts w:ascii="Times New Roman;serif" w:hAnsi="Times New Roman;serif"/>
          <w:caps w:val="false"/>
          <w:smallCaps w:val="false"/>
          <w:color w:val="000000"/>
          <w:sz w:val="24"/>
        </w:rPr>
        <w:t xml:space="preserve"> </w:t>
      </w:r>
    </w:p>
    <w:tbl>
      <w:tblPr>
        <w:tblW w:w="11886" w:type="dxa"/>
        <w:jc w:val="left"/>
        <w:tblInd w:w="0" w:type="dxa"/>
        <w:tblLayout w:type="fixed"/>
        <w:tblCellMar>
          <w:top w:w="0" w:type="dxa"/>
          <w:left w:w="0" w:type="dxa"/>
          <w:bottom w:w="0" w:type="dxa"/>
          <w:right w:w="0" w:type="dxa"/>
        </w:tblCellMar>
      </w:tblPr>
      <w:tblGrid>
        <w:gridCol w:w="1021"/>
        <w:gridCol w:w="109"/>
        <w:gridCol w:w="196"/>
        <w:gridCol w:w="736"/>
        <w:gridCol w:w="109"/>
        <w:gridCol w:w="196"/>
        <w:gridCol w:w="736"/>
        <w:gridCol w:w="109"/>
        <w:gridCol w:w="196"/>
        <w:gridCol w:w="871"/>
        <w:gridCol w:w="109"/>
        <w:gridCol w:w="196"/>
        <w:gridCol w:w="661"/>
        <w:gridCol w:w="109"/>
        <w:gridCol w:w="196"/>
        <w:gridCol w:w="871"/>
        <w:gridCol w:w="109"/>
        <w:gridCol w:w="23"/>
        <w:gridCol w:w="42"/>
        <w:gridCol w:w="95"/>
        <w:gridCol w:w="51"/>
        <w:gridCol w:w="50"/>
        <w:gridCol w:w="736"/>
        <w:gridCol w:w="109"/>
        <w:gridCol w:w="196"/>
        <w:gridCol w:w="736"/>
        <w:gridCol w:w="109"/>
        <w:gridCol w:w="196"/>
        <w:gridCol w:w="826"/>
        <w:gridCol w:w="109"/>
        <w:gridCol w:w="196"/>
        <w:gridCol w:w="661"/>
        <w:gridCol w:w="109"/>
        <w:gridCol w:w="196"/>
        <w:gridCol w:w="916"/>
      </w:tblGrid>
      <w:tr>
        <w:trPr/>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74" w:type="dxa"/>
            <w:gridSpan w:val="3"/>
            <w:tcBorders/>
            <w:vAlign w:val="center"/>
          </w:tcPr>
          <w:p>
            <w:pPr>
              <w:pStyle w:val="TableContents"/>
              <w:bidi w:val="0"/>
              <w:spacing w:before="0" w:after="283"/>
              <w:jc w:val="left"/>
              <w:rPr>
                <w:sz w:val="4"/>
                <w:szCs w:val="4"/>
              </w:rPr>
            </w:pPr>
            <w:r>
              <w:rPr>
                <w:sz w:val="4"/>
                <w:szCs w:val="4"/>
              </w:rPr>
            </w:r>
          </w:p>
        </w:tc>
        <w:tc>
          <w:tcPr>
            <w:tcW w:w="196" w:type="dxa"/>
            <w:gridSpan w:val="3"/>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74" w:type="dxa"/>
            <w:gridSpan w:val="3"/>
            <w:tcBorders/>
            <w:vAlign w:val="center"/>
          </w:tcPr>
          <w:p>
            <w:pPr>
              <w:pStyle w:val="TableContents"/>
              <w:bidi w:val="0"/>
              <w:spacing w:before="0" w:after="283"/>
              <w:jc w:val="left"/>
              <w:rPr>
                <w:sz w:val="4"/>
                <w:szCs w:val="4"/>
              </w:rPr>
            </w:pPr>
            <w:r>
              <w:rPr>
                <w:sz w:val="4"/>
                <w:szCs w:val="4"/>
              </w:rPr>
            </w:r>
          </w:p>
        </w:tc>
        <w:tc>
          <w:tcPr>
            <w:tcW w:w="196" w:type="dxa"/>
            <w:gridSpan w:val="3"/>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1" w:type="dxa"/>
            <w:gridSpan w:val="14"/>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Three Months Ended</w:t>
            </w:r>
          </w:p>
        </w:tc>
        <w:tc>
          <w:tcPr>
            <w:tcW w:w="132" w:type="dxa"/>
            <w:gridSpan w:val="2"/>
            <w:tcBorders/>
            <w:vAlign w:val="center"/>
          </w:tcPr>
          <w:p>
            <w:pPr>
              <w:pStyle w:val="TableContents"/>
              <w:bidi w:val="0"/>
              <w:spacing w:before="0" w:after="283"/>
              <w:jc w:val="left"/>
              <w:rPr>
                <w:sz w:val="4"/>
                <w:szCs w:val="4"/>
              </w:rPr>
            </w:pPr>
            <w:r>
              <w:rPr>
                <w:sz w:val="4"/>
                <w:szCs w:val="4"/>
              </w:rPr>
            </w:r>
          </w:p>
        </w:tc>
        <w:tc>
          <w:tcPr>
            <w:tcW w:w="5333" w:type="dxa"/>
            <w:gridSpan w:val="17"/>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Three Months Ended</w:t>
            </w:r>
          </w:p>
        </w:tc>
      </w:tr>
      <w:tr>
        <w:trPr/>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1" w:type="dxa"/>
            <w:gridSpan w:val="14"/>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June 30, 2026</w:t>
            </w:r>
          </w:p>
        </w:tc>
        <w:tc>
          <w:tcPr>
            <w:tcW w:w="132" w:type="dxa"/>
            <w:gridSpan w:val="2"/>
            <w:tcBorders/>
            <w:vAlign w:val="center"/>
          </w:tcPr>
          <w:p>
            <w:pPr>
              <w:pStyle w:val="TableContents"/>
              <w:bidi w:val="0"/>
              <w:spacing w:before="0" w:after="283"/>
              <w:jc w:val="left"/>
              <w:rPr>
                <w:sz w:val="4"/>
                <w:szCs w:val="4"/>
              </w:rPr>
            </w:pPr>
            <w:r>
              <w:rPr>
                <w:sz w:val="4"/>
                <w:szCs w:val="4"/>
              </w:rPr>
            </w:r>
          </w:p>
        </w:tc>
        <w:tc>
          <w:tcPr>
            <w:tcW w:w="137" w:type="dxa"/>
            <w:gridSpan w:val="2"/>
            <w:tcBorders/>
            <w:vAlign w:val="center"/>
          </w:tcPr>
          <w:p>
            <w:pPr>
              <w:pStyle w:val="TableContents"/>
              <w:bidi w:val="0"/>
              <w:spacing w:before="0" w:after="283"/>
              <w:jc w:val="left"/>
              <w:rPr>
                <w:sz w:val="4"/>
                <w:szCs w:val="4"/>
              </w:rPr>
            </w:pPr>
            <w:r>
              <w:rPr>
                <w:sz w:val="4"/>
                <w:szCs w:val="4"/>
              </w:rPr>
            </w:r>
          </w:p>
        </w:tc>
        <w:tc>
          <w:tcPr>
            <w:tcW w:w="5196" w:type="dxa"/>
            <w:gridSpan w:val="1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June 30, 2025</w:t>
            </w:r>
          </w:p>
        </w:tc>
      </w:tr>
      <w:tr>
        <w:trPr/>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Regulated Water</w:t>
            </w:r>
          </w:p>
        </w:tc>
        <w:tc>
          <w:tcPr>
            <w:tcW w:w="109"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Regulated Natural Gas</w:t>
            </w:r>
          </w:p>
        </w:tc>
        <w:tc>
          <w:tcPr>
            <w:tcW w:w="109"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Total Reportable Segments</w:t>
            </w:r>
          </w:p>
        </w:tc>
        <w:tc>
          <w:tcPr>
            <w:tcW w:w="109"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Other and Elims</w:t>
            </w:r>
          </w:p>
        </w:tc>
        <w:tc>
          <w:tcPr>
            <w:tcW w:w="109"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Consolidated</w:t>
            </w:r>
          </w:p>
        </w:tc>
        <w:tc>
          <w:tcPr>
            <w:tcW w:w="174" w:type="dxa"/>
            <w:gridSpan w:val="3"/>
            <w:tcBorders/>
            <w:vAlign w:val="center"/>
          </w:tcPr>
          <w:p>
            <w:pPr>
              <w:pStyle w:val="TableContents"/>
              <w:bidi w:val="0"/>
              <w:spacing w:before="0" w:after="283"/>
              <w:jc w:val="left"/>
              <w:rPr>
                <w:sz w:val="4"/>
                <w:szCs w:val="4"/>
              </w:rPr>
            </w:pPr>
            <w:r>
              <w:rPr>
                <w:sz w:val="4"/>
                <w:szCs w:val="4"/>
              </w:rPr>
            </w:r>
          </w:p>
        </w:tc>
        <w:tc>
          <w:tcPr>
            <w:tcW w:w="932" w:type="dxa"/>
            <w:gridSpan w:val="4"/>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Regulated Water</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Regulated Natural Gas</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Total Reportable Segments</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Other and Elims</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Consolidated</w:t>
            </w:r>
          </w:p>
        </w:tc>
      </w:tr>
      <w:tr>
        <w:trPr/>
        <w:tc>
          <w:tcPr>
            <w:tcW w:w="10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Revenues from external customers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357,544</w:t>
            </w:r>
            <w:r>
              <w:rPr>
                <w:rFonts w:ascii="Times New Roman;serif" w:hAnsi="Times New Roman;serif"/>
                <w:caps w:val="false"/>
                <w:smallCaps w:val="false"/>
                <w:color w:val="000000"/>
                <w:sz w:val="16"/>
              </w:rPr>
              <w:t> </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168,800</w:t>
            </w:r>
            <w:r>
              <w:rPr>
                <w:rFonts w:ascii="Times New Roman;serif" w:hAnsi="Times New Roman;serif"/>
                <w:caps w:val="false"/>
                <w:smallCaps w:val="false"/>
                <w:color w:val="000000"/>
                <w:sz w:val="16"/>
              </w:rPr>
              <w:t> </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7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526,344</w:t>
            </w:r>
            <w:r>
              <w:rPr>
                <w:rFonts w:ascii="Times New Roman;serif" w:hAnsi="Times New Roman;serif"/>
                <w:caps w:val="false"/>
                <w:smallCaps w:val="false"/>
                <w:color w:val="000000"/>
                <w:sz w:val="16"/>
              </w:rPr>
              <w:t> </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6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4,510</w:t>
            </w:r>
            <w:r>
              <w:rPr>
                <w:rFonts w:ascii="Times New Roman;serif" w:hAnsi="Times New Roman;serif"/>
                <w:caps w:val="false"/>
                <w:smallCaps w:val="false"/>
                <w:color w:val="000000"/>
                <w:sz w:val="16"/>
              </w:rPr>
              <w:t> </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7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530,854</w:t>
            </w:r>
            <w:r>
              <w:rPr>
                <w:rFonts w:ascii="Times New Roman;serif" w:hAnsi="Times New Roman;serif"/>
                <w:caps w:val="false"/>
                <w:smallCaps w:val="false"/>
                <w:color w:val="000000"/>
                <w:sz w:val="16"/>
              </w:rPr>
              <w:t> </w:t>
            </w:r>
          </w:p>
        </w:tc>
        <w:tc>
          <w:tcPr>
            <w:tcW w:w="174" w:type="dxa"/>
            <w:gridSpan w:val="3"/>
            <w:tcBorders/>
            <w:shd w:fill="CCEEFF" w:val="clear"/>
            <w:vAlign w:val="center"/>
          </w:tcPr>
          <w:p>
            <w:pPr>
              <w:pStyle w:val="TableContents"/>
              <w:bidi w:val="0"/>
              <w:spacing w:before="0" w:after="283"/>
              <w:jc w:val="left"/>
              <w:rPr>
                <w:sz w:val="4"/>
                <w:szCs w:val="4"/>
              </w:rPr>
            </w:pPr>
            <w:r>
              <w:rPr>
                <w:sz w:val="4"/>
                <w:szCs w:val="4"/>
              </w:rPr>
            </w:r>
          </w:p>
        </w:tc>
        <w:tc>
          <w:tcPr>
            <w:tcW w:w="196" w:type="dxa"/>
            <w:gridSpan w:val="3"/>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332,282</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176,761</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2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509,043</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6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5,864</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91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514,907</w:t>
            </w:r>
            <w:r>
              <w:rPr>
                <w:rFonts w:ascii="Times New Roman;serif" w:hAnsi="Times New Roman;serif"/>
                <w:caps w:val="false"/>
                <w:smallCaps w:val="false"/>
                <w:color w:val="000000"/>
                <w:sz w:val="16"/>
              </w:rPr>
              <w:t> </w:t>
            </w:r>
          </w:p>
        </w:tc>
      </w:tr>
      <w:tr>
        <w:trPr/>
        <w:tc>
          <w:tcPr>
            <w:tcW w:w="10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 xml:space="preserve">Intersegment revenues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479</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479</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6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(479)</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74" w:type="dxa"/>
            <w:gridSpan w:val="3"/>
            <w:tcBorders/>
            <w:vAlign w:val="center"/>
          </w:tcPr>
          <w:p>
            <w:pPr>
              <w:pStyle w:val="TableContents"/>
              <w:bidi w:val="0"/>
              <w:spacing w:before="0" w:after="283"/>
              <w:jc w:val="left"/>
              <w:rPr>
                <w:sz w:val="4"/>
                <w:szCs w:val="4"/>
              </w:rPr>
            </w:pPr>
            <w:r>
              <w:rPr>
                <w:sz w:val="4"/>
                <w:szCs w:val="4"/>
              </w:rPr>
            </w:r>
          </w:p>
        </w:tc>
        <w:tc>
          <w:tcPr>
            <w:tcW w:w="196" w:type="dxa"/>
            <w:gridSpan w:val="3"/>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560</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560</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6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(560)</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r>
      <w:tr>
        <w:trPr/>
        <w:tc>
          <w:tcPr>
            <w:tcW w:w="10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Total operating revenues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357,544</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169,279</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7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526,823</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6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4,031</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7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530,854</w:t>
            </w:r>
            <w:r>
              <w:rPr>
                <w:rFonts w:ascii="Times New Roman;serif" w:hAnsi="Times New Roman;serif"/>
                <w:caps w:val="false"/>
                <w:smallCaps w:val="false"/>
                <w:color w:val="000000"/>
                <w:sz w:val="16"/>
              </w:rPr>
              <w:t> </w:t>
            </w:r>
          </w:p>
        </w:tc>
        <w:tc>
          <w:tcPr>
            <w:tcW w:w="174" w:type="dxa"/>
            <w:gridSpan w:val="3"/>
            <w:tcBorders/>
            <w:shd w:fill="CCEEFF" w:val="clear"/>
            <w:vAlign w:val="center"/>
          </w:tcPr>
          <w:p>
            <w:pPr>
              <w:pStyle w:val="TableContents"/>
              <w:bidi w:val="0"/>
              <w:spacing w:before="0" w:after="283"/>
              <w:jc w:val="left"/>
              <w:rPr>
                <w:sz w:val="4"/>
                <w:szCs w:val="4"/>
              </w:rPr>
            </w:pPr>
            <w:r>
              <w:rPr>
                <w:sz w:val="4"/>
                <w:szCs w:val="4"/>
              </w:rPr>
            </w:r>
          </w:p>
        </w:tc>
        <w:tc>
          <w:tcPr>
            <w:tcW w:w="196" w:type="dxa"/>
            <w:gridSpan w:val="3"/>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332,282</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177,321</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2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509,603</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6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5,304</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91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514,907</w:t>
            </w:r>
            <w:r>
              <w:rPr>
                <w:rFonts w:ascii="Times New Roman;serif" w:hAnsi="Times New Roman;serif"/>
                <w:caps w:val="false"/>
                <w:smallCaps w:val="false"/>
                <w:color w:val="000000"/>
                <w:sz w:val="16"/>
              </w:rPr>
              <w:t> </w:t>
            </w:r>
          </w:p>
        </w:tc>
      </w:tr>
      <w:tr>
        <w:trPr/>
        <w:tc>
          <w:tcPr>
            <w:tcW w:w="10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Operations and maintenance expense</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109,354</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49,944</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7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159,298</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6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(5,663)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7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153,635</w:t>
            </w:r>
            <w:r>
              <w:rPr>
                <w:rFonts w:ascii="Times New Roman;serif" w:hAnsi="Times New Roman;serif"/>
                <w:caps w:val="false"/>
                <w:smallCaps w:val="false"/>
                <w:color w:val="000000"/>
                <w:sz w:val="16"/>
              </w:rPr>
              <w:t> </w:t>
            </w:r>
          </w:p>
        </w:tc>
        <w:tc>
          <w:tcPr>
            <w:tcW w:w="174" w:type="dxa"/>
            <w:gridSpan w:val="3"/>
            <w:tcBorders/>
            <w:vAlign w:val="center"/>
          </w:tcPr>
          <w:p>
            <w:pPr>
              <w:pStyle w:val="TableContents"/>
              <w:bidi w:val="0"/>
              <w:spacing w:before="0" w:after="283"/>
              <w:jc w:val="left"/>
              <w:rPr>
                <w:sz w:val="4"/>
                <w:szCs w:val="4"/>
              </w:rPr>
            </w:pPr>
            <w:r>
              <w:rPr>
                <w:sz w:val="4"/>
                <w:szCs w:val="4"/>
              </w:rPr>
            </w:r>
          </w:p>
        </w:tc>
        <w:tc>
          <w:tcPr>
            <w:tcW w:w="196" w:type="dxa"/>
            <w:gridSpan w:val="3"/>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100,149</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49,786</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2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149,935</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6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(1,425)</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91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148,510</w:t>
            </w:r>
            <w:r>
              <w:rPr>
                <w:rFonts w:ascii="Times New Roman;serif" w:hAnsi="Times New Roman;serif"/>
                <w:caps w:val="false"/>
                <w:smallCaps w:val="false"/>
                <w:color w:val="000000"/>
                <w:sz w:val="16"/>
              </w:rPr>
              <w:t> </w:t>
            </w:r>
          </w:p>
        </w:tc>
      </w:tr>
      <w:tr>
        <w:trPr/>
        <w:tc>
          <w:tcPr>
            <w:tcW w:w="10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Purchased gas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44,338</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71"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44,338</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61"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1,863</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71"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46,201</w:t>
            </w:r>
            <w:r>
              <w:rPr>
                <w:rFonts w:ascii="Times New Roman;serif" w:hAnsi="Times New Roman;serif"/>
                <w:caps w:val="false"/>
                <w:smallCaps w:val="false"/>
                <w:color w:val="000000"/>
                <w:sz w:val="16"/>
              </w:rPr>
              <w:t> </w:t>
            </w:r>
          </w:p>
        </w:tc>
        <w:tc>
          <w:tcPr>
            <w:tcW w:w="174" w:type="dxa"/>
            <w:gridSpan w:val="3"/>
            <w:tcBorders/>
            <w:shd w:fill="CCEEFF" w:val="clear"/>
            <w:vAlign w:val="center"/>
          </w:tcPr>
          <w:p>
            <w:pPr>
              <w:pStyle w:val="TableContents"/>
              <w:bidi w:val="0"/>
              <w:spacing w:before="0" w:after="283"/>
              <w:jc w:val="left"/>
              <w:rPr>
                <w:sz w:val="4"/>
                <w:szCs w:val="4"/>
              </w:rPr>
            </w:pPr>
            <w:r>
              <w:rPr>
                <w:sz w:val="4"/>
                <w:szCs w:val="4"/>
              </w:rPr>
            </w:r>
          </w:p>
        </w:tc>
        <w:tc>
          <w:tcPr>
            <w:tcW w:w="196" w:type="dxa"/>
            <w:gridSpan w:val="3"/>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53,532</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2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53,532</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61"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3,203</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91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56,735</w:t>
            </w:r>
            <w:r>
              <w:rPr>
                <w:rFonts w:ascii="Times New Roman;serif" w:hAnsi="Times New Roman;serif"/>
                <w:caps w:val="false"/>
                <w:smallCaps w:val="false"/>
                <w:color w:val="000000"/>
                <w:sz w:val="16"/>
              </w:rPr>
              <w:t> </w:t>
            </w:r>
          </w:p>
        </w:tc>
      </w:tr>
      <w:tr>
        <w:trPr/>
        <w:tc>
          <w:tcPr>
            <w:tcW w:w="10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72,027</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40,792</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7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112,819</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6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473</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7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113,292</w:t>
            </w:r>
            <w:r>
              <w:rPr>
                <w:rFonts w:ascii="Times New Roman;serif" w:hAnsi="Times New Roman;serif"/>
                <w:caps w:val="false"/>
                <w:smallCaps w:val="false"/>
                <w:color w:val="000000"/>
                <w:sz w:val="16"/>
              </w:rPr>
              <w:t> </w:t>
            </w:r>
          </w:p>
        </w:tc>
        <w:tc>
          <w:tcPr>
            <w:tcW w:w="174" w:type="dxa"/>
            <w:gridSpan w:val="3"/>
            <w:tcBorders/>
            <w:vAlign w:val="center"/>
          </w:tcPr>
          <w:p>
            <w:pPr>
              <w:pStyle w:val="TableContents"/>
              <w:bidi w:val="0"/>
              <w:spacing w:before="0" w:after="283"/>
              <w:jc w:val="left"/>
              <w:rPr>
                <w:sz w:val="4"/>
                <w:szCs w:val="4"/>
              </w:rPr>
            </w:pPr>
            <w:r>
              <w:rPr>
                <w:sz w:val="4"/>
                <w:szCs w:val="4"/>
              </w:rPr>
            </w:r>
          </w:p>
        </w:tc>
        <w:tc>
          <w:tcPr>
            <w:tcW w:w="196" w:type="dxa"/>
            <w:gridSpan w:val="3"/>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64,731</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38,299</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2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103,030</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6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489</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91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103,519</w:t>
            </w:r>
            <w:r>
              <w:rPr>
                <w:rFonts w:ascii="Times New Roman;serif" w:hAnsi="Times New Roman;serif"/>
                <w:caps w:val="false"/>
                <w:smallCaps w:val="false"/>
                <w:color w:val="000000"/>
                <w:sz w:val="16"/>
              </w:rPr>
              <w:t> </w:t>
            </w:r>
          </w:p>
        </w:tc>
      </w:tr>
      <w:tr>
        <w:trPr/>
        <w:tc>
          <w:tcPr>
            <w:tcW w:w="10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Taxes other than income taxes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18,259</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5,486</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71"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23,745</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61"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708</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71"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24,453</w:t>
            </w:r>
            <w:r>
              <w:rPr>
                <w:rFonts w:ascii="Times New Roman;serif" w:hAnsi="Times New Roman;serif"/>
                <w:caps w:val="false"/>
                <w:smallCaps w:val="false"/>
                <w:color w:val="000000"/>
                <w:sz w:val="16"/>
              </w:rPr>
              <w:t> </w:t>
            </w:r>
          </w:p>
        </w:tc>
        <w:tc>
          <w:tcPr>
            <w:tcW w:w="174" w:type="dxa"/>
            <w:gridSpan w:val="3"/>
            <w:tcBorders/>
            <w:shd w:fill="CCEEFF" w:val="clear"/>
            <w:vAlign w:val="center"/>
          </w:tcPr>
          <w:p>
            <w:pPr>
              <w:pStyle w:val="TableContents"/>
              <w:bidi w:val="0"/>
              <w:spacing w:before="0" w:after="283"/>
              <w:jc w:val="left"/>
              <w:rPr>
                <w:sz w:val="4"/>
                <w:szCs w:val="4"/>
              </w:rPr>
            </w:pPr>
            <w:r>
              <w:rPr>
                <w:sz w:val="4"/>
                <w:szCs w:val="4"/>
              </w:rPr>
            </w:r>
          </w:p>
        </w:tc>
        <w:tc>
          <w:tcPr>
            <w:tcW w:w="196" w:type="dxa"/>
            <w:gridSpan w:val="3"/>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17,655</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2,491</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2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20,146</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61"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726</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91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20,872</w:t>
            </w:r>
            <w:r>
              <w:rPr>
                <w:rFonts w:ascii="Times New Roman;serif" w:hAnsi="Times New Roman;serif"/>
                <w:caps w:val="false"/>
                <w:smallCaps w:val="false"/>
                <w:color w:val="000000"/>
                <w:sz w:val="16"/>
              </w:rPr>
              <w:t> </w:t>
            </w:r>
          </w:p>
        </w:tc>
      </w:tr>
      <w:tr>
        <w:trPr/>
        <w:tc>
          <w:tcPr>
            <w:tcW w:w="10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39,974</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28,078</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7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68,052</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6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20,549</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7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88,601</w:t>
            </w:r>
            <w:r>
              <w:rPr>
                <w:rFonts w:ascii="Times New Roman;serif" w:hAnsi="Times New Roman;serif"/>
                <w:caps w:val="false"/>
                <w:smallCaps w:val="false"/>
                <w:color w:val="000000"/>
                <w:sz w:val="16"/>
              </w:rPr>
              <w:t> </w:t>
            </w:r>
          </w:p>
        </w:tc>
        <w:tc>
          <w:tcPr>
            <w:tcW w:w="174" w:type="dxa"/>
            <w:gridSpan w:val="3"/>
            <w:tcBorders/>
            <w:vAlign w:val="center"/>
          </w:tcPr>
          <w:p>
            <w:pPr>
              <w:pStyle w:val="TableContents"/>
              <w:bidi w:val="0"/>
              <w:spacing w:before="0" w:after="283"/>
              <w:jc w:val="left"/>
              <w:rPr>
                <w:sz w:val="4"/>
                <w:szCs w:val="4"/>
              </w:rPr>
            </w:pPr>
            <w:r>
              <w:rPr>
                <w:sz w:val="4"/>
                <w:szCs w:val="4"/>
              </w:rPr>
            </w:r>
          </w:p>
        </w:tc>
        <w:tc>
          <w:tcPr>
            <w:tcW w:w="196" w:type="dxa"/>
            <w:gridSpan w:val="3"/>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37,032</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25,833</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2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62,865</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6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16,643</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91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79,508</w:t>
            </w:r>
            <w:r>
              <w:rPr>
                <w:rFonts w:ascii="Times New Roman;serif" w:hAnsi="Times New Roman;serif"/>
                <w:caps w:val="false"/>
                <w:smallCaps w:val="false"/>
                <w:color w:val="000000"/>
                <w:sz w:val="16"/>
              </w:rPr>
              <w:t> </w:t>
            </w:r>
          </w:p>
        </w:tc>
      </w:tr>
      <w:tr>
        <w:trPr/>
        <w:tc>
          <w:tcPr>
            <w:tcW w:w="10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Allowance for funds used during construction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(4,112)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(1,627)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(5,739)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6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(5,739)</w:t>
            </w:r>
          </w:p>
        </w:tc>
        <w:tc>
          <w:tcPr>
            <w:tcW w:w="174" w:type="dxa"/>
            <w:gridSpan w:val="3"/>
            <w:tcBorders/>
            <w:shd w:fill="CCEEFF" w:val="clear"/>
            <w:vAlign w:val="center"/>
          </w:tcPr>
          <w:p>
            <w:pPr>
              <w:pStyle w:val="TableContents"/>
              <w:bidi w:val="0"/>
              <w:spacing w:before="0" w:after="283"/>
              <w:jc w:val="left"/>
              <w:rPr>
                <w:sz w:val="4"/>
                <w:szCs w:val="4"/>
              </w:rPr>
            </w:pPr>
            <w:r>
              <w:rPr>
                <w:sz w:val="4"/>
                <w:szCs w:val="4"/>
              </w:rPr>
            </w:r>
          </w:p>
        </w:tc>
        <w:tc>
          <w:tcPr>
            <w:tcW w:w="196" w:type="dxa"/>
            <w:gridSpan w:val="3"/>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(5,622)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(1,405)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(7,027)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6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91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(7,027)</w:t>
            </w:r>
          </w:p>
        </w:tc>
      </w:tr>
      <w:tr>
        <w:trPr/>
        <w:tc>
          <w:tcPr>
            <w:tcW w:w="1021" w:type="dxa"/>
            <w:tcBorders/>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color w:val="000000"/>
                <w:sz w:val="16"/>
              </w:rPr>
              <w:t xml:space="preserve">Other segment items </w:t>
            </w:r>
            <w:r>
              <w:rPr>
                <w:rFonts w:ascii="Times New Roman;serif" w:hAnsi="Times New Roman;serif"/>
                <w:b w:val="false"/>
                <w:i w:val="false"/>
                <w:caps w:val="false"/>
                <w:smallCaps w:val="false"/>
                <w:color w:val="000000"/>
                <w:position w:val="5"/>
                <w:sz w:val="13"/>
                <w:sz w:val="16"/>
              </w:rPr>
              <w:t>(a)</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(1,882)</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(180)</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(2,062)</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6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3,357</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7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1,295</w:t>
            </w:r>
            <w:r>
              <w:rPr>
                <w:rFonts w:ascii="Times New Roman;serif" w:hAnsi="Times New Roman;serif"/>
                <w:caps w:val="false"/>
                <w:smallCaps w:val="false"/>
                <w:color w:val="000000"/>
                <w:sz w:val="16"/>
              </w:rPr>
              <w:t> </w:t>
            </w:r>
          </w:p>
        </w:tc>
        <w:tc>
          <w:tcPr>
            <w:tcW w:w="174" w:type="dxa"/>
            <w:gridSpan w:val="3"/>
            <w:tcBorders/>
            <w:vAlign w:val="center"/>
          </w:tcPr>
          <w:p>
            <w:pPr>
              <w:pStyle w:val="TableContents"/>
              <w:bidi w:val="0"/>
              <w:spacing w:before="0" w:after="283"/>
              <w:jc w:val="left"/>
              <w:rPr>
                <w:sz w:val="4"/>
                <w:szCs w:val="4"/>
              </w:rPr>
            </w:pPr>
            <w:r>
              <w:rPr>
                <w:sz w:val="4"/>
                <w:szCs w:val="4"/>
              </w:rPr>
            </w:r>
          </w:p>
        </w:tc>
        <w:tc>
          <w:tcPr>
            <w:tcW w:w="196" w:type="dxa"/>
            <w:gridSpan w:val="3"/>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17</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(127)</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2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(110)</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6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501</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91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391</w:t>
            </w:r>
            <w:r>
              <w:rPr>
                <w:rFonts w:ascii="Times New Roman;serif" w:hAnsi="Times New Roman;serif"/>
                <w:caps w:val="false"/>
                <w:smallCaps w:val="false"/>
                <w:color w:val="000000"/>
                <w:sz w:val="16"/>
              </w:rPr>
              <w:t> </w:t>
            </w:r>
          </w:p>
        </w:tc>
      </w:tr>
      <w:tr>
        <w:trPr/>
        <w:tc>
          <w:tcPr>
            <w:tcW w:w="10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Provision for income taxes (benefit)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20,442</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(1,714)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71"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18,728</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6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(15,337)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71"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3,391</w:t>
            </w:r>
            <w:r>
              <w:rPr>
                <w:rFonts w:ascii="Times New Roman;serif" w:hAnsi="Times New Roman;serif"/>
                <w:caps w:val="false"/>
                <w:smallCaps w:val="false"/>
                <w:color w:val="000000"/>
                <w:sz w:val="16"/>
              </w:rPr>
              <w:t> </w:t>
            </w:r>
          </w:p>
        </w:tc>
        <w:tc>
          <w:tcPr>
            <w:tcW w:w="174" w:type="dxa"/>
            <w:gridSpan w:val="3"/>
            <w:tcBorders/>
            <w:shd w:fill="CCEEFF" w:val="clear"/>
            <w:vAlign w:val="center"/>
          </w:tcPr>
          <w:p>
            <w:pPr>
              <w:pStyle w:val="TableContents"/>
              <w:bidi w:val="0"/>
              <w:spacing w:before="0" w:after="283"/>
              <w:jc w:val="left"/>
              <w:rPr>
                <w:sz w:val="4"/>
                <w:szCs w:val="4"/>
              </w:rPr>
            </w:pPr>
            <w:r>
              <w:rPr>
                <w:sz w:val="4"/>
                <w:szCs w:val="4"/>
              </w:rPr>
            </w:r>
          </w:p>
        </w:tc>
        <w:tc>
          <w:tcPr>
            <w:tcW w:w="196" w:type="dxa"/>
            <w:gridSpan w:val="3"/>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17,840</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(8,604)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2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9,236</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6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(4,664)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91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4,572</w:t>
            </w:r>
            <w:r>
              <w:rPr>
                <w:rFonts w:ascii="Times New Roman;serif" w:hAnsi="Times New Roman;serif"/>
                <w:caps w:val="false"/>
                <w:smallCaps w:val="false"/>
                <w:color w:val="000000"/>
                <w:sz w:val="16"/>
              </w:rPr>
              <w:t> </w:t>
            </w:r>
          </w:p>
        </w:tc>
      </w:tr>
      <w:tr>
        <w:trPr/>
        <w:tc>
          <w:tcPr>
            <w:tcW w:w="10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103,482</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4,162</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7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107,644</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6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(1,919)</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7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105,725</w:t>
            </w:r>
            <w:r>
              <w:rPr>
                <w:rFonts w:ascii="Times New Roman;serif" w:hAnsi="Times New Roman;serif"/>
                <w:caps w:val="false"/>
                <w:smallCaps w:val="false"/>
                <w:color w:val="000000"/>
                <w:sz w:val="16"/>
              </w:rPr>
              <w:t> </w:t>
            </w:r>
          </w:p>
        </w:tc>
        <w:tc>
          <w:tcPr>
            <w:tcW w:w="174" w:type="dxa"/>
            <w:gridSpan w:val="3"/>
            <w:tcBorders/>
            <w:vAlign w:val="center"/>
          </w:tcPr>
          <w:p>
            <w:pPr>
              <w:pStyle w:val="TableContents"/>
              <w:bidi w:val="0"/>
              <w:spacing w:before="0" w:after="283"/>
              <w:jc w:val="left"/>
              <w:rPr>
                <w:sz w:val="4"/>
                <w:szCs w:val="4"/>
              </w:rPr>
            </w:pPr>
            <w:r>
              <w:rPr>
                <w:sz w:val="4"/>
                <w:szCs w:val="4"/>
              </w:rPr>
            </w:r>
          </w:p>
        </w:tc>
        <w:tc>
          <w:tcPr>
            <w:tcW w:w="196" w:type="dxa"/>
            <w:gridSpan w:val="3"/>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100,480</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17,516</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2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117,996</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6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(10,169)</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91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107,827</w:t>
            </w:r>
            <w:r>
              <w:rPr>
                <w:rFonts w:ascii="Times New Roman;serif" w:hAnsi="Times New Roman;serif"/>
                <w:caps w:val="false"/>
                <w:smallCaps w:val="false"/>
                <w:color w:val="000000"/>
                <w:sz w:val="16"/>
              </w:rPr>
              <w:t> </w:t>
            </w:r>
          </w:p>
        </w:tc>
      </w:tr>
      <w:tr>
        <w:trPr/>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74" w:type="dxa"/>
            <w:gridSpan w:val="3"/>
            <w:tcBorders/>
            <w:vAlign w:val="center"/>
          </w:tcPr>
          <w:p>
            <w:pPr>
              <w:pStyle w:val="TableContents"/>
              <w:bidi w:val="0"/>
              <w:spacing w:before="0" w:after="283"/>
              <w:jc w:val="left"/>
              <w:rPr>
                <w:sz w:val="4"/>
                <w:szCs w:val="4"/>
              </w:rPr>
            </w:pPr>
            <w:r>
              <w:rPr>
                <w:sz w:val="4"/>
                <w:szCs w:val="4"/>
              </w:rPr>
            </w:r>
          </w:p>
        </w:tc>
        <w:tc>
          <w:tcPr>
            <w:tcW w:w="196" w:type="dxa"/>
            <w:gridSpan w:val="3"/>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74" w:type="dxa"/>
            <w:gridSpan w:val="3"/>
            <w:tcBorders/>
            <w:vAlign w:val="center"/>
          </w:tcPr>
          <w:p>
            <w:pPr>
              <w:pStyle w:val="TableContents"/>
              <w:bidi w:val="0"/>
              <w:spacing w:before="0" w:after="283"/>
              <w:jc w:val="left"/>
              <w:rPr>
                <w:sz w:val="4"/>
                <w:szCs w:val="4"/>
              </w:rPr>
            </w:pPr>
            <w:r>
              <w:rPr>
                <w:sz w:val="4"/>
                <w:szCs w:val="4"/>
              </w:rPr>
            </w:r>
          </w:p>
        </w:tc>
        <w:tc>
          <w:tcPr>
            <w:tcW w:w="196" w:type="dxa"/>
            <w:gridSpan w:val="3"/>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1" w:type="dxa"/>
            <w:gridSpan w:val="14"/>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5356" w:type="dxa"/>
            <w:gridSpan w:val="18"/>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Six Months Ended</w:t>
            </w:r>
          </w:p>
        </w:tc>
      </w:tr>
      <w:tr>
        <w:trPr/>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1" w:type="dxa"/>
            <w:gridSpan w:val="14"/>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June 30, 2026</w:t>
            </w:r>
          </w:p>
        </w:tc>
        <w:tc>
          <w:tcPr>
            <w:tcW w:w="320" w:type="dxa"/>
            <w:gridSpan w:val="5"/>
            <w:tcBorders/>
            <w:vAlign w:val="center"/>
          </w:tcPr>
          <w:p>
            <w:pPr>
              <w:pStyle w:val="TableContents"/>
              <w:bidi w:val="0"/>
              <w:spacing w:before="0" w:after="283"/>
              <w:jc w:val="left"/>
              <w:rPr>
                <w:sz w:val="4"/>
                <w:szCs w:val="4"/>
              </w:rPr>
            </w:pPr>
            <w:r>
              <w:rPr>
                <w:sz w:val="4"/>
                <w:szCs w:val="4"/>
              </w:rPr>
            </w:r>
          </w:p>
        </w:tc>
        <w:tc>
          <w:tcPr>
            <w:tcW w:w="5145" w:type="dxa"/>
            <w:gridSpan w:val="14"/>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June 30, 2025</w:t>
            </w:r>
          </w:p>
        </w:tc>
      </w:tr>
      <w:tr>
        <w:trPr/>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Regulated Water</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Regulated Natural Gas</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Total Reportable Segments</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Other and Elims</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Consolidated</w:t>
            </w:r>
          </w:p>
        </w:tc>
        <w:tc>
          <w:tcPr>
            <w:tcW w:w="174" w:type="dxa"/>
            <w:gridSpan w:val="3"/>
            <w:tcBorders/>
            <w:vAlign w:val="center"/>
          </w:tcPr>
          <w:p>
            <w:pPr>
              <w:pStyle w:val="TableContents"/>
              <w:bidi w:val="0"/>
              <w:spacing w:before="0" w:after="283"/>
              <w:jc w:val="left"/>
              <w:rPr>
                <w:sz w:val="4"/>
                <w:szCs w:val="4"/>
              </w:rPr>
            </w:pPr>
            <w:r>
              <w:rPr>
                <w:sz w:val="4"/>
                <w:szCs w:val="4"/>
              </w:rPr>
            </w:r>
          </w:p>
        </w:tc>
        <w:tc>
          <w:tcPr>
            <w:tcW w:w="932" w:type="dxa"/>
            <w:gridSpan w:val="4"/>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Regulated Water</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Regulated Natural Gas</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Total Reportable Segments</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Other and Elims</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Consolidated</w:t>
            </w:r>
          </w:p>
        </w:tc>
      </w:tr>
      <w:tr>
        <w:trPr/>
        <w:tc>
          <w:tcPr>
            <w:tcW w:w="10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Revenues from external customers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680,519</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697,258</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7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1,377,777</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6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14,836</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7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1,392,613</w:t>
            </w:r>
            <w:r>
              <w:rPr>
                <w:rFonts w:ascii="Times New Roman;serif" w:hAnsi="Times New Roman;serif"/>
                <w:caps w:val="false"/>
                <w:smallCaps w:val="false"/>
                <w:color w:val="000000"/>
                <w:sz w:val="16"/>
              </w:rPr>
              <w:t> </w:t>
            </w:r>
          </w:p>
        </w:tc>
        <w:tc>
          <w:tcPr>
            <w:tcW w:w="174" w:type="dxa"/>
            <w:gridSpan w:val="3"/>
            <w:tcBorders/>
            <w:shd w:fill="CCEEFF" w:val="clear"/>
            <w:vAlign w:val="center"/>
          </w:tcPr>
          <w:p>
            <w:pPr>
              <w:pStyle w:val="TableContents"/>
              <w:bidi w:val="0"/>
              <w:spacing w:before="0" w:after="283"/>
              <w:jc w:val="left"/>
              <w:rPr>
                <w:sz w:val="4"/>
                <w:szCs w:val="4"/>
              </w:rPr>
            </w:pPr>
            <w:r>
              <w:rPr>
                <w:sz w:val="4"/>
                <w:szCs w:val="4"/>
              </w:rPr>
            </w:r>
          </w:p>
        </w:tc>
        <w:tc>
          <w:tcPr>
            <w:tcW w:w="196" w:type="dxa"/>
            <w:gridSpan w:val="3"/>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633,130</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646,212</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1,279,342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6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19,191</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91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1,298,533</w:t>
            </w:r>
            <w:r>
              <w:rPr>
                <w:rFonts w:ascii="Times New Roman;serif" w:hAnsi="Times New Roman;serif"/>
                <w:caps w:val="false"/>
                <w:smallCaps w:val="false"/>
                <w:color w:val="000000"/>
                <w:sz w:val="16"/>
              </w:rPr>
              <w:t> </w:t>
            </w:r>
          </w:p>
        </w:tc>
      </w:tr>
      <w:tr>
        <w:trPr/>
        <w:tc>
          <w:tcPr>
            <w:tcW w:w="10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 xml:space="preserve">Intersegment revenues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1,433</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1,433</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6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(1,433)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74" w:type="dxa"/>
            <w:gridSpan w:val="3"/>
            <w:tcBorders/>
            <w:vAlign w:val="center"/>
          </w:tcPr>
          <w:p>
            <w:pPr>
              <w:pStyle w:val="TableContents"/>
              <w:bidi w:val="0"/>
              <w:spacing w:before="0" w:after="283"/>
              <w:jc w:val="left"/>
              <w:rPr>
                <w:sz w:val="4"/>
                <w:szCs w:val="4"/>
              </w:rPr>
            </w:pPr>
            <w:r>
              <w:rPr>
                <w:sz w:val="4"/>
                <w:szCs w:val="4"/>
              </w:rPr>
            </w:r>
          </w:p>
        </w:tc>
        <w:tc>
          <w:tcPr>
            <w:tcW w:w="196" w:type="dxa"/>
            <w:gridSpan w:val="3"/>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1,906</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1,906</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6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(1,906)</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r>
      <w:tr>
        <w:trPr/>
        <w:tc>
          <w:tcPr>
            <w:tcW w:w="10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Total operating revenues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680,519</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698,691</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7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1,379,210</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6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13,403</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7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1,392,613</w:t>
            </w:r>
            <w:r>
              <w:rPr>
                <w:rFonts w:ascii="Times New Roman;serif" w:hAnsi="Times New Roman;serif"/>
                <w:caps w:val="false"/>
                <w:smallCaps w:val="false"/>
                <w:color w:val="000000"/>
                <w:sz w:val="16"/>
              </w:rPr>
              <w:t> </w:t>
            </w:r>
          </w:p>
        </w:tc>
        <w:tc>
          <w:tcPr>
            <w:tcW w:w="174" w:type="dxa"/>
            <w:gridSpan w:val="3"/>
            <w:tcBorders/>
            <w:shd w:fill="CCEEFF" w:val="clear"/>
            <w:vAlign w:val="center"/>
          </w:tcPr>
          <w:p>
            <w:pPr>
              <w:pStyle w:val="TableContents"/>
              <w:bidi w:val="0"/>
              <w:spacing w:before="0" w:after="283"/>
              <w:jc w:val="left"/>
              <w:rPr>
                <w:sz w:val="4"/>
                <w:szCs w:val="4"/>
              </w:rPr>
            </w:pPr>
            <w:r>
              <w:rPr>
                <w:sz w:val="4"/>
                <w:szCs w:val="4"/>
              </w:rPr>
            </w:r>
          </w:p>
        </w:tc>
        <w:tc>
          <w:tcPr>
            <w:tcW w:w="196" w:type="dxa"/>
            <w:gridSpan w:val="3"/>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633,130</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648,118</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2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1,281,248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6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17,285</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91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1,298,533</w:t>
            </w:r>
            <w:r>
              <w:rPr>
                <w:rFonts w:ascii="Times New Roman;serif" w:hAnsi="Times New Roman;serif"/>
                <w:caps w:val="false"/>
                <w:smallCaps w:val="false"/>
                <w:color w:val="000000"/>
                <w:sz w:val="16"/>
              </w:rPr>
              <w:t> </w:t>
            </w:r>
          </w:p>
        </w:tc>
      </w:tr>
      <w:tr>
        <w:trPr/>
        <w:tc>
          <w:tcPr>
            <w:tcW w:w="10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Operations and maintenance expense</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212,476</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106,177</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7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318,653</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6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10,777</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7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329,430</w:t>
            </w:r>
            <w:r>
              <w:rPr>
                <w:rFonts w:ascii="Times New Roman;serif" w:hAnsi="Times New Roman;serif"/>
                <w:caps w:val="false"/>
                <w:smallCaps w:val="false"/>
                <w:color w:val="000000"/>
                <w:sz w:val="16"/>
              </w:rPr>
              <w:t> </w:t>
            </w:r>
          </w:p>
        </w:tc>
        <w:tc>
          <w:tcPr>
            <w:tcW w:w="174" w:type="dxa"/>
            <w:gridSpan w:val="3"/>
            <w:tcBorders/>
            <w:vAlign w:val="center"/>
          </w:tcPr>
          <w:p>
            <w:pPr>
              <w:pStyle w:val="TableContents"/>
              <w:bidi w:val="0"/>
              <w:spacing w:before="0" w:after="283"/>
              <w:jc w:val="left"/>
              <w:rPr>
                <w:sz w:val="4"/>
                <w:szCs w:val="4"/>
              </w:rPr>
            </w:pPr>
            <w:r>
              <w:rPr>
                <w:sz w:val="4"/>
                <w:szCs w:val="4"/>
              </w:rPr>
            </w:r>
          </w:p>
        </w:tc>
        <w:tc>
          <w:tcPr>
            <w:tcW w:w="196" w:type="dxa"/>
            <w:gridSpan w:val="3"/>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189,567</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105,461</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2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295,028</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6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(8,694)</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91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286,334</w:t>
            </w:r>
            <w:r>
              <w:rPr>
                <w:rFonts w:ascii="Times New Roman;serif" w:hAnsi="Times New Roman;serif"/>
                <w:caps w:val="false"/>
                <w:smallCaps w:val="false"/>
                <w:color w:val="000000"/>
                <w:sz w:val="16"/>
              </w:rPr>
              <w:t> </w:t>
            </w:r>
          </w:p>
        </w:tc>
      </w:tr>
      <w:tr>
        <w:trPr/>
        <w:tc>
          <w:tcPr>
            <w:tcW w:w="10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Purchased gas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277,640</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71"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277,640</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61"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7,176</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71"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284,816</w:t>
            </w:r>
            <w:r>
              <w:rPr>
                <w:rFonts w:ascii="Times New Roman;serif" w:hAnsi="Times New Roman;serif"/>
                <w:caps w:val="false"/>
                <w:smallCaps w:val="false"/>
                <w:color w:val="000000"/>
                <w:sz w:val="16"/>
              </w:rPr>
              <w:t> </w:t>
            </w:r>
          </w:p>
        </w:tc>
        <w:tc>
          <w:tcPr>
            <w:tcW w:w="174" w:type="dxa"/>
            <w:gridSpan w:val="3"/>
            <w:tcBorders/>
            <w:shd w:fill="CCEEFF" w:val="clear"/>
            <w:vAlign w:val="center"/>
          </w:tcPr>
          <w:p>
            <w:pPr>
              <w:pStyle w:val="TableContents"/>
              <w:bidi w:val="0"/>
              <w:spacing w:before="0" w:after="283"/>
              <w:jc w:val="left"/>
              <w:rPr>
                <w:sz w:val="4"/>
                <w:szCs w:val="4"/>
              </w:rPr>
            </w:pPr>
            <w:r>
              <w:rPr>
                <w:sz w:val="4"/>
                <w:szCs w:val="4"/>
              </w:rPr>
            </w:r>
          </w:p>
        </w:tc>
        <w:tc>
          <w:tcPr>
            <w:tcW w:w="196" w:type="dxa"/>
            <w:gridSpan w:val="3"/>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230,491</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2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230,491</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61"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10,885</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91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241,376</w:t>
            </w:r>
            <w:r>
              <w:rPr>
                <w:rFonts w:ascii="Times New Roman;serif" w:hAnsi="Times New Roman;serif"/>
                <w:caps w:val="false"/>
                <w:smallCaps w:val="false"/>
                <w:color w:val="000000"/>
                <w:sz w:val="16"/>
              </w:rPr>
              <w:t> </w:t>
            </w:r>
          </w:p>
        </w:tc>
      </w:tr>
      <w:tr>
        <w:trPr/>
        <w:tc>
          <w:tcPr>
            <w:tcW w:w="10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141,718</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81,372</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7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223,090</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6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931</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7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224,021</w:t>
            </w:r>
            <w:r>
              <w:rPr>
                <w:rFonts w:ascii="Times New Roman;serif" w:hAnsi="Times New Roman;serif"/>
                <w:caps w:val="false"/>
                <w:smallCaps w:val="false"/>
                <w:color w:val="000000"/>
                <w:sz w:val="16"/>
              </w:rPr>
              <w:t> </w:t>
            </w:r>
          </w:p>
        </w:tc>
        <w:tc>
          <w:tcPr>
            <w:tcW w:w="174" w:type="dxa"/>
            <w:gridSpan w:val="3"/>
            <w:tcBorders/>
            <w:vAlign w:val="center"/>
          </w:tcPr>
          <w:p>
            <w:pPr>
              <w:pStyle w:val="TableContents"/>
              <w:bidi w:val="0"/>
              <w:spacing w:before="0" w:after="283"/>
              <w:jc w:val="left"/>
              <w:rPr>
                <w:sz w:val="4"/>
                <w:szCs w:val="4"/>
              </w:rPr>
            </w:pPr>
            <w:r>
              <w:rPr>
                <w:sz w:val="4"/>
                <w:szCs w:val="4"/>
              </w:rPr>
            </w:r>
          </w:p>
        </w:tc>
        <w:tc>
          <w:tcPr>
            <w:tcW w:w="196" w:type="dxa"/>
            <w:gridSpan w:val="3"/>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125,360</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76,638</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2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201,998</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6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898</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91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202,896</w:t>
            </w:r>
            <w:r>
              <w:rPr>
                <w:rFonts w:ascii="Times New Roman;serif" w:hAnsi="Times New Roman;serif"/>
                <w:caps w:val="false"/>
                <w:smallCaps w:val="false"/>
                <w:color w:val="000000"/>
                <w:sz w:val="16"/>
              </w:rPr>
              <w:t> </w:t>
            </w:r>
          </w:p>
        </w:tc>
      </w:tr>
      <w:tr>
        <w:trPr/>
        <w:tc>
          <w:tcPr>
            <w:tcW w:w="10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Taxes other than income taxes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36,545</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11,515</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71"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48,060</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61"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2,373</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71"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50,433</w:t>
            </w:r>
            <w:r>
              <w:rPr>
                <w:rFonts w:ascii="Times New Roman;serif" w:hAnsi="Times New Roman;serif"/>
                <w:caps w:val="false"/>
                <w:smallCaps w:val="false"/>
                <w:color w:val="000000"/>
                <w:sz w:val="16"/>
              </w:rPr>
              <w:t> </w:t>
            </w:r>
          </w:p>
        </w:tc>
        <w:tc>
          <w:tcPr>
            <w:tcW w:w="174" w:type="dxa"/>
            <w:gridSpan w:val="3"/>
            <w:tcBorders/>
            <w:shd w:fill="CCEEFF" w:val="clear"/>
            <w:vAlign w:val="center"/>
          </w:tcPr>
          <w:p>
            <w:pPr>
              <w:pStyle w:val="TableContents"/>
              <w:bidi w:val="0"/>
              <w:spacing w:before="0" w:after="283"/>
              <w:jc w:val="left"/>
              <w:rPr>
                <w:sz w:val="4"/>
                <w:szCs w:val="4"/>
              </w:rPr>
            </w:pPr>
            <w:r>
              <w:rPr>
                <w:sz w:val="4"/>
                <w:szCs w:val="4"/>
              </w:rPr>
            </w:r>
          </w:p>
        </w:tc>
        <w:tc>
          <w:tcPr>
            <w:tcW w:w="196" w:type="dxa"/>
            <w:gridSpan w:val="3"/>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33,247</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8,245</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2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41,492</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61"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2,259</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91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43,751</w:t>
            </w:r>
            <w:r>
              <w:rPr>
                <w:rFonts w:ascii="Times New Roman;serif" w:hAnsi="Times New Roman;serif"/>
                <w:caps w:val="false"/>
                <w:smallCaps w:val="false"/>
                <w:color w:val="000000"/>
                <w:sz w:val="16"/>
              </w:rPr>
              <w:t> </w:t>
            </w:r>
          </w:p>
        </w:tc>
      </w:tr>
      <w:tr>
        <w:trPr/>
        <w:tc>
          <w:tcPr>
            <w:tcW w:w="10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79,855</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55,823</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7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135,678</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6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38,619</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7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174,297</w:t>
            </w:r>
            <w:r>
              <w:rPr>
                <w:rFonts w:ascii="Times New Roman;serif" w:hAnsi="Times New Roman;serif"/>
                <w:caps w:val="false"/>
                <w:smallCaps w:val="false"/>
                <w:color w:val="000000"/>
                <w:sz w:val="16"/>
              </w:rPr>
              <w:t> </w:t>
            </w:r>
          </w:p>
        </w:tc>
        <w:tc>
          <w:tcPr>
            <w:tcW w:w="174" w:type="dxa"/>
            <w:gridSpan w:val="3"/>
            <w:tcBorders/>
            <w:vAlign w:val="center"/>
          </w:tcPr>
          <w:p>
            <w:pPr>
              <w:pStyle w:val="TableContents"/>
              <w:bidi w:val="0"/>
              <w:spacing w:before="0" w:after="283"/>
              <w:jc w:val="left"/>
              <w:rPr>
                <w:sz w:val="4"/>
                <w:szCs w:val="4"/>
              </w:rPr>
            </w:pPr>
            <w:r>
              <w:rPr>
                <w:sz w:val="4"/>
                <w:szCs w:val="4"/>
              </w:rPr>
            </w:r>
          </w:p>
        </w:tc>
        <w:tc>
          <w:tcPr>
            <w:tcW w:w="196" w:type="dxa"/>
            <w:gridSpan w:val="3"/>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73,595</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51,973</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2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125,568</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6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35,776</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91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161,344</w:t>
            </w:r>
            <w:r>
              <w:rPr>
                <w:rFonts w:ascii="Times New Roman;serif" w:hAnsi="Times New Roman;serif"/>
                <w:caps w:val="false"/>
                <w:smallCaps w:val="false"/>
                <w:color w:val="000000"/>
                <w:sz w:val="16"/>
              </w:rPr>
              <w:t> </w:t>
            </w:r>
          </w:p>
        </w:tc>
      </w:tr>
      <w:tr>
        <w:trPr/>
        <w:tc>
          <w:tcPr>
            <w:tcW w:w="10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Allowance for funds used during construction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(8,812)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(2,687)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(11,499)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6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(11,499)</w:t>
            </w:r>
          </w:p>
        </w:tc>
        <w:tc>
          <w:tcPr>
            <w:tcW w:w="174" w:type="dxa"/>
            <w:gridSpan w:val="3"/>
            <w:tcBorders/>
            <w:shd w:fill="CCEEFF" w:val="clear"/>
            <w:vAlign w:val="center"/>
          </w:tcPr>
          <w:p>
            <w:pPr>
              <w:pStyle w:val="TableContents"/>
              <w:bidi w:val="0"/>
              <w:spacing w:before="0" w:after="283"/>
              <w:jc w:val="left"/>
              <w:rPr>
                <w:sz w:val="4"/>
                <w:szCs w:val="4"/>
              </w:rPr>
            </w:pPr>
            <w:r>
              <w:rPr>
                <w:sz w:val="4"/>
                <w:szCs w:val="4"/>
              </w:rPr>
            </w:r>
          </w:p>
        </w:tc>
        <w:tc>
          <w:tcPr>
            <w:tcW w:w="196" w:type="dxa"/>
            <w:gridSpan w:val="3"/>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(10,354)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(2,505)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(12,859)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6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91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(12,859)</w:t>
            </w:r>
          </w:p>
        </w:tc>
      </w:tr>
      <w:tr>
        <w:trPr/>
        <w:tc>
          <w:tcPr>
            <w:tcW w:w="1021" w:type="dxa"/>
            <w:tcBorders/>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color w:val="000000"/>
                <w:sz w:val="16"/>
              </w:rPr>
              <w:t xml:space="preserve">Other segment items </w:t>
            </w:r>
            <w:r>
              <w:rPr>
                <w:rFonts w:ascii="Times New Roman;serif" w:hAnsi="Times New Roman;serif"/>
                <w:b w:val="false"/>
                <w:i w:val="false"/>
                <w:caps w:val="false"/>
                <w:smallCaps w:val="false"/>
                <w:color w:val="000000"/>
                <w:position w:val="5"/>
                <w:sz w:val="13"/>
                <w:sz w:val="16"/>
              </w:rPr>
              <w:t>(a)</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(1,200)</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(363)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(1,563)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6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2,783</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7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1,220</w:t>
            </w:r>
            <w:r>
              <w:rPr>
                <w:rFonts w:ascii="Times New Roman;serif" w:hAnsi="Times New Roman;serif"/>
                <w:caps w:val="false"/>
                <w:smallCaps w:val="false"/>
                <w:color w:val="000000"/>
                <w:sz w:val="16"/>
              </w:rPr>
              <w:t> </w:t>
            </w:r>
          </w:p>
        </w:tc>
        <w:tc>
          <w:tcPr>
            <w:tcW w:w="174" w:type="dxa"/>
            <w:gridSpan w:val="3"/>
            <w:tcBorders/>
            <w:vAlign w:val="center"/>
          </w:tcPr>
          <w:p>
            <w:pPr>
              <w:pStyle w:val="TableContents"/>
              <w:bidi w:val="0"/>
              <w:spacing w:before="0" w:after="283"/>
              <w:jc w:val="left"/>
              <w:rPr>
                <w:sz w:val="4"/>
                <w:szCs w:val="4"/>
              </w:rPr>
            </w:pPr>
            <w:r>
              <w:rPr>
                <w:sz w:val="4"/>
                <w:szCs w:val="4"/>
              </w:rPr>
            </w:r>
          </w:p>
        </w:tc>
        <w:tc>
          <w:tcPr>
            <w:tcW w:w="196" w:type="dxa"/>
            <w:gridSpan w:val="3"/>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44</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(254)</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2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(210)</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6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308</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91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98</w:t>
            </w:r>
            <w:r>
              <w:rPr>
                <w:rFonts w:ascii="Times New Roman;serif" w:hAnsi="Times New Roman;serif"/>
                <w:caps w:val="false"/>
                <w:smallCaps w:val="false"/>
                <w:color w:val="000000"/>
                <w:sz w:val="16"/>
              </w:rPr>
              <w:t> </w:t>
            </w:r>
          </w:p>
        </w:tc>
      </w:tr>
      <w:tr>
        <w:trPr/>
        <w:tc>
          <w:tcPr>
            <w:tcW w:w="10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Provision for income taxes (benefit)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35,137</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(27,178)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71"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7,959</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61"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1,819</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71"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9,778</w:t>
            </w:r>
            <w:r>
              <w:rPr>
                <w:rFonts w:ascii="Times New Roman;serif" w:hAnsi="Times New Roman;serif"/>
                <w:caps w:val="false"/>
                <w:smallCaps w:val="false"/>
                <w:color w:val="000000"/>
                <w:sz w:val="16"/>
              </w:rPr>
              <w:t> </w:t>
            </w:r>
          </w:p>
        </w:tc>
        <w:tc>
          <w:tcPr>
            <w:tcW w:w="174" w:type="dxa"/>
            <w:gridSpan w:val="3"/>
            <w:tcBorders/>
            <w:shd w:fill="CCEEFF" w:val="clear"/>
            <w:vAlign w:val="center"/>
          </w:tcPr>
          <w:p>
            <w:pPr>
              <w:pStyle w:val="TableContents"/>
              <w:bidi w:val="0"/>
              <w:spacing w:before="0" w:after="283"/>
              <w:jc w:val="left"/>
              <w:rPr>
                <w:sz w:val="4"/>
                <w:szCs w:val="4"/>
              </w:rPr>
            </w:pPr>
            <w:r>
              <w:rPr>
                <w:sz w:val="4"/>
                <w:szCs w:val="4"/>
              </w:rPr>
            </w:r>
          </w:p>
        </w:tc>
        <w:tc>
          <w:tcPr>
            <w:tcW w:w="196" w:type="dxa"/>
            <w:gridSpan w:val="3"/>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13,269</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(28,952)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(15,683)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6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91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(16,023)</w:t>
            </w:r>
          </w:p>
        </w:tc>
      </w:tr>
      <w:tr>
        <w:trPr/>
        <w:tc>
          <w:tcPr>
            <w:tcW w:w="10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184,800</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196,392</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7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381,192</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6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(51,075)</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7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330,117</w:t>
            </w:r>
            <w:r>
              <w:rPr>
                <w:rFonts w:ascii="Times New Roman;serif" w:hAnsi="Times New Roman;serif"/>
                <w:caps w:val="false"/>
                <w:smallCaps w:val="false"/>
                <w:color w:val="000000"/>
                <w:sz w:val="16"/>
              </w:rPr>
              <w:t> </w:t>
            </w:r>
          </w:p>
        </w:tc>
        <w:tc>
          <w:tcPr>
            <w:tcW w:w="174" w:type="dxa"/>
            <w:gridSpan w:val="3"/>
            <w:tcBorders/>
            <w:vAlign w:val="center"/>
          </w:tcPr>
          <w:p>
            <w:pPr>
              <w:pStyle w:val="TableContents"/>
              <w:bidi w:val="0"/>
              <w:spacing w:before="0" w:after="283"/>
              <w:jc w:val="left"/>
              <w:rPr>
                <w:sz w:val="4"/>
                <w:szCs w:val="4"/>
              </w:rPr>
            </w:pPr>
            <w:r>
              <w:rPr>
                <w:sz w:val="4"/>
                <w:szCs w:val="4"/>
              </w:rPr>
            </w:r>
          </w:p>
        </w:tc>
        <w:tc>
          <w:tcPr>
            <w:tcW w:w="196" w:type="dxa"/>
            <w:gridSpan w:val="3"/>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208,402</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207,021</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2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415,423</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6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(23,807)</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91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391,616</w:t>
            </w:r>
            <w:r>
              <w:rPr>
                <w:rFonts w:ascii="Times New Roman;serif" w:hAnsi="Times New Roman;serif"/>
                <w:caps w:val="false"/>
                <w:smallCaps w:val="false"/>
                <w:color w:val="000000"/>
                <w:sz w:val="16"/>
              </w:rPr>
              <w:t> </w:t>
            </w:r>
          </w:p>
        </w:tc>
      </w:tr>
      <w:tr>
        <w:trPr/>
        <w:tc>
          <w:tcPr>
            <w:tcW w:w="10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Capital expenditures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363,627</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298,540</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71"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662,167</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6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71"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662,167</w:t>
            </w:r>
            <w:r>
              <w:rPr>
                <w:rFonts w:ascii="Times New Roman;serif" w:hAnsi="Times New Roman;serif"/>
                <w:caps w:val="false"/>
                <w:smallCaps w:val="false"/>
                <w:color w:val="000000"/>
                <w:sz w:val="16"/>
              </w:rPr>
              <w:t> </w:t>
            </w:r>
          </w:p>
        </w:tc>
        <w:tc>
          <w:tcPr>
            <w:tcW w:w="174" w:type="dxa"/>
            <w:gridSpan w:val="3"/>
            <w:tcBorders/>
            <w:shd w:fill="CCEEFF" w:val="clear"/>
            <w:vAlign w:val="center"/>
          </w:tcPr>
          <w:p>
            <w:pPr>
              <w:pStyle w:val="TableContents"/>
              <w:bidi w:val="0"/>
              <w:spacing w:before="0" w:after="283"/>
              <w:jc w:val="left"/>
              <w:rPr>
                <w:sz w:val="4"/>
                <w:szCs w:val="4"/>
              </w:rPr>
            </w:pPr>
            <w:r>
              <w:rPr>
                <w:sz w:val="4"/>
                <w:szCs w:val="4"/>
              </w:rPr>
            </w:r>
          </w:p>
        </w:tc>
        <w:tc>
          <w:tcPr>
            <w:tcW w:w="196" w:type="dxa"/>
            <w:gridSpan w:val="3"/>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316,378</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296,251</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2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612,629</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6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91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612,629</w:t>
            </w:r>
            <w:r>
              <w:rPr>
                <w:rFonts w:ascii="Times New Roman;serif" w:hAnsi="Times New Roman;serif"/>
                <w:caps w:val="false"/>
                <w:smallCaps w:val="false"/>
                <w:color w:val="000000"/>
                <w:sz w:val="16"/>
              </w:rPr>
              <w:t> </w:t>
            </w:r>
          </w:p>
        </w:tc>
      </w:tr>
      <w:tr>
        <w:trPr/>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74" w:type="dxa"/>
            <w:gridSpan w:val="3"/>
            <w:tcBorders/>
            <w:vAlign w:val="center"/>
          </w:tcPr>
          <w:p>
            <w:pPr>
              <w:pStyle w:val="TableContents"/>
              <w:bidi w:val="0"/>
              <w:spacing w:before="0" w:after="283"/>
              <w:jc w:val="left"/>
              <w:rPr>
                <w:sz w:val="4"/>
                <w:szCs w:val="4"/>
              </w:rPr>
            </w:pPr>
            <w:r>
              <w:rPr>
                <w:sz w:val="4"/>
                <w:szCs w:val="4"/>
              </w:rPr>
            </w:r>
          </w:p>
        </w:tc>
        <w:tc>
          <w:tcPr>
            <w:tcW w:w="196" w:type="dxa"/>
            <w:gridSpan w:val="3"/>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9"/>
        <w:rPr>
          <w:caps w:val="false"/>
          <w:smallCaps w:val="false"/>
          <w:color w:val="000000"/>
        </w:rPr>
      </w:pPr>
      <w:r>
        <w:rPr>
          <w:caps w:val="false"/>
          <w:smallCaps w:val="false"/>
          <w:color w:val="000000"/>
        </w:rPr>
        <w:t> </w:t>
      </w:r>
    </w:p>
    <w:p>
      <w:pPr>
        <w:pStyle w:val="TextBody"/>
        <w:bidi w:val="0"/>
        <w:spacing w:lineRule="auto" w:line="259"/>
        <w:rPr>
          <w:rFonts w:ascii="Times New Roman;serif" w:hAnsi="Times New Roman;serif"/>
          <w:sz w:val="20"/>
        </w:rPr>
      </w:pPr>
      <w:r>
        <w:rPr>
          <w:rFonts w:ascii="Garamond;serif" w:hAnsi="Garamond;serif"/>
          <w:b w:val="false"/>
          <w:i w:val="false"/>
          <w:caps w:val="false"/>
          <w:smallCaps w:val="false"/>
          <w:color w:val="000000"/>
          <w:position w:val="7"/>
          <w:sz w:val="16"/>
          <w:sz w:val="20"/>
        </w:rPr>
        <w:t xml:space="preserve">(a) </w:t>
      </w:r>
      <w:r>
        <w:rPr>
          <w:rFonts w:ascii="Times New Roman;serif" w:hAnsi="Times New Roman;serif"/>
          <w:b w:val="false"/>
          <w:i w:val="false"/>
          <w:caps w:val="false"/>
          <w:smallCaps w:val="false"/>
          <w:color w:val="000000"/>
          <w:sz w:val="18"/>
        </w:rPr>
        <w:t>Other segment items mainly consists of the non-service cost component of pension and other postretirement benefits for our regulated segments and gain on sale of other assets.</w:t>
      </w:r>
    </w:p>
    <w:p>
      <w:pPr>
        <w:pStyle w:val="TextBody"/>
        <w:bidi w:val="0"/>
        <w:spacing w:lineRule="auto" w:line="259"/>
        <w:rPr>
          <w:caps w:val="false"/>
          <w:smallCaps w:val="false"/>
          <w:color w:val="000000"/>
        </w:rPr>
      </w:pPr>
      <w:r>
        <w:rPr>
          <w:caps w:val="false"/>
          <w:smallCaps w:val="false"/>
          <w:color w:val="000000"/>
        </w:rPr>
        <w:t>     </w:t>
      </w:r>
    </w:p>
    <w:p>
      <w:pPr>
        <w:pStyle w:val="TextBody"/>
        <w:bidi w:val="0"/>
        <w:spacing w:lineRule="auto" w:line="259"/>
        <w:rPr>
          <w:rFonts w:ascii="Times New Roman;serif" w:hAnsi="Times New Roman;serif"/>
          <w:b w:val="false"/>
          <w:i w:val="false"/>
          <w:caps w:val="false"/>
          <w:smallCaps w:val="false"/>
          <w:color w:val="000000"/>
          <w:sz w:val="24"/>
        </w:rPr>
      </w:pPr>
      <w:bookmarkStart w:id="21" w:name="_Hlk39820034"/>
      <w:bookmarkStart w:id="22" w:name="_Hlk147751128"/>
      <w:bookmarkEnd w:id="21"/>
      <w:bookmarkEnd w:id="22"/>
      <w:r>
        <w:rPr>
          <w:rFonts w:ascii="Times New Roman;serif" w:hAnsi="Times New Roman;serif"/>
          <w:b w:val="false"/>
          <w:i w:val="false"/>
          <w:caps w:val="false"/>
          <w:smallCaps w:val="false"/>
          <w:color w:val="000000"/>
          <w:sz w:val="24"/>
        </w:rPr>
        <w:t>27</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563C1"/>
            <w:sz w:val="24"/>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ESSENTIAL UTILITIES, INC. AND SUBSIDIARIES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NOTES TO CONDENSED CONSOLIDATED FINANCIAL STATEMENTS (continued)</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(In thousands of dollars, except per share amounts)</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(UNAUDITED)</w:t>
      </w:r>
    </w:p>
    <w:p>
      <w:pPr>
        <w:pStyle w:val="TextBody"/>
        <w:bidi w:val="0"/>
        <w:spacing w:lineRule="auto" w:line="259"/>
        <w:rPr>
          <w:caps w:val="false"/>
          <w:smallCaps w:val="false"/>
          <w:color w:val="000000"/>
        </w:rPr>
      </w:pPr>
      <w:r>
        <w:rPr>
          <w:caps w:val="false"/>
          <w:smallCaps w:val="false"/>
          <w:color w:val="000000"/>
        </w:rPr>
        <w:t> </w:t>
      </w:r>
    </w:p>
    <w:p>
      <w:pPr>
        <w:pStyle w:val="TextBody"/>
        <w:bidi w:val="0"/>
        <w:spacing w:lineRule="auto" w:line="259"/>
        <w:rPr>
          <w:rFonts w:ascii="Times New Roman;serif" w:hAnsi="Times New Roman;serif"/>
          <w:sz w:val="24"/>
        </w:rPr>
      </w:pPr>
      <w:r>
        <w:rPr>
          <w:rFonts w:ascii="Times New Roman;serif" w:hAnsi="Times New Roman;serif"/>
          <w:b/>
          <w:i w:val="false"/>
          <w:caps w:val="false"/>
          <w:smallCaps w:val="false"/>
          <w:color w:val="000000"/>
          <w:sz w:val="24"/>
        </w:rPr>
        <w:t xml:space="preserve">Note 15 – </w:t>
      </w:r>
      <w:r>
        <w:rPr>
          <w:rFonts w:ascii="Times New Roman;serif" w:hAnsi="Times New Roman;serif"/>
          <w:b/>
          <w:i/>
          <w:color w:val="000000"/>
          <w:sz w:val="24"/>
        </w:rPr>
        <w:t>Commitments and Contingencies</w:t>
      </w:r>
      <w:r>
        <w:rPr>
          <w:rFonts w:ascii="Times New Roman;serif" w:hAnsi="Times New Roman;serif"/>
          <w:caps w:val="false"/>
          <w:smallCaps w:val="false"/>
          <w:color w:val="000000"/>
          <w:sz w:val="24"/>
        </w:rPr>
        <w:t> </w:t>
      </w:r>
    </w:p>
    <w:p>
      <w:pPr>
        <w:pStyle w:val="TextBody"/>
        <w:bidi w:val="0"/>
        <w:spacing w:lineRule="auto" w:line="259"/>
        <w:rPr>
          <w:rFonts w:ascii="Times New Roman;serif" w:hAnsi="Times New Roman;serif"/>
          <w:sz w:val="24"/>
        </w:rPr>
      </w:pPr>
      <w:r>
        <w:rPr>
          <w:rFonts w:ascii="Times New Roman;serif" w:hAnsi="Times New Roman;serif"/>
          <w:b w:val="false"/>
          <w:i w:val="false"/>
          <w:caps w:val="false"/>
          <w:smallCaps w:val="false"/>
          <w:color w:val="000000"/>
          <w:sz w:val="24"/>
        </w:rPr>
        <w:t>The Company is routinely involved in various disputes, claims, lawsuits and other regulatory and legal matters, including both asserted and unasserted legal claims, in the ordinary course of business. The status of each such matter, referred to herein as a loss contingency, is reviewed and assessed in accordance with applicable accounting rules regarding the nature of the matter, the likelihood that a loss will be incurred, and the amounts involved. As of June 30, 2026, the aggregate amount of $20,161</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is accrued for loss contingencies, of which $15,939</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and $4,222</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are reported in the Company’s condensed consolidated balance sheet as other accrued liabilities and other liabilities, respectively. These accruals represent management’s best estimate of probable loss (as defined in the accounting guidance) for loss contingencies or the low end of a range of losses if no single probable loss can be estimated. For some loss contingencies, the Company is unable to estimate the amount of the probable loss or range of probable losses. Further, Essential Utilities has insurance coverage for certain of these loss contingencies, and as of June 30, 2026, estimates that approximately $5,393</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of the amount accrued for these matters are probable of recovery through insurance, of which $4,625</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is reported within prepayments and other current assets and $768</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is reported in deferred charges and other assets, net.</w:t>
      </w:r>
    </w:p>
    <w:p>
      <w:pPr>
        <w:pStyle w:val="TextBody"/>
        <w:bidi w:val="0"/>
        <w:spacing w:lineRule="auto" w:line="259"/>
        <w:rPr>
          <w:rFonts w:ascii="Times New Roman;serif" w:hAnsi="Times New Roman;serif"/>
          <w:sz w:val="24"/>
        </w:rPr>
      </w:pPr>
      <w:bookmarkStart w:id="23" w:name="_Hlk133431327"/>
      <w:bookmarkEnd w:id="23"/>
      <w:r>
        <w:rPr>
          <w:rFonts w:ascii="Times New Roman;serif" w:hAnsi="Times New Roman;serif"/>
          <w:b w:val="false"/>
          <w:i w:val="false"/>
          <w:caps w:val="false"/>
          <w:smallCaps w:val="false"/>
          <w:color w:val="000000"/>
          <w:sz w:val="24"/>
        </w:rPr>
        <w:t>During a portion of 2019, the Company’s Illinois subsidiary initiated a do not consume advisory for some of its customers in one division served by the Company’s Illinois subsidiary. The do not consume advisory was lifted in 2019 and, in 2022, the water system was determined to be in compliance with the federal Lead and Copper Rule. The Company has accrued for the penalty and other fees that will be paid as a result of a settlement that was reached with the state and local regulators and approved by the Illinois court with jurisdiction over this matter in July 2024. In addition, on September 3, 2019, two</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individuals, on behalf of themselves and those similarly situated, commenced an action against the Company’s Illinois subsidiary in the State court in Will County, Illinois related to this do not consume advisory. The complaint sought class action certification, attorney’s fees, and “damages, including, but not limited to, out of pocket damages, and discomfort, aggravation, and annoyance” based upon the water provided by the Company’s subsidiary to a discrete service area in University Park, Illinois. The complaint contains allegations of damages as a result of supplied water. In December, 2024, the State court in Will County, Illinois dismissed the case against the Company, and plaintiffs have filed an appeal of that decision. In addition, plaintiffs commenced similar actions in federal court and in front of two state agencies. The Company has an accrual for the amount of loss asserted in the complaint that we determined to be probable and estimable of being incurred. The Company also submitted claims to its insurance carriers for potential recovery of a portion of these costs and pursued litigation with one of its carriers to enforce its claims. The Company prevailed in the Third Circuit Court of Appeals which held that the insurance carrier possessed a duty to defend. In February 2025, the Company received $5,602</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in related insurance proceeds for a portion of expenses incurred by the Company. During the first quarter of 2026, all parties conditionally agreed to resolve all matters, including the insurance litigation.  The class action settlement was</w:t>
      </w:r>
      <w:r>
        <w:rPr>
          <w:rFonts w:ascii="Times New Roman;serif" w:hAnsi="Times New Roman;serif"/>
          <w:caps w:val="false"/>
          <w:smallCaps w:val="false"/>
          <w:color w:val="FF0000"/>
          <w:sz w:val="24"/>
        </w:rPr>
        <w:t xml:space="preserve"> </w:t>
      </w:r>
      <w:r>
        <w:rPr>
          <w:rFonts w:ascii="Times New Roman;serif" w:hAnsi="Times New Roman;serif"/>
          <w:b w:val="false"/>
          <w:i w:val="false"/>
          <w:caps w:val="false"/>
          <w:smallCaps w:val="false"/>
          <w:color w:val="000000"/>
          <w:sz w:val="24"/>
        </w:rPr>
        <w:t>preliminarily approved by the court and final approval is expected in the third quarter of 2026. The insurance related matter was also settled and a dismissal was filed in the jurisdiction where that matter was pending. The class action settlement totaled $12,500, of which $9,250</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was agreed to be reimbursed by insurance carriers. In June 2026, the Company collected the first half of the insurance reimbursement of $4,625</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and made the first payment to the class action settlement administrator amounting to $6,250. During the second quarter of 2026, the Company recognized a $6,750</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reduction of insurance expense within operations and maintenance expense, representing recovery of previously recognized losses, net of a $2,500</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 xml:space="preserve">increase in the litigation reserve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28</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563C1"/>
            <w:sz w:val="24"/>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ESSENTIAL UTILITIES, INC. AND SUBSIDIARIES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NOTES TO CONDENSED CONSOLIDATED FINANCIAL STATEMENTS (continued)</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(In thousands of dollars, except per share amounts)</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(UNAUDITED)</w:t>
      </w:r>
    </w:p>
    <w:p>
      <w:pPr>
        <w:pStyle w:val="TextBody"/>
        <w:bidi w:val="0"/>
        <w:spacing w:lineRule="auto" w:line="259"/>
        <w:rPr>
          <w:caps w:val="false"/>
          <w:smallCaps w:val="false"/>
          <w:color w:val="000000"/>
        </w:rPr>
      </w:pPr>
      <w:r>
        <w:rPr>
          <w:caps w:val="false"/>
          <w:smallCaps w:val="false"/>
          <w:color w:val="000000"/>
        </w:rPr>
        <w:t>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 xml:space="preserve">related to the executed class action settlement agreement. While the final outcome of this claim cannot be predicted with certainty, and unfavorable outcomes could negatively impact the Company, at this time in the opinion of management, the final resolution of this matter is not expected to have a material adverse effect on the Company’s financial position, results of operations, or cash flows. </w:t>
      </w:r>
    </w:p>
    <w:p>
      <w:pPr>
        <w:pStyle w:val="TextBody"/>
        <w:bidi w:val="0"/>
        <w:spacing w:lineRule="auto" w:line="259"/>
        <w:rPr>
          <w:rFonts w:ascii="Times New Roman;serif" w:hAnsi="Times New Roman;serif"/>
          <w:sz w:val="24"/>
        </w:rPr>
      </w:pPr>
      <w:r>
        <w:rPr>
          <w:rFonts w:ascii="Times New Roman;serif" w:hAnsi="Times New Roman;serif"/>
          <w:b w:val="false"/>
          <w:i w:val="false"/>
          <w:caps w:val="false"/>
          <w:smallCaps w:val="false"/>
          <w:color w:val="000000"/>
          <w:sz w:val="24"/>
        </w:rPr>
        <w:t>A number of the Company’s subsidiaries are parties to several lawsuits against manufacturers of certain per- and polyfluoroalkyl substances or compounds (“PFAS”) for damages, contribution and reimbursement of costs incurred and continuing to be incurred to address the presence of such PFAS in public water supply systems owned and operated by these utility subsidiaries throughout its service area. One such suit to which the Company is a party is a multi-district litigation (the “MDL”) lawsuit which commenced on December 7, 2018, in the United States District Court for the District of South Carolina. Several defendants in such lawsuit have agreed to settle. In 2024, the MDL court granted approval of the DuPont, 3M, Tyco Fire Products LP, and BASF Corp class action settlements. The total amount of recovery by the Company remains uncertain. In 2025, the Company received a total of $46,166, representing a portion of its share of the settlement reached with 3M and DuPont, net of legal fees and settlement costs. During the three and six months ended June 30, 2026, the Company received $10,234</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and $10,486, respectively, from Tyco, BASF and Dupont, net of legal fees and settlement costs. As of June 30, 2026, the Company presented $12,259</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of the total settlement proceeds allocated to its North Carolina and Virginia water and wastewater subsidiaries as a regulatory liability, pursuant to regulatory orders issued by the public utility commissions from such states regarding the treatment of PFAS settlement proceeds. The remaining proceeds received that were allocated to the Company’s other water and wastewater subsidiaries totaling $44,581</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are included in Deferred credits and other non-current liabilities in the accompanying condensed consolidated balance sheets, pending recommendation or order from the respective public utility commissions on treatment of the amounts. Settlement proceeds are presented within Other in the cash flows from operating activities in the accompanying condensed consolidated statement of cash flows. The Company anticipates receiving additional settlement payments from the MDL lawsuit defendants over the next ten years. On July 6, 2026, in conjunction with an approved rate order, the North Carolina Utilities Commission authorized the Company to treat $8,385</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of settlement proceeds, previously recorded as a regulatory liability, as contributions in aid of construction, which will be amortized over the same period as the related PFAS mitigation plan. On July 30, 2026, the Company received another portion of the 3M settlement, net of legal fees and settlement costs, amounting to $10,542.</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 xml:space="preserve">The Company’s gas subsidiary was served with lawsuits surrounding a home explosion in August 2023 in which six individuals lost their lives.  The twelve lawsuits bring the actions against several other defendants and seek damages for loss of life, property, emotional distress, and other damage. The Company is vigorously defending against this claim.  While the final outcome of this claim cannot be predicted with certainty, and unfavorable outcomes could negatively impact the Company, at this time in the opinion of management, the final resolution of this matter is not expected to have a material adverse effect on the Company’s financial position, results of operations, or cash flows.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 xml:space="preserve">The Company’s Pennsylvania wastewater subsidiary was recently served with a complaint brought by the City of Chester in the ongoing series of suits with respect to the DELCORA acquisition.  In the case, the City requests a Declaratory Judgment seeking that the court enjoin and prevent the transfer of certain assets from DELCORA to the Company’s wastewater subsidiary.  The Company’s wastewater subsidiary,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29</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563C1"/>
            <w:sz w:val="24"/>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ESSENTIAL UTILITIES, INC. AND SUBSIDIARIES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NOTES TO CONDENSED CONSOLIDATED FINANCIAL STATEMENTS (continued)</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(In thousands of dollars, except per share amounts)</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(UNAUDITED)</w:t>
      </w:r>
    </w:p>
    <w:p>
      <w:pPr>
        <w:pStyle w:val="TextBody"/>
        <w:bidi w:val="0"/>
        <w:spacing w:lineRule="auto" w:line="259"/>
        <w:rPr>
          <w:caps w:val="false"/>
          <w:smallCaps w:val="false"/>
          <w:color w:val="000000"/>
        </w:rPr>
      </w:pPr>
      <w:r>
        <w:rPr>
          <w:caps w:val="false"/>
          <w:smallCaps w:val="false"/>
          <w:color w:val="000000"/>
        </w:rPr>
        <w:t> </w:t>
      </w:r>
    </w:p>
    <w:p>
      <w:pPr>
        <w:pStyle w:val="TextBody"/>
        <w:bidi w:val="0"/>
        <w:spacing w:lineRule="auto" w:line="259"/>
        <w:rPr>
          <w:rFonts w:ascii="Times New Roman;serif" w:hAnsi="Times New Roman;serif"/>
          <w:sz w:val="28"/>
        </w:rPr>
      </w:pPr>
      <w:r>
        <w:rPr>
          <w:rFonts w:ascii="Times New Roman;serif" w:hAnsi="Times New Roman;serif"/>
          <w:b w:val="false"/>
          <w:i w:val="false"/>
          <w:caps w:val="false"/>
          <w:smallCaps w:val="false"/>
          <w:color w:val="000000"/>
          <w:sz w:val="24"/>
        </w:rPr>
        <w:t>in response, filed a counterclaim against the City of Chester, among other filings.</w:t>
      </w:r>
      <w:r>
        <w:rPr>
          <w:rFonts w:ascii="Times New Roman;serif" w:hAnsi="Times New Roman;serif"/>
          <w:caps w:val="false"/>
          <w:smallCaps w:val="false"/>
          <w:color w:val="000000"/>
          <w:sz w:val="28"/>
        </w:rPr>
        <w:t xml:space="preserve"> </w:t>
      </w:r>
      <w:r>
        <w:rPr>
          <w:rFonts w:ascii="Times New Roman;serif" w:hAnsi="Times New Roman;serif"/>
          <w:b w:val="false"/>
          <w:i w:val="false"/>
          <w:caps w:val="false"/>
          <w:smallCaps w:val="false"/>
          <w:color w:val="000000"/>
          <w:sz w:val="24"/>
        </w:rPr>
        <w:t>At this juncture, we do not feel that a loss (here the potential termination of our agreement with DELCORA) is probable.</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Although the results of legal proceedings cannot be predicted with certainty, other than disclosed above, there are no pending legal proceedings to which the Company or any of its subsidiaries is a party or to which any of its properties is the subject that are material or are expected to have a material effect on the Company’s financial position, results of operations, or cash flows.</w:t>
      </w:r>
    </w:p>
    <w:p>
      <w:pPr>
        <w:pStyle w:val="TextBody"/>
        <w:bidi w:val="0"/>
        <w:spacing w:lineRule="auto" w:line="259"/>
        <w:rPr>
          <w:rFonts w:ascii="Times New Roman;serif" w:hAnsi="Times New Roman;serif"/>
          <w:sz w:val="24"/>
        </w:rPr>
      </w:pPr>
      <w:r>
        <w:rPr>
          <w:rFonts w:ascii="Times New Roman;serif" w:hAnsi="Times New Roman;serif"/>
          <w:b w:val="false"/>
          <w:i w:val="false"/>
          <w:caps w:val="false"/>
          <w:smallCaps w:val="false"/>
          <w:color w:val="000000"/>
          <w:sz w:val="24"/>
        </w:rPr>
        <w:t>In addition to the aforementioned loss contingencies, the Company self-insures a portion of its employee medical benefit program, and maintains stop-loss coverage to limit the exposure arising from these claims. The Company’s reserve for these claims totaled $4,934</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 xml:space="preserve">at June 30, 2026 and represents a reserve for unpaid claim costs, including an estimate for the cost of incurred but not reported claims. </w:t>
      </w:r>
    </w:p>
    <w:p>
      <w:pPr>
        <w:pStyle w:val="TextBody"/>
        <w:bidi w:val="0"/>
        <w:spacing w:lineRule="auto" w:line="259"/>
        <w:rPr>
          <w:rFonts w:ascii="Times New Roman;serif" w:hAnsi="Times New Roman;serif"/>
          <w:sz w:val="24"/>
        </w:rPr>
      </w:pPr>
      <w:r>
        <w:rPr>
          <w:rFonts w:ascii="Times New Roman;serif" w:hAnsi="Times New Roman;serif"/>
          <w:b w:val="false"/>
          <w:i w:val="false"/>
          <w:caps w:val="false"/>
          <w:smallCaps w:val="false"/>
          <w:color w:val="000000"/>
          <w:sz w:val="24"/>
        </w:rPr>
        <w:t>On October 25, 2025, the Company entered into an agreement with a financial advisor (“Advisor”) for services to be rendered in connection with the consummation of the merger with American Water, pursuant to which the Company will pay the Advisor a fee of $60,000</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(“Transaction Fee”) upon the achievement of certain milestones. If the Merger fails to close, a termination fee equal to 10% of any compensation payable to the Company will be due to the Advisor, but not to exceed the Transaction Fee. As of December 31, 2025, the Company has incurred $12,000</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of the Transaction Fee. During the three and six months ended June 30, 2026, the Company incurred additional Transaction Fees of $0</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 xml:space="preserve">and $13,000, respectively. The Company includes pre-merger expenses within Operations and maintenance expense line on the condensed consolidated statements of operations and comprehensive income. </w:t>
      </w:r>
    </w:p>
    <w:p>
      <w:pPr>
        <w:pStyle w:val="TextBody"/>
        <w:bidi w:val="0"/>
        <w:spacing w:lineRule="auto" w:line="259"/>
        <w:rPr>
          <w:rFonts w:ascii="Times New Roman;serif" w:hAnsi="Times New Roman;serif"/>
          <w:sz w:val="24"/>
        </w:rPr>
      </w:pPr>
      <w:bookmarkStart w:id="24" w:name="_Hlk528331129"/>
      <w:bookmarkEnd w:id="24"/>
      <w:r>
        <w:rPr>
          <w:rFonts w:ascii="Times New Roman;serif" w:hAnsi="Times New Roman;serif"/>
          <w:b/>
          <w:i w:val="false"/>
          <w:caps w:val="false"/>
          <w:smallCaps w:val="false"/>
          <w:color w:val="000000"/>
          <w:sz w:val="24"/>
        </w:rPr>
        <w:t xml:space="preserve">Note 16 – </w:t>
      </w:r>
      <w:r>
        <w:rPr>
          <w:rFonts w:ascii="Times New Roman;serif" w:hAnsi="Times New Roman;serif"/>
          <w:b/>
          <w:i/>
          <w:color w:val="000000"/>
          <w:sz w:val="24"/>
        </w:rPr>
        <w:t xml:space="preserve">Income Taxes </w:t>
      </w:r>
    </w:p>
    <w:p>
      <w:pPr>
        <w:pStyle w:val="Heading1"/>
        <w:bidi w:val="0"/>
        <w:spacing w:lineRule="auto" w:line="259"/>
        <w:rPr>
          <w:rFonts w:ascii="Times New Roman;serif" w:hAnsi="Times New Roman;serif"/>
          <w:sz w:val="24"/>
        </w:rPr>
      </w:pPr>
      <w:r>
        <w:rPr>
          <w:rFonts w:ascii="Times New Roman;serif" w:hAnsi="Times New Roman;serif"/>
          <w:b w:val="false"/>
          <w:i w:val="false"/>
          <w:caps w:val="false"/>
          <w:smallCaps w:val="false"/>
          <w:color w:val="000000"/>
          <w:sz w:val="24"/>
        </w:rPr>
        <w:t>The Company’s effective tax rate was an expense of 3.1% and 2.9% for the three and six months ended June 30, 2026, respectively.  The Company’s effective tax rate was an expense of 4.1% and a benefit of 4.3% for the three and six months ended June 30, 2025, respectively. The decrease in income tax expense in the second quarter of 2026 is primarily attributed to the decrease in earnings and state jurisdictional mix. The increase in the income tax expense for the first half of 2026 is primarily attributed to last year’s release of $22,575</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of income tax reserve regulatory liability in the Regulated Water segment based on the rate order received by Aqua Pennsylvania in February 2025, not recurring in the current year.</w:t>
      </w:r>
    </w:p>
    <w:p>
      <w:pPr>
        <w:pStyle w:val="Heading1"/>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In determining its interim tax provision, the Company reflects its estimated impact from its permanent and flow-through tax differences. The Company uses the flow-through method to account for the repairs tax deduction for qualifying utility infrastructure at its regulated Pennsylvania and New Jersey subsidiaries.</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The statutory Federal tax rate is 21.0% for the six months ended June 30, 2026 and 2025. For states with a corporate net income tax, the state corporate net income tax rates range from 2.0% to 9.50% for all periods presented. Our effective tax rate differs from the federal statutory tax rate primarily due to flow-through tax, the amortization of deferred benefit from repair method changes, state income taxes, and other permanent book-to-tax differences.</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30</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563C1"/>
            <w:sz w:val="24"/>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ESSENTIAL UTILITIES, INC. AND SUBSIDIARIES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NOTES TO CONDENSED CONSOLIDATED FINANCIAL STATEMENTS (continued)</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(In thousands of dollars, except per share amounts)</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(UNAUDITED)</w:t>
      </w:r>
    </w:p>
    <w:p>
      <w:pPr>
        <w:pStyle w:val="TextBody"/>
        <w:bidi w:val="0"/>
        <w:spacing w:lineRule="auto" w:line="259"/>
        <w:rPr>
          <w:caps w:val="false"/>
          <w:smallCaps w:val="false"/>
          <w:color w:val="000000"/>
        </w:rPr>
      </w:pPr>
      <w:r>
        <w:rPr>
          <w:caps w:val="false"/>
          <w:smallCaps w:val="false"/>
          <w:color w:val="000000"/>
        </w:rPr>
        <w:t> </w:t>
      </w:r>
    </w:p>
    <w:p>
      <w:pPr>
        <w:pStyle w:val="TextBody"/>
        <w:shd w:fill="FFFFFF" w:val="clear"/>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On July 4, 2025, H.R.1 – One Big Beautiful Bill Act (“OBBBA”) was enacted into law. The OBBBA includes significant provisions such as the permanent extension of certain expiring provisions of the 2017 Tax Cuts and Jobs Act. The OBBBA did not have a significant impact to our consolidated financial statements.</w:t>
      </w:r>
    </w:p>
    <w:p>
      <w:pPr>
        <w:pStyle w:val="TextBody"/>
        <w:bidi w:val="0"/>
        <w:spacing w:lineRule="auto" w:line="259"/>
        <w:rPr>
          <w:rFonts w:ascii="Times New Roman;serif" w:hAnsi="Times New Roman;serif"/>
          <w:sz w:val="24"/>
        </w:rPr>
      </w:pPr>
      <w:r>
        <w:rPr>
          <w:rFonts w:ascii="Times New Roman;serif" w:hAnsi="Times New Roman;serif"/>
          <w:b/>
          <w:i w:val="false"/>
          <w:caps w:val="false"/>
          <w:smallCaps w:val="false"/>
          <w:color w:val="000000"/>
          <w:sz w:val="24"/>
        </w:rPr>
        <w:t>Note 17</w:t>
      </w:r>
      <w:r>
        <w:rPr>
          <w:rFonts w:ascii="Times New Roman;serif" w:hAnsi="Times New Roman;serif"/>
          <w:color w:val="000000"/>
          <w:sz w:val="24"/>
        </w:rPr>
        <w:t xml:space="preserve"> – </w:t>
      </w:r>
      <w:r>
        <w:rPr>
          <w:rFonts w:ascii="Times New Roman;serif" w:hAnsi="Times New Roman;serif"/>
          <w:b/>
          <w:i/>
          <w:color w:val="000000"/>
          <w:sz w:val="24"/>
        </w:rPr>
        <w:t>Recent Accounting Pronouncements and Disclosure Rules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Pronouncements to be adopted upon the effective date:</w:t>
      </w:r>
    </w:p>
    <w:p>
      <w:pPr>
        <w:pStyle w:val="TextBody"/>
        <w:bidi w:val="0"/>
        <w:spacing w:lineRule="auto" w:line="259"/>
        <w:rPr>
          <w:rFonts w:ascii="Times New Roman;serif" w:hAnsi="Times New Roman;serif"/>
          <w:sz w:val="24"/>
        </w:rPr>
      </w:pPr>
      <w:r>
        <w:rPr>
          <w:rFonts w:ascii="Times New Roman;serif" w:hAnsi="Times New Roman;serif"/>
          <w:b w:val="false"/>
          <w:i w:val="false"/>
          <w:caps w:val="false"/>
          <w:smallCaps w:val="false"/>
          <w:color w:val="000000"/>
          <w:sz w:val="24"/>
        </w:rPr>
        <w:t>In November 2024, the FASB issued ASU 2024-03, “</w:t>
      </w:r>
      <w:r>
        <w:rPr>
          <w:rFonts w:ascii="Times New Roman;serif" w:hAnsi="Times New Roman;serif"/>
          <w:b w:val="false"/>
          <w:i/>
          <w:color w:val="000000"/>
          <w:sz w:val="24"/>
        </w:rPr>
        <w:t>Income Statement Reporting–Comprehensive Income–Expense Disaggregation Disclosures (Subtopic 220-40), Disaggregation of Income Statement Expenses”</w:t>
      </w:r>
      <w:r>
        <w:rPr>
          <w:rFonts w:ascii="Times New Roman;serif" w:hAnsi="Times New Roman;serif"/>
          <w:b w:val="false"/>
          <w:i w:val="false"/>
          <w:caps w:val="false"/>
          <w:smallCaps w:val="false"/>
          <w:color w:val="000000"/>
          <w:sz w:val="24"/>
        </w:rPr>
        <w:t>. The standard update improves the disclosures about a public business entity’s expenses by requiring more detailed information about the types of expenses (including purchases of inventory, employee compensation, depreciation, and amortization) included within income statement expense captions. The guidance will be effective for annual reporting periods beginning after December 15, 2026, and interim reporting periods beginning after December 15, 2027. Early adoption is permitted. The standard updates are to be applied prospectively with the option for retrospective application. The Company is currently evaluating the impact of adoption of the standard update on its financial statement disclosures.</w:t>
      </w:r>
    </w:p>
    <w:p>
      <w:pPr>
        <w:pStyle w:val="TextBody"/>
        <w:bidi w:val="0"/>
        <w:spacing w:lineRule="auto" w:line="259"/>
        <w:rPr>
          <w:caps w:val="false"/>
          <w:smallCaps w:val="false"/>
          <w:color w:val="000000"/>
        </w:rPr>
      </w:pPr>
      <w:r>
        <w:rPr>
          <w:caps w:val="false"/>
          <w:smallCaps w:val="false"/>
          <w:color w:val="000000"/>
        </w:rPr>
        <w:t>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31</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563C1"/>
            <w:sz w:val="24"/>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ESSENTIAL UTILITIES, INC. AND SUBSIDIARIES </w:t>
      </w:r>
    </w:p>
    <w:p>
      <w:pPr>
        <w:pStyle w:val="TextBody"/>
        <w:bidi w:val="0"/>
        <w:spacing w:lineRule="auto" w:line="259"/>
        <w:rPr>
          <w:caps w:val="false"/>
          <w:smallCaps w:val="false"/>
          <w:color w:val="000000"/>
        </w:rPr>
      </w:pPr>
      <w:r>
        <w:rPr>
          <w:caps w:val="false"/>
          <w:smallCaps w:val="false"/>
          <w:color w:val="000000"/>
        </w:rPr>
        <w:t> </w:t>
      </w:r>
    </w:p>
    <w:p>
      <w:pPr>
        <w:pStyle w:val="TextBody"/>
        <w:bidi w:val="0"/>
        <w:spacing w:lineRule="auto" w:line="259"/>
        <w:rPr>
          <w:caps w:val="false"/>
          <w:smallCaps w:val="false"/>
          <w:color w:val="000000"/>
        </w:rPr>
      </w:pPr>
      <w:r>
        <w:rPr>
          <w:caps w:val="false"/>
          <w:smallCaps w:val="false"/>
          <w:color w:val="000000"/>
        </w:rPr>
        <w:t> </w:t>
      </w:r>
      <w:r>
        <w:rPr>
          <w:rFonts w:ascii="Times New Roman;serif" w:hAnsi="Times New Roman;serif"/>
          <w:b w:val="false"/>
          <w:i w:val="false"/>
          <w:caps w:val="false"/>
          <w:smallCaps w:val="false"/>
          <w:color w:val="000000"/>
          <w:sz w:val="24"/>
        </w:rPr>
        <w:t>MANAGEMENT’S DISCUSSION AND ANALYSIS OF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 xml:space="preserve">FINANCIAL CONDITION AND RESULTS OF OPERATIONS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(In thousands of dollars, except per share amounts)</w:t>
      </w:r>
    </w:p>
    <w:p>
      <w:pPr>
        <w:pStyle w:val="TextBody"/>
        <w:bidi w:val="0"/>
        <w:spacing w:lineRule="auto" w:line="259"/>
        <w:rPr>
          <w:caps w:val="false"/>
          <w:smallCaps w:val="false"/>
          <w:color w:val="000000"/>
        </w:rPr>
      </w:pPr>
      <w:r>
        <w:rPr>
          <w:caps w:val="false"/>
          <w:smallCaps w:val="false"/>
          <w:color w:val="000000"/>
        </w:rPr>
        <w:t> </w:t>
      </w:r>
    </w:p>
    <w:p>
      <w:pPr>
        <w:pStyle w:val="Heading1"/>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Item 2 – Management’s Discussion and Analysis of Financial Condition and Results of Operations </w:t>
      </w:r>
      <w:bookmarkStart w:id="25" w:name="Item2_MDA"/>
      <w:bookmarkEnd w:id="25"/>
    </w:p>
    <w:p>
      <w:pPr>
        <w:pStyle w:val="Heading1"/>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Forward-looking Statements</w:t>
      </w:r>
    </w:p>
    <w:p>
      <w:pPr>
        <w:pStyle w:val="TextBody"/>
        <w:bidi w:val="0"/>
        <w:spacing w:lineRule="auto" w:line="259"/>
        <w:rPr>
          <w:rFonts w:ascii="Times New Roman;serif" w:hAnsi="Times New Roman;serif"/>
          <w:sz w:val="24"/>
        </w:rPr>
      </w:pPr>
      <w:r>
        <w:rPr>
          <w:rFonts w:ascii="Times New Roman;serif" w:hAnsi="Times New Roman;serif"/>
          <w:b w:val="false"/>
          <w:i/>
          <w:color w:val="000000"/>
          <w:sz w:val="24"/>
        </w:rPr>
        <w:t>This Management’s Discussion and Analysis of Financial Condition and Results of Operations and other sections of this Quarterly Report contain, in addition to historical information, forward-looking statements within the meaning of Section 27A of the Securities Act of 1933, as amended, Section 21E of the Securities Exchange Act of 1934, as amended, and the Private Securities Litigation Reform Act of 1995. These forward-looking statements address, among other things: the expected timing of closing of our acquisitions; the projected impact of various legal proceedings; the projected effects of recent accounting pronouncements; the proposed merger with American Water Works Company, Inc. (“American Water”); prospects, plans, objectives, expectations and beliefs of management, as well as information contained in this report where statements are preceded by, followed by or include the words “believes,” “expects,” “estimates,” “anticipates,” “plans,” “future,” “potential,” “probably,” “predictions,” “intends,” “will,” “continue,” “in the event” or the negative of such terms or similar expressions. Forward-looking statements are based on a number of assumptions concerning future events, and are subject to a number of risks, uncertainties and other factors, many of which are outside our control, which could cause actual results to differ materially from those expressed or implied by such statements. These risks and uncertainties include, among others, the effects of regulation, abnormal weather, geopolitical forces, the impact of inflation and supply chain pressures, including those resulting from changes in government fiscal policies and regulations, the imposition of tariffs, the threat of cyber-attacks and data breaches, changes in capital requirements and funding, the success of growth initiatives, including pending acquisitions, changes to the capital markets, our ability to control operating expenses and our ability to assimilate acquired operations, as well as those risks, uncertainties and other factors discussed in our Annual Report on Form 10-K for the fiscal year ended December 31, 2025 under the captions “Risk Factors” and “Management’s Discussion and Analysis of Financial Condition and Results of Operations” and elsewhere in such reports. In addition to the foregoing, there are various risks and other uncertainties associated with the Company’s proposed merger with American Water, including a fixed exchange ratio that will not adjust or account for fluctuations in American Water’s or the Company’s stock price; limitations on the parties’ ability to pursue alternatives to the proposed merger;</w:t>
      </w:r>
      <w:r>
        <w:rPr>
          <w:rFonts w:ascii="Times New Roman;serif" w:hAnsi="Times New Roman;serif"/>
          <w:color w:val="000000"/>
          <w:sz w:val="24"/>
        </w:rPr>
        <w:t xml:space="preserve"> </w:t>
      </w:r>
      <w:r>
        <w:rPr>
          <w:rFonts w:ascii="Times New Roman;serif" w:hAnsi="Times New Roman;serif"/>
          <w:b w:val="false"/>
          <w:i/>
          <w:color w:val="000000"/>
          <w:sz w:val="24"/>
        </w:rPr>
        <w:t>an event, change or other circumstance that could give rise to the termination of the merger agreement; a delay in the timing to consummate the proposed merger; each party’s ability to obtain required governmental and regulatory approvals required for the proposed merger (and/or that such approvals may result in the imposition of burdensome or commercially undesirable conditions, including required dispositions, that could adversely affect the combined company or the expected benefits of the proposed merger);</w:t>
      </w:r>
      <w:r>
        <w:rPr>
          <w:rFonts w:ascii="Times New Roman;serif" w:hAnsi="Times New Roman;serif"/>
          <w:color w:val="000000"/>
          <w:sz w:val="24"/>
        </w:rPr>
        <w:t xml:space="preserve"> </w:t>
      </w:r>
      <w:r>
        <w:rPr>
          <w:rFonts w:ascii="Times New Roman;serif" w:hAnsi="Times New Roman;serif"/>
          <w:b w:val="false"/>
          <w:i/>
          <w:color w:val="000000"/>
          <w:sz w:val="24"/>
        </w:rPr>
        <w:t xml:space="preserve">financial impacts of the proposed merger on the Company and the combined company’s earnings, earnings per share, financial condition, results of operations, cash flows and share price, and any related accounting impacts; any impact of the proposed merger on the Company’s and the combined company’s ability to declare and pay quarterly dividends on its common stock; the risk of litigation related to the proposed merger; changes in the parties’ key management and personnel; the amount and nature of incurred transaction costs associated with the proposed merger; and reduced ownership and voting interests for the Company’s and American Waters’s shareholders upon completion of the proposed merger. As a result, readers are cautioned not to place undue reliance on any forward-looking statements. We undertake no obligation to update or revise forward-looking statements, whether as a result of new information, future events or otherwise. </w:t>
      </w:r>
      <w:r>
        <w:rPr>
          <w:rFonts w:ascii="Times New Roman;serif" w:hAnsi="Times New Roman;serif"/>
          <w:color w:val="000000"/>
          <w:sz w:val="24"/>
        </w:rPr>
        <w:t>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32</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563C1"/>
            <w:sz w:val="24"/>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ESSENTIAL UTILITIES, INC. AND SUBSIDIARIES </w:t>
      </w:r>
    </w:p>
    <w:p>
      <w:pPr>
        <w:pStyle w:val="TextBody"/>
        <w:bidi w:val="0"/>
        <w:spacing w:lineRule="auto" w:line="259"/>
        <w:rPr>
          <w:caps w:val="false"/>
          <w:smallCaps w:val="false"/>
          <w:color w:val="000000"/>
        </w:rPr>
      </w:pPr>
      <w:r>
        <w:rPr>
          <w:caps w:val="false"/>
          <w:smallCaps w:val="false"/>
          <w:color w:val="000000"/>
        </w:rPr>
        <w:t> </w:t>
      </w:r>
    </w:p>
    <w:p>
      <w:pPr>
        <w:pStyle w:val="TextBody"/>
        <w:bidi w:val="0"/>
        <w:spacing w:lineRule="auto" w:line="259"/>
        <w:rPr>
          <w:caps w:val="false"/>
          <w:smallCaps w:val="false"/>
          <w:color w:val="000000"/>
        </w:rPr>
      </w:pPr>
      <w:r>
        <w:rPr>
          <w:caps w:val="false"/>
          <w:smallCaps w:val="false"/>
          <w:color w:val="000000"/>
        </w:rPr>
        <w:t> </w:t>
      </w:r>
      <w:r>
        <w:rPr>
          <w:rFonts w:ascii="Times New Roman;serif" w:hAnsi="Times New Roman;serif"/>
          <w:b w:val="false"/>
          <w:i w:val="false"/>
          <w:caps w:val="false"/>
          <w:smallCaps w:val="false"/>
          <w:color w:val="000000"/>
          <w:sz w:val="24"/>
        </w:rPr>
        <w:t>MANAGEMENT’S DISCUSSION AND ANALYSIS OF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FINANCIAL CONDITION AND RESULTS OF OPERATIONS (continued)</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(In thousands of dollars, except per share amounts)</w:t>
      </w:r>
    </w:p>
    <w:p>
      <w:pPr>
        <w:pStyle w:val="Heading1"/>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General Information</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 xml:space="preserve">Essential Utilities, Inc. (“we”, “us”, “our” or the “Company”), a Pennsylvania corporation, is the holding company for regulated utilities providing water, wastewater, or natural gas services to an estimated 5.5 million people in Pennsylvania, Ohio, Texas, Illinois, North Carolina, New Jersey, Indiana, Virginia, and Kentucky under the Aqua and Peoples brands. One of our largest operating subsidiaries, Aqua Pennsylvania, Inc. (“Aqua Pennsylvania”), provides water or wastewater services to approximately one-half of the total number of water or wastewater customers we serve, who are located in the suburban areas in counties north and west of the City of Philadelphia and in 28 other counties in Pennsylvania. Our other regulated water or wastewater utility subsidiaries provide similar services in seven additional states. Our Peoples subsidiaries provide natural gas distribution services to customers in western Pennsylvania and Kentucky. Approximately 95% of the total number of natural gas utility customers we serve are in western Pennsylvania. The Company also operates market-based businesses, conducted through its non-regulated subsidiaries, that provide utility service line protection solutions and repair services to households and gas marketing and production activities. Currently, the Company seeks to acquire businesses in the U.S. regulated sector, focusing on water and wastewater utilities and to opportunistically pursue growth ventures in select market-based activities, such as infrastructure opportunities that are supplementary and complementary to our regulated water utility businesses. </w:t>
      </w:r>
    </w:p>
    <w:p>
      <w:pPr>
        <w:pStyle w:val="TextBody"/>
        <w:bidi w:val="0"/>
        <w:spacing w:lineRule="auto" w:line="259"/>
        <w:rPr>
          <w:rFonts w:ascii="Times New Roman;serif" w:hAnsi="Times New Roman;serif"/>
          <w:b w:val="false"/>
          <w:i/>
          <w:color w:val="000000"/>
          <w:sz w:val="24"/>
        </w:rPr>
      </w:pPr>
      <w:r>
        <w:rPr>
          <w:rFonts w:ascii="Times New Roman;serif" w:hAnsi="Times New Roman;serif"/>
          <w:b w:val="false"/>
          <w:i/>
          <w:color w:val="000000"/>
          <w:sz w:val="24"/>
        </w:rPr>
        <w:t xml:space="preserve">The following discussion and analysis of our financial condition and results of operations should be read together with our condensed consolidated financial statements and related notes. </w:t>
      </w:r>
    </w:p>
    <w:p>
      <w:pPr>
        <w:pStyle w:val="TextBody"/>
        <w:bidi w:val="0"/>
        <w:spacing w:lineRule="auto" w:line="259"/>
        <w:rPr>
          <w:rFonts w:ascii="Times New Roman;serif" w:hAnsi="Times New Roman;serif"/>
          <w:b w:val="false"/>
          <w:i/>
          <w:color w:val="000000"/>
          <w:sz w:val="24"/>
        </w:rPr>
      </w:pPr>
      <w:r>
        <w:rPr>
          <w:rFonts w:ascii="Times New Roman;serif" w:hAnsi="Times New Roman;serif"/>
          <w:b w:val="false"/>
          <w:i/>
          <w:color w:val="000000"/>
          <w:sz w:val="24"/>
        </w:rPr>
        <w:t>Execution of Agreement and Plan of Merger with American Water</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On October 26, 2025, American Water Works Company, Inc. (“American Water”), Alpha Merger Sub, Inc., a direct wholly owned subsidiary of American Water (“Merger Sub”), and the Company, entered into an Agreement and Plan of Merger (the “Merger Agreement”). The Merger Agreement provides that upon the terms and subject to the conditions set forth in the Merger Agreement, Merger Sub will merge with and into the Company (the “Merger”), with the Company surviving the Merger as a wholly owned subsidiary of American Water.   Subject to the terms and conditions of the Merger Agreement, at the time at which the Merger becomes effective (the “Effective Time”), each share of the Company’s common stock, par value $0.50 per share (“Essential Common Stock”), issued and outstanding immediately prior to the Effective Time, other than any shares of Essential Common Stock owned by American Water or Merger Sub or by the Company as treasury stock (in each case, other than restricted shares), will be converted into the right to receive 0.305 shares (the “Exchange Ratio”) of validly issued, fully paid and nonassessable common stock, par value $0.01 per share, of American Water (“American Water Common Stock”) (the aggregate number of such shares of American Water Common Stock to be issued in the Merger). On February 10, 2026, at the respective special shareholder meetings of the Company and American Water, each company’s shareholders approved the merger-related proposals, satisfying certain of the conditions to closing.</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 xml:space="preserve">Consummation of the Merger is subject to certain remaining customary conditions, including the receipt of certain governmental approvals, including (a) the expiration or termination of the applicable waiting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33</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563C1"/>
            <w:sz w:val="24"/>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ESSENTIAL UTILITIES, INC. AND SUBSIDIARIES </w:t>
      </w:r>
    </w:p>
    <w:p>
      <w:pPr>
        <w:pStyle w:val="TextBody"/>
        <w:bidi w:val="0"/>
        <w:spacing w:lineRule="auto" w:line="259"/>
        <w:rPr>
          <w:caps w:val="false"/>
          <w:smallCaps w:val="false"/>
          <w:color w:val="000000"/>
        </w:rPr>
      </w:pPr>
      <w:r>
        <w:rPr>
          <w:caps w:val="false"/>
          <w:smallCaps w:val="false"/>
          <w:color w:val="000000"/>
        </w:rPr>
        <w:t> </w:t>
      </w:r>
    </w:p>
    <w:p>
      <w:pPr>
        <w:pStyle w:val="TextBody"/>
        <w:bidi w:val="0"/>
        <w:spacing w:lineRule="auto" w:line="259"/>
        <w:rPr>
          <w:caps w:val="false"/>
          <w:smallCaps w:val="false"/>
          <w:color w:val="000000"/>
        </w:rPr>
      </w:pPr>
      <w:r>
        <w:rPr>
          <w:caps w:val="false"/>
          <w:smallCaps w:val="false"/>
          <w:color w:val="000000"/>
        </w:rPr>
        <w:t> </w:t>
      </w:r>
      <w:r>
        <w:rPr>
          <w:rFonts w:ascii="Times New Roman;serif" w:hAnsi="Times New Roman;serif"/>
          <w:b w:val="false"/>
          <w:i w:val="false"/>
          <w:caps w:val="false"/>
          <w:smallCaps w:val="false"/>
          <w:color w:val="000000"/>
          <w:sz w:val="24"/>
        </w:rPr>
        <w:t>MANAGEMENT’S DISCUSSION AND ANALYSIS OF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FINANCIAL CONDITION AND RESULTS OF OPERATIONS (continued)</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(In thousands of dollars, except per share amounts)</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period under the Hart-Scott-Rodino Antitrust Improvements Act of 1976, and (b) the approval of certain public utility commissions, in each case on such terms and conditions that would not, individually or in the aggregate, result in a “Burdensome Effect” (as defined in the Merger Agreement). As of the date of this report, public utility commission approvals have been received in Kentucky, Virginia, and Ohio, and a settlement in principle has been reached in Texas. There can be no guarantee that all of the closing conditions and approvals will be satisfied, and the failure to complete the proposed merger on a timely basis or at all may adversely affect the Company’s financial condition and results of operations. The Company currently estimates that the closing of the proposed merger will occur by the end of the first quarter of 2027. During the three and six months ended June 30, 2026, the Company incurred pre-merger related expenses of $1,191 and $17,521, respectively, which are included in operations and maintenance expense in the condensed consolidated statements of operations and comprehensive income.</w:t>
      </w:r>
    </w:p>
    <w:p>
      <w:pPr>
        <w:pStyle w:val="TextBody"/>
        <w:bidi w:val="0"/>
        <w:spacing w:lineRule="auto" w:line="259"/>
        <w:rPr>
          <w:rFonts w:ascii="Times New Roman;serif" w:hAnsi="Times New Roman;serif"/>
          <w:b w:val="false"/>
          <w:i/>
          <w:color w:val="000000"/>
          <w:sz w:val="24"/>
        </w:rPr>
      </w:pPr>
      <w:r>
        <w:rPr>
          <w:rFonts w:ascii="Times New Roman;serif" w:hAnsi="Times New Roman;serif"/>
          <w:b w:val="false"/>
          <w:i/>
          <w:color w:val="000000"/>
          <w:sz w:val="24"/>
        </w:rPr>
        <w:t>Macroeconomic Factors</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 xml:space="preserve">Our business is subject to various economic factors that affect our customers and our industry. We continue to evaluate the evolving macroeconomic environment, including those impacts resulting from potential changes to environmental regulations and geopolitical conflicts, and to take action to mitigate the impact on our business, consolidated results of operations, and financial condition. Timely and adequate rate relief is important to our continued profitability and in providing a fair return to our shareholders. We continue to pursue enhancements to our regulatory practices to facilitate the efficient recovery of the increased cost of providing services and infrastructure improvements in our rates and mitigate the inherent regulatory lag associated with traditional rate making processes. </w:t>
      </w:r>
    </w:p>
    <w:p>
      <w:pPr>
        <w:pStyle w:val="TextBody"/>
        <w:bidi w:val="0"/>
        <w:spacing w:lineRule="auto" w:line="259"/>
        <w:rPr>
          <w:rFonts w:ascii="Times New Roman;serif" w:hAnsi="Times New Roman;serif"/>
          <w:b w:val="false"/>
          <w:i/>
          <w:color w:val="000000"/>
          <w:sz w:val="24"/>
        </w:rPr>
      </w:pPr>
      <w:r>
        <w:rPr>
          <w:rFonts w:ascii="Times New Roman;serif" w:hAnsi="Times New Roman;serif"/>
          <w:b w:val="false"/>
          <w:i/>
          <w:color w:val="000000"/>
          <w:sz w:val="24"/>
        </w:rPr>
        <w:t>Regulatory Developments</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During the six months ended June 30, 2026, we implemented, or received approval to implement, base rate increases that result in a $37,613 increase in annual revenues, as summarized below:</w:t>
      </w:r>
    </w:p>
    <w:tbl>
      <w:tblPr>
        <w:tblW w:w="7802" w:type="dxa"/>
        <w:jc w:val="left"/>
        <w:tblInd w:w="0" w:type="dxa"/>
        <w:tblLayout w:type="fixed"/>
        <w:tblCellMar>
          <w:top w:w="0" w:type="dxa"/>
          <w:left w:w="0" w:type="dxa"/>
          <w:bottom w:w="0" w:type="dxa"/>
          <w:right w:w="0" w:type="dxa"/>
        </w:tblCellMar>
      </w:tblPr>
      <w:tblGrid>
        <w:gridCol w:w="1714"/>
        <w:gridCol w:w="1243"/>
        <w:gridCol w:w="1573"/>
        <w:gridCol w:w="226"/>
        <w:gridCol w:w="3046"/>
      </w:tblGrid>
      <w:tr>
        <w:trPr/>
        <w:tc>
          <w:tcPr>
            <w:tcW w:w="1714"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before="0" w:after="283"/>
              <w:jc w:val="left"/>
              <w:rPr>
                <w:sz w:val="4"/>
                <w:szCs w:val="4"/>
              </w:rPr>
            </w:pPr>
            <w:r>
              <w:rPr>
                <w:sz w:val="4"/>
                <w:szCs w:val="4"/>
              </w:rPr>
            </w:r>
          </w:p>
        </w:tc>
      </w:tr>
      <w:tr>
        <w:trPr/>
        <w:tc>
          <w:tcPr>
            <w:tcW w:w="1714"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2"/>
              </w:rPr>
            </w:pPr>
            <w:r>
              <w:rPr>
                <w:rFonts w:ascii="Times New Roman;serif" w:hAnsi="Times New Roman;serif"/>
                <w:b/>
                <w:i w:val="false"/>
                <w:caps w:val="false"/>
                <w:smallCaps w:val="false"/>
                <w:color w:val="000000"/>
                <w:sz w:val="22"/>
              </w:rPr>
              <w:t>State</w:t>
            </w:r>
          </w:p>
        </w:tc>
        <w:tc>
          <w:tcPr>
            <w:tcW w:w="124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2"/>
              </w:rPr>
            </w:pPr>
            <w:r>
              <w:rPr>
                <w:rFonts w:ascii="Times New Roman;serif" w:hAnsi="Times New Roman;serif"/>
                <w:b/>
                <w:i w:val="false"/>
                <w:caps w:val="false"/>
                <w:smallCaps w:val="false"/>
                <w:color w:val="000000"/>
                <w:sz w:val="22"/>
              </w:rPr>
              <w:t>Segment</w:t>
            </w:r>
          </w:p>
        </w:tc>
        <w:tc>
          <w:tcPr>
            <w:tcW w:w="157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2"/>
              </w:rPr>
            </w:pPr>
            <w:r>
              <w:rPr>
                <w:rFonts w:ascii="Times New Roman;serif" w:hAnsi="Times New Roman;serif"/>
                <w:b/>
                <w:i w:val="false"/>
                <w:caps w:val="false"/>
                <w:smallCaps w:val="false"/>
                <w:color w:val="000000"/>
                <w:sz w:val="22"/>
              </w:rPr>
              <w:t>Effective Date</w:t>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04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2"/>
              </w:rPr>
            </w:pPr>
            <w:r>
              <w:rPr>
                <w:rFonts w:ascii="Times New Roman;serif" w:hAnsi="Times New Roman;serif"/>
                <w:b/>
                <w:i w:val="false"/>
                <w:caps w:val="false"/>
                <w:smallCaps w:val="false"/>
                <w:color w:val="000000"/>
                <w:sz w:val="22"/>
              </w:rPr>
              <w:t>Annualized Revenue Increase</w:t>
            </w:r>
          </w:p>
        </w:tc>
      </w:tr>
      <w:tr>
        <w:trPr/>
        <w:tc>
          <w:tcPr>
            <w:tcW w:w="1714"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Ohio</w:t>
            </w:r>
          </w:p>
        </w:tc>
        <w:tc>
          <w:tcPr>
            <w:tcW w:w="124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Water</w:t>
            </w:r>
          </w:p>
        </w:tc>
        <w:tc>
          <w:tcPr>
            <w:tcW w:w="157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7/22/2026</w:t>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2"/>
              </w:rPr>
            </w:pPr>
            <w:r>
              <w:rPr>
                <w:rFonts w:ascii="Times New Roman;serif" w:hAnsi="Times New Roman;serif"/>
                <w:b/>
                <w:i w:val="false"/>
                <w:caps w:val="false"/>
                <w:smallCaps w:val="false"/>
                <w:color w:val="000000"/>
                <w:sz w:val="22"/>
              </w:rPr>
              <w:t>$</w:t>
            </w:r>
          </w:p>
        </w:tc>
        <w:tc>
          <w:tcPr>
            <w:tcW w:w="304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9,496 </w:t>
            </w:r>
          </w:p>
        </w:tc>
      </w:tr>
      <w:tr>
        <w:trPr/>
        <w:tc>
          <w:tcPr>
            <w:tcW w:w="171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4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Wastewater</w:t>
            </w:r>
          </w:p>
        </w:tc>
        <w:tc>
          <w:tcPr>
            <w:tcW w:w="157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7/22/2026</w:t>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04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1,040 </w:t>
            </w:r>
          </w:p>
        </w:tc>
      </w:tr>
      <w:tr>
        <w:trPr/>
        <w:tc>
          <w:tcPr>
            <w:tcW w:w="1714"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North Carolina*</w:t>
            </w:r>
          </w:p>
        </w:tc>
        <w:tc>
          <w:tcPr>
            <w:tcW w:w="124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Water</w:t>
            </w:r>
          </w:p>
        </w:tc>
        <w:tc>
          <w:tcPr>
            <w:tcW w:w="157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1/1/2026</w:t>
            </w:r>
          </w:p>
        </w:tc>
        <w:tc>
          <w:tcPr>
            <w:tcW w:w="22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304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16,476 </w:t>
            </w:r>
          </w:p>
        </w:tc>
      </w:tr>
      <w:tr>
        <w:trPr/>
        <w:tc>
          <w:tcPr>
            <w:tcW w:w="171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4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Wastewater</w:t>
            </w:r>
          </w:p>
        </w:tc>
        <w:tc>
          <w:tcPr>
            <w:tcW w:w="157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1/1/2026</w:t>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04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7,764 </w:t>
            </w:r>
          </w:p>
        </w:tc>
      </w:tr>
      <w:tr>
        <w:trPr/>
        <w:tc>
          <w:tcPr>
            <w:tcW w:w="171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Ohio**</w:t>
            </w:r>
          </w:p>
        </w:tc>
        <w:tc>
          <w:tcPr>
            <w:tcW w:w="124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Water</w:t>
            </w:r>
          </w:p>
        </w:tc>
        <w:tc>
          <w:tcPr>
            <w:tcW w:w="157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1/1/2026</w:t>
            </w:r>
          </w:p>
        </w:tc>
        <w:tc>
          <w:tcPr>
            <w:tcW w:w="22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304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1,834 </w:t>
            </w:r>
          </w:p>
        </w:tc>
      </w:tr>
      <w:tr>
        <w:trPr/>
        <w:tc>
          <w:tcPr>
            <w:tcW w:w="1714"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Indiana**</w:t>
            </w:r>
          </w:p>
        </w:tc>
        <w:tc>
          <w:tcPr>
            <w:tcW w:w="1243"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Wastewater</w:t>
            </w:r>
          </w:p>
        </w:tc>
        <w:tc>
          <w:tcPr>
            <w:tcW w:w="1573"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1/1/2026</w:t>
            </w:r>
          </w:p>
        </w:tc>
        <w:tc>
          <w:tcPr>
            <w:tcW w:w="22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304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1,003 </w:t>
            </w:r>
          </w:p>
        </w:tc>
      </w:tr>
      <w:tr>
        <w:trPr/>
        <w:tc>
          <w:tcPr>
            <w:tcW w:w="4530" w:type="dxa"/>
            <w:gridSpan w:val="3"/>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2"/>
              </w:rPr>
            </w:pPr>
            <w:r>
              <w:rPr>
                <w:rFonts w:ascii="Times New Roman;serif" w:hAnsi="Times New Roman;serif"/>
                <w:b/>
                <w:i w:val="false"/>
                <w:caps w:val="false"/>
                <w:smallCaps w:val="false"/>
                <w:color w:val="000000"/>
                <w:sz w:val="22"/>
              </w:rPr>
              <w:t>Total Base Rate Case Authorizations in 2026</w:t>
            </w:r>
          </w:p>
        </w:tc>
        <w:tc>
          <w:tcPr>
            <w:tcW w:w="2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2"/>
              </w:rPr>
            </w:pPr>
            <w:r>
              <w:rPr>
                <w:rFonts w:ascii="Times New Roman;serif" w:hAnsi="Times New Roman;serif"/>
                <w:b/>
                <w:i w:val="false"/>
                <w:caps w:val="false"/>
                <w:smallCaps w:val="false"/>
                <w:color w:val="000000"/>
                <w:sz w:val="22"/>
              </w:rPr>
              <w:t>$</w:t>
            </w:r>
          </w:p>
        </w:tc>
        <w:tc>
          <w:tcPr>
            <w:tcW w:w="304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2"/>
              </w:rPr>
            </w:pPr>
            <w:r>
              <w:rPr>
                <w:rFonts w:ascii="Times New Roman;serif" w:hAnsi="Times New Roman;serif"/>
                <w:b/>
                <w:i w:val="false"/>
                <w:caps w:val="false"/>
                <w:smallCaps w:val="false"/>
                <w:color w:val="000000"/>
                <w:sz w:val="22"/>
              </w:rPr>
              <w:t>37,613 </w:t>
            </w:r>
          </w:p>
        </w:tc>
      </w:tr>
    </w:tbl>
    <w:p>
      <w:pPr>
        <w:pStyle w:val="TextBody"/>
        <w:bidi w:val="0"/>
        <w:spacing w:lineRule="auto" w:line="259"/>
        <w:rPr>
          <w:rFonts w:ascii="Times New Roman;serif" w:hAnsi="Times New Roman;serif"/>
          <w:b w:val="false"/>
          <w:i/>
          <w:color w:val="000000"/>
          <w:sz w:val="20"/>
        </w:rPr>
      </w:pPr>
      <w:r>
        <w:rPr>
          <w:rFonts w:ascii="Times New Roman;serif" w:hAnsi="Times New Roman;serif"/>
          <w:b w:val="false"/>
          <w:i/>
          <w:color w:val="000000"/>
          <w:sz w:val="20"/>
        </w:rPr>
        <w:t>*Base rate case – step 1 increase for Year 1</w:t>
      </w:r>
    </w:p>
    <w:p>
      <w:pPr>
        <w:pStyle w:val="TextBody"/>
        <w:bidi w:val="0"/>
        <w:spacing w:lineRule="auto" w:line="259"/>
        <w:rPr>
          <w:rFonts w:ascii="Times New Roman;serif" w:hAnsi="Times New Roman;serif"/>
          <w:b w:val="false"/>
          <w:i/>
          <w:color w:val="000000"/>
          <w:sz w:val="20"/>
        </w:rPr>
      </w:pPr>
      <w:r>
        <w:rPr>
          <w:rFonts w:ascii="Times New Roman;serif" w:hAnsi="Times New Roman;serif"/>
          <w:b w:val="false"/>
          <w:i/>
          <w:color w:val="000000"/>
          <w:sz w:val="20"/>
        </w:rPr>
        <w:t>**Operating divisions</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34</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563C1"/>
            <w:sz w:val="24"/>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ESSENTIAL UTILITIES, INC. AND SUBSIDIARIES </w:t>
      </w:r>
    </w:p>
    <w:p>
      <w:pPr>
        <w:pStyle w:val="TextBody"/>
        <w:bidi w:val="0"/>
        <w:spacing w:lineRule="auto" w:line="259"/>
        <w:rPr>
          <w:caps w:val="false"/>
          <w:smallCaps w:val="false"/>
          <w:color w:val="000000"/>
        </w:rPr>
      </w:pPr>
      <w:r>
        <w:rPr>
          <w:caps w:val="false"/>
          <w:smallCaps w:val="false"/>
          <w:color w:val="000000"/>
        </w:rPr>
        <w:t> </w:t>
      </w:r>
    </w:p>
    <w:p>
      <w:pPr>
        <w:pStyle w:val="TextBody"/>
        <w:bidi w:val="0"/>
        <w:spacing w:lineRule="auto" w:line="259"/>
        <w:rPr>
          <w:caps w:val="false"/>
          <w:smallCaps w:val="false"/>
          <w:color w:val="000000"/>
        </w:rPr>
      </w:pPr>
      <w:r>
        <w:rPr>
          <w:caps w:val="false"/>
          <w:smallCaps w:val="false"/>
          <w:color w:val="000000"/>
        </w:rPr>
        <w:t> </w:t>
      </w:r>
      <w:r>
        <w:rPr>
          <w:rFonts w:ascii="Times New Roman;serif" w:hAnsi="Times New Roman;serif"/>
          <w:b w:val="false"/>
          <w:i w:val="false"/>
          <w:caps w:val="false"/>
          <w:smallCaps w:val="false"/>
          <w:color w:val="000000"/>
          <w:sz w:val="24"/>
        </w:rPr>
        <w:t>MANAGEMENT’S DISCUSSION AND ANALYSIS OF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FINANCIAL CONDITION AND RESULTS OF OPERATIONS (continued)</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(In thousands of dollars, except per share amounts)</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 xml:space="preserve">During the six months ended June 30, 2026, the Company implemented infrastructure rehabilitation surcharges designed to increase total operating revenues on an annual basis by $3,653 in its water and wastewater utility operating divisions in Pennsylvania, by $2,610 in its water and wastewater utility operating divisions in Illinois, by $9,804 in its natural gas operating division in Pennsylvania, and by $2,892 in its natural gas operating division in Kentucky.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On June 12, 2026, the Company’s regulated water and wastewater subsidiary in Indiana filed an application with the Indiana Utility Regulatory Commission designed to increase rates by $4,813 in the first year of new rates being implemented, then by an additional $1,960 and $308 in the second and third years, respectively.</w:t>
      </w:r>
    </w:p>
    <w:p>
      <w:pPr>
        <w:pStyle w:val="TextBody"/>
        <w:bidi w:val="0"/>
        <w:spacing w:lineRule="auto" w:line="259"/>
        <w:rPr>
          <w:rFonts w:ascii="Times New Roman;serif" w:hAnsi="Times New Roman;serif"/>
          <w:sz w:val="24"/>
        </w:rPr>
      </w:pPr>
      <w:r>
        <w:rPr>
          <w:rFonts w:ascii="Times New Roman;serif" w:hAnsi="Times New Roman;serif"/>
          <w:b w:val="false"/>
          <w:i w:val="false"/>
          <w:caps w:val="false"/>
          <w:smallCaps w:val="false"/>
          <w:color w:val="000000"/>
          <w:sz w:val="24"/>
        </w:rPr>
        <w:t>On May 26, 2026,</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 xml:space="preserve">Aqua Illinois filed an application with the Illinois Commerce Commission designed to increase water and wastewater rates by $26,501 annually.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 xml:space="preserve">On March 27, 2026, the Company’s natural gas operating subsidiary in Pennsylvania filed an application with the Pennsylvania Public Utility Commission to increase operating revenues for its natural gas distribution service by approximately $163,000 annually.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On January 30, 2026, the Company’s regulated water and wastewater operating subsidiary in New Jersey, Aqua New Jersey, filed an application with the New Jersey Board of Public Utilities designed to increase revenues by $7,886 annually.</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On July 30, 2025, the Company’s regulated water and wastewater operating subsidiary in Virginia, Aqua Virginia, filed an application with the State Corporation Commission designed to increase revenues by $7,927 annually. Interim rates were implemented on January 26, 2026 based on an estimate of the final outcome of the order, with the difference between interim and final approved rates subject to refund to customers.</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On June 20, 2025, the Company’s regulated water and wastewater operating subsidiary in Texas, Aqua Texas, filed an application with the Public Utility Commission of Texas designed to increase rates by $29,149. Interim rates were implemented on March 9, 2026, with the difference between interim and final approved rates subject to refund to customers based on an estimate of the final outcome of the order.</w:t>
      </w:r>
    </w:p>
    <w:p>
      <w:pPr>
        <w:pStyle w:val="TextBody"/>
        <w:bidi w:val="0"/>
        <w:spacing w:lineRule="auto" w:line="259"/>
        <w:rPr>
          <w:rFonts w:ascii="Times New Roman;serif" w:hAnsi="Times New Roman;serif"/>
          <w:b w:val="false"/>
          <w:i/>
          <w:color w:val="000000"/>
          <w:sz w:val="24"/>
        </w:rPr>
      </w:pPr>
      <w:bookmarkStart w:id="26" w:name="_Hlk204167075"/>
      <w:bookmarkEnd w:id="26"/>
      <w:r>
        <w:rPr>
          <w:rFonts w:ascii="Times New Roman;serif" w:hAnsi="Times New Roman;serif"/>
          <w:b w:val="false"/>
          <w:i/>
          <w:color w:val="000000"/>
          <w:sz w:val="24"/>
        </w:rPr>
        <w:t xml:space="preserve">Growth Through Acquisitions and Capital Investment </w:t>
      </w:r>
    </w:p>
    <w:p>
      <w:pPr>
        <w:pStyle w:val="TextBody"/>
        <w:bidi w:val="0"/>
        <w:spacing w:lineRule="auto" w:line="259"/>
        <w:rPr>
          <w:rFonts w:ascii="Times New Roman;serif" w:hAnsi="Times New Roman;serif"/>
          <w:b w:val="false"/>
          <w:i w:val="false"/>
          <w:caps w:val="false"/>
          <w:smallCaps w:val="false"/>
          <w:color w:val="000000"/>
          <w:spacing w:val="0"/>
          <w:sz w:val="24"/>
        </w:rPr>
      </w:pPr>
      <w:r>
        <w:rPr>
          <w:rFonts w:ascii="Times New Roman;serif" w:hAnsi="Times New Roman;serif"/>
          <w:b w:val="false"/>
          <w:i w:val="false"/>
          <w:caps w:val="false"/>
          <w:smallCaps w:val="false"/>
          <w:color w:val="000000"/>
          <w:spacing w:val="0"/>
          <w:sz w:val="24"/>
        </w:rPr>
        <w:t xml:space="preserve">In May 2026, the Company acquired Integra Water Texas, LLC’s wastewater system assets in Bastrop County, Texas, which serves approximately 1,100 equivalent dwelling units for $4,877. In March 2026, the Company acquired Greenville Municipal Water Authority’s water utility system in Greenville, Pennsylvania which serves approximately 3,000 customers for $18,000. As of June 30, 2026, the Company had three signed purchase agreements for additional water and wastewater systems that are expected to serve approximately 200,000 equivalent retail customers or equivalent dwelling units and total approximately $282,000 in purchase price in three of our existing states. This includes the Company’s agreement to acquire the Delaware County Regional Water Quality Control Authority (DELCORA) for $276,500. DELCORA, a Pennsylvania sewer authority, serves approximately 198,000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35</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563C1"/>
            <w:sz w:val="24"/>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ESSENTIAL UTILITIES, INC. AND SUBSIDIARIES </w:t>
      </w:r>
    </w:p>
    <w:p>
      <w:pPr>
        <w:pStyle w:val="TextBody"/>
        <w:bidi w:val="0"/>
        <w:spacing w:lineRule="auto" w:line="259"/>
        <w:rPr>
          <w:caps w:val="false"/>
          <w:smallCaps w:val="false"/>
          <w:color w:val="000000"/>
        </w:rPr>
      </w:pPr>
      <w:r>
        <w:rPr>
          <w:caps w:val="false"/>
          <w:smallCaps w:val="false"/>
          <w:color w:val="000000"/>
        </w:rPr>
        <w:t> </w:t>
      </w:r>
    </w:p>
    <w:p>
      <w:pPr>
        <w:pStyle w:val="TextBody"/>
        <w:bidi w:val="0"/>
        <w:spacing w:lineRule="auto" w:line="259"/>
        <w:rPr>
          <w:caps w:val="false"/>
          <w:smallCaps w:val="false"/>
          <w:color w:val="000000"/>
        </w:rPr>
      </w:pPr>
      <w:r>
        <w:rPr>
          <w:caps w:val="false"/>
          <w:smallCaps w:val="false"/>
          <w:color w:val="000000"/>
        </w:rPr>
        <w:t> </w:t>
      </w:r>
      <w:r>
        <w:rPr>
          <w:rFonts w:ascii="Times New Roman;serif" w:hAnsi="Times New Roman;serif"/>
          <w:b w:val="false"/>
          <w:i w:val="false"/>
          <w:caps w:val="false"/>
          <w:smallCaps w:val="false"/>
          <w:color w:val="000000"/>
          <w:sz w:val="24"/>
        </w:rPr>
        <w:t>MANAGEMENT’S DISCUSSION AND ANALYSIS OF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FINANCIAL CONDITION AND RESULTS OF OPERATIONS (continued)</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(In thousands of dollars, except per share amounts)</w:t>
      </w:r>
    </w:p>
    <w:p>
      <w:pPr>
        <w:pStyle w:val="TextBody"/>
        <w:bidi w:val="0"/>
        <w:spacing w:lineRule="auto" w:line="259"/>
        <w:rPr>
          <w:rFonts w:ascii="Times New Roman;serif" w:hAnsi="Times New Roman;serif"/>
          <w:b w:val="false"/>
          <w:i w:val="false"/>
          <w:caps w:val="false"/>
          <w:smallCaps w:val="false"/>
          <w:color w:val="000000"/>
          <w:spacing w:val="0"/>
          <w:sz w:val="24"/>
        </w:rPr>
      </w:pPr>
      <w:r>
        <w:rPr>
          <w:rFonts w:ascii="Times New Roman;serif" w:hAnsi="Times New Roman;serif"/>
          <w:b w:val="false"/>
          <w:i w:val="false"/>
          <w:caps w:val="false"/>
          <w:smallCaps w:val="false"/>
          <w:color w:val="000000"/>
          <w:spacing w:val="0"/>
          <w:sz w:val="24"/>
        </w:rPr>
        <w:t>equivalent dwelling units in the Philadelphia suburbs. Refer to Note 3 – Water and Wastewater Acquisitions for further discussion.</w:t>
      </w:r>
    </w:p>
    <w:p>
      <w:pPr>
        <w:pStyle w:val="TextBody"/>
        <w:bidi w:val="0"/>
        <w:spacing w:lineRule="auto" w:line="259"/>
        <w:rPr>
          <w:rFonts w:ascii="Times New Roman;serif" w:hAnsi="Times New Roman;serif"/>
          <w:sz w:val="24"/>
        </w:rPr>
      </w:pPr>
      <w:r>
        <w:rPr>
          <w:rFonts w:ascii="Times New Roman;serif" w:hAnsi="Times New Roman;serif"/>
          <w:b w:val="false"/>
          <w:i w:val="false"/>
          <w:caps w:val="false"/>
          <w:smallCaps w:val="false"/>
          <w:color w:val="000000"/>
          <w:sz w:val="24"/>
        </w:rPr>
        <w:t>During the six-month period ended June 30, 2026, we invested $662,167 to improve our regulated water and natural gas infrastructure system and to enhance customer service. From 2026 through 2030, the Company plans to invest approximately $8,700,000 to improve water and natural gas systems and better serve customers through improved information technology. The capital investments made to rehabilitate and expand the infrastructure of the communities the Company serves are critical to its mission of safely and reliably delivering Earth’s most essential resources.</w:t>
      </w:r>
      <w:r>
        <w:rPr>
          <w:rFonts w:ascii="Times New Roman;serif" w:hAnsi="Times New Roman;serif"/>
          <w:caps w:val="false"/>
          <w:smallCaps w:val="false"/>
          <w:color w:val="000000"/>
          <w:sz w:val="24"/>
        </w:rPr>
        <w:t xml:space="preserve"> </w:t>
      </w:r>
    </w:p>
    <w:p>
      <w:pPr>
        <w:pStyle w:val="TextBody"/>
        <w:bidi w:val="0"/>
        <w:spacing w:lineRule="auto" w:line="259"/>
        <w:rPr>
          <w:rFonts w:ascii="Times New Roman;serif" w:hAnsi="Times New Roman;serif"/>
          <w:b w:val="false"/>
          <w:i/>
          <w:color w:val="000000"/>
          <w:sz w:val="24"/>
        </w:rPr>
      </w:pPr>
      <w:r>
        <w:rPr>
          <w:rFonts w:ascii="Times New Roman;serif" w:hAnsi="Times New Roman;serif"/>
          <w:b w:val="false"/>
          <w:i/>
          <w:color w:val="000000"/>
          <w:sz w:val="24"/>
        </w:rPr>
        <w:t xml:space="preserve">Multi-District Litigation Class Action Settlement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 xml:space="preserve">A number of the Company’s water and wastewater subsidiaries are parties to a multi-district litigation (the “MDL”) lawsuit in the United States District Court for the District of South Carolina against manufacturers of certain per- and polyfluoroalkyl substances or compounds (“PFAS”) for damages, contribution and reimbursement of costs incurred and continuing to be incurred to address the presence of such PFAS in public water supply systems. In 2024, the MDL court granted approval of the DuPont, 3M, Tyco Fire Products LP, and BASF Corp class action settlements. The total amount of recovery by the Company is uncertain. During the three and six months ended June 30, 2026, the Company received an additional $10,234 and 10,486, respectively, from Tyco, BASF and Dupont, net of legal fees and settlement costs. As of June 30, 2026, the Company presented $12,259 of the total settlement proceeds allocated to its North Carolina and Virginia water and wastewater subsidiaries as a regulatory liability, pursuant to regulatory orders issued by the public utility commissions from such states regarding the treatment of PFAS settlement costs. The remaining proceeds received that were allocated to the Company’s other water and wastewater subsidiaries totaling $44,581 are included in deferred credits and other non-current liabilities in the accompanying condensed consolidated balance sheet, pending recommendation or order from the respective public utility commissions on treatment of the amounts. The Company anticipates receiving additional settlement payments from the MDL lawsuit defendants over the next ten years. On July 6, 2026, in conjunction with an approved rate order, the North Carolina Utilities Commission authorized the Company to treat $8,385 of settlement proceeds, previously recorded as a regulatory liability, as contributions in aid of construction, which will be amortized over the same period as the related PFAS mitigation plan. On July 30, 2026, the Company received another portion of the 3M settlement, net of legal fees and settlement costs, amounting to $10,542. </w:t>
      </w:r>
    </w:p>
    <w:p>
      <w:pPr>
        <w:pStyle w:val="Heading1"/>
        <w:bidi w:val="0"/>
        <w:spacing w:lineRule="auto" w:line="259"/>
        <w:rPr>
          <w:rFonts w:ascii="Times New Roman;serif" w:hAnsi="Times New Roman;serif"/>
          <w:b w:val="false"/>
          <w:i w:val="false"/>
          <w:caps w:val="false"/>
          <w:smallCaps w:val="false"/>
          <w:color w:val="000000"/>
          <w:sz w:val="24"/>
        </w:rPr>
      </w:pPr>
      <w:bookmarkStart w:id="27" w:name="_Hlk140777765"/>
      <w:bookmarkEnd w:id="27"/>
      <w:r>
        <w:rPr>
          <w:rFonts w:ascii="Times New Roman;serif" w:hAnsi="Times New Roman;serif"/>
          <w:b w:val="false"/>
          <w:i w:val="false"/>
          <w:caps w:val="false"/>
          <w:smallCaps w:val="false"/>
          <w:color w:val="000000"/>
          <w:sz w:val="24"/>
        </w:rPr>
        <w:t>Liquidity and Capital Resources</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Our regulated water and gas business is capital intensive and requires a significant level of capital spending. The liquidity required to fund our working capital, capital expenditures and other cash needs is provided from a combination of internally generated cash flows and external debt and equity financing. The Company’s condensed consolidated balance sheet historically has had a negative working capital position whereby our current liabilities routinely exceed our current assets. Management believes that internally generated funds along with existing credit facilities, and the proceeds from the issuance of commercial paper notes, long-term debt and equity will be adequate to provide sufficient working capital to maintain normal operations and to meet our financing requirements for at least the next twelve months.</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36</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563C1"/>
            <w:sz w:val="24"/>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ESSENTIAL UTILITIES, INC. AND SUBSIDIARIES </w:t>
      </w:r>
    </w:p>
    <w:p>
      <w:pPr>
        <w:pStyle w:val="TextBody"/>
        <w:bidi w:val="0"/>
        <w:spacing w:lineRule="auto" w:line="259"/>
        <w:rPr>
          <w:caps w:val="false"/>
          <w:smallCaps w:val="false"/>
          <w:color w:val="000000"/>
        </w:rPr>
      </w:pPr>
      <w:r>
        <w:rPr>
          <w:caps w:val="false"/>
          <w:smallCaps w:val="false"/>
          <w:color w:val="000000"/>
        </w:rPr>
        <w:t> </w:t>
      </w:r>
    </w:p>
    <w:p>
      <w:pPr>
        <w:pStyle w:val="TextBody"/>
        <w:bidi w:val="0"/>
        <w:spacing w:lineRule="auto" w:line="259"/>
        <w:rPr>
          <w:caps w:val="false"/>
          <w:smallCaps w:val="false"/>
          <w:color w:val="000000"/>
        </w:rPr>
      </w:pPr>
      <w:r>
        <w:rPr>
          <w:caps w:val="false"/>
          <w:smallCaps w:val="false"/>
          <w:color w:val="000000"/>
        </w:rPr>
        <w:t> </w:t>
      </w:r>
      <w:r>
        <w:rPr>
          <w:rFonts w:ascii="Times New Roman;serif" w:hAnsi="Times New Roman;serif"/>
          <w:b w:val="false"/>
          <w:i w:val="false"/>
          <w:caps w:val="false"/>
          <w:smallCaps w:val="false"/>
          <w:color w:val="000000"/>
          <w:sz w:val="24"/>
        </w:rPr>
        <w:t>MANAGEMENT’S DISCUSSION AND ANALYSIS OF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FINANCIAL CONDITION AND RESULTS OF OPERATIONS (continued)</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(In thousands of dollars, except per share amounts)</w:t>
      </w:r>
    </w:p>
    <w:p>
      <w:pPr>
        <w:pStyle w:val="TextBody"/>
        <w:bidi w:val="0"/>
        <w:spacing w:lineRule="auto" w:line="259"/>
        <w:rPr>
          <w:rFonts w:ascii="Times New Roman;serif" w:hAnsi="Times New Roman;serif"/>
          <w:sz w:val="24"/>
        </w:rPr>
      </w:pPr>
      <w:bookmarkStart w:id="28" w:name="_Hlk173416786"/>
      <w:bookmarkEnd w:id="28"/>
      <w:r>
        <w:rPr>
          <w:rFonts w:ascii="Times New Roman;serif" w:hAnsi="Times New Roman;serif"/>
          <w:b w:val="false"/>
          <w:i w:val="false"/>
          <w:caps w:val="false"/>
          <w:smallCaps w:val="false"/>
          <w:color w:val="000000"/>
          <w:sz w:val="24"/>
        </w:rPr>
        <w:t xml:space="preserve">Net cash flows from operating activities were $588,980 for the first half of 2026, compared to $571,834 for the first half of 2025. </w:t>
      </w:r>
      <w:bookmarkStart w:id="29" w:name="_Hlk149946609"/>
      <w:bookmarkEnd w:id="29"/>
      <w:r>
        <w:rPr>
          <w:rFonts w:ascii="Times New Roman;serif" w:hAnsi="Times New Roman;serif"/>
          <w:b w:val="false"/>
          <w:i w:val="false"/>
          <w:caps w:val="false"/>
          <w:smallCaps w:val="false"/>
          <w:color w:val="000000"/>
          <w:sz w:val="24"/>
        </w:rPr>
        <w:t xml:space="preserve">Operating cash flow increased by $17,146, primarily driven by working capital changes, including the impact of new rates implemented in the current six-month period compared to the prior period.  </w:t>
      </w:r>
    </w:p>
    <w:p>
      <w:pPr>
        <w:pStyle w:val="TextBody"/>
        <w:bidi w:val="0"/>
        <w:spacing w:lineRule="auto" w:line="259"/>
        <w:rPr>
          <w:rFonts w:ascii="Times New Roman;serif" w:hAnsi="Times New Roman;serif"/>
          <w:b w:val="false"/>
          <w:i w:val="false"/>
          <w:caps w:val="false"/>
          <w:smallCaps w:val="false"/>
          <w:color w:val="000000"/>
          <w:sz w:val="24"/>
        </w:rPr>
      </w:pPr>
      <w:bookmarkStart w:id="30" w:name="_Hlk197446317"/>
      <w:bookmarkEnd w:id="30"/>
      <w:r>
        <w:rPr>
          <w:rFonts w:ascii="Times New Roman;serif" w:hAnsi="Times New Roman;serif"/>
          <w:b w:val="false"/>
          <w:i w:val="false"/>
          <w:caps w:val="false"/>
          <w:smallCaps w:val="false"/>
          <w:color w:val="000000"/>
          <w:sz w:val="24"/>
        </w:rPr>
        <w:t xml:space="preserve">Net cash flows used in investing activities increased by $33,135, primarily due to the Company’s continued investment in replacing aging infrastructure, contaminant mitigation and emissions reductions, among others.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 xml:space="preserve">Net cash flows from financing activities decreased by $26,070 during the six months ended June 30, 2026, compared to the prior period, primarily due to lower equity issuances and higher dividend payments, partially offset by increased net debt issuances.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 xml:space="preserve">On June 16, 2026, the Company entered into an amendment to its $1,000,000 unsecured long-term revolving credit facility. The amendment extended the maturity date of the facility by another year, to December 2028, and removed the second sustainability performance target applicable to interest rates and commitment fees.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 xml:space="preserve">On May 1, 2026, Aqua Pennsylvania and Peoples Natural Gas Companies amended their respective $100,000 and $300,000 revolving credit agreements, extending the maturity date by another 364-day period. The funds borrowed under these revolving credit agreements are classified as loans payable and are used to provide working capital.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On March 9, 2026, the Company issued $500,000 of senior notes, less expenses of $5,140, due on March 15, 2036, with an interest rate of 5.125%. The Company used the proceeds from the issuance of the senior notes to repay a portion of its commercial paper borrowings and for general corporate purposes. In addition to the senior notes issued by the Company, during the six months ended June 30, 2026, the Company’s regulated water subsidiaries obtained in the aggregate $27,100 of low-interest government loans to fund capital projects, with interest rates ranging from 0.00% to 1.743% and maturity dates ranging from 2030 to 2049.</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 xml:space="preserve">The Company has a commercial paper program (the “CP Program”) that allows it to issue, through private placement, short-term, unsecured commercial paper notes (the “CP Notes”) in an aggregate principal amount not to exceed $1,000,000.  The Company utilizes the proceeds from the sale of the CP Notes for general corporate purposes, which may include working capital, capital expenditures, water and wastewater utility acquisitions, and repaying outstanding indebtedness, including under the Company’s revolving credit facility or the revolving credit facilities of its subsidiaries.  As of June 30, 2026, outstanding borrowings under the Company’s CP Program were $384,723, net of unamortized discount on issuance of $455, with a weighted average interest rate of 4.07% and weighted average remaining term of 11 days.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 xml:space="preserve">During the three months ended June 30, 2026, we issued 264,356 shares of common stock for net proceeds of approximately $10,700 under the Company’s at-the-market equity sales program (“2024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37</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563C1"/>
            <w:sz w:val="24"/>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ESSENTIAL UTILITIES, INC. AND SUBSIDIARIES </w:t>
      </w:r>
    </w:p>
    <w:p>
      <w:pPr>
        <w:pStyle w:val="TextBody"/>
        <w:bidi w:val="0"/>
        <w:spacing w:lineRule="auto" w:line="259"/>
        <w:rPr>
          <w:caps w:val="false"/>
          <w:smallCaps w:val="false"/>
          <w:color w:val="000000"/>
        </w:rPr>
      </w:pPr>
      <w:r>
        <w:rPr>
          <w:caps w:val="false"/>
          <w:smallCaps w:val="false"/>
          <w:color w:val="000000"/>
        </w:rPr>
        <w:t> </w:t>
      </w:r>
    </w:p>
    <w:p>
      <w:pPr>
        <w:pStyle w:val="TextBody"/>
        <w:bidi w:val="0"/>
        <w:spacing w:lineRule="auto" w:line="259"/>
        <w:rPr>
          <w:caps w:val="false"/>
          <w:smallCaps w:val="false"/>
          <w:color w:val="000000"/>
        </w:rPr>
      </w:pPr>
      <w:r>
        <w:rPr>
          <w:caps w:val="false"/>
          <w:smallCaps w:val="false"/>
          <w:color w:val="000000"/>
        </w:rPr>
        <w:t> </w:t>
      </w:r>
      <w:r>
        <w:rPr>
          <w:rFonts w:ascii="Times New Roman;serif" w:hAnsi="Times New Roman;serif"/>
          <w:b w:val="false"/>
          <w:i w:val="false"/>
          <w:caps w:val="false"/>
          <w:smallCaps w:val="false"/>
          <w:color w:val="000000"/>
          <w:sz w:val="24"/>
        </w:rPr>
        <w:t>MANAGEMENT’S DISCUSSION AND ANALYSIS OF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FINANCIAL CONDITION AND RESULTS OF OPERATIONS (continued)</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(In thousands of dollars, except per share amounts)</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 xml:space="preserve">ATM”). During the six months ended June 30, 2026, we issued 308,656 shares of common stock for net proceeds of approximately $12,500 under the 2024 ATM. As of June 30, 2026, the 2024 ATM had approximately $648,000 of equity available for issuance. The Company used the net proceeds from the sales of shares through the 2024 ATM for working capital, capital expenditures, water and wastewater utility acquisitions, and repaying a portion of outstanding indebtedness.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 xml:space="preserve">At June 30, 2026, we had $8,634 of cash and cash equivalents compared to $34,778 at December 31, 2025. During the first six months of 2026, we used the proceeds from long-term debt, the proceeds from the issuance of commercial paper, and the proceeds from issuance of common stock, as well as internally generated funds, for capital expenditures, repayment of existing indebtedness, payment of dividends, and general corporate purposes.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 xml:space="preserve">At June 30, 2026, our $1,000,000 unsecured revolving credit facility had $600,974 available for borrowing (net of $384,723 of capacity designated for outstanding principal borrowings under our commercial paper program and $14,303 letter of credit usage). Additionally, at June 30, 2026, we had short-term lines of credit of $400,000, primarily used for working capital, of which $359,000 was available for borrowing. Although we believe we will be able to renew these facilities, there is no assurance that they will be renewed, or what the terms of any such renewal will be. </w:t>
      </w:r>
    </w:p>
    <w:p>
      <w:pPr>
        <w:pStyle w:val="TextBody"/>
        <w:bidi w:val="0"/>
        <w:spacing w:lineRule="auto" w:line="259"/>
        <w:rPr>
          <w:rFonts w:ascii="Times New Roman;serif" w:hAnsi="Times New Roman;serif"/>
          <w:b w:val="false"/>
          <w:i/>
          <w:color w:val="000000"/>
          <w:sz w:val="24"/>
        </w:rPr>
      </w:pPr>
      <w:r>
        <w:rPr>
          <w:rFonts w:ascii="Times New Roman;serif" w:hAnsi="Times New Roman;serif"/>
          <w:b w:val="false"/>
          <w:i/>
          <w:color w:val="000000"/>
          <w:sz w:val="24"/>
        </w:rPr>
        <w:t xml:space="preserve">Credit Risk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The Company and its subsidiaries’ access to capital markets and costs of financing are influenced by its credit ratings. Below summarizes the Company and its subsidiaries’ issuer and security credit ratings as of June 30, 2026:</w:t>
      </w:r>
    </w:p>
    <w:tbl>
      <w:tblPr>
        <w:tblW w:w="5096" w:type="dxa"/>
        <w:jc w:val="left"/>
        <w:tblInd w:w="0" w:type="dxa"/>
        <w:tblLayout w:type="fixed"/>
        <w:tblCellMar>
          <w:top w:w="0" w:type="dxa"/>
          <w:left w:w="0" w:type="dxa"/>
          <w:bottom w:w="0" w:type="dxa"/>
          <w:right w:w="0" w:type="dxa"/>
        </w:tblCellMar>
      </w:tblPr>
      <w:tblGrid>
        <w:gridCol w:w="2446"/>
        <w:gridCol w:w="109"/>
        <w:gridCol w:w="1201"/>
        <w:gridCol w:w="109"/>
        <w:gridCol w:w="1231"/>
      </w:tblGrid>
      <w:tr>
        <w:trPr/>
        <w:tc>
          <w:tcPr>
            <w:tcW w:w="2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r>
      <w:tr>
        <w:trPr/>
        <w:tc>
          <w:tcPr>
            <w:tcW w:w="244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0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S&amp;P</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3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Moody's</w:t>
            </w:r>
          </w:p>
        </w:tc>
      </w:tr>
      <w:tr>
        <w:trPr/>
        <w:tc>
          <w:tcPr>
            <w:tcW w:w="244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Essential Utilities, Inc. - </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23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24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Issuer/corporate credit rating</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A - / Positive </w:t>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Baa2 / Stable</w:t>
            </w:r>
          </w:p>
        </w:tc>
      </w:tr>
      <w:tr>
        <w:trPr/>
        <w:tc>
          <w:tcPr>
            <w:tcW w:w="24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Commercial paper</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 - 2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 - 2</w:t>
            </w:r>
          </w:p>
        </w:tc>
      </w:tr>
      <w:tr>
        <w:trPr/>
        <w:tc>
          <w:tcPr>
            <w:tcW w:w="24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Senior unsecured debt</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BBB+</w:t>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Baa2</w:t>
            </w:r>
          </w:p>
        </w:tc>
      </w:tr>
      <w:tr>
        <w:trPr/>
        <w:tc>
          <w:tcPr>
            <w:tcW w:w="24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Aqua Pennsylvania, Inc.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31" w:type="dxa"/>
            <w:tcBorders/>
            <w:shd w:fill="CCEEFF" w:val="clear"/>
            <w:vAlign w:val="center"/>
          </w:tcPr>
          <w:p>
            <w:pPr>
              <w:pStyle w:val="TableContents"/>
              <w:bidi w:val="0"/>
              <w:spacing w:before="0" w:after="283"/>
              <w:jc w:val="left"/>
              <w:rPr>
                <w:sz w:val="4"/>
                <w:szCs w:val="4"/>
              </w:rPr>
            </w:pPr>
            <w:r>
              <w:rPr>
                <w:sz w:val="4"/>
                <w:szCs w:val="4"/>
              </w:rPr>
            </w:r>
          </w:p>
        </w:tc>
      </w:tr>
      <w:tr>
        <w:trPr/>
        <w:tc>
          <w:tcPr>
            <w:tcW w:w="24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Issuer/corporate credit rating</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A - / Positive </w:t>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Not Rated</w:t>
            </w:r>
          </w:p>
        </w:tc>
      </w:tr>
      <w:tr>
        <w:trPr/>
        <w:tc>
          <w:tcPr>
            <w:tcW w:w="24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Senior secured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A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Not Rated</w:t>
            </w:r>
          </w:p>
        </w:tc>
      </w:tr>
      <w:tr>
        <w:trPr/>
        <w:tc>
          <w:tcPr>
            <w:tcW w:w="24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PNG Companies LLC - </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r>
      <w:tr>
        <w:trPr/>
        <w:tc>
          <w:tcPr>
            <w:tcW w:w="24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Issuer/corporate credit rating</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 - / Stable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Baa3 / Stable</w:t>
            </w:r>
          </w:p>
        </w:tc>
      </w:tr>
      <w:tr>
        <w:trPr/>
        <w:tc>
          <w:tcPr>
            <w:tcW w:w="24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Senior secured </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 -</w:t>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Baa3</w:t>
            </w:r>
          </w:p>
        </w:tc>
      </w:tr>
    </w:tbl>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 xml:space="preserve">The Company’s ability to maintain its credit rating depends, among other things, on adequate and timely rate relief, its ability to fund capital expenditures in a balanced manner using both debt and equity, and its ability to generate cash flow.  A material downgrade of our credit rating may result in the imposition of additional financial and/or other covenants, impact the market prices of equity and debt securities, increase our borrowing costs, and adversely affect our liquidity, among other things. Management continues to enhance our regulatory practices to address regulatory lag and recover capital project costs and increases in operating costs efficiently and timely through various rate-making mechanisms.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38</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563C1"/>
            <w:sz w:val="24"/>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ESSENTIAL UTILITIES, INC. AND SUBSIDIARIES </w:t>
      </w:r>
    </w:p>
    <w:p>
      <w:pPr>
        <w:pStyle w:val="TextBody"/>
        <w:bidi w:val="0"/>
        <w:spacing w:lineRule="auto" w:line="259"/>
        <w:rPr>
          <w:caps w:val="false"/>
          <w:smallCaps w:val="false"/>
          <w:color w:val="000000"/>
        </w:rPr>
      </w:pPr>
      <w:r>
        <w:rPr>
          <w:caps w:val="false"/>
          <w:smallCaps w:val="false"/>
          <w:color w:val="000000"/>
        </w:rPr>
        <w:t> </w:t>
      </w:r>
    </w:p>
    <w:p>
      <w:pPr>
        <w:pStyle w:val="TextBody"/>
        <w:bidi w:val="0"/>
        <w:spacing w:lineRule="auto" w:line="259"/>
        <w:rPr>
          <w:caps w:val="false"/>
          <w:smallCaps w:val="false"/>
          <w:color w:val="000000"/>
        </w:rPr>
      </w:pPr>
      <w:r>
        <w:rPr>
          <w:caps w:val="false"/>
          <w:smallCaps w:val="false"/>
          <w:color w:val="000000"/>
        </w:rPr>
        <w:t> </w:t>
      </w:r>
      <w:r>
        <w:rPr>
          <w:rFonts w:ascii="Times New Roman;serif" w:hAnsi="Times New Roman;serif"/>
          <w:b w:val="false"/>
          <w:i w:val="false"/>
          <w:caps w:val="false"/>
          <w:smallCaps w:val="false"/>
          <w:color w:val="000000"/>
          <w:sz w:val="24"/>
        </w:rPr>
        <w:t>MANAGEMENT’S DISCUSSION AND ANALYSIS OF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FINANCIAL CONDITION AND RESULTS OF OPERATIONS (continued)</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(In thousands of dollars, except per share amounts)</w:t>
      </w:r>
    </w:p>
    <w:p>
      <w:pPr>
        <w:pStyle w:val="Heading1"/>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Results of Operations</w:t>
      </w:r>
    </w:p>
    <w:p>
      <w:pPr>
        <w:pStyle w:val="Heading1"/>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Consolidated Results of Operations</w:t>
      </w:r>
    </w:p>
    <w:p>
      <w:pPr>
        <w:pStyle w:val="TextBody"/>
        <w:bidi w:val="0"/>
        <w:spacing w:lineRule="auto" w:line="259"/>
        <w:rPr>
          <w:rFonts w:ascii="Times New Roman;serif" w:hAnsi="Times New Roman;serif"/>
          <w:sz w:val="24"/>
        </w:rPr>
      </w:pPr>
      <w:r>
        <w:rPr>
          <w:rFonts w:ascii="Times New Roman;serif" w:hAnsi="Times New Roman;serif"/>
          <w:b w:val="false"/>
          <w:i w:val="false"/>
          <w:caps w:val="false"/>
          <w:smallCaps w:val="false"/>
          <w:color w:val="000000"/>
          <w:sz w:val="24"/>
          <w:u w:val="single"/>
        </w:rPr>
        <w:t>Consolidated financial and operational highlights for the periods ended June 30, 202</w:t>
      </w:r>
      <w:r>
        <w:rPr>
          <w:rFonts w:ascii="Times New Roman;serif" w:hAnsi="Times New Roman;serif"/>
          <w:b w:val="false"/>
          <w:i w:val="false"/>
          <w:caps w:val="false"/>
          <w:smallCaps w:val="false"/>
          <w:color w:val="000000"/>
          <w:sz w:val="24"/>
        </w:rPr>
        <w:t>6</w:t>
      </w:r>
      <w:r>
        <w:rPr>
          <w:rFonts w:ascii="Times New Roman;serif" w:hAnsi="Times New Roman;serif"/>
          <w:caps w:val="false"/>
          <w:smallCaps w:val="false"/>
          <w:color w:val="000000"/>
          <w:sz w:val="24"/>
          <w:u w:val="single"/>
        </w:rPr>
        <w:t xml:space="preserve"> </w:t>
      </w:r>
      <w:r>
        <w:rPr>
          <w:rFonts w:ascii="Times New Roman;serif" w:hAnsi="Times New Roman;serif"/>
          <w:b w:val="false"/>
          <w:i w:val="false"/>
          <w:caps w:val="false"/>
          <w:smallCaps w:val="false"/>
          <w:color w:val="000000"/>
          <w:sz w:val="24"/>
          <w:u w:val="single"/>
        </w:rPr>
        <w:t>and 202</w:t>
      </w:r>
      <w:r>
        <w:rPr>
          <w:rFonts w:ascii="Times New Roman;serif" w:hAnsi="Times New Roman;serif"/>
          <w:b w:val="false"/>
          <w:i w:val="false"/>
          <w:caps w:val="false"/>
          <w:smallCaps w:val="false"/>
          <w:color w:val="000000"/>
          <w:sz w:val="24"/>
        </w:rPr>
        <w:t>5</w:t>
      </w:r>
      <w:r>
        <w:rPr>
          <w:rFonts w:ascii="Times New Roman;serif" w:hAnsi="Times New Roman;serif"/>
          <w:caps w:val="false"/>
          <w:smallCaps w:val="false"/>
          <w:color w:val="000000"/>
          <w:sz w:val="24"/>
          <w:u w:val="single"/>
        </w:rPr>
        <w:t xml:space="preserve"> </w:t>
      </w:r>
      <w:r>
        <w:rPr>
          <w:rFonts w:ascii="Times New Roman;serif" w:hAnsi="Times New Roman;serif"/>
          <w:b w:val="false"/>
          <w:i w:val="false"/>
          <w:caps w:val="false"/>
          <w:smallCaps w:val="false"/>
          <w:color w:val="000000"/>
          <w:sz w:val="24"/>
          <w:u w:val="single"/>
        </w:rPr>
        <w:t xml:space="preserve">are presented below. </w:t>
      </w:r>
    </w:p>
    <w:tbl>
      <w:tblPr>
        <w:tblW w:w="10205" w:type="dxa"/>
        <w:jc w:val="left"/>
        <w:tblInd w:w="0" w:type="dxa"/>
        <w:tblLayout w:type="fixed"/>
        <w:tblCellMar>
          <w:top w:w="0" w:type="dxa"/>
          <w:left w:w="0" w:type="dxa"/>
          <w:bottom w:w="0" w:type="dxa"/>
          <w:right w:w="0" w:type="dxa"/>
        </w:tblCellMar>
      </w:tblPr>
      <w:tblGrid>
        <w:gridCol w:w="5102"/>
        <w:gridCol w:w="265"/>
        <w:gridCol w:w="985"/>
        <w:gridCol w:w="265"/>
        <w:gridCol w:w="985"/>
        <w:gridCol w:w="109"/>
        <w:gridCol w:w="215"/>
        <w:gridCol w:w="952"/>
        <w:gridCol w:w="215"/>
        <w:gridCol w:w="952"/>
        <w:gridCol w:w="160"/>
      </w:tblGrid>
      <w:tr>
        <w:trPr/>
        <w:tc>
          <w:tcPr>
            <w:tcW w:w="510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0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02" w:type="dxa"/>
            <w:tcBorders/>
            <w:vAlign w:val="center"/>
          </w:tcPr>
          <w:p>
            <w:pPr>
              <w:pStyle w:val="TableContents"/>
              <w:bidi w:val="0"/>
              <w:spacing w:before="0" w:after="283"/>
              <w:jc w:val="left"/>
              <w:rPr>
                <w:sz w:val="4"/>
                <w:szCs w:val="4"/>
              </w:rPr>
            </w:pPr>
            <w:r>
              <w:rPr>
                <w:sz w:val="4"/>
                <w:szCs w:val="4"/>
              </w:rPr>
            </w:r>
          </w:p>
        </w:tc>
        <w:tc>
          <w:tcPr>
            <w:tcW w:w="2500" w:type="dxa"/>
            <w:gridSpan w:val="4"/>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2334" w:type="dxa"/>
            <w:gridSpan w:val="4"/>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Six Months Ended June 30,</w:t>
            </w:r>
          </w:p>
        </w:tc>
        <w:tc>
          <w:tcPr>
            <w:tcW w:w="160" w:type="dxa"/>
            <w:tcBorders/>
            <w:vAlign w:val="center"/>
          </w:tcPr>
          <w:p>
            <w:pPr>
              <w:pStyle w:val="TableContents"/>
              <w:bidi w:val="0"/>
              <w:spacing w:before="0" w:after="283"/>
              <w:jc w:val="left"/>
              <w:rPr>
                <w:sz w:val="4"/>
                <w:szCs w:val="4"/>
              </w:rPr>
            </w:pPr>
            <w:r>
              <w:rPr>
                <w:sz w:val="4"/>
                <w:szCs w:val="4"/>
              </w:rPr>
            </w:r>
          </w:p>
        </w:tc>
      </w:tr>
      <w:tr>
        <w:trPr/>
        <w:tc>
          <w:tcPr>
            <w:tcW w:w="5102" w:type="dxa"/>
            <w:tcBorders/>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2026</w:t>
            </w:r>
          </w:p>
        </w:tc>
        <w:tc>
          <w:tcPr>
            <w:tcW w:w="1250"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2026</w:t>
            </w:r>
          </w:p>
        </w:tc>
        <w:tc>
          <w:tcPr>
            <w:tcW w:w="1167"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2025</w:t>
            </w:r>
          </w:p>
        </w:tc>
        <w:tc>
          <w:tcPr>
            <w:tcW w:w="160" w:type="dxa"/>
            <w:tcBorders/>
            <w:vAlign w:val="center"/>
          </w:tcPr>
          <w:p>
            <w:pPr>
              <w:pStyle w:val="TableContents"/>
              <w:bidi w:val="0"/>
              <w:spacing w:before="0" w:after="283"/>
              <w:jc w:val="left"/>
              <w:rPr>
                <w:sz w:val="4"/>
                <w:szCs w:val="4"/>
              </w:rPr>
            </w:pPr>
            <w:r>
              <w:rPr>
                <w:sz w:val="4"/>
                <w:szCs w:val="4"/>
              </w:rPr>
            </w:r>
          </w:p>
        </w:tc>
      </w:tr>
      <w:tr>
        <w:trPr/>
        <w:tc>
          <w:tcPr>
            <w:tcW w:w="510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Operating revenues</w:t>
            </w:r>
          </w:p>
        </w:tc>
        <w:tc>
          <w:tcPr>
            <w:tcW w:w="26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8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530,854</w:t>
            </w:r>
          </w:p>
        </w:tc>
        <w:tc>
          <w:tcPr>
            <w:tcW w:w="26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8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514,907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52"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1,392,613</w:t>
            </w:r>
          </w:p>
        </w:tc>
        <w:tc>
          <w:tcPr>
            <w:tcW w:w="21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52"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1,298,533</w:t>
            </w:r>
          </w:p>
        </w:tc>
        <w:tc>
          <w:tcPr>
            <w:tcW w:w="160" w:type="dxa"/>
            <w:tcBorders/>
            <w:shd w:fill="CCEEFF" w:val="clear"/>
            <w:vAlign w:val="center"/>
          </w:tcPr>
          <w:p>
            <w:pPr>
              <w:pStyle w:val="TableContents"/>
              <w:bidi w:val="0"/>
              <w:spacing w:before="0" w:after="283"/>
              <w:jc w:val="left"/>
              <w:rPr>
                <w:sz w:val="4"/>
                <w:szCs w:val="4"/>
              </w:rPr>
            </w:pPr>
            <w:r>
              <w:rPr>
                <w:sz w:val="4"/>
                <w:szCs w:val="4"/>
              </w:rPr>
            </w:r>
          </w:p>
        </w:tc>
      </w:tr>
      <w:tr>
        <w:trPr/>
        <w:tc>
          <w:tcPr>
            <w:tcW w:w="510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Operations and maintenance expense</w:t>
            </w:r>
          </w:p>
        </w:tc>
        <w:tc>
          <w:tcPr>
            <w:tcW w:w="265"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85"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153,635</w:t>
            </w:r>
          </w:p>
        </w:tc>
        <w:tc>
          <w:tcPr>
            <w:tcW w:w="265"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85"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148,510</w:t>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52"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329,430</w:t>
            </w:r>
          </w:p>
        </w:tc>
        <w:tc>
          <w:tcPr>
            <w:tcW w:w="215"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52"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286,334</w:t>
            </w:r>
          </w:p>
        </w:tc>
        <w:tc>
          <w:tcPr>
            <w:tcW w:w="160" w:type="dxa"/>
            <w:tcBorders/>
            <w:vAlign w:val="center"/>
          </w:tcPr>
          <w:p>
            <w:pPr>
              <w:pStyle w:val="TableContents"/>
              <w:bidi w:val="0"/>
              <w:spacing w:before="0" w:after="283"/>
              <w:jc w:val="left"/>
              <w:rPr>
                <w:sz w:val="4"/>
                <w:szCs w:val="4"/>
              </w:rPr>
            </w:pPr>
            <w:r>
              <w:rPr>
                <w:sz w:val="4"/>
                <w:szCs w:val="4"/>
              </w:rPr>
            </w:r>
          </w:p>
        </w:tc>
      </w:tr>
      <w:tr>
        <w:trPr/>
        <w:tc>
          <w:tcPr>
            <w:tcW w:w="510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Purchased gas</w:t>
            </w:r>
          </w:p>
        </w:tc>
        <w:tc>
          <w:tcPr>
            <w:tcW w:w="265"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85"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46,201</w:t>
            </w:r>
          </w:p>
        </w:tc>
        <w:tc>
          <w:tcPr>
            <w:tcW w:w="265"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85"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56,735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5"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52"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284,816</w:t>
            </w:r>
          </w:p>
        </w:tc>
        <w:tc>
          <w:tcPr>
            <w:tcW w:w="215"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52"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241,376</w:t>
            </w:r>
          </w:p>
        </w:tc>
        <w:tc>
          <w:tcPr>
            <w:tcW w:w="160" w:type="dxa"/>
            <w:tcBorders/>
            <w:shd w:fill="CCEEFF" w:val="clear"/>
            <w:vAlign w:val="center"/>
          </w:tcPr>
          <w:p>
            <w:pPr>
              <w:pStyle w:val="TableContents"/>
              <w:bidi w:val="0"/>
              <w:spacing w:before="0" w:after="283"/>
              <w:jc w:val="left"/>
              <w:rPr>
                <w:sz w:val="4"/>
                <w:szCs w:val="4"/>
              </w:rPr>
            </w:pPr>
            <w:r>
              <w:rPr>
                <w:sz w:val="4"/>
                <w:szCs w:val="4"/>
              </w:rPr>
            </w:r>
          </w:p>
        </w:tc>
      </w:tr>
      <w:tr>
        <w:trPr/>
        <w:tc>
          <w:tcPr>
            <w:tcW w:w="510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income</w:t>
            </w:r>
          </w:p>
        </w:tc>
        <w:tc>
          <w:tcPr>
            <w:tcW w:w="265"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85"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105,725</w:t>
            </w:r>
          </w:p>
        </w:tc>
        <w:tc>
          <w:tcPr>
            <w:tcW w:w="265"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85"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107,827</w:t>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52"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330,117</w:t>
            </w:r>
          </w:p>
        </w:tc>
        <w:tc>
          <w:tcPr>
            <w:tcW w:w="215"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52"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391,616</w:t>
            </w:r>
          </w:p>
        </w:tc>
        <w:tc>
          <w:tcPr>
            <w:tcW w:w="160" w:type="dxa"/>
            <w:tcBorders/>
            <w:vAlign w:val="center"/>
          </w:tcPr>
          <w:p>
            <w:pPr>
              <w:pStyle w:val="TableContents"/>
              <w:bidi w:val="0"/>
              <w:spacing w:before="0" w:after="283"/>
              <w:jc w:val="left"/>
              <w:rPr>
                <w:sz w:val="4"/>
                <w:szCs w:val="4"/>
              </w:rPr>
            </w:pPr>
            <w:r>
              <w:rPr>
                <w:sz w:val="4"/>
                <w:szCs w:val="4"/>
              </w:rPr>
            </w:r>
          </w:p>
        </w:tc>
      </w:tr>
      <w:tr>
        <w:trPr/>
        <w:tc>
          <w:tcPr>
            <w:tcW w:w="5102" w:type="dxa"/>
            <w:tcBorders/>
            <w:shd w:fill="CCEEFF" w:val="clear"/>
            <w:vAlign w:val="center"/>
          </w:tcPr>
          <w:p>
            <w:pPr>
              <w:pStyle w:val="TableContents"/>
              <w:bidi w:val="0"/>
              <w:spacing w:before="0" w:after="283"/>
              <w:jc w:val="left"/>
              <w:rPr>
                <w:sz w:val="4"/>
                <w:szCs w:val="4"/>
              </w:rPr>
            </w:pPr>
            <w:r>
              <w:rPr>
                <w:sz w:val="4"/>
                <w:szCs w:val="4"/>
              </w:rPr>
            </w:r>
          </w:p>
        </w:tc>
        <w:tc>
          <w:tcPr>
            <w:tcW w:w="265"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85"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65"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85"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5"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52"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15"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52"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60" w:type="dxa"/>
            <w:tcBorders/>
            <w:shd w:fill="CCEEFF" w:val="clear"/>
            <w:vAlign w:val="center"/>
          </w:tcPr>
          <w:p>
            <w:pPr>
              <w:pStyle w:val="TableContents"/>
              <w:bidi w:val="0"/>
              <w:spacing w:before="0" w:after="283"/>
              <w:jc w:val="left"/>
              <w:rPr>
                <w:sz w:val="4"/>
                <w:szCs w:val="4"/>
              </w:rPr>
            </w:pPr>
            <w:r>
              <w:rPr>
                <w:sz w:val="4"/>
                <w:szCs w:val="4"/>
              </w:rPr>
            </w:r>
          </w:p>
        </w:tc>
      </w:tr>
      <w:tr>
        <w:trPr/>
        <w:tc>
          <w:tcPr>
            <w:tcW w:w="510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Operating Statistics</w:t>
            </w:r>
          </w:p>
        </w:tc>
        <w:tc>
          <w:tcPr>
            <w:tcW w:w="26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0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Selected operating results as a percentage of operating revenues:</w:t>
            </w:r>
          </w:p>
        </w:tc>
        <w:tc>
          <w:tcPr>
            <w:tcW w:w="265" w:type="dxa"/>
            <w:tcBorders/>
            <w:shd w:fill="CCEEFF" w:val="clear"/>
            <w:vAlign w:val="center"/>
          </w:tcPr>
          <w:p>
            <w:pPr>
              <w:pStyle w:val="TableContents"/>
              <w:bidi w:val="0"/>
              <w:spacing w:before="0" w:after="283"/>
              <w:jc w:val="left"/>
              <w:rPr>
                <w:sz w:val="4"/>
                <w:szCs w:val="4"/>
              </w:rPr>
            </w:pPr>
            <w:r>
              <w:rPr>
                <w:sz w:val="4"/>
                <w:szCs w:val="4"/>
              </w:rPr>
            </w:r>
          </w:p>
        </w:tc>
        <w:tc>
          <w:tcPr>
            <w:tcW w:w="985" w:type="dxa"/>
            <w:tcBorders/>
            <w:shd w:fill="CCEEFF" w:val="clear"/>
            <w:vAlign w:val="center"/>
          </w:tcPr>
          <w:p>
            <w:pPr>
              <w:pStyle w:val="TableContents"/>
              <w:bidi w:val="0"/>
              <w:spacing w:before="0" w:after="283"/>
              <w:jc w:val="left"/>
              <w:rPr>
                <w:sz w:val="4"/>
                <w:szCs w:val="4"/>
              </w:rPr>
            </w:pPr>
            <w:r>
              <w:rPr>
                <w:sz w:val="4"/>
                <w:szCs w:val="4"/>
              </w:rPr>
            </w:r>
          </w:p>
        </w:tc>
        <w:tc>
          <w:tcPr>
            <w:tcW w:w="265" w:type="dxa"/>
            <w:tcBorders/>
            <w:shd w:fill="CCEEFF" w:val="clear"/>
            <w:vAlign w:val="center"/>
          </w:tcPr>
          <w:p>
            <w:pPr>
              <w:pStyle w:val="TableContents"/>
              <w:bidi w:val="0"/>
              <w:spacing w:before="0" w:after="283"/>
              <w:jc w:val="left"/>
              <w:rPr>
                <w:sz w:val="4"/>
                <w:szCs w:val="4"/>
              </w:rPr>
            </w:pPr>
            <w:r>
              <w:rPr>
                <w:sz w:val="4"/>
                <w:szCs w:val="4"/>
              </w:rPr>
            </w:r>
          </w:p>
        </w:tc>
        <w:tc>
          <w:tcPr>
            <w:tcW w:w="98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5" w:type="dxa"/>
            <w:tcBorders/>
            <w:shd w:fill="CCEEFF" w:val="clear"/>
            <w:vAlign w:val="center"/>
          </w:tcPr>
          <w:p>
            <w:pPr>
              <w:pStyle w:val="TableContents"/>
              <w:bidi w:val="0"/>
              <w:spacing w:before="0" w:after="283"/>
              <w:jc w:val="left"/>
              <w:rPr>
                <w:sz w:val="4"/>
                <w:szCs w:val="4"/>
              </w:rPr>
            </w:pPr>
            <w:r>
              <w:rPr>
                <w:sz w:val="4"/>
                <w:szCs w:val="4"/>
              </w:rPr>
            </w:r>
          </w:p>
        </w:tc>
        <w:tc>
          <w:tcPr>
            <w:tcW w:w="952" w:type="dxa"/>
            <w:tcBorders/>
            <w:shd w:fill="CCEEFF" w:val="clear"/>
            <w:vAlign w:val="center"/>
          </w:tcPr>
          <w:p>
            <w:pPr>
              <w:pStyle w:val="TableContents"/>
              <w:bidi w:val="0"/>
              <w:spacing w:before="0" w:after="283"/>
              <w:jc w:val="left"/>
              <w:rPr>
                <w:sz w:val="4"/>
                <w:szCs w:val="4"/>
              </w:rPr>
            </w:pPr>
            <w:r>
              <w:rPr>
                <w:sz w:val="4"/>
                <w:szCs w:val="4"/>
              </w:rPr>
            </w:r>
          </w:p>
        </w:tc>
        <w:tc>
          <w:tcPr>
            <w:tcW w:w="215" w:type="dxa"/>
            <w:tcBorders/>
            <w:shd w:fill="CCEEFF" w:val="clear"/>
            <w:vAlign w:val="center"/>
          </w:tcPr>
          <w:p>
            <w:pPr>
              <w:pStyle w:val="TableContents"/>
              <w:bidi w:val="0"/>
              <w:spacing w:before="0" w:after="283"/>
              <w:jc w:val="left"/>
              <w:rPr>
                <w:sz w:val="4"/>
                <w:szCs w:val="4"/>
              </w:rPr>
            </w:pPr>
            <w:r>
              <w:rPr>
                <w:sz w:val="4"/>
                <w:szCs w:val="4"/>
              </w:rPr>
            </w:r>
          </w:p>
        </w:tc>
        <w:tc>
          <w:tcPr>
            <w:tcW w:w="952" w:type="dxa"/>
            <w:tcBorders/>
            <w:shd w:fill="CCEEFF" w:val="clear"/>
            <w:vAlign w:val="center"/>
          </w:tcPr>
          <w:p>
            <w:pPr>
              <w:pStyle w:val="TableContents"/>
              <w:bidi w:val="0"/>
              <w:spacing w:before="0" w:after="283"/>
              <w:jc w:val="left"/>
              <w:rPr>
                <w:sz w:val="4"/>
                <w:szCs w:val="4"/>
              </w:rPr>
            </w:pPr>
            <w:r>
              <w:rPr>
                <w:sz w:val="4"/>
                <w:szCs w:val="4"/>
              </w:rPr>
            </w:r>
          </w:p>
        </w:tc>
        <w:tc>
          <w:tcPr>
            <w:tcW w:w="160" w:type="dxa"/>
            <w:tcBorders/>
            <w:shd w:fill="CCEEFF" w:val="clear"/>
            <w:vAlign w:val="center"/>
          </w:tcPr>
          <w:p>
            <w:pPr>
              <w:pStyle w:val="TableContents"/>
              <w:bidi w:val="0"/>
              <w:spacing w:before="0" w:after="283"/>
              <w:jc w:val="left"/>
              <w:rPr>
                <w:sz w:val="4"/>
                <w:szCs w:val="4"/>
              </w:rPr>
            </w:pPr>
            <w:r>
              <w:rPr>
                <w:sz w:val="4"/>
                <w:szCs w:val="4"/>
              </w:rPr>
            </w:r>
          </w:p>
        </w:tc>
      </w:tr>
      <w:tr>
        <w:trPr/>
        <w:tc>
          <w:tcPr>
            <w:tcW w:w="510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Operations and maintenance</w:t>
            </w:r>
          </w:p>
        </w:tc>
        <w:tc>
          <w:tcPr>
            <w:tcW w:w="26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28.9%</w:t>
            </w:r>
          </w:p>
        </w:tc>
        <w:tc>
          <w:tcPr>
            <w:tcW w:w="26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28.8%</w:t>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23.7%</w:t>
            </w:r>
          </w:p>
        </w:tc>
        <w:tc>
          <w:tcPr>
            <w:tcW w:w="215"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22.1%</w:t>
            </w:r>
          </w:p>
        </w:tc>
        <w:tc>
          <w:tcPr>
            <w:tcW w:w="160" w:type="dxa"/>
            <w:tcBorders/>
            <w:vAlign w:val="center"/>
          </w:tcPr>
          <w:p>
            <w:pPr>
              <w:pStyle w:val="TableContents"/>
              <w:bidi w:val="0"/>
              <w:spacing w:before="0" w:after="283"/>
              <w:jc w:val="left"/>
              <w:rPr>
                <w:sz w:val="4"/>
                <w:szCs w:val="4"/>
              </w:rPr>
            </w:pPr>
            <w:r>
              <w:rPr>
                <w:sz w:val="4"/>
                <w:szCs w:val="4"/>
              </w:rPr>
            </w:r>
          </w:p>
        </w:tc>
      </w:tr>
      <w:tr>
        <w:trPr/>
        <w:tc>
          <w:tcPr>
            <w:tcW w:w="510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Purchased gas</w:t>
            </w:r>
          </w:p>
        </w:tc>
        <w:tc>
          <w:tcPr>
            <w:tcW w:w="265" w:type="dxa"/>
            <w:tcBorders/>
            <w:shd w:fill="CCEEFF" w:val="clear"/>
            <w:vAlign w:val="center"/>
          </w:tcPr>
          <w:p>
            <w:pPr>
              <w:pStyle w:val="TableContents"/>
              <w:bidi w:val="0"/>
              <w:spacing w:before="0" w:after="283"/>
              <w:jc w:val="left"/>
              <w:rPr>
                <w:sz w:val="4"/>
                <w:szCs w:val="4"/>
              </w:rPr>
            </w:pPr>
            <w:r>
              <w:rPr>
                <w:sz w:val="4"/>
                <w:szCs w:val="4"/>
              </w:rPr>
            </w:r>
          </w:p>
        </w:tc>
        <w:tc>
          <w:tcPr>
            <w:tcW w:w="98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8.7%</w:t>
            </w:r>
          </w:p>
        </w:tc>
        <w:tc>
          <w:tcPr>
            <w:tcW w:w="265" w:type="dxa"/>
            <w:tcBorders/>
            <w:shd w:fill="CCEEFF" w:val="clear"/>
            <w:vAlign w:val="center"/>
          </w:tcPr>
          <w:p>
            <w:pPr>
              <w:pStyle w:val="TableContents"/>
              <w:bidi w:val="0"/>
              <w:spacing w:before="0" w:after="283"/>
              <w:jc w:val="left"/>
              <w:rPr>
                <w:sz w:val="4"/>
                <w:szCs w:val="4"/>
              </w:rPr>
            </w:pPr>
            <w:r>
              <w:rPr>
                <w:sz w:val="4"/>
                <w:szCs w:val="4"/>
              </w:rPr>
            </w:r>
          </w:p>
        </w:tc>
        <w:tc>
          <w:tcPr>
            <w:tcW w:w="98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5" w:type="dxa"/>
            <w:tcBorders/>
            <w:shd w:fill="CCEEFF" w:val="clear"/>
            <w:vAlign w:val="center"/>
          </w:tcPr>
          <w:p>
            <w:pPr>
              <w:pStyle w:val="TableContents"/>
              <w:bidi w:val="0"/>
              <w:spacing w:before="0" w:after="283"/>
              <w:jc w:val="left"/>
              <w:rPr>
                <w:sz w:val="4"/>
                <w:szCs w:val="4"/>
              </w:rPr>
            </w:pPr>
            <w:r>
              <w:rPr>
                <w:sz w:val="4"/>
                <w:szCs w:val="4"/>
              </w:rPr>
            </w:r>
          </w:p>
        </w:tc>
        <w:tc>
          <w:tcPr>
            <w:tcW w:w="95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20.5%</w:t>
            </w:r>
          </w:p>
        </w:tc>
        <w:tc>
          <w:tcPr>
            <w:tcW w:w="215" w:type="dxa"/>
            <w:tcBorders/>
            <w:shd w:fill="CCEEFF" w:val="clear"/>
            <w:vAlign w:val="center"/>
          </w:tcPr>
          <w:p>
            <w:pPr>
              <w:pStyle w:val="TableContents"/>
              <w:bidi w:val="0"/>
              <w:spacing w:before="0" w:after="283"/>
              <w:jc w:val="left"/>
              <w:rPr>
                <w:sz w:val="4"/>
                <w:szCs w:val="4"/>
              </w:rPr>
            </w:pPr>
            <w:r>
              <w:rPr>
                <w:sz w:val="4"/>
                <w:szCs w:val="4"/>
              </w:rPr>
            </w:r>
          </w:p>
        </w:tc>
        <w:tc>
          <w:tcPr>
            <w:tcW w:w="95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18.6%</w:t>
            </w:r>
          </w:p>
        </w:tc>
        <w:tc>
          <w:tcPr>
            <w:tcW w:w="160" w:type="dxa"/>
            <w:tcBorders/>
            <w:shd w:fill="CCEEFF" w:val="clear"/>
            <w:vAlign w:val="center"/>
          </w:tcPr>
          <w:p>
            <w:pPr>
              <w:pStyle w:val="TableContents"/>
              <w:bidi w:val="0"/>
              <w:spacing w:before="0" w:after="283"/>
              <w:jc w:val="left"/>
              <w:rPr>
                <w:sz w:val="4"/>
                <w:szCs w:val="4"/>
              </w:rPr>
            </w:pPr>
            <w:r>
              <w:rPr>
                <w:sz w:val="4"/>
                <w:szCs w:val="4"/>
              </w:rPr>
            </w:r>
          </w:p>
        </w:tc>
      </w:tr>
      <w:tr>
        <w:trPr/>
        <w:tc>
          <w:tcPr>
            <w:tcW w:w="510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Depreciation and amortization</w:t>
            </w:r>
          </w:p>
        </w:tc>
        <w:tc>
          <w:tcPr>
            <w:tcW w:w="26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21.3%</w:t>
            </w:r>
          </w:p>
        </w:tc>
        <w:tc>
          <w:tcPr>
            <w:tcW w:w="26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20.1%</w:t>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16.1%</w:t>
            </w:r>
          </w:p>
        </w:tc>
        <w:tc>
          <w:tcPr>
            <w:tcW w:w="215"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15.6%</w:t>
            </w:r>
          </w:p>
        </w:tc>
        <w:tc>
          <w:tcPr>
            <w:tcW w:w="160" w:type="dxa"/>
            <w:tcBorders/>
            <w:vAlign w:val="center"/>
          </w:tcPr>
          <w:p>
            <w:pPr>
              <w:pStyle w:val="TableContents"/>
              <w:bidi w:val="0"/>
              <w:spacing w:before="0" w:after="283"/>
              <w:jc w:val="left"/>
              <w:rPr>
                <w:sz w:val="4"/>
                <w:szCs w:val="4"/>
              </w:rPr>
            </w:pPr>
            <w:r>
              <w:rPr>
                <w:sz w:val="4"/>
                <w:szCs w:val="4"/>
              </w:rPr>
            </w:r>
          </w:p>
        </w:tc>
      </w:tr>
      <w:tr>
        <w:trPr/>
        <w:tc>
          <w:tcPr>
            <w:tcW w:w="510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Taxes other than income taxes</w:t>
            </w:r>
          </w:p>
        </w:tc>
        <w:tc>
          <w:tcPr>
            <w:tcW w:w="265" w:type="dxa"/>
            <w:tcBorders/>
            <w:shd w:fill="CCEEFF" w:val="clear"/>
            <w:vAlign w:val="center"/>
          </w:tcPr>
          <w:p>
            <w:pPr>
              <w:pStyle w:val="TableContents"/>
              <w:bidi w:val="0"/>
              <w:spacing w:before="0" w:after="283"/>
              <w:jc w:val="left"/>
              <w:rPr>
                <w:sz w:val="4"/>
                <w:szCs w:val="4"/>
              </w:rPr>
            </w:pPr>
            <w:r>
              <w:rPr>
                <w:sz w:val="4"/>
                <w:szCs w:val="4"/>
              </w:rPr>
            </w:r>
          </w:p>
        </w:tc>
        <w:tc>
          <w:tcPr>
            <w:tcW w:w="98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4.6%</w:t>
            </w:r>
          </w:p>
        </w:tc>
        <w:tc>
          <w:tcPr>
            <w:tcW w:w="265" w:type="dxa"/>
            <w:tcBorders/>
            <w:shd w:fill="CCEEFF" w:val="clear"/>
            <w:vAlign w:val="center"/>
          </w:tcPr>
          <w:p>
            <w:pPr>
              <w:pStyle w:val="TableContents"/>
              <w:bidi w:val="0"/>
              <w:spacing w:before="0" w:after="283"/>
              <w:jc w:val="left"/>
              <w:rPr>
                <w:sz w:val="4"/>
                <w:szCs w:val="4"/>
              </w:rPr>
            </w:pPr>
            <w:r>
              <w:rPr>
                <w:sz w:val="4"/>
                <w:szCs w:val="4"/>
              </w:rPr>
            </w:r>
          </w:p>
        </w:tc>
        <w:tc>
          <w:tcPr>
            <w:tcW w:w="98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5" w:type="dxa"/>
            <w:tcBorders/>
            <w:shd w:fill="CCEEFF" w:val="clear"/>
            <w:vAlign w:val="center"/>
          </w:tcPr>
          <w:p>
            <w:pPr>
              <w:pStyle w:val="TableContents"/>
              <w:bidi w:val="0"/>
              <w:spacing w:before="0" w:after="283"/>
              <w:jc w:val="left"/>
              <w:rPr>
                <w:sz w:val="4"/>
                <w:szCs w:val="4"/>
              </w:rPr>
            </w:pPr>
            <w:r>
              <w:rPr>
                <w:sz w:val="4"/>
                <w:szCs w:val="4"/>
              </w:rPr>
            </w:r>
          </w:p>
        </w:tc>
        <w:tc>
          <w:tcPr>
            <w:tcW w:w="95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w:t>
            </w:r>
          </w:p>
        </w:tc>
        <w:tc>
          <w:tcPr>
            <w:tcW w:w="215" w:type="dxa"/>
            <w:tcBorders/>
            <w:shd w:fill="CCEEFF" w:val="clear"/>
            <w:vAlign w:val="center"/>
          </w:tcPr>
          <w:p>
            <w:pPr>
              <w:pStyle w:val="TableContents"/>
              <w:bidi w:val="0"/>
              <w:spacing w:before="0" w:after="283"/>
              <w:jc w:val="left"/>
              <w:rPr>
                <w:sz w:val="4"/>
                <w:szCs w:val="4"/>
              </w:rPr>
            </w:pPr>
            <w:r>
              <w:rPr>
                <w:sz w:val="4"/>
                <w:szCs w:val="4"/>
              </w:rPr>
            </w:r>
          </w:p>
        </w:tc>
        <w:tc>
          <w:tcPr>
            <w:tcW w:w="95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w:t>
            </w:r>
          </w:p>
        </w:tc>
        <w:tc>
          <w:tcPr>
            <w:tcW w:w="160" w:type="dxa"/>
            <w:tcBorders/>
            <w:shd w:fill="CCEEFF" w:val="clear"/>
            <w:vAlign w:val="center"/>
          </w:tcPr>
          <w:p>
            <w:pPr>
              <w:pStyle w:val="TableContents"/>
              <w:bidi w:val="0"/>
              <w:spacing w:before="0" w:after="283"/>
              <w:jc w:val="left"/>
              <w:rPr>
                <w:sz w:val="4"/>
                <w:szCs w:val="4"/>
              </w:rPr>
            </w:pPr>
            <w:r>
              <w:rPr>
                <w:sz w:val="4"/>
                <w:szCs w:val="4"/>
              </w:rPr>
            </w:r>
          </w:p>
        </w:tc>
      </w:tr>
      <w:tr>
        <w:trPr/>
        <w:tc>
          <w:tcPr>
            <w:tcW w:w="510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Interest expense, net of interest income</w:t>
            </w:r>
          </w:p>
        </w:tc>
        <w:tc>
          <w:tcPr>
            <w:tcW w:w="26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16.7%</w:t>
            </w:r>
          </w:p>
        </w:tc>
        <w:tc>
          <w:tcPr>
            <w:tcW w:w="26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15.4%</w:t>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12.5%</w:t>
            </w:r>
          </w:p>
        </w:tc>
        <w:tc>
          <w:tcPr>
            <w:tcW w:w="215"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12.4%</w:t>
            </w:r>
          </w:p>
        </w:tc>
        <w:tc>
          <w:tcPr>
            <w:tcW w:w="160" w:type="dxa"/>
            <w:tcBorders/>
            <w:vAlign w:val="center"/>
          </w:tcPr>
          <w:p>
            <w:pPr>
              <w:pStyle w:val="TableContents"/>
              <w:bidi w:val="0"/>
              <w:spacing w:before="0" w:after="283"/>
              <w:jc w:val="left"/>
              <w:rPr>
                <w:sz w:val="4"/>
                <w:szCs w:val="4"/>
              </w:rPr>
            </w:pPr>
            <w:r>
              <w:rPr>
                <w:sz w:val="4"/>
                <w:szCs w:val="4"/>
              </w:rPr>
            </w:r>
          </w:p>
        </w:tc>
      </w:tr>
      <w:tr>
        <w:trPr/>
        <w:tc>
          <w:tcPr>
            <w:tcW w:w="510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income</w:t>
            </w:r>
          </w:p>
        </w:tc>
        <w:tc>
          <w:tcPr>
            <w:tcW w:w="265" w:type="dxa"/>
            <w:tcBorders/>
            <w:shd w:fill="CCEEFF" w:val="clear"/>
            <w:vAlign w:val="center"/>
          </w:tcPr>
          <w:p>
            <w:pPr>
              <w:pStyle w:val="TableContents"/>
              <w:bidi w:val="0"/>
              <w:spacing w:before="0" w:after="283"/>
              <w:jc w:val="left"/>
              <w:rPr>
                <w:sz w:val="4"/>
                <w:szCs w:val="4"/>
              </w:rPr>
            </w:pPr>
            <w:r>
              <w:rPr>
                <w:sz w:val="4"/>
                <w:szCs w:val="4"/>
              </w:rPr>
            </w:r>
          </w:p>
        </w:tc>
        <w:tc>
          <w:tcPr>
            <w:tcW w:w="98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19.9%</w:t>
            </w:r>
          </w:p>
        </w:tc>
        <w:tc>
          <w:tcPr>
            <w:tcW w:w="265" w:type="dxa"/>
            <w:tcBorders/>
            <w:shd w:fill="CCEEFF" w:val="clear"/>
            <w:vAlign w:val="center"/>
          </w:tcPr>
          <w:p>
            <w:pPr>
              <w:pStyle w:val="TableContents"/>
              <w:bidi w:val="0"/>
              <w:spacing w:before="0" w:after="283"/>
              <w:jc w:val="left"/>
              <w:rPr>
                <w:sz w:val="4"/>
                <w:szCs w:val="4"/>
              </w:rPr>
            </w:pPr>
            <w:r>
              <w:rPr>
                <w:sz w:val="4"/>
                <w:szCs w:val="4"/>
              </w:rPr>
            </w:r>
          </w:p>
        </w:tc>
        <w:tc>
          <w:tcPr>
            <w:tcW w:w="98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5" w:type="dxa"/>
            <w:tcBorders/>
            <w:shd w:fill="CCEEFF" w:val="clear"/>
            <w:vAlign w:val="center"/>
          </w:tcPr>
          <w:p>
            <w:pPr>
              <w:pStyle w:val="TableContents"/>
              <w:bidi w:val="0"/>
              <w:spacing w:before="0" w:after="283"/>
              <w:jc w:val="left"/>
              <w:rPr>
                <w:sz w:val="4"/>
                <w:szCs w:val="4"/>
              </w:rPr>
            </w:pPr>
            <w:r>
              <w:rPr>
                <w:sz w:val="4"/>
                <w:szCs w:val="4"/>
              </w:rPr>
            </w:r>
          </w:p>
        </w:tc>
        <w:tc>
          <w:tcPr>
            <w:tcW w:w="95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23.7%</w:t>
            </w:r>
          </w:p>
        </w:tc>
        <w:tc>
          <w:tcPr>
            <w:tcW w:w="215" w:type="dxa"/>
            <w:tcBorders/>
            <w:shd w:fill="CCEEFF" w:val="clear"/>
            <w:vAlign w:val="center"/>
          </w:tcPr>
          <w:p>
            <w:pPr>
              <w:pStyle w:val="TableContents"/>
              <w:bidi w:val="0"/>
              <w:spacing w:before="0" w:after="283"/>
              <w:jc w:val="left"/>
              <w:rPr>
                <w:sz w:val="4"/>
                <w:szCs w:val="4"/>
              </w:rPr>
            </w:pPr>
            <w:r>
              <w:rPr>
                <w:sz w:val="4"/>
                <w:szCs w:val="4"/>
              </w:rPr>
            </w:r>
          </w:p>
        </w:tc>
        <w:tc>
          <w:tcPr>
            <w:tcW w:w="95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30.2%</w:t>
            </w:r>
          </w:p>
        </w:tc>
        <w:tc>
          <w:tcPr>
            <w:tcW w:w="160" w:type="dxa"/>
            <w:tcBorders/>
            <w:shd w:fill="CCEEFF" w:val="clear"/>
            <w:vAlign w:val="center"/>
          </w:tcPr>
          <w:p>
            <w:pPr>
              <w:pStyle w:val="TableContents"/>
              <w:bidi w:val="0"/>
              <w:spacing w:before="0" w:after="283"/>
              <w:jc w:val="left"/>
              <w:rPr>
                <w:sz w:val="4"/>
                <w:szCs w:val="4"/>
              </w:rPr>
            </w:pPr>
            <w:r>
              <w:rPr>
                <w:sz w:val="4"/>
                <w:szCs w:val="4"/>
              </w:rPr>
            </w:r>
          </w:p>
        </w:tc>
      </w:tr>
      <w:tr>
        <w:trPr/>
        <w:tc>
          <w:tcPr>
            <w:tcW w:w="510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0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Effective tax rate</w:t>
            </w:r>
          </w:p>
        </w:tc>
        <w:tc>
          <w:tcPr>
            <w:tcW w:w="265" w:type="dxa"/>
            <w:tcBorders/>
            <w:shd w:fill="CCEEFF" w:val="clear"/>
            <w:vAlign w:val="center"/>
          </w:tcPr>
          <w:p>
            <w:pPr>
              <w:pStyle w:val="TableContents"/>
              <w:bidi w:val="0"/>
              <w:spacing w:before="0" w:after="283"/>
              <w:jc w:val="left"/>
              <w:rPr>
                <w:sz w:val="4"/>
                <w:szCs w:val="4"/>
              </w:rPr>
            </w:pPr>
            <w:r>
              <w:rPr>
                <w:sz w:val="4"/>
                <w:szCs w:val="4"/>
              </w:rPr>
            </w:r>
          </w:p>
        </w:tc>
        <w:tc>
          <w:tcPr>
            <w:tcW w:w="98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w:t>
            </w:r>
          </w:p>
        </w:tc>
        <w:tc>
          <w:tcPr>
            <w:tcW w:w="265" w:type="dxa"/>
            <w:tcBorders/>
            <w:shd w:fill="CCEEFF" w:val="clear"/>
            <w:vAlign w:val="center"/>
          </w:tcPr>
          <w:p>
            <w:pPr>
              <w:pStyle w:val="TableContents"/>
              <w:bidi w:val="0"/>
              <w:spacing w:before="0" w:after="283"/>
              <w:jc w:val="left"/>
              <w:rPr>
                <w:sz w:val="4"/>
                <w:szCs w:val="4"/>
              </w:rPr>
            </w:pPr>
            <w:r>
              <w:rPr>
                <w:sz w:val="4"/>
                <w:szCs w:val="4"/>
              </w:rPr>
            </w:r>
          </w:p>
        </w:tc>
        <w:tc>
          <w:tcPr>
            <w:tcW w:w="98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5" w:type="dxa"/>
            <w:tcBorders/>
            <w:shd w:fill="CCEEFF" w:val="clear"/>
            <w:vAlign w:val="center"/>
          </w:tcPr>
          <w:p>
            <w:pPr>
              <w:pStyle w:val="TableContents"/>
              <w:bidi w:val="0"/>
              <w:spacing w:before="0" w:after="283"/>
              <w:jc w:val="left"/>
              <w:rPr>
                <w:sz w:val="4"/>
                <w:szCs w:val="4"/>
              </w:rPr>
            </w:pPr>
            <w:r>
              <w:rPr>
                <w:sz w:val="4"/>
                <w:szCs w:val="4"/>
              </w:rPr>
            </w:r>
          </w:p>
        </w:tc>
        <w:tc>
          <w:tcPr>
            <w:tcW w:w="95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w:t>
            </w:r>
          </w:p>
        </w:tc>
        <w:tc>
          <w:tcPr>
            <w:tcW w:w="215" w:type="dxa"/>
            <w:tcBorders/>
            <w:shd w:fill="CCEEFF" w:val="clear"/>
            <w:vAlign w:val="center"/>
          </w:tcPr>
          <w:p>
            <w:pPr>
              <w:pStyle w:val="TableContents"/>
              <w:bidi w:val="0"/>
              <w:spacing w:before="0" w:after="283"/>
              <w:jc w:val="left"/>
              <w:rPr>
                <w:sz w:val="4"/>
                <w:szCs w:val="4"/>
              </w:rPr>
            </w:pPr>
            <w:r>
              <w:rPr>
                <w:sz w:val="4"/>
                <w:szCs w:val="4"/>
              </w:rPr>
            </w:r>
          </w:p>
        </w:tc>
        <w:tc>
          <w:tcPr>
            <w:tcW w:w="95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w:t>
            </w:r>
          </w:p>
        </w:tc>
        <w:tc>
          <w:tcPr>
            <w:tcW w:w="160" w:type="dxa"/>
            <w:tcBorders/>
            <w:shd w:fill="CCEEFF" w:val="clear"/>
            <w:vAlign w:val="center"/>
          </w:tcPr>
          <w:p>
            <w:pPr>
              <w:pStyle w:val="TableContents"/>
              <w:bidi w:val="0"/>
              <w:spacing w:before="0" w:after="283"/>
              <w:jc w:val="left"/>
              <w:rPr>
                <w:sz w:val="4"/>
                <w:szCs w:val="4"/>
              </w:rPr>
            </w:pPr>
            <w:r>
              <w:rPr>
                <w:sz w:val="4"/>
                <w:szCs w:val="4"/>
              </w:rPr>
            </w:r>
          </w:p>
        </w:tc>
      </w:tr>
    </w:tbl>
    <w:p>
      <w:pPr>
        <w:pStyle w:val="Heading1"/>
        <w:bidi w:val="0"/>
        <w:spacing w:lineRule="auto" w:line="259"/>
        <w:rPr>
          <w:rFonts w:ascii="Times New Roman;serif" w:hAnsi="Times New Roman;serif"/>
          <w:b w:val="false"/>
          <w:i/>
          <w:color w:val="000000"/>
          <w:sz w:val="24"/>
          <w:u w:val="single"/>
        </w:rPr>
      </w:pPr>
      <w:r>
        <w:rPr>
          <w:rFonts w:ascii="Times New Roman;serif" w:hAnsi="Times New Roman;serif"/>
          <w:b w:val="false"/>
          <w:i/>
          <w:color w:val="000000"/>
          <w:sz w:val="24"/>
          <w:u w:val="single"/>
        </w:rPr>
        <w:t>Three months ended June 30, 2026 compared with three months ended June 30, 2025</w:t>
      </w:r>
    </w:p>
    <w:p>
      <w:pPr>
        <w:pStyle w:val="Heading1"/>
        <w:bidi w:val="0"/>
        <w:spacing w:lineRule="auto" w:line="259"/>
        <w:rPr>
          <w:rFonts w:ascii="Times New Roman;serif" w:hAnsi="Times New Roman;serif"/>
          <w:sz w:val="24"/>
        </w:rPr>
      </w:pPr>
      <w:r>
        <w:rPr>
          <w:rFonts w:ascii="Times New Roman;serif" w:hAnsi="Times New Roman;serif"/>
          <w:b w:val="false"/>
          <w:i w:val="false"/>
          <w:caps w:val="false"/>
          <w:smallCaps w:val="false"/>
          <w:color w:val="000000"/>
          <w:sz w:val="24"/>
        </w:rPr>
        <w:t>Consolidated operating revenues increased by $15,947 or 3.1% as compared to the same period in 2025. Revenues from our Regulated Water segment increased by $25,262, while revenues from our Regulated Natural Gas and Other segments decreased by $8,042 and $1,273, respectively. A detailed discussion of the factors contributing to the changes in segment revenue is included below under the section, Segment Results of Operations.</w:t>
      </w:r>
      <w:r>
        <w:rPr>
          <w:rFonts w:ascii="Times New Roman;serif" w:hAnsi="Times New Roman;serif"/>
          <w:caps w:val="false"/>
          <w:smallCaps w:val="false"/>
          <w:color w:val="000000"/>
          <w:sz w:val="24"/>
        </w:rPr>
        <w:t xml:space="preserve"> </w:t>
      </w:r>
    </w:p>
    <w:p>
      <w:pPr>
        <w:pStyle w:val="Heading1"/>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Consolidated operations and maintenance expense increased by $5,125 or 3.5%, primarily due to:</w:t>
      </w:r>
    </w:p>
    <w:p>
      <w:pPr>
        <w:pStyle w:val="TextBody"/>
        <w:bidi w:val="0"/>
        <w:spacing w:lineRule="auto" w:line="259"/>
        <w:rPr/>
      </w:pPr>
      <w:r>
        <w:rPr>
          <w:caps w:val="false"/>
          <w:smallCaps w:val="false"/>
          <w:color w:val="000000"/>
        </w:rPr>
        <w:t></w:t>
      </w:r>
      <w:r>
        <w:rPr>
          <w:rFonts w:ascii="Times New Roman;serif" w:hAnsi="Times New Roman;serif"/>
          <w:b w:val="false"/>
          <w:i w:val="false"/>
          <w:caps w:val="false"/>
          <w:smallCaps w:val="false"/>
          <w:color w:val="000000"/>
          <w:sz w:val="24"/>
        </w:rPr>
        <w:t>an increase in employee-related costs of $5,864, primarily resulting from annual merit increases and higher medical claims;</w:t>
      </w:r>
    </w:p>
    <w:p>
      <w:pPr>
        <w:pStyle w:val="TextBody"/>
        <w:bidi w:val="0"/>
        <w:spacing w:lineRule="auto" w:line="259"/>
        <w:rPr/>
      </w:pPr>
      <w:r>
        <w:rPr>
          <w:caps w:val="false"/>
          <w:smallCaps w:val="false"/>
          <w:color w:val="000000"/>
        </w:rPr>
        <w:t></w:t>
      </w:r>
      <w:r>
        <w:rPr>
          <w:rFonts w:ascii="Times New Roman;serif" w:hAnsi="Times New Roman;serif"/>
          <w:b w:val="false"/>
          <w:i w:val="false"/>
          <w:caps w:val="false"/>
          <w:smallCaps w:val="false"/>
          <w:color w:val="000000"/>
          <w:sz w:val="24"/>
        </w:rPr>
        <w:t xml:space="preserve">an increase in production costs for water and wastewater operations of $2,296; </w:t>
      </w:r>
    </w:p>
    <w:p>
      <w:pPr>
        <w:pStyle w:val="TextBody"/>
        <w:bidi w:val="0"/>
        <w:spacing w:lineRule="auto" w:line="259"/>
        <w:rPr/>
      </w:pPr>
      <w:r>
        <w:rPr>
          <w:caps w:val="false"/>
          <w:smallCaps w:val="false"/>
          <w:color w:val="000000"/>
        </w:rPr>
        <w:t></w:t>
      </w:r>
      <w:r>
        <w:rPr>
          <w:rFonts w:ascii="Times New Roman;serif" w:hAnsi="Times New Roman;serif"/>
          <w:b w:val="false"/>
          <w:i w:val="false"/>
          <w:caps w:val="false"/>
          <w:smallCaps w:val="false"/>
          <w:color w:val="000000"/>
          <w:sz w:val="24"/>
        </w:rPr>
        <w:t>pre-merger expenses of $1,191;</w:t>
      </w:r>
    </w:p>
    <w:p>
      <w:pPr>
        <w:pStyle w:val="TextBody"/>
        <w:bidi w:val="0"/>
        <w:spacing w:lineRule="auto" w:line="259"/>
        <w:rPr/>
      </w:pPr>
      <w:r>
        <w:rPr>
          <w:caps w:val="false"/>
          <w:smallCaps w:val="false"/>
          <w:color w:val="000000"/>
        </w:rPr>
        <w:t></w:t>
      </w:r>
      <w:r>
        <w:rPr>
          <w:rFonts w:ascii="Times New Roman;serif" w:hAnsi="Times New Roman;serif"/>
          <w:b w:val="false"/>
          <w:i w:val="false"/>
          <w:caps w:val="false"/>
          <w:smallCaps w:val="false"/>
          <w:color w:val="000000"/>
          <w:sz w:val="24"/>
        </w:rPr>
        <w:t>additional operating costs associated with pending and newly acquired water and wastewater utility systems of $814; offset by</w:t>
      </w:r>
    </w:p>
    <w:p>
      <w:pPr>
        <w:pStyle w:val="TextBody"/>
        <w:bidi w:val="0"/>
        <w:spacing w:lineRule="auto" w:line="259"/>
        <w:rPr/>
      </w:pPr>
      <w:r>
        <w:rPr>
          <w:caps w:val="false"/>
          <w:smallCaps w:val="false"/>
          <w:color w:val="000000"/>
        </w:rPr>
        <w:t></w:t>
      </w:r>
      <w:r>
        <w:rPr>
          <w:rFonts w:ascii="Times New Roman;serif" w:hAnsi="Times New Roman;serif"/>
          <w:b w:val="false"/>
          <w:i w:val="false"/>
          <w:caps w:val="false"/>
          <w:smallCaps w:val="false"/>
          <w:color w:val="000000"/>
          <w:sz w:val="24"/>
        </w:rPr>
        <w:t>a decrease in insurance expense of $4,926, primarily due to an insurance recovery of $6,750 in the second quarter to 2026 for costs associated with remediating an advisory for some of our Illinois water utility customers;</w:t>
      </w:r>
    </w:p>
    <w:p>
      <w:pPr>
        <w:pStyle w:val="TextBody"/>
        <w:bidi w:val="0"/>
        <w:spacing w:lineRule="auto" w:line="259"/>
        <w:rPr/>
      </w:pPr>
      <w:r>
        <w:rPr>
          <w:caps w:val="false"/>
          <w:smallCaps w:val="false"/>
          <w:color w:val="000000"/>
        </w:rPr>
        <w:t></w:t>
      </w:r>
      <w:r>
        <w:rPr>
          <w:rFonts w:ascii="Times New Roman;serif" w:hAnsi="Times New Roman;serif"/>
          <w:b w:val="false"/>
          <w:i w:val="false"/>
          <w:caps w:val="false"/>
          <w:smallCaps w:val="false"/>
          <w:color w:val="000000"/>
          <w:sz w:val="24"/>
        </w:rPr>
        <w:t>a decrease in bad debt of expense of $2,424 in our Regulated Natural Gas segment; and</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39</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563C1"/>
            <w:sz w:val="24"/>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ESSENTIAL UTILITIES, INC. AND SUBSIDIARIES </w:t>
      </w:r>
    </w:p>
    <w:p>
      <w:pPr>
        <w:pStyle w:val="TextBody"/>
        <w:bidi w:val="0"/>
        <w:spacing w:lineRule="auto" w:line="259"/>
        <w:rPr>
          <w:caps w:val="false"/>
          <w:smallCaps w:val="false"/>
          <w:color w:val="000000"/>
        </w:rPr>
      </w:pPr>
      <w:r>
        <w:rPr>
          <w:caps w:val="false"/>
          <w:smallCaps w:val="false"/>
          <w:color w:val="000000"/>
        </w:rPr>
        <w:t> </w:t>
      </w:r>
    </w:p>
    <w:p>
      <w:pPr>
        <w:pStyle w:val="TextBody"/>
        <w:bidi w:val="0"/>
        <w:spacing w:lineRule="auto" w:line="259"/>
        <w:rPr>
          <w:caps w:val="false"/>
          <w:smallCaps w:val="false"/>
          <w:color w:val="000000"/>
        </w:rPr>
      </w:pPr>
      <w:r>
        <w:rPr>
          <w:caps w:val="false"/>
          <w:smallCaps w:val="false"/>
          <w:color w:val="000000"/>
        </w:rPr>
        <w:t> </w:t>
      </w:r>
      <w:r>
        <w:rPr>
          <w:rFonts w:ascii="Times New Roman;serif" w:hAnsi="Times New Roman;serif"/>
          <w:b w:val="false"/>
          <w:i w:val="false"/>
          <w:caps w:val="false"/>
          <w:smallCaps w:val="false"/>
          <w:color w:val="000000"/>
          <w:sz w:val="24"/>
        </w:rPr>
        <w:t>MANAGEMENT’S DISCUSSION AND ANALYSIS OF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FINANCIAL CONDITION AND RESULTS OF OPERATIONS (continued)</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(In thousands of dollars, except per share amounts)</w:t>
      </w:r>
    </w:p>
    <w:p>
      <w:pPr>
        <w:pStyle w:val="TextBody"/>
        <w:bidi w:val="0"/>
        <w:spacing w:lineRule="auto" w:line="259"/>
        <w:rPr>
          <w:caps w:val="false"/>
          <w:smallCaps w:val="false"/>
          <w:color w:val="000000"/>
        </w:rPr>
      </w:pPr>
      <w:r>
        <w:rPr>
          <w:caps w:val="false"/>
          <w:smallCaps w:val="false"/>
          <w:color w:val="000000"/>
        </w:rPr>
        <w:t> </w:t>
      </w:r>
    </w:p>
    <w:p>
      <w:pPr>
        <w:pStyle w:val="TextBody"/>
        <w:bidi w:val="0"/>
        <w:spacing w:lineRule="auto" w:line="259"/>
        <w:rPr/>
      </w:pPr>
      <w:r>
        <w:rPr>
          <w:caps w:val="false"/>
          <w:smallCaps w:val="false"/>
          <w:color w:val="000000"/>
          <w:shd w:fill="FFFFFF" w:val="clear"/>
        </w:rPr>
        <w:t></w:t>
      </w:r>
      <w:r>
        <w:rPr>
          <w:rFonts w:ascii="Times New Roman;serif" w:hAnsi="Times New Roman;serif"/>
          <w:b w:val="false"/>
          <w:i w:val="false"/>
          <w:caps w:val="false"/>
          <w:smallCaps w:val="false"/>
          <w:color w:val="000000"/>
          <w:sz w:val="24"/>
        </w:rPr>
        <w:t>a decrease in customer assistance surcharge costs of $1,528 in our Regulated Natural Gas segment, which generally has an offsetting amount in revenues</w:t>
      </w:r>
      <w:r>
        <w:rPr>
          <w:rFonts w:ascii="Times New Roman;serif" w:hAnsi="Times New Roman;serif"/>
          <w:b w:val="false"/>
          <w:i w:val="false"/>
          <w:caps w:val="false"/>
          <w:smallCaps w:val="false"/>
          <w:color w:val="000000"/>
          <w:sz w:val="24"/>
          <w:shd w:fill="FFFFFF" w:val="clear"/>
        </w:rPr>
        <w:t>.</w:t>
      </w:r>
    </w:p>
    <w:p>
      <w:pPr>
        <w:pStyle w:val="Heading1"/>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 xml:space="preserve">Purchased gas decreased by $10,534 or 18.6%. Purchased gas represents the cost of gas sold by the Company, which for the regulated natural gas business has a corresponding offset in revenue. The decrease is the result of a decrease in the average cost of gas of $2,847 and lower gas usage of $7,687 during the second quarter of 2026. </w:t>
      </w:r>
    </w:p>
    <w:p>
      <w:pPr>
        <w:pStyle w:val="TextBody"/>
        <w:bidi w:val="0"/>
        <w:spacing w:lineRule="auto" w:line="259"/>
        <w:ind w:left="0" w:right="0" w:hanging="0"/>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 xml:space="preserve">Depreciation and amortization expense increased by $9,773 or 9.4% principally due to continued capital expenditures to expand and improve our utility facilities and our acquisitions of new water and wastewater utility systems. </w:t>
      </w:r>
    </w:p>
    <w:p>
      <w:pPr>
        <w:pStyle w:val="TextBody"/>
        <w:bidi w:val="0"/>
        <w:spacing w:lineRule="atLeast" w:line="300"/>
        <w:ind w:left="0" w:right="0" w:hanging="0"/>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Taxes other than income taxes increased by $3,581 or 17.2% primarily due to the $2,709 favorable sales and use tax accrual adjustment recognized in the second quarter of 2025 upon the closure of certain tax audits in our Regulated Natural Gas segment, which did not recur in the current period.</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 xml:space="preserve">Interest expense, net of interest income, increased by $9,093 or 11.4%. Interest expense, net of interest income, increased by $2,942 in our Regulated Water segment and by $2,245 in our Regulated Natural Gas segment. Interest expense, net of interest income, in Other relates to our corporate operations, and this increased by $3,906 primarily due to the additional senior note borrowing in 2026.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Other, net was an expense of $1,295 and $391 for the three months ended June 30, 2026 and 2025, respectively.  The increase was primarily due to higher unrealized losses on securities held in connection with the non-qualified pension plan, partially offset by a higher non-service cost net periodic benefit credit resulting from increased amortization of actuarial gains in our other postretirement benefit plan.</w:t>
      </w:r>
    </w:p>
    <w:p>
      <w:pPr>
        <w:pStyle w:val="TextBody"/>
        <w:bidi w:val="0"/>
        <w:spacing w:lineRule="auto" w:line="259"/>
        <w:rPr>
          <w:rFonts w:ascii="Times New Roman;serif" w:hAnsi="Times New Roman;serif"/>
          <w:sz w:val="24"/>
        </w:rPr>
      </w:pPr>
      <w:r>
        <w:rPr>
          <w:rFonts w:ascii="Times New Roman;serif" w:hAnsi="Times New Roman;serif"/>
          <w:b w:val="false"/>
          <w:i w:val="false"/>
          <w:caps w:val="false"/>
          <w:smallCaps w:val="false"/>
          <w:color w:val="000000"/>
          <w:sz w:val="24"/>
        </w:rPr>
        <w:t xml:space="preserve">Our effective income tax rate </w:t>
      </w:r>
      <w:r>
        <w:rPr>
          <w:rFonts w:ascii="Times New Roman;serif" w:hAnsi="Times New Roman;serif"/>
          <w:b w:val="false"/>
          <w:i w:val="false"/>
          <w:caps w:val="false"/>
          <w:smallCaps w:val="false"/>
          <w:color w:val="000000"/>
          <w:sz w:val="24"/>
          <w:shd w:fill="FFFFFF" w:val="clear"/>
        </w:rPr>
        <w:t>was an expense of 3.1% and 4.1% in the second quarter of 2026 and 2025, respectively. The decrease in the income tax expense in the second quarter of 2026 is primarily attributed to the decrease in earnings and state jurisdictional mix.</w:t>
      </w:r>
    </w:p>
    <w:p>
      <w:pPr>
        <w:pStyle w:val="Heading1"/>
        <w:bidi w:val="0"/>
        <w:spacing w:lineRule="auto" w:line="259"/>
        <w:rPr>
          <w:rFonts w:ascii="Times New Roman;serif" w:hAnsi="Times New Roman;serif"/>
          <w:b w:val="false"/>
          <w:i/>
          <w:color w:val="000000"/>
          <w:sz w:val="24"/>
          <w:u w:val="single"/>
        </w:rPr>
      </w:pPr>
      <w:r>
        <w:rPr>
          <w:rFonts w:ascii="Times New Roman;serif" w:hAnsi="Times New Roman;serif"/>
          <w:b w:val="false"/>
          <w:i/>
          <w:color w:val="000000"/>
          <w:sz w:val="24"/>
          <w:u w:val="single"/>
        </w:rPr>
        <w:t>Six months ended June 30, 2026 compared with six months ended June 30, 2025</w:t>
      </w:r>
    </w:p>
    <w:p>
      <w:pPr>
        <w:pStyle w:val="Heading1"/>
        <w:bidi w:val="0"/>
        <w:spacing w:lineRule="auto" w:line="259"/>
        <w:rPr>
          <w:rFonts w:ascii="Times New Roman;serif" w:hAnsi="Times New Roman;serif"/>
          <w:sz w:val="24"/>
        </w:rPr>
      </w:pPr>
      <w:r>
        <w:rPr>
          <w:rFonts w:ascii="Times New Roman;serif" w:hAnsi="Times New Roman;serif"/>
          <w:b w:val="false"/>
          <w:i w:val="false"/>
          <w:caps w:val="false"/>
          <w:smallCaps w:val="false"/>
          <w:color w:val="000000"/>
          <w:sz w:val="24"/>
        </w:rPr>
        <w:t>Consolidated operating revenues increased by $94,080 or 7.2% as compared to the same period in 2025. Revenues from our Regulated Water and Regulated Natural Gas segments increased by $47,389 and $50,573, respectively, while our Other segment decreased by $3,882. A detailed discussion of the factors contributing to the changes in segment revenue is included below under the section, Segment Results of Operations.</w:t>
      </w:r>
      <w:r>
        <w:rPr>
          <w:rFonts w:ascii="Times New Roman;serif" w:hAnsi="Times New Roman;serif"/>
          <w:caps w:val="false"/>
          <w:smallCaps w:val="false"/>
          <w:color w:val="000000"/>
          <w:sz w:val="24"/>
        </w:rPr>
        <w:t xml:space="preserve"> </w:t>
      </w:r>
    </w:p>
    <w:p>
      <w:pPr>
        <w:pStyle w:val="Heading1"/>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Consolidated operations and maintenance expense increased by $43,096 or 15.1%, primarily due to:</w:t>
      </w:r>
    </w:p>
    <w:p>
      <w:pPr>
        <w:pStyle w:val="TextBody"/>
        <w:bidi w:val="0"/>
        <w:spacing w:lineRule="auto" w:line="259"/>
        <w:rPr/>
      </w:pPr>
      <w:r>
        <w:rPr>
          <w:caps w:val="false"/>
          <w:smallCaps w:val="false"/>
          <w:color w:val="000000"/>
        </w:rPr>
        <w:t></w:t>
      </w:r>
      <w:r>
        <w:rPr>
          <w:rFonts w:ascii="Times New Roman;serif" w:hAnsi="Times New Roman;serif"/>
          <w:b w:val="false"/>
          <w:i w:val="false"/>
          <w:caps w:val="false"/>
          <w:smallCaps w:val="false"/>
          <w:color w:val="000000"/>
          <w:sz w:val="24"/>
        </w:rPr>
        <w:t>pre-merger expenses of $17,521, consisting of financial advisor fees, legal expenses, communications and other professional fees, during the first half of 2026;</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40</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563C1"/>
            <w:sz w:val="24"/>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ESSENTIAL UTILITIES, INC. AND SUBSIDIARIES </w:t>
      </w:r>
    </w:p>
    <w:p>
      <w:pPr>
        <w:pStyle w:val="TextBody"/>
        <w:bidi w:val="0"/>
        <w:spacing w:lineRule="auto" w:line="259"/>
        <w:rPr>
          <w:caps w:val="false"/>
          <w:smallCaps w:val="false"/>
          <w:color w:val="000000"/>
        </w:rPr>
      </w:pPr>
      <w:r>
        <w:rPr>
          <w:caps w:val="false"/>
          <w:smallCaps w:val="false"/>
          <w:color w:val="000000"/>
        </w:rPr>
        <w:t> </w:t>
      </w:r>
    </w:p>
    <w:p>
      <w:pPr>
        <w:pStyle w:val="TextBody"/>
        <w:bidi w:val="0"/>
        <w:spacing w:lineRule="auto" w:line="259"/>
        <w:rPr>
          <w:caps w:val="false"/>
          <w:smallCaps w:val="false"/>
          <w:color w:val="000000"/>
        </w:rPr>
      </w:pPr>
      <w:r>
        <w:rPr>
          <w:caps w:val="false"/>
          <w:smallCaps w:val="false"/>
          <w:color w:val="000000"/>
        </w:rPr>
        <w:t> </w:t>
      </w:r>
      <w:r>
        <w:rPr>
          <w:rFonts w:ascii="Times New Roman;serif" w:hAnsi="Times New Roman;serif"/>
          <w:b w:val="false"/>
          <w:i w:val="false"/>
          <w:caps w:val="false"/>
          <w:smallCaps w:val="false"/>
          <w:color w:val="000000"/>
          <w:sz w:val="24"/>
        </w:rPr>
        <w:t>MANAGEMENT’S DISCUSSION AND ANALYSIS OF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FINANCIAL CONDITION AND RESULTS OF OPERATIONS (continued)</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(In thousands of dollars, except per share amounts)</w:t>
      </w:r>
    </w:p>
    <w:p>
      <w:pPr>
        <w:pStyle w:val="TextBody"/>
        <w:bidi w:val="0"/>
        <w:spacing w:lineRule="auto" w:line="259"/>
        <w:rPr>
          <w:caps w:val="false"/>
          <w:smallCaps w:val="false"/>
          <w:color w:val="000000"/>
        </w:rPr>
      </w:pPr>
      <w:r>
        <w:rPr>
          <w:caps w:val="false"/>
          <w:smallCaps w:val="false"/>
          <w:color w:val="000000"/>
        </w:rPr>
        <w:t> </w:t>
      </w:r>
    </w:p>
    <w:p>
      <w:pPr>
        <w:pStyle w:val="TextBody"/>
        <w:bidi w:val="0"/>
        <w:spacing w:lineRule="auto" w:line="259"/>
        <w:rPr/>
      </w:pPr>
      <w:r>
        <w:rPr>
          <w:caps w:val="false"/>
          <w:smallCaps w:val="false"/>
          <w:color w:val="000000"/>
        </w:rPr>
        <w:t></w:t>
      </w:r>
      <w:r>
        <w:rPr>
          <w:rFonts w:ascii="Times New Roman;serif" w:hAnsi="Times New Roman;serif"/>
          <w:b w:val="false"/>
          <w:i w:val="false"/>
          <w:caps w:val="false"/>
          <w:smallCaps w:val="false"/>
          <w:color w:val="000000"/>
          <w:sz w:val="24"/>
        </w:rPr>
        <w:t>an increase in employee-related costs of $10,183, primarily resulting from annual merit increases, higher incentive bonuses, higher medical claims, and increase in overtime pay due to higher weather-related main break activity during the first half of 2026;</w:t>
      </w:r>
    </w:p>
    <w:p>
      <w:pPr>
        <w:pStyle w:val="TextBody"/>
        <w:bidi w:val="0"/>
        <w:spacing w:lineRule="auto" w:line="259"/>
        <w:rPr/>
      </w:pPr>
      <w:r>
        <w:rPr>
          <w:caps w:val="false"/>
          <w:smallCaps w:val="false"/>
          <w:color w:val="000000"/>
        </w:rPr>
        <w:t></w:t>
      </w:r>
      <w:r>
        <w:rPr>
          <w:rFonts w:ascii="Times New Roman;serif" w:hAnsi="Times New Roman;serif"/>
          <w:b w:val="false"/>
          <w:i w:val="false"/>
          <w:caps w:val="false"/>
          <w:smallCaps w:val="false"/>
          <w:color w:val="000000"/>
          <w:sz w:val="24"/>
        </w:rPr>
        <w:t>an increase in bad debt expense of $4,980 in our Regulated Water segment, of which $5,889 relates to a favorable regulatory asset adjustment in the first quarter of 2025;   </w:t>
      </w:r>
    </w:p>
    <w:p>
      <w:pPr>
        <w:pStyle w:val="TextBody"/>
        <w:bidi w:val="0"/>
        <w:spacing w:lineRule="auto" w:line="259"/>
        <w:rPr/>
      </w:pPr>
      <w:r>
        <w:rPr>
          <w:caps w:val="false"/>
          <w:smallCaps w:val="false"/>
          <w:color w:val="000000"/>
        </w:rPr>
        <w:t></w:t>
      </w:r>
      <w:r>
        <w:rPr>
          <w:rFonts w:ascii="Times New Roman;serif" w:hAnsi="Times New Roman;serif"/>
          <w:b w:val="false"/>
          <w:i w:val="false"/>
          <w:caps w:val="false"/>
          <w:smallCaps w:val="false"/>
          <w:color w:val="000000"/>
          <w:sz w:val="24"/>
        </w:rPr>
        <w:t xml:space="preserve">an increase in production costs for water and wastewater operations of $4,122; </w:t>
      </w:r>
    </w:p>
    <w:p>
      <w:pPr>
        <w:pStyle w:val="TextBody"/>
        <w:bidi w:val="0"/>
        <w:spacing w:lineRule="auto" w:line="259"/>
        <w:rPr/>
      </w:pPr>
      <w:r>
        <w:rPr>
          <w:caps w:val="false"/>
          <w:smallCaps w:val="false"/>
          <w:color w:val="000000"/>
        </w:rPr>
        <w:t></w:t>
      </w:r>
      <w:r>
        <w:rPr>
          <w:rFonts w:ascii="Times New Roman;serif" w:hAnsi="Times New Roman;serif"/>
          <w:b w:val="false"/>
          <w:i w:val="false"/>
          <w:caps w:val="false"/>
          <w:smallCaps w:val="false"/>
          <w:color w:val="000000"/>
          <w:sz w:val="24"/>
        </w:rPr>
        <w:t>an increase in contractor services of $2,698 in our Regulated Water segment, primarily due to higher main break activity, frozen service lines, and snow removal costs during the first half of 2026;</w:t>
      </w:r>
    </w:p>
    <w:p>
      <w:pPr>
        <w:pStyle w:val="TextBody"/>
        <w:bidi w:val="0"/>
        <w:spacing w:lineRule="auto" w:line="259"/>
        <w:rPr/>
      </w:pPr>
      <w:r>
        <w:rPr>
          <w:caps w:val="false"/>
          <w:smallCaps w:val="false"/>
          <w:color w:val="000000"/>
        </w:rPr>
        <w:t></w:t>
      </w:r>
      <w:r>
        <w:rPr>
          <w:rFonts w:ascii="Times New Roman;serif" w:hAnsi="Times New Roman;serif"/>
          <w:b w:val="false"/>
          <w:i w:val="false"/>
          <w:caps w:val="false"/>
          <w:smallCaps w:val="false"/>
          <w:color w:val="000000"/>
          <w:sz w:val="24"/>
        </w:rPr>
        <w:t xml:space="preserve">additional operating costs associated with pending and newly acquired water and wastewater utility systems of $1,544; </w:t>
      </w:r>
    </w:p>
    <w:p>
      <w:pPr>
        <w:pStyle w:val="TextBody"/>
        <w:bidi w:val="0"/>
        <w:spacing w:lineRule="auto" w:line="259"/>
        <w:rPr/>
      </w:pPr>
      <w:r>
        <w:rPr>
          <w:caps w:val="false"/>
          <w:smallCaps w:val="false"/>
          <w:color w:val="000000"/>
        </w:rPr>
        <w:t></w:t>
      </w:r>
      <w:r>
        <w:rPr>
          <w:rFonts w:ascii="Times New Roman;serif" w:hAnsi="Times New Roman;serif"/>
          <w:b w:val="false"/>
          <w:i w:val="false"/>
          <w:caps w:val="false"/>
          <w:smallCaps w:val="false"/>
          <w:color w:val="000000"/>
          <w:sz w:val="24"/>
        </w:rPr>
        <w:t>an increase in insurance expense of $1,417, which is net of insurance recoveries of $5,602 in the first quarter of 2025 and $6,750 in the second quarter of 2026 of costs associated with remediating an advisory for some of our Illinois water utility customers; offset by</w:t>
      </w:r>
    </w:p>
    <w:p>
      <w:pPr>
        <w:pStyle w:val="TextBody"/>
        <w:bidi w:val="0"/>
        <w:spacing w:lineRule="auto" w:line="259"/>
        <w:rPr/>
      </w:pPr>
      <w:r>
        <w:rPr>
          <w:caps w:val="false"/>
          <w:smallCaps w:val="false"/>
          <w:color w:val="000000"/>
        </w:rPr>
        <w:t></w:t>
      </w:r>
      <w:r>
        <w:rPr>
          <w:rFonts w:ascii="Times New Roman;serif" w:hAnsi="Times New Roman;serif"/>
          <w:b w:val="false"/>
          <w:i w:val="false"/>
          <w:caps w:val="false"/>
          <w:smallCaps w:val="false"/>
          <w:color w:val="000000"/>
          <w:sz w:val="24"/>
        </w:rPr>
        <w:t>a decrease in bad debt of expense of $4,453 in our Regulated Natural Gas segment; and</w:t>
      </w:r>
    </w:p>
    <w:p>
      <w:pPr>
        <w:pStyle w:val="TextBody"/>
        <w:bidi w:val="0"/>
        <w:spacing w:lineRule="auto" w:line="259"/>
        <w:rPr/>
      </w:pPr>
      <w:r>
        <w:rPr>
          <w:caps w:val="false"/>
          <w:smallCaps w:val="false"/>
          <w:color w:val="000000"/>
          <w:shd w:fill="FFFFFF" w:val="clear"/>
        </w:rPr>
        <w:t></w:t>
      </w:r>
      <w:r>
        <w:rPr>
          <w:rFonts w:ascii="Times New Roman;serif" w:hAnsi="Times New Roman;serif"/>
          <w:b w:val="false"/>
          <w:i w:val="false"/>
          <w:caps w:val="false"/>
          <w:smallCaps w:val="false"/>
          <w:color w:val="000000"/>
          <w:sz w:val="24"/>
        </w:rPr>
        <w:t>a decrease in customer assistance surcharge costs of $2,431 in our Regulated Natural Gas segment, which generally has an offsetting amount in revenues</w:t>
      </w:r>
      <w:r>
        <w:rPr>
          <w:rFonts w:ascii="Times New Roman;serif" w:hAnsi="Times New Roman;serif"/>
          <w:b w:val="false"/>
          <w:i w:val="false"/>
          <w:caps w:val="false"/>
          <w:smallCaps w:val="false"/>
          <w:color w:val="000000"/>
          <w:sz w:val="24"/>
          <w:shd w:fill="FFFFFF" w:val="clear"/>
        </w:rPr>
        <w:t>.</w:t>
      </w:r>
    </w:p>
    <w:p>
      <w:pPr>
        <w:pStyle w:val="Heading1"/>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 xml:space="preserve">Purchased gas increased by $43,440 or 18.0%. Purchased gas represents the cost of gas sold by the Company, which for the regulated natural gas business has a corresponding offset in revenue. The increase is the result of an increase in the average cost of gas of $64,313, offset by lower gas usage of $20,873 resulting from a slight shift in customer usage pattern during the first six months of 2026. </w:t>
      </w:r>
    </w:p>
    <w:p>
      <w:pPr>
        <w:pStyle w:val="TextBody"/>
        <w:bidi w:val="0"/>
        <w:spacing w:lineRule="auto" w:line="259"/>
        <w:ind w:left="0" w:right="0" w:hanging="0"/>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 xml:space="preserve">Depreciation and amortization expense increased by $21,125 or 10.4% principally due to continued capital expenditures to expand and improve our utility facilities and our acquisitions of new water and wastewater utility systems. </w:t>
      </w:r>
    </w:p>
    <w:p>
      <w:pPr>
        <w:pStyle w:val="TextBody"/>
        <w:bidi w:val="0"/>
        <w:spacing w:lineRule="auto" w:line="259"/>
        <w:ind w:left="0" w:right="0" w:hanging="0"/>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 xml:space="preserve">Taxes other than income taxes increased by $6,682 or 15.3% primarily due to a prior year sales and use tax accrual benefit in our Regulated Natural segment, increase in our Illinois subsidiary’s invested capital tax expense, and an increase in payroll taxes as a result of higher employee compensation expense.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 xml:space="preserve">Interest expense, net of interest income, increased by $12,953 or 8.0%. Interest expense, net of interest income, increased by $6,260 in our Regulated Water segment and by $3,850 in our Regulated Natural Gas segment. Interest expense, net of interest income, in Other relates to our corporate operations, and this increased by $2,843 primarily due to the additional senior note borrowing in 2026.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Other, net was an expense of $1,220 and $98 for the six months ended June 30, 2026 and 2025, respectively.  The increase was primarily due to higher unrealized losses on securities held in connection with the non-qualified pension plan, partially offset by a higher non-service cost net periodic benefit credit resulting from increased amortization of actuarial gains in our other postretirement benefit plan.</w:t>
      </w:r>
    </w:p>
    <w:p>
      <w:pPr>
        <w:pStyle w:val="Heading1"/>
        <w:bidi w:val="0"/>
        <w:spacing w:lineRule="auto" w:line="259"/>
        <w:rPr>
          <w:rFonts w:ascii="Times New Roman;serif" w:hAnsi="Times New Roman;serif"/>
          <w:sz w:val="24"/>
        </w:rPr>
      </w:pPr>
      <w:r>
        <w:rPr>
          <w:rFonts w:ascii="Times New Roman;serif" w:hAnsi="Times New Roman;serif"/>
          <w:b w:val="false"/>
          <w:i w:val="false"/>
          <w:caps w:val="false"/>
          <w:smallCaps w:val="false"/>
          <w:color w:val="000000"/>
          <w:sz w:val="24"/>
        </w:rPr>
        <w:t xml:space="preserve">Our effective income tax rate </w:t>
      </w:r>
      <w:r>
        <w:rPr>
          <w:rFonts w:ascii="Times New Roman;serif" w:hAnsi="Times New Roman;serif"/>
          <w:b w:val="false"/>
          <w:i w:val="false"/>
          <w:caps w:val="false"/>
          <w:smallCaps w:val="false"/>
          <w:color w:val="000000"/>
          <w:sz w:val="24"/>
          <w:shd w:fill="FFFFFF" w:val="clear"/>
        </w:rPr>
        <w:t xml:space="preserve">was an expense of 2.9% in the first half of 2026, compared to a benefit of 4.3% in the first half of 2025. The increase in the income tax expense is primarily attributed to </w:t>
      </w:r>
      <w:r>
        <w:rPr>
          <w:rFonts w:ascii="Times New Roman;serif" w:hAnsi="Times New Roman;serif"/>
          <w:b w:val="false"/>
          <w:i w:val="false"/>
          <w:caps w:val="false"/>
          <w:smallCaps w:val="false"/>
          <w:color w:val="000000"/>
          <w:sz w:val="24"/>
        </w:rPr>
        <w:t xml:space="preserve">last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41</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563C1"/>
            <w:sz w:val="24"/>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ESSENTIAL UTILITIES, INC. AND SUBSIDIARIES </w:t>
      </w:r>
    </w:p>
    <w:p>
      <w:pPr>
        <w:pStyle w:val="TextBody"/>
        <w:bidi w:val="0"/>
        <w:spacing w:lineRule="auto" w:line="259"/>
        <w:rPr>
          <w:caps w:val="false"/>
          <w:smallCaps w:val="false"/>
          <w:color w:val="000000"/>
        </w:rPr>
      </w:pPr>
      <w:r>
        <w:rPr>
          <w:caps w:val="false"/>
          <w:smallCaps w:val="false"/>
          <w:color w:val="000000"/>
        </w:rPr>
        <w:t> </w:t>
      </w:r>
    </w:p>
    <w:p>
      <w:pPr>
        <w:pStyle w:val="TextBody"/>
        <w:bidi w:val="0"/>
        <w:spacing w:lineRule="auto" w:line="259"/>
        <w:rPr>
          <w:caps w:val="false"/>
          <w:smallCaps w:val="false"/>
          <w:color w:val="000000"/>
        </w:rPr>
      </w:pPr>
      <w:r>
        <w:rPr>
          <w:caps w:val="false"/>
          <w:smallCaps w:val="false"/>
          <w:color w:val="000000"/>
        </w:rPr>
        <w:t> </w:t>
      </w:r>
      <w:r>
        <w:rPr>
          <w:rFonts w:ascii="Times New Roman;serif" w:hAnsi="Times New Roman;serif"/>
          <w:b w:val="false"/>
          <w:i w:val="false"/>
          <w:caps w:val="false"/>
          <w:smallCaps w:val="false"/>
          <w:color w:val="000000"/>
          <w:sz w:val="24"/>
        </w:rPr>
        <w:t>MANAGEMENT’S DISCUSSION AND ANALYSIS OF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FINANCIAL CONDITION AND RESULTS OF OPERATIONS (continued)</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(In thousands of dollars, except per share amounts)</w:t>
      </w:r>
    </w:p>
    <w:p>
      <w:pPr>
        <w:pStyle w:val="Heading1"/>
        <w:bidi w:val="0"/>
        <w:spacing w:lineRule="auto" w:line="259"/>
        <w:rPr>
          <w:rFonts w:ascii="Times New Roman;serif" w:hAnsi="Times New Roman;serif"/>
          <w:sz w:val="24"/>
        </w:rPr>
      </w:pPr>
      <w:r>
        <w:rPr>
          <w:rFonts w:ascii="Times New Roman;serif" w:hAnsi="Times New Roman;serif"/>
          <w:b w:val="false"/>
          <w:i w:val="false"/>
          <w:caps w:val="false"/>
          <w:smallCaps w:val="false"/>
          <w:color w:val="000000"/>
          <w:sz w:val="24"/>
        </w:rPr>
        <w:t>year’s release of $22,575 of income tax reserve regulatory liability in the Regulated Water segment based on the rate order received by Aqua Pennsylvania in February 2025 not recurring in the current year</w:t>
      </w:r>
      <w:r>
        <w:rPr>
          <w:rFonts w:ascii="Times New Roman;serif" w:hAnsi="Times New Roman;serif"/>
          <w:b w:val="false"/>
          <w:i w:val="false"/>
          <w:caps w:val="false"/>
          <w:smallCaps w:val="false"/>
          <w:color w:val="000000"/>
          <w:sz w:val="24"/>
          <w:shd w:fill="FFFFFF" w:val="clear"/>
        </w:rPr>
        <w:t>.</w:t>
      </w:r>
    </w:p>
    <w:p>
      <w:pPr>
        <w:pStyle w:val="Heading1"/>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Segment Results of Operations</w:t>
      </w:r>
    </w:p>
    <w:p>
      <w:pPr>
        <w:pStyle w:val="Heading1"/>
        <w:bidi w:val="0"/>
        <w:spacing w:lineRule="auto" w:line="259"/>
        <w:rPr>
          <w:rFonts w:ascii="Times New Roman;serif" w:hAnsi="Times New Roman;serif"/>
          <w:b w:val="false"/>
          <w:i/>
          <w:color w:val="000000"/>
          <w:sz w:val="24"/>
        </w:rPr>
      </w:pPr>
      <w:r>
        <w:rPr>
          <w:rFonts w:ascii="Times New Roman;serif" w:hAnsi="Times New Roman;serif"/>
          <w:b w:val="false"/>
          <w:i/>
          <w:color w:val="000000"/>
          <w:sz w:val="24"/>
        </w:rPr>
        <w:t>Regulated Water Segment</w:t>
      </w:r>
    </w:p>
    <w:p>
      <w:pPr>
        <w:pStyle w:val="Heading1"/>
        <w:bidi w:val="0"/>
        <w:spacing w:lineRule="auto" w:line="259"/>
        <w:rPr>
          <w:rFonts w:ascii="Times New Roman;serif" w:hAnsi="Times New Roman;serif"/>
          <w:b w:val="false"/>
          <w:i w:val="false"/>
          <w:caps w:val="false"/>
          <w:smallCaps w:val="false"/>
          <w:color w:val="000000"/>
          <w:sz w:val="24"/>
          <w:shd w:fill="FFFFFF" w:val="clear"/>
        </w:rPr>
      </w:pPr>
      <w:r>
        <w:rPr>
          <w:rFonts w:ascii="Times New Roman;serif" w:hAnsi="Times New Roman;serif"/>
          <w:b w:val="false"/>
          <w:i w:val="false"/>
          <w:caps w:val="false"/>
          <w:smallCaps w:val="false"/>
          <w:color w:val="000000"/>
          <w:sz w:val="24"/>
          <w:shd w:fill="FFFFFF" w:val="clear"/>
        </w:rPr>
        <w:t>Our Regulated Water segment is comprised of eight operating segments representing its water and wastewater regulated utility companies which are organized by the states where the Company provides water and wastewater services. The Regulated Water segment is aggregated into one reportable segment.</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The following tables present selected operating results and statistics for our Regulated Water segment for the periods ended June 30, 2026 and 2025:</w:t>
      </w:r>
    </w:p>
    <w:tbl>
      <w:tblPr>
        <w:tblW w:w="10205" w:type="dxa"/>
        <w:jc w:val="left"/>
        <w:tblInd w:w="0" w:type="dxa"/>
        <w:tblLayout w:type="fixed"/>
        <w:tblCellMar>
          <w:top w:w="0" w:type="dxa"/>
          <w:left w:w="0" w:type="dxa"/>
          <w:bottom w:w="0" w:type="dxa"/>
          <w:right w:w="0" w:type="dxa"/>
        </w:tblCellMar>
      </w:tblPr>
      <w:tblGrid>
        <w:gridCol w:w="5118"/>
        <w:gridCol w:w="265"/>
        <w:gridCol w:w="986"/>
        <w:gridCol w:w="265"/>
        <w:gridCol w:w="986"/>
        <w:gridCol w:w="109"/>
        <w:gridCol w:w="246"/>
        <w:gridCol w:w="913"/>
        <w:gridCol w:w="246"/>
        <w:gridCol w:w="913"/>
        <w:gridCol w:w="158"/>
      </w:tblGrid>
      <w:tr>
        <w:trPr/>
        <w:tc>
          <w:tcPr>
            <w:tcW w:w="511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18" w:type="dxa"/>
            <w:tcBorders/>
            <w:vAlign w:val="center"/>
          </w:tcPr>
          <w:p>
            <w:pPr>
              <w:pStyle w:val="TableContents"/>
              <w:bidi w:val="0"/>
              <w:spacing w:before="0" w:after="283"/>
              <w:jc w:val="left"/>
              <w:rPr>
                <w:sz w:val="4"/>
                <w:szCs w:val="4"/>
              </w:rPr>
            </w:pPr>
            <w:r>
              <w:rPr>
                <w:sz w:val="4"/>
                <w:szCs w:val="4"/>
              </w:rPr>
            </w:r>
          </w:p>
        </w:tc>
        <w:tc>
          <w:tcPr>
            <w:tcW w:w="2502" w:type="dxa"/>
            <w:gridSpan w:val="4"/>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2318" w:type="dxa"/>
            <w:gridSpan w:val="4"/>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Six Months Ended June 30,</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118" w:type="dxa"/>
            <w:tcBorders/>
            <w:vAlign w:val="center"/>
          </w:tcPr>
          <w:p>
            <w:pPr>
              <w:pStyle w:val="TableContents"/>
              <w:bidi w:val="0"/>
              <w:spacing w:before="0" w:after="283"/>
              <w:jc w:val="left"/>
              <w:rPr>
                <w:sz w:val="4"/>
                <w:szCs w:val="4"/>
              </w:rPr>
            </w:pPr>
            <w:r>
              <w:rPr>
                <w:sz w:val="4"/>
                <w:szCs w:val="4"/>
              </w:rPr>
            </w:r>
          </w:p>
        </w:tc>
        <w:tc>
          <w:tcPr>
            <w:tcW w:w="1251"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2026</w:t>
            </w:r>
          </w:p>
        </w:tc>
        <w:tc>
          <w:tcPr>
            <w:tcW w:w="1251"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159"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2026</w:t>
            </w:r>
          </w:p>
        </w:tc>
        <w:tc>
          <w:tcPr>
            <w:tcW w:w="1159"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2025</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11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Operating revenues</w:t>
            </w:r>
          </w:p>
        </w:tc>
        <w:tc>
          <w:tcPr>
            <w:tcW w:w="26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8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357,544</w:t>
            </w:r>
          </w:p>
        </w:tc>
        <w:tc>
          <w:tcPr>
            <w:tcW w:w="26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8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332,282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1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680,519</w:t>
            </w:r>
          </w:p>
        </w:tc>
        <w:tc>
          <w:tcPr>
            <w:tcW w:w="24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1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633,130</w:t>
            </w:r>
          </w:p>
        </w:tc>
        <w:tc>
          <w:tcPr>
            <w:tcW w:w="158" w:type="dxa"/>
            <w:tcBorders/>
            <w:shd w:fill="CCEEFF" w:val="clear"/>
            <w:vAlign w:val="center"/>
          </w:tcPr>
          <w:p>
            <w:pPr>
              <w:pStyle w:val="TableContents"/>
              <w:bidi w:val="0"/>
              <w:spacing w:before="0" w:after="283"/>
              <w:jc w:val="left"/>
              <w:rPr>
                <w:sz w:val="4"/>
                <w:szCs w:val="4"/>
              </w:rPr>
            </w:pPr>
            <w:r>
              <w:rPr>
                <w:sz w:val="4"/>
                <w:szCs w:val="4"/>
              </w:rPr>
            </w:r>
          </w:p>
        </w:tc>
      </w:tr>
      <w:tr>
        <w:trPr/>
        <w:tc>
          <w:tcPr>
            <w:tcW w:w="511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Operations and maintenance expense</w:t>
            </w:r>
          </w:p>
        </w:tc>
        <w:tc>
          <w:tcPr>
            <w:tcW w:w="265"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86"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109,354</w:t>
            </w:r>
          </w:p>
        </w:tc>
        <w:tc>
          <w:tcPr>
            <w:tcW w:w="265"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86"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100,149</w:t>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13"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212,476</w:t>
            </w:r>
          </w:p>
        </w:tc>
        <w:tc>
          <w:tcPr>
            <w:tcW w:w="246"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13"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189,567</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11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Segment net income</w:t>
            </w:r>
          </w:p>
        </w:tc>
        <w:tc>
          <w:tcPr>
            <w:tcW w:w="265"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86"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103,482</w:t>
            </w:r>
          </w:p>
        </w:tc>
        <w:tc>
          <w:tcPr>
            <w:tcW w:w="265"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86" w:type="dxa"/>
            <w:tcBorders>
              <w:bottom w:val="double" w:sz="6"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100,480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6"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13"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184,800</w:t>
            </w:r>
          </w:p>
        </w:tc>
        <w:tc>
          <w:tcPr>
            <w:tcW w:w="246"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13" w:type="dxa"/>
            <w:tcBorders>
              <w:bottom w:val="double" w:sz="6"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208,402</w:t>
            </w:r>
          </w:p>
        </w:tc>
        <w:tc>
          <w:tcPr>
            <w:tcW w:w="158" w:type="dxa"/>
            <w:tcBorders/>
            <w:shd w:fill="CCEEFF" w:val="clear"/>
            <w:vAlign w:val="center"/>
          </w:tcPr>
          <w:p>
            <w:pPr>
              <w:pStyle w:val="TableContents"/>
              <w:bidi w:val="0"/>
              <w:spacing w:before="0" w:after="283"/>
              <w:jc w:val="left"/>
              <w:rPr>
                <w:sz w:val="4"/>
                <w:szCs w:val="4"/>
              </w:rPr>
            </w:pPr>
            <w:r>
              <w:rPr>
                <w:sz w:val="4"/>
                <w:szCs w:val="4"/>
              </w:rPr>
            </w:r>
          </w:p>
        </w:tc>
      </w:tr>
      <w:tr>
        <w:trPr/>
        <w:tc>
          <w:tcPr>
            <w:tcW w:w="5118" w:type="dxa"/>
            <w:tcBorders/>
            <w:vAlign w:val="center"/>
          </w:tcPr>
          <w:p>
            <w:pPr>
              <w:pStyle w:val="TableContents"/>
              <w:bidi w:val="0"/>
              <w:spacing w:before="0" w:after="283"/>
              <w:jc w:val="left"/>
              <w:rPr>
                <w:sz w:val="4"/>
                <w:szCs w:val="4"/>
              </w:rPr>
            </w:pPr>
            <w:r>
              <w:rPr>
                <w:sz w:val="4"/>
                <w:szCs w:val="4"/>
              </w:rPr>
            </w:r>
          </w:p>
        </w:tc>
        <w:tc>
          <w:tcPr>
            <w:tcW w:w="265"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8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265"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8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13"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24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13"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1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Operating Statistics</w:t>
            </w:r>
          </w:p>
        </w:tc>
        <w:tc>
          <w:tcPr>
            <w:tcW w:w="265" w:type="dxa"/>
            <w:tcBorders/>
            <w:shd w:fill="CCEEFF" w:val="clear"/>
            <w:vAlign w:val="center"/>
          </w:tcPr>
          <w:p>
            <w:pPr>
              <w:pStyle w:val="TableContents"/>
              <w:bidi w:val="0"/>
              <w:spacing w:before="0" w:after="283"/>
              <w:jc w:val="left"/>
              <w:rPr>
                <w:sz w:val="4"/>
                <w:szCs w:val="4"/>
              </w:rPr>
            </w:pPr>
            <w:r>
              <w:rPr>
                <w:sz w:val="4"/>
                <w:szCs w:val="4"/>
              </w:rPr>
            </w:r>
          </w:p>
        </w:tc>
        <w:tc>
          <w:tcPr>
            <w:tcW w:w="986" w:type="dxa"/>
            <w:tcBorders/>
            <w:shd w:fill="CCEEFF" w:val="clear"/>
            <w:vAlign w:val="center"/>
          </w:tcPr>
          <w:p>
            <w:pPr>
              <w:pStyle w:val="TableContents"/>
              <w:bidi w:val="0"/>
              <w:spacing w:before="0" w:after="283"/>
              <w:jc w:val="left"/>
              <w:rPr>
                <w:sz w:val="4"/>
                <w:szCs w:val="4"/>
              </w:rPr>
            </w:pPr>
            <w:r>
              <w:rPr>
                <w:sz w:val="4"/>
                <w:szCs w:val="4"/>
              </w:rPr>
            </w:r>
          </w:p>
        </w:tc>
        <w:tc>
          <w:tcPr>
            <w:tcW w:w="265" w:type="dxa"/>
            <w:tcBorders/>
            <w:shd w:fill="CCEEFF" w:val="clear"/>
            <w:vAlign w:val="center"/>
          </w:tcPr>
          <w:p>
            <w:pPr>
              <w:pStyle w:val="TableContents"/>
              <w:bidi w:val="0"/>
              <w:spacing w:before="0" w:after="283"/>
              <w:jc w:val="left"/>
              <w:rPr>
                <w:sz w:val="4"/>
                <w:szCs w:val="4"/>
              </w:rPr>
            </w:pPr>
            <w:r>
              <w:rPr>
                <w:sz w:val="4"/>
                <w:szCs w:val="4"/>
              </w:rPr>
            </w:r>
          </w:p>
        </w:tc>
        <w:tc>
          <w:tcPr>
            <w:tcW w:w="98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6" w:type="dxa"/>
            <w:tcBorders/>
            <w:shd w:fill="CCEEFF" w:val="clear"/>
            <w:vAlign w:val="center"/>
          </w:tcPr>
          <w:p>
            <w:pPr>
              <w:pStyle w:val="TableContents"/>
              <w:bidi w:val="0"/>
              <w:spacing w:before="0" w:after="283"/>
              <w:jc w:val="left"/>
              <w:rPr>
                <w:sz w:val="4"/>
                <w:szCs w:val="4"/>
              </w:rPr>
            </w:pPr>
            <w:r>
              <w:rPr>
                <w:sz w:val="4"/>
                <w:szCs w:val="4"/>
              </w:rPr>
            </w:r>
          </w:p>
        </w:tc>
        <w:tc>
          <w:tcPr>
            <w:tcW w:w="913" w:type="dxa"/>
            <w:tcBorders/>
            <w:shd w:fill="CCEEFF" w:val="clear"/>
            <w:vAlign w:val="center"/>
          </w:tcPr>
          <w:p>
            <w:pPr>
              <w:pStyle w:val="TableContents"/>
              <w:bidi w:val="0"/>
              <w:spacing w:before="0" w:after="283"/>
              <w:jc w:val="left"/>
              <w:rPr>
                <w:sz w:val="4"/>
                <w:szCs w:val="4"/>
              </w:rPr>
            </w:pPr>
            <w:r>
              <w:rPr>
                <w:sz w:val="4"/>
                <w:szCs w:val="4"/>
              </w:rPr>
            </w:r>
          </w:p>
        </w:tc>
        <w:tc>
          <w:tcPr>
            <w:tcW w:w="246" w:type="dxa"/>
            <w:tcBorders/>
            <w:shd w:fill="CCEEFF" w:val="clear"/>
            <w:vAlign w:val="center"/>
          </w:tcPr>
          <w:p>
            <w:pPr>
              <w:pStyle w:val="TableContents"/>
              <w:bidi w:val="0"/>
              <w:spacing w:before="0" w:after="283"/>
              <w:jc w:val="left"/>
              <w:rPr>
                <w:sz w:val="4"/>
                <w:szCs w:val="4"/>
              </w:rPr>
            </w:pPr>
            <w:r>
              <w:rPr>
                <w:sz w:val="4"/>
                <w:szCs w:val="4"/>
              </w:rPr>
            </w:r>
          </w:p>
        </w:tc>
        <w:tc>
          <w:tcPr>
            <w:tcW w:w="913" w:type="dxa"/>
            <w:tcBorders/>
            <w:shd w:fill="CCEEFF" w:val="clear"/>
            <w:vAlign w:val="center"/>
          </w:tcPr>
          <w:p>
            <w:pPr>
              <w:pStyle w:val="TableContents"/>
              <w:bidi w:val="0"/>
              <w:spacing w:before="0" w:after="283"/>
              <w:jc w:val="left"/>
              <w:rPr>
                <w:sz w:val="4"/>
                <w:szCs w:val="4"/>
              </w:rPr>
            </w:pPr>
            <w:r>
              <w:rPr>
                <w:sz w:val="4"/>
                <w:szCs w:val="4"/>
              </w:rPr>
            </w:r>
          </w:p>
        </w:tc>
        <w:tc>
          <w:tcPr>
            <w:tcW w:w="158" w:type="dxa"/>
            <w:tcBorders/>
            <w:shd w:fill="CCEEFF" w:val="clear"/>
            <w:vAlign w:val="center"/>
          </w:tcPr>
          <w:p>
            <w:pPr>
              <w:pStyle w:val="TableContents"/>
              <w:bidi w:val="0"/>
              <w:spacing w:before="0" w:after="283"/>
              <w:jc w:val="left"/>
              <w:rPr>
                <w:sz w:val="4"/>
                <w:szCs w:val="4"/>
              </w:rPr>
            </w:pPr>
            <w:r>
              <w:rPr>
                <w:sz w:val="4"/>
                <w:szCs w:val="4"/>
              </w:rPr>
            </w:r>
          </w:p>
        </w:tc>
      </w:tr>
      <w:tr>
        <w:trPr/>
        <w:tc>
          <w:tcPr>
            <w:tcW w:w="511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Selected operating results as a percentage of operating revenues:</w:t>
            </w:r>
          </w:p>
        </w:tc>
        <w:tc>
          <w:tcPr>
            <w:tcW w:w="265"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1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Operations and maintenance</w:t>
            </w:r>
          </w:p>
        </w:tc>
        <w:tc>
          <w:tcPr>
            <w:tcW w:w="265" w:type="dxa"/>
            <w:tcBorders/>
            <w:shd w:fill="CCEEFF" w:val="clear"/>
            <w:vAlign w:val="center"/>
          </w:tcPr>
          <w:p>
            <w:pPr>
              <w:pStyle w:val="TableContents"/>
              <w:bidi w:val="0"/>
              <w:spacing w:before="0" w:after="283"/>
              <w:jc w:val="left"/>
              <w:rPr>
                <w:sz w:val="4"/>
                <w:szCs w:val="4"/>
              </w:rPr>
            </w:pPr>
            <w:r>
              <w:rPr>
                <w:sz w:val="4"/>
                <w:szCs w:val="4"/>
              </w:rPr>
            </w:r>
          </w:p>
        </w:tc>
        <w:tc>
          <w:tcPr>
            <w:tcW w:w="9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30.6%</w:t>
            </w:r>
          </w:p>
        </w:tc>
        <w:tc>
          <w:tcPr>
            <w:tcW w:w="265" w:type="dxa"/>
            <w:tcBorders/>
            <w:shd w:fill="CCEEFF" w:val="clear"/>
            <w:vAlign w:val="center"/>
          </w:tcPr>
          <w:p>
            <w:pPr>
              <w:pStyle w:val="TableContents"/>
              <w:bidi w:val="0"/>
              <w:spacing w:before="0" w:after="283"/>
              <w:jc w:val="left"/>
              <w:rPr>
                <w:sz w:val="4"/>
                <w:szCs w:val="4"/>
              </w:rPr>
            </w:pPr>
            <w:r>
              <w:rPr>
                <w:sz w:val="4"/>
                <w:szCs w:val="4"/>
              </w:rPr>
            </w:r>
          </w:p>
        </w:tc>
        <w:tc>
          <w:tcPr>
            <w:tcW w:w="9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6" w:type="dxa"/>
            <w:tcBorders/>
            <w:shd w:fill="CCEEFF" w:val="clear"/>
            <w:vAlign w:val="center"/>
          </w:tcPr>
          <w:p>
            <w:pPr>
              <w:pStyle w:val="TableContents"/>
              <w:bidi w:val="0"/>
              <w:spacing w:before="0" w:after="283"/>
              <w:jc w:val="left"/>
              <w:rPr>
                <w:sz w:val="4"/>
                <w:szCs w:val="4"/>
              </w:rPr>
            </w:pPr>
            <w:r>
              <w:rPr>
                <w:sz w:val="4"/>
                <w:szCs w:val="4"/>
              </w:rPr>
            </w:r>
          </w:p>
        </w:tc>
        <w:tc>
          <w:tcPr>
            <w:tcW w:w="91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31.2%</w:t>
            </w:r>
          </w:p>
        </w:tc>
        <w:tc>
          <w:tcPr>
            <w:tcW w:w="246" w:type="dxa"/>
            <w:tcBorders/>
            <w:shd w:fill="CCEEFF" w:val="clear"/>
            <w:vAlign w:val="center"/>
          </w:tcPr>
          <w:p>
            <w:pPr>
              <w:pStyle w:val="TableContents"/>
              <w:bidi w:val="0"/>
              <w:spacing w:before="0" w:after="283"/>
              <w:jc w:val="left"/>
              <w:rPr>
                <w:sz w:val="4"/>
                <w:szCs w:val="4"/>
              </w:rPr>
            </w:pPr>
            <w:r>
              <w:rPr>
                <w:sz w:val="4"/>
                <w:szCs w:val="4"/>
              </w:rPr>
            </w:r>
          </w:p>
        </w:tc>
        <w:tc>
          <w:tcPr>
            <w:tcW w:w="91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29.9%</w:t>
            </w:r>
          </w:p>
        </w:tc>
        <w:tc>
          <w:tcPr>
            <w:tcW w:w="158" w:type="dxa"/>
            <w:tcBorders/>
            <w:shd w:fill="CCEEFF" w:val="clear"/>
            <w:vAlign w:val="center"/>
          </w:tcPr>
          <w:p>
            <w:pPr>
              <w:pStyle w:val="TableContents"/>
              <w:bidi w:val="0"/>
              <w:spacing w:before="0" w:after="283"/>
              <w:jc w:val="left"/>
              <w:rPr>
                <w:sz w:val="4"/>
                <w:szCs w:val="4"/>
              </w:rPr>
            </w:pPr>
            <w:r>
              <w:rPr>
                <w:sz w:val="4"/>
                <w:szCs w:val="4"/>
              </w:rPr>
            </w:r>
          </w:p>
        </w:tc>
      </w:tr>
      <w:tr>
        <w:trPr/>
        <w:tc>
          <w:tcPr>
            <w:tcW w:w="511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Depreciation and amortization</w:t>
            </w:r>
          </w:p>
        </w:tc>
        <w:tc>
          <w:tcPr>
            <w:tcW w:w="265"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20.1%</w:t>
            </w:r>
          </w:p>
        </w:tc>
        <w:tc>
          <w:tcPr>
            <w:tcW w:w="265"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19.5%</w:t>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20.8%</w:t>
            </w:r>
          </w:p>
        </w:tc>
        <w:tc>
          <w:tcPr>
            <w:tcW w:w="2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19.8%</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11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Taxes other than income taxes</w:t>
            </w:r>
          </w:p>
        </w:tc>
        <w:tc>
          <w:tcPr>
            <w:tcW w:w="265" w:type="dxa"/>
            <w:tcBorders/>
            <w:shd w:fill="CCEEFF" w:val="clear"/>
            <w:vAlign w:val="center"/>
          </w:tcPr>
          <w:p>
            <w:pPr>
              <w:pStyle w:val="TableContents"/>
              <w:bidi w:val="0"/>
              <w:spacing w:before="0" w:after="283"/>
              <w:jc w:val="left"/>
              <w:rPr>
                <w:sz w:val="4"/>
                <w:szCs w:val="4"/>
              </w:rPr>
            </w:pPr>
            <w:r>
              <w:rPr>
                <w:sz w:val="4"/>
                <w:szCs w:val="4"/>
              </w:rPr>
            </w:r>
          </w:p>
        </w:tc>
        <w:tc>
          <w:tcPr>
            <w:tcW w:w="9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5.1%</w:t>
            </w:r>
          </w:p>
        </w:tc>
        <w:tc>
          <w:tcPr>
            <w:tcW w:w="265" w:type="dxa"/>
            <w:tcBorders/>
            <w:shd w:fill="CCEEFF" w:val="clear"/>
            <w:vAlign w:val="center"/>
          </w:tcPr>
          <w:p>
            <w:pPr>
              <w:pStyle w:val="TableContents"/>
              <w:bidi w:val="0"/>
              <w:spacing w:before="0" w:after="283"/>
              <w:jc w:val="left"/>
              <w:rPr>
                <w:sz w:val="4"/>
                <w:szCs w:val="4"/>
              </w:rPr>
            </w:pPr>
            <w:r>
              <w:rPr>
                <w:sz w:val="4"/>
                <w:szCs w:val="4"/>
              </w:rPr>
            </w:r>
          </w:p>
        </w:tc>
        <w:tc>
          <w:tcPr>
            <w:tcW w:w="9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6" w:type="dxa"/>
            <w:tcBorders/>
            <w:shd w:fill="CCEEFF" w:val="clear"/>
            <w:vAlign w:val="center"/>
          </w:tcPr>
          <w:p>
            <w:pPr>
              <w:pStyle w:val="TableContents"/>
              <w:bidi w:val="0"/>
              <w:spacing w:before="0" w:after="283"/>
              <w:jc w:val="left"/>
              <w:rPr>
                <w:sz w:val="4"/>
                <w:szCs w:val="4"/>
              </w:rPr>
            </w:pPr>
            <w:r>
              <w:rPr>
                <w:sz w:val="4"/>
                <w:szCs w:val="4"/>
              </w:rPr>
            </w:r>
          </w:p>
        </w:tc>
        <w:tc>
          <w:tcPr>
            <w:tcW w:w="91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5.4%</w:t>
            </w:r>
          </w:p>
        </w:tc>
        <w:tc>
          <w:tcPr>
            <w:tcW w:w="246" w:type="dxa"/>
            <w:tcBorders/>
            <w:shd w:fill="CCEEFF" w:val="clear"/>
            <w:vAlign w:val="center"/>
          </w:tcPr>
          <w:p>
            <w:pPr>
              <w:pStyle w:val="TableContents"/>
              <w:bidi w:val="0"/>
              <w:spacing w:before="0" w:after="283"/>
              <w:jc w:val="left"/>
              <w:rPr>
                <w:sz w:val="4"/>
                <w:szCs w:val="4"/>
              </w:rPr>
            </w:pPr>
            <w:r>
              <w:rPr>
                <w:sz w:val="4"/>
                <w:szCs w:val="4"/>
              </w:rPr>
            </w:r>
          </w:p>
        </w:tc>
        <w:tc>
          <w:tcPr>
            <w:tcW w:w="91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5.3%</w:t>
            </w:r>
          </w:p>
        </w:tc>
        <w:tc>
          <w:tcPr>
            <w:tcW w:w="158" w:type="dxa"/>
            <w:tcBorders/>
            <w:shd w:fill="CCEEFF" w:val="clear"/>
            <w:vAlign w:val="center"/>
          </w:tcPr>
          <w:p>
            <w:pPr>
              <w:pStyle w:val="TableContents"/>
              <w:bidi w:val="0"/>
              <w:spacing w:before="0" w:after="283"/>
              <w:jc w:val="left"/>
              <w:rPr>
                <w:sz w:val="4"/>
                <w:szCs w:val="4"/>
              </w:rPr>
            </w:pPr>
            <w:r>
              <w:rPr>
                <w:sz w:val="4"/>
                <w:szCs w:val="4"/>
              </w:rPr>
            </w:r>
          </w:p>
        </w:tc>
      </w:tr>
      <w:tr>
        <w:trPr/>
        <w:tc>
          <w:tcPr>
            <w:tcW w:w="511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Interest expense, net of interest income</w:t>
            </w:r>
          </w:p>
        </w:tc>
        <w:tc>
          <w:tcPr>
            <w:tcW w:w="265"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11.2%</w:t>
            </w:r>
          </w:p>
        </w:tc>
        <w:tc>
          <w:tcPr>
            <w:tcW w:w="265"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11.1%</w:t>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11.7%</w:t>
            </w:r>
          </w:p>
        </w:tc>
        <w:tc>
          <w:tcPr>
            <w:tcW w:w="2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11.6%</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11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Segment net income</w:t>
            </w:r>
          </w:p>
        </w:tc>
        <w:tc>
          <w:tcPr>
            <w:tcW w:w="265" w:type="dxa"/>
            <w:tcBorders/>
            <w:shd w:fill="CCEEFF" w:val="clear"/>
            <w:vAlign w:val="center"/>
          </w:tcPr>
          <w:p>
            <w:pPr>
              <w:pStyle w:val="TableContents"/>
              <w:bidi w:val="0"/>
              <w:spacing w:before="0" w:after="283"/>
              <w:jc w:val="left"/>
              <w:rPr>
                <w:sz w:val="4"/>
                <w:szCs w:val="4"/>
              </w:rPr>
            </w:pPr>
            <w:r>
              <w:rPr>
                <w:sz w:val="4"/>
                <w:szCs w:val="4"/>
              </w:rPr>
            </w:r>
          </w:p>
        </w:tc>
        <w:tc>
          <w:tcPr>
            <w:tcW w:w="9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28.9%</w:t>
            </w:r>
          </w:p>
        </w:tc>
        <w:tc>
          <w:tcPr>
            <w:tcW w:w="265" w:type="dxa"/>
            <w:tcBorders/>
            <w:shd w:fill="CCEEFF" w:val="clear"/>
            <w:vAlign w:val="center"/>
          </w:tcPr>
          <w:p>
            <w:pPr>
              <w:pStyle w:val="TableContents"/>
              <w:bidi w:val="0"/>
              <w:spacing w:before="0" w:after="283"/>
              <w:jc w:val="left"/>
              <w:rPr>
                <w:sz w:val="4"/>
                <w:szCs w:val="4"/>
              </w:rPr>
            </w:pPr>
            <w:r>
              <w:rPr>
                <w:sz w:val="4"/>
                <w:szCs w:val="4"/>
              </w:rPr>
            </w:r>
          </w:p>
        </w:tc>
        <w:tc>
          <w:tcPr>
            <w:tcW w:w="9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30.2%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6" w:type="dxa"/>
            <w:tcBorders/>
            <w:shd w:fill="CCEEFF" w:val="clear"/>
            <w:vAlign w:val="center"/>
          </w:tcPr>
          <w:p>
            <w:pPr>
              <w:pStyle w:val="TableContents"/>
              <w:bidi w:val="0"/>
              <w:spacing w:before="0" w:after="283"/>
              <w:jc w:val="left"/>
              <w:rPr>
                <w:sz w:val="4"/>
                <w:szCs w:val="4"/>
              </w:rPr>
            </w:pPr>
            <w:r>
              <w:rPr>
                <w:sz w:val="4"/>
                <w:szCs w:val="4"/>
              </w:rPr>
            </w:r>
          </w:p>
        </w:tc>
        <w:tc>
          <w:tcPr>
            <w:tcW w:w="91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27.2%</w:t>
            </w:r>
          </w:p>
        </w:tc>
        <w:tc>
          <w:tcPr>
            <w:tcW w:w="246" w:type="dxa"/>
            <w:tcBorders/>
            <w:shd w:fill="CCEEFF" w:val="clear"/>
            <w:vAlign w:val="center"/>
          </w:tcPr>
          <w:p>
            <w:pPr>
              <w:pStyle w:val="TableContents"/>
              <w:bidi w:val="0"/>
              <w:spacing w:before="0" w:after="283"/>
              <w:jc w:val="left"/>
              <w:rPr>
                <w:sz w:val="4"/>
                <w:szCs w:val="4"/>
              </w:rPr>
            </w:pPr>
            <w:r>
              <w:rPr>
                <w:sz w:val="4"/>
                <w:szCs w:val="4"/>
              </w:rPr>
            </w:r>
          </w:p>
        </w:tc>
        <w:tc>
          <w:tcPr>
            <w:tcW w:w="91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32.9%</w:t>
            </w:r>
          </w:p>
        </w:tc>
        <w:tc>
          <w:tcPr>
            <w:tcW w:w="158" w:type="dxa"/>
            <w:tcBorders/>
            <w:shd w:fill="CCEEFF" w:val="clear"/>
            <w:vAlign w:val="center"/>
          </w:tcPr>
          <w:p>
            <w:pPr>
              <w:pStyle w:val="TableContents"/>
              <w:bidi w:val="0"/>
              <w:spacing w:before="0" w:after="283"/>
              <w:jc w:val="left"/>
              <w:rPr>
                <w:sz w:val="4"/>
                <w:szCs w:val="4"/>
              </w:rPr>
            </w:pPr>
            <w:r>
              <w:rPr>
                <w:sz w:val="4"/>
                <w:szCs w:val="4"/>
              </w:rPr>
            </w:r>
          </w:p>
        </w:tc>
      </w:tr>
      <w:tr>
        <w:trPr/>
        <w:tc>
          <w:tcPr>
            <w:tcW w:w="511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1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Effective tax rate</w:t>
            </w:r>
          </w:p>
        </w:tc>
        <w:tc>
          <w:tcPr>
            <w:tcW w:w="265" w:type="dxa"/>
            <w:tcBorders/>
            <w:shd w:fill="CCEEFF" w:val="clear"/>
            <w:vAlign w:val="center"/>
          </w:tcPr>
          <w:p>
            <w:pPr>
              <w:pStyle w:val="TableContents"/>
              <w:bidi w:val="0"/>
              <w:spacing w:before="0" w:after="283"/>
              <w:jc w:val="left"/>
              <w:rPr>
                <w:sz w:val="4"/>
                <w:szCs w:val="4"/>
              </w:rPr>
            </w:pPr>
            <w:r>
              <w:rPr>
                <w:sz w:val="4"/>
                <w:szCs w:val="4"/>
              </w:rPr>
            </w:r>
          </w:p>
        </w:tc>
        <w:tc>
          <w:tcPr>
            <w:tcW w:w="9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16.5%</w:t>
            </w:r>
          </w:p>
        </w:tc>
        <w:tc>
          <w:tcPr>
            <w:tcW w:w="265" w:type="dxa"/>
            <w:tcBorders/>
            <w:shd w:fill="CCEEFF" w:val="clear"/>
            <w:vAlign w:val="center"/>
          </w:tcPr>
          <w:p>
            <w:pPr>
              <w:pStyle w:val="TableContents"/>
              <w:bidi w:val="0"/>
              <w:spacing w:before="0" w:after="283"/>
              <w:jc w:val="left"/>
              <w:rPr>
                <w:sz w:val="4"/>
                <w:szCs w:val="4"/>
              </w:rPr>
            </w:pPr>
            <w:r>
              <w:rPr>
                <w:sz w:val="4"/>
                <w:szCs w:val="4"/>
              </w:rPr>
            </w:r>
          </w:p>
        </w:tc>
        <w:tc>
          <w:tcPr>
            <w:tcW w:w="9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6" w:type="dxa"/>
            <w:tcBorders/>
            <w:shd w:fill="CCEEFF" w:val="clear"/>
            <w:vAlign w:val="center"/>
          </w:tcPr>
          <w:p>
            <w:pPr>
              <w:pStyle w:val="TableContents"/>
              <w:bidi w:val="0"/>
              <w:spacing w:before="0" w:after="283"/>
              <w:jc w:val="left"/>
              <w:rPr>
                <w:sz w:val="4"/>
                <w:szCs w:val="4"/>
              </w:rPr>
            </w:pPr>
            <w:r>
              <w:rPr>
                <w:sz w:val="4"/>
                <w:szCs w:val="4"/>
              </w:rPr>
            </w:r>
          </w:p>
        </w:tc>
        <w:tc>
          <w:tcPr>
            <w:tcW w:w="91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16.0%</w:t>
            </w:r>
          </w:p>
        </w:tc>
        <w:tc>
          <w:tcPr>
            <w:tcW w:w="246" w:type="dxa"/>
            <w:tcBorders/>
            <w:shd w:fill="CCEEFF" w:val="clear"/>
            <w:vAlign w:val="center"/>
          </w:tcPr>
          <w:p>
            <w:pPr>
              <w:pStyle w:val="TableContents"/>
              <w:bidi w:val="0"/>
              <w:spacing w:before="0" w:after="283"/>
              <w:jc w:val="left"/>
              <w:rPr>
                <w:sz w:val="4"/>
                <w:szCs w:val="4"/>
              </w:rPr>
            </w:pPr>
            <w:r>
              <w:rPr>
                <w:sz w:val="4"/>
                <w:szCs w:val="4"/>
              </w:rPr>
            </w:r>
          </w:p>
        </w:tc>
        <w:tc>
          <w:tcPr>
            <w:tcW w:w="91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6.0%</w:t>
            </w:r>
          </w:p>
        </w:tc>
        <w:tc>
          <w:tcPr>
            <w:tcW w:w="158" w:type="dxa"/>
            <w:tcBorders/>
            <w:shd w:fill="CCEEFF" w:val="clear"/>
            <w:vAlign w:val="center"/>
          </w:tcPr>
          <w:p>
            <w:pPr>
              <w:pStyle w:val="TableContents"/>
              <w:bidi w:val="0"/>
              <w:spacing w:before="0" w:after="283"/>
              <w:jc w:val="left"/>
              <w:rPr>
                <w:sz w:val="4"/>
                <w:szCs w:val="4"/>
              </w:rPr>
            </w:pPr>
            <w:r>
              <w:rPr>
                <w:sz w:val="4"/>
                <w:szCs w:val="4"/>
              </w:rPr>
            </w:r>
          </w:p>
        </w:tc>
      </w:tr>
    </w:tbl>
    <w:p>
      <w:pPr>
        <w:pStyle w:val="Heading1"/>
        <w:bidi w:val="0"/>
        <w:spacing w:lineRule="auto" w:line="259"/>
        <w:rPr>
          <w:rFonts w:ascii="Times New Roman;serif" w:hAnsi="Times New Roman;serif"/>
          <w:b w:val="false"/>
          <w:i/>
          <w:color w:val="000000"/>
          <w:sz w:val="24"/>
          <w:u w:val="single"/>
        </w:rPr>
      </w:pPr>
      <w:r>
        <w:rPr>
          <w:rFonts w:ascii="Times New Roman;serif" w:hAnsi="Times New Roman;serif"/>
          <w:b w:val="false"/>
          <w:i/>
          <w:color w:val="000000"/>
          <w:sz w:val="24"/>
          <w:u w:val="single"/>
        </w:rPr>
        <w:t>Three months ended June 30, 2026 compared with three months ended June 30, 2025</w:t>
      </w:r>
    </w:p>
    <w:p>
      <w:pPr>
        <w:pStyle w:val="Heading1"/>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Revenues from our Regulated Water segment increased by $25,262 or 7.6% for the second quarter of 2026 as compared to the same period in 2025, mainly due to the following:</w:t>
      </w:r>
    </w:p>
    <w:p>
      <w:pPr>
        <w:pStyle w:val="Heading1"/>
        <w:bidi w:val="0"/>
        <w:spacing w:lineRule="auto" w:line="259"/>
        <w:rPr/>
      </w:pPr>
      <w:r>
        <w:rPr>
          <w:caps w:val="false"/>
          <w:smallCaps w:val="false"/>
          <w:color w:val="000000"/>
          <w:u w:val="single"/>
        </w:rPr>
        <w:t></w:t>
      </w:r>
      <w:r>
        <w:rPr>
          <w:rFonts w:ascii="Times New Roman;serif" w:hAnsi="Times New Roman;serif"/>
          <w:b w:val="false"/>
          <w:i w:val="false"/>
          <w:caps w:val="false"/>
          <w:smallCaps w:val="false"/>
          <w:color w:val="000000"/>
          <w:sz w:val="24"/>
        </w:rPr>
        <w:t xml:space="preserve">an increase in water and wastewater rates of $15,928; </w:t>
      </w:r>
    </w:p>
    <w:p>
      <w:pPr>
        <w:pStyle w:val="TextBody"/>
        <w:bidi w:val="0"/>
        <w:spacing w:lineRule="auto" w:line="259"/>
        <w:rPr/>
      </w:pPr>
      <w:r>
        <w:rPr>
          <w:caps w:val="false"/>
          <w:smallCaps w:val="false"/>
          <w:color w:val="000000"/>
        </w:rPr>
        <w:t></w:t>
      </w:r>
      <w:r>
        <w:rPr>
          <w:rFonts w:ascii="Times New Roman;serif" w:hAnsi="Times New Roman;serif"/>
          <w:b w:val="false"/>
          <w:i w:val="false"/>
          <w:caps w:val="false"/>
          <w:smallCaps w:val="false"/>
          <w:color w:val="000000"/>
          <w:sz w:val="24"/>
        </w:rPr>
        <w:t xml:space="preserve">an increase in volume of $6,116; and </w:t>
      </w:r>
    </w:p>
    <w:p>
      <w:pPr>
        <w:pStyle w:val="TextBody"/>
        <w:bidi w:val="0"/>
        <w:spacing w:lineRule="auto" w:line="259"/>
        <w:rPr/>
      </w:pPr>
      <w:r>
        <w:rPr>
          <w:caps w:val="false"/>
          <w:smallCaps w:val="false"/>
          <w:color w:val="000000"/>
        </w:rPr>
        <w:t></w:t>
      </w:r>
      <w:r>
        <w:rPr>
          <w:rFonts w:ascii="Times New Roman;serif" w:hAnsi="Times New Roman;serif"/>
          <w:b w:val="false"/>
          <w:i w:val="false"/>
          <w:caps w:val="false"/>
          <w:smallCaps w:val="false"/>
          <w:color w:val="000000"/>
          <w:sz w:val="24"/>
        </w:rPr>
        <w:t xml:space="preserve">additional water and wastewater revenues of $2,328 associated with a larger customer base due to utility acquisitions and organic growth.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42</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563C1"/>
            <w:sz w:val="24"/>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ESSENTIAL UTILITIES, INC. AND SUBSIDIARIES </w:t>
      </w:r>
    </w:p>
    <w:p>
      <w:pPr>
        <w:pStyle w:val="TextBody"/>
        <w:bidi w:val="0"/>
        <w:spacing w:lineRule="auto" w:line="259"/>
        <w:rPr>
          <w:caps w:val="false"/>
          <w:smallCaps w:val="false"/>
          <w:color w:val="000000"/>
        </w:rPr>
      </w:pPr>
      <w:r>
        <w:rPr>
          <w:caps w:val="false"/>
          <w:smallCaps w:val="false"/>
          <w:color w:val="000000"/>
        </w:rPr>
        <w:t> </w:t>
      </w:r>
    </w:p>
    <w:p>
      <w:pPr>
        <w:pStyle w:val="TextBody"/>
        <w:bidi w:val="0"/>
        <w:spacing w:lineRule="auto" w:line="259"/>
        <w:rPr>
          <w:caps w:val="false"/>
          <w:smallCaps w:val="false"/>
          <w:color w:val="000000"/>
        </w:rPr>
      </w:pPr>
      <w:r>
        <w:rPr>
          <w:caps w:val="false"/>
          <w:smallCaps w:val="false"/>
          <w:color w:val="000000"/>
        </w:rPr>
        <w:t> </w:t>
      </w:r>
      <w:r>
        <w:rPr>
          <w:rFonts w:ascii="Times New Roman;serif" w:hAnsi="Times New Roman;serif"/>
          <w:b w:val="false"/>
          <w:i w:val="false"/>
          <w:caps w:val="false"/>
          <w:smallCaps w:val="false"/>
          <w:color w:val="000000"/>
          <w:sz w:val="24"/>
        </w:rPr>
        <w:t>MANAGEMENT’S DISCUSSION AND ANALYSIS OF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FINANCIAL CONDITION AND RESULTS OF OPERATIONS (continued)</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(In thousands of dollars, except per share amounts)</w:t>
      </w:r>
    </w:p>
    <w:p>
      <w:pPr>
        <w:pStyle w:val="Heading1"/>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Operations and maintenance expense increased by $9,205 or 9.2% primarily due to the following:</w:t>
      </w:r>
    </w:p>
    <w:p>
      <w:pPr>
        <w:pStyle w:val="TextBody"/>
        <w:bidi w:val="0"/>
        <w:spacing w:lineRule="auto" w:line="259"/>
        <w:rPr/>
      </w:pPr>
      <w:r>
        <w:rPr>
          <w:caps w:val="false"/>
          <w:smallCaps w:val="false"/>
          <w:color w:val="000000"/>
        </w:rPr>
        <w:t></w:t>
      </w:r>
      <w:r>
        <w:rPr>
          <w:rFonts w:ascii="Times New Roman;serif" w:hAnsi="Times New Roman;serif"/>
          <w:b w:val="false"/>
          <w:i w:val="false"/>
          <w:caps w:val="false"/>
          <w:smallCaps w:val="false"/>
          <w:color w:val="000000"/>
          <w:sz w:val="24"/>
        </w:rPr>
        <w:t>an increase in employee related costs of $4,127, primarily resulting from annual merit increases and higher medical claims during the second quarter of 2026;</w:t>
      </w:r>
    </w:p>
    <w:p>
      <w:pPr>
        <w:pStyle w:val="TextBody"/>
        <w:bidi w:val="0"/>
        <w:spacing w:lineRule="auto" w:line="259"/>
        <w:rPr/>
      </w:pPr>
      <w:r>
        <w:rPr>
          <w:caps w:val="false"/>
          <w:smallCaps w:val="false"/>
          <w:color w:val="000000"/>
        </w:rPr>
        <w:t></w:t>
      </w:r>
      <w:r>
        <w:rPr>
          <w:rFonts w:ascii="Times New Roman;serif" w:hAnsi="Times New Roman;serif"/>
          <w:b w:val="false"/>
          <w:i w:val="false"/>
          <w:caps w:val="false"/>
          <w:smallCaps w:val="false"/>
          <w:color w:val="000000"/>
          <w:sz w:val="24"/>
        </w:rPr>
        <w:t>an increase in production costs for water and wastewater operations of $2,296, particularly purchased power and chemical costs; and</w:t>
      </w:r>
    </w:p>
    <w:p>
      <w:pPr>
        <w:pStyle w:val="TextBody"/>
        <w:bidi w:val="0"/>
        <w:spacing w:lineRule="auto" w:line="259"/>
        <w:rPr/>
      </w:pPr>
      <w:r>
        <w:rPr>
          <w:caps w:val="false"/>
          <w:smallCaps w:val="false"/>
          <w:color w:val="000000"/>
        </w:rPr>
        <w:t></w:t>
      </w:r>
      <w:r>
        <w:rPr>
          <w:rFonts w:ascii="Times New Roman;serif" w:hAnsi="Times New Roman;serif"/>
          <w:b w:val="false"/>
          <w:i w:val="false"/>
          <w:caps w:val="false"/>
          <w:smallCaps w:val="false"/>
          <w:color w:val="000000"/>
          <w:sz w:val="24"/>
        </w:rPr>
        <w:t>additional operating costs associated with pending and newly acquired water and wastewater utility systems of $814.</w:t>
      </w:r>
    </w:p>
    <w:p>
      <w:pPr>
        <w:pStyle w:val="TextBody"/>
        <w:bidi w:val="0"/>
        <w:spacing w:lineRule="auto" w:line="259"/>
        <w:rPr>
          <w:rFonts w:ascii="Times New Roman;serif" w:hAnsi="Times New Roman;serif"/>
          <w:sz w:val="24"/>
        </w:rPr>
      </w:pPr>
      <w:r>
        <w:rPr>
          <w:rFonts w:ascii="Times New Roman;serif" w:hAnsi="Times New Roman;serif"/>
          <w:b w:val="false"/>
          <w:i w:val="false"/>
          <w:caps w:val="false"/>
          <w:smallCaps w:val="false"/>
          <w:color w:val="000000"/>
          <w:sz w:val="24"/>
        </w:rPr>
        <w:t>Depreciation and amortization increased by $7,296 or 11.3% primarily due to continued capital investment to expand and improve our utility facilities, the implementation of new depreciation rates in connection with recently completed rate cases, and our acquisitions of new utility systems.</w:t>
      </w:r>
      <w:r>
        <w:rPr>
          <w:rFonts w:ascii="Times New Roman;serif" w:hAnsi="Times New Roman;serif"/>
          <w:caps w:val="false"/>
          <w:smallCaps w:val="false"/>
          <w:color w:val="000000"/>
          <w:sz w:val="24"/>
        </w:rPr>
        <w:t xml:space="preserve"> </w:t>
      </w:r>
    </w:p>
    <w:p>
      <w:pPr>
        <w:pStyle w:val="Heading1"/>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 xml:space="preserve">Interest expense, net of interest income, increased by $2,942 or 7.9% for the quarter primarily due to higher push down debt borrowings.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Other, net was an income of $1,882 and expense of $17 for the three months ended June 30, 2026 and 2025, respectively. The change is primarily due to higher non-service cost net periodic benefit credit resulting from increased amortization of actuarial gains in our other postretirement benefit plan.</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 xml:space="preserve">Our effective income tax rate for our Regulated Water Segment was an expense of 16.5% and 15.1% in the second quarter of 2026 and 2025, respectively. The increase in income tax expense in the second quarter of 2026 is primarily attributed to the decrease in tax benefits associated with the repairs tax deduction related to continued qualifying infrastructure investment. </w:t>
      </w:r>
    </w:p>
    <w:p>
      <w:pPr>
        <w:pStyle w:val="Heading1"/>
        <w:bidi w:val="0"/>
        <w:spacing w:lineRule="auto" w:line="259"/>
        <w:rPr>
          <w:rFonts w:ascii="Times New Roman;serif" w:hAnsi="Times New Roman;serif"/>
          <w:b w:val="false"/>
          <w:i/>
          <w:color w:val="000000"/>
          <w:sz w:val="24"/>
          <w:u w:val="single"/>
        </w:rPr>
      </w:pPr>
      <w:r>
        <w:rPr>
          <w:rFonts w:ascii="Times New Roman;serif" w:hAnsi="Times New Roman;serif"/>
          <w:b w:val="false"/>
          <w:i/>
          <w:color w:val="000000"/>
          <w:sz w:val="24"/>
          <w:u w:val="single"/>
        </w:rPr>
        <w:t>Six months ended June 30, 2026 compared with six months ended June 30, 2025</w:t>
      </w:r>
    </w:p>
    <w:p>
      <w:pPr>
        <w:pStyle w:val="Heading1"/>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Revenues from our Regulated Water segment increased by $47,389 or 7.5% for the first half of 2026 as compared to the same period in 2025, mainly due to the following:</w:t>
      </w:r>
    </w:p>
    <w:p>
      <w:pPr>
        <w:pStyle w:val="Heading1"/>
        <w:bidi w:val="0"/>
        <w:spacing w:lineRule="auto" w:line="259"/>
        <w:rPr/>
      </w:pPr>
      <w:r>
        <w:rPr>
          <w:caps w:val="false"/>
          <w:smallCaps w:val="false"/>
          <w:color w:val="000000"/>
          <w:u w:val="single"/>
        </w:rPr>
        <w:t></w:t>
      </w:r>
      <w:r>
        <w:rPr>
          <w:rFonts w:ascii="Times New Roman;serif" w:hAnsi="Times New Roman;serif"/>
          <w:b w:val="false"/>
          <w:i w:val="false"/>
          <w:caps w:val="false"/>
          <w:smallCaps w:val="false"/>
          <w:color w:val="000000"/>
          <w:sz w:val="24"/>
        </w:rPr>
        <w:t xml:space="preserve">an increase in water and wastewater rates of $32,478; </w:t>
      </w:r>
    </w:p>
    <w:p>
      <w:pPr>
        <w:pStyle w:val="TextBody"/>
        <w:bidi w:val="0"/>
        <w:spacing w:lineRule="auto" w:line="259"/>
        <w:rPr/>
      </w:pPr>
      <w:r>
        <w:rPr>
          <w:caps w:val="false"/>
          <w:smallCaps w:val="false"/>
          <w:color w:val="000000"/>
        </w:rPr>
        <w:t></w:t>
      </w:r>
      <w:r>
        <w:rPr>
          <w:rFonts w:ascii="Times New Roman;serif" w:hAnsi="Times New Roman;serif"/>
          <w:b w:val="false"/>
          <w:i w:val="false"/>
          <w:caps w:val="false"/>
          <w:smallCaps w:val="false"/>
          <w:color w:val="000000"/>
          <w:sz w:val="24"/>
        </w:rPr>
        <w:t xml:space="preserve">an increase in volume of $9,485; and </w:t>
      </w:r>
    </w:p>
    <w:p>
      <w:pPr>
        <w:pStyle w:val="TextBody"/>
        <w:bidi w:val="0"/>
        <w:spacing w:lineRule="auto" w:line="259"/>
        <w:rPr/>
      </w:pPr>
      <w:r>
        <w:rPr>
          <w:caps w:val="false"/>
          <w:smallCaps w:val="false"/>
          <w:color w:val="000000"/>
        </w:rPr>
        <w:t></w:t>
      </w:r>
      <w:r>
        <w:rPr>
          <w:rFonts w:ascii="Times New Roman;serif" w:hAnsi="Times New Roman;serif"/>
          <w:b w:val="false"/>
          <w:i w:val="false"/>
          <w:caps w:val="false"/>
          <w:smallCaps w:val="false"/>
          <w:color w:val="000000"/>
          <w:sz w:val="24"/>
        </w:rPr>
        <w:t xml:space="preserve">additional water and wastewater revenues of $4,730 associated with a larger customer base due to utility acquisitions and organic growth. </w:t>
      </w:r>
    </w:p>
    <w:p>
      <w:pPr>
        <w:pStyle w:val="Heading1"/>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Operations and maintenance expense increased by $22,909 or 12.1% primarily due to the following:</w:t>
      </w:r>
    </w:p>
    <w:p>
      <w:pPr>
        <w:pStyle w:val="TextBody"/>
        <w:bidi w:val="0"/>
        <w:spacing w:lineRule="auto" w:line="259"/>
        <w:rPr/>
      </w:pPr>
      <w:r>
        <w:rPr>
          <w:caps w:val="false"/>
          <w:smallCaps w:val="false"/>
          <w:color w:val="000000"/>
        </w:rPr>
        <w:t></w:t>
      </w:r>
      <w:r>
        <w:rPr>
          <w:rFonts w:ascii="Times New Roman;serif" w:hAnsi="Times New Roman;serif"/>
          <w:b w:val="false"/>
          <w:i w:val="false"/>
          <w:caps w:val="false"/>
          <w:smallCaps w:val="false"/>
          <w:color w:val="000000"/>
          <w:sz w:val="24"/>
        </w:rPr>
        <w:t>an increase in employee related costs of $5,938, primarily resulting from higher medical claims, annual merit increases, and increase in overtime pay due to higher weather-related main break activity during the first half of 2026;</w:t>
      </w:r>
    </w:p>
    <w:p>
      <w:pPr>
        <w:pStyle w:val="TextBody"/>
        <w:bidi w:val="0"/>
        <w:spacing w:lineRule="auto" w:line="259"/>
        <w:rPr/>
      </w:pPr>
      <w:r>
        <w:rPr>
          <w:caps w:val="false"/>
          <w:smallCaps w:val="false"/>
          <w:color w:val="000000"/>
        </w:rPr>
        <w:t></w:t>
      </w:r>
      <w:r>
        <w:rPr>
          <w:rFonts w:ascii="Times New Roman;serif" w:hAnsi="Times New Roman;serif"/>
          <w:b w:val="false"/>
          <w:i w:val="false"/>
          <w:caps w:val="false"/>
          <w:smallCaps w:val="false"/>
          <w:color w:val="000000"/>
          <w:sz w:val="24"/>
        </w:rPr>
        <w:t>an increase in bad debt expense of $4,980, of which $5,889 relates to a favorable regulatory asset adjustment in the prior year;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43</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563C1"/>
            <w:sz w:val="24"/>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ESSENTIAL UTILITIES, INC. AND SUBSIDIARIES </w:t>
      </w:r>
    </w:p>
    <w:p>
      <w:pPr>
        <w:pStyle w:val="TextBody"/>
        <w:bidi w:val="0"/>
        <w:spacing w:lineRule="auto" w:line="259"/>
        <w:rPr>
          <w:caps w:val="false"/>
          <w:smallCaps w:val="false"/>
          <w:color w:val="000000"/>
        </w:rPr>
      </w:pPr>
      <w:r>
        <w:rPr>
          <w:caps w:val="false"/>
          <w:smallCaps w:val="false"/>
          <w:color w:val="000000"/>
        </w:rPr>
        <w:t> </w:t>
      </w:r>
    </w:p>
    <w:p>
      <w:pPr>
        <w:pStyle w:val="TextBody"/>
        <w:bidi w:val="0"/>
        <w:spacing w:lineRule="auto" w:line="259"/>
        <w:rPr>
          <w:caps w:val="false"/>
          <w:smallCaps w:val="false"/>
          <w:color w:val="000000"/>
        </w:rPr>
      </w:pPr>
      <w:r>
        <w:rPr>
          <w:caps w:val="false"/>
          <w:smallCaps w:val="false"/>
          <w:color w:val="000000"/>
        </w:rPr>
        <w:t> </w:t>
      </w:r>
      <w:r>
        <w:rPr>
          <w:rFonts w:ascii="Times New Roman;serif" w:hAnsi="Times New Roman;serif"/>
          <w:b w:val="false"/>
          <w:i w:val="false"/>
          <w:caps w:val="false"/>
          <w:smallCaps w:val="false"/>
          <w:color w:val="000000"/>
          <w:sz w:val="24"/>
        </w:rPr>
        <w:t>MANAGEMENT’S DISCUSSION AND ANALYSIS OF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FINANCIAL CONDITION AND RESULTS OF OPERATIONS (continued)</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(In thousands of dollars, except per share amounts)</w:t>
      </w:r>
    </w:p>
    <w:p>
      <w:pPr>
        <w:pStyle w:val="TextBody"/>
        <w:bidi w:val="0"/>
        <w:spacing w:lineRule="auto" w:line="259"/>
        <w:rPr>
          <w:caps w:val="false"/>
          <w:smallCaps w:val="false"/>
          <w:color w:val="000000"/>
        </w:rPr>
      </w:pPr>
      <w:r>
        <w:rPr>
          <w:caps w:val="false"/>
          <w:smallCaps w:val="false"/>
          <w:color w:val="000000"/>
        </w:rPr>
        <w:t> </w:t>
      </w:r>
    </w:p>
    <w:p>
      <w:pPr>
        <w:pStyle w:val="TextBody"/>
        <w:bidi w:val="0"/>
        <w:spacing w:lineRule="auto" w:line="259"/>
        <w:rPr/>
      </w:pPr>
      <w:r>
        <w:rPr>
          <w:caps w:val="false"/>
          <w:smallCaps w:val="false"/>
          <w:color w:val="000000"/>
        </w:rPr>
        <w:t></w:t>
      </w:r>
      <w:r>
        <w:rPr>
          <w:rFonts w:ascii="Times New Roman;serif" w:hAnsi="Times New Roman;serif"/>
          <w:b w:val="false"/>
          <w:i w:val="false"/>
          <w:caps w:val="false"/>
          <w:smallCaps w:val="false"/>
          <w:color w:val="000000"/>
          <w:sz w:val="24"/>
        </w:rPr>
        <w:t xml:space="preserve">an increase in production costs for water and wastewater operations of $4,122, particularly purchased water and chemical costs; </w:t>
      </w:r>
    </w:p>
    <w:p>
      <w:pPr>
        <w:pStyle w:val="TextBody"/>
        <w:bidi w:val="0"/>
        <w:spacing w:lineRule="auto" w:line="259"/>
        <w:rPr/>
      </w:pPr>
      <w:r>
        <w:rPr>
          <w:caps w:val="false"/>
          <w:smallCaps w:val="false"/>
          <w:color w:val="000000"/>
        </w:rPr>
        <w:t></w:t>
      </w:r>
      <w:r>
        <w:rPr>
          <w:rFonts w:ascii="Times New Roman;serif" w:hAnsi="Times New Roman;serif"/>
          <w:b w:val="false"/>
          <w:i w:val="false"/>
          <w:caps w:val="false"/>
          <w:smallCaps w:val="false"/>
          <w:color w:val="000000"/>
          <w:sz w:val="24"/>
        </w:rPr>
        <w:t>an increase in contractor services of $2,698, primarily due to higher main break activity, frozen service lines, and snow removal costs during the first quarter of 2026; and</w:t>
      </w:r>
    </w:p>
    <w:p>
      <w:pPr>
        <w:pStyle w:val="TextBody"/>
        <w:bidi w:val="0"/>
        <w:spacing w:lineRule="auto" w:line="259"/>
        <w:rPr/>
      </w:pPr>
      <w:r>
        <w:rPr>
          <w:caps w:val="false"/>
          <w:smallCaps w:val="false"/>
          <w:color w:val="000000"/>
        </w:rPr>
        <w:t></w:t>
      </w:r>
      <w:r>
        <w:rPr>
          <w:rFonts w:ascii="Times New Roman;serif" w:hAnsi="Times New Roman;serif"/>
          <w:b w:val="false"/>
          <w:i w:val="false"/>
          <w:caps w:val="false"/>
          <w:smallCaps w:val="false"/>
          <w:color w:val="000000"/>
          <w:sz w:val="24"/>
        </w:rPr>
        <w:t>additional operating costs associated with pending and newly acquired water and wastewater utility systems of $1,544.</w:t>
      </w:r>
    </w:p>
    <w:p>
      <w:pPr>
        <w:pStyle w:val="TextBody"/>
        <w:bidi w:val="0"/>
        <w:spacing w:lineRule="auto" w:line="259"/>
        <w:rPr>
          <w:rFonts w:ascii="Times New Roman;serif" w:hAnsi="Times New Roman;serif"/>
          <w:sz w:val="24"/>
        </w:rPr>
      </w:pPr>
      <w:r>
        <w:rPr>
          <w:rFonts w:ascii="Times New Roman;serif" w:hAnsi="Times New Roman;serif"/>
          <w:b w:val="false"/>
          <w:i w:val="false"/>
          <w:caps w:val="false"/>
          <w:smallCaps w:val="false"/>
          <w:color w:val="000000"/>
          <w:sz w:val="24"/>
        </w:rPr>
        <w:t>Depreciation and amortization increased by $16,358 or 13.0% primarily due to continued capital investment to expand and improve our utility facilities, the implementation of new depreciation rates in connection with recently completed rate cases, and our acquisitions of new utility systems.</w:t>
      </w:r>
      <w:r>
        <w:rPr>
          <w:rFonts w:ascii="Times New Roman;serif" w:hAnsi="Times New Roman;serif"/>
          <w:caps w:val="false"/>
          <w:smallCaps w:val="false"/>
          <w:color w:val="000000"/>
          <w:sz w:val="24"/>
        </w:rPr>
        <w:t xml:space="preserve"> </w:t>
      </w:r>
    </w:p>
    <w:p>
      <w:pPr>
        <w:pStyle w:val="TextBody"/>
        <w:bidi w:val="0"/>
        <w:spacing w:lineRule="auto" w:line="259"/>
        <w:ind w:left="0" w:right="0" w:hanging="0"/>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 xml:space="preserve">Taxes other than income taxes went up by $3,298 or 9.9% primarily due to an increase in our Illinois subsidiary’s invested capital tax expense and an increase in payroll taxes as a result of higher employee compensation expense in the first quarter of 2026. </w:t>
      </w:r>
    </w:p>
    <w:p>
      <w:pPr>
        <w:pStyle w:val="Heading1"/>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 xml:space="preserve">Interest expense, net of interest income, increased by $6,260 or 8.5% for the first half of 2026 primarily due to higher push down debt borrowings.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Other, net was an income of $1,200 and expense of $44 for the six months ended June 30, 2026 and 2025, respectively. The change is primarily due to higher net periodic benefit credit resulting from increased amortization of actuarial gains in our other postretirement benefit plan.</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 xml:space="preserve">Our effective income tax rate for our Regulated Water Segment was an expense of 16.0% and 6.0% in the first half of 2026 and 2025, respectively. The increase in income tax expense is primarily attributed to last year’s release of $22,575 of income tax reserve regulatory liability in the Regulated Water segment based on the rate order received by Aqua Pennsylvania in February 2025 not recurring in the current year. </w:t>
      </w:r>
    </w:p>
    <w:p>
      <w:pPr>
        <w:pStyle w:val="Heading1"/>
        <w:bidi w:val="0"/>
        <w:spacing w:lineRule="auto" w:line="259"/>
        <w:rPr>
          <w:rFonts w:ascii="Times New Roman;serif" w:hAnsi="Times New Roman;serif"/>
          <w:b w:val="false"/>
          <w:i/>
          <w:color w:val="000000"/>
          <w:sz w:val="24"/>
        </w:rPr>
      </w:pPr>
      <w:r>
        <w:rPr>
          <w:rFonts w:ascii="Times New Roman;serif" w:hAnsi="Times New Roman;serif"/>
          <w:b w:val="false"/>
          <w:i/>
          <w:color w:val="000000"/>
          <w:sz w:val="24"/>
        </w:rPr>
        <w:t>Regulated Natural Gas Segment</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Our Regulated Natural Gas segment recognizes revenues by selling gas directly to customers at approved rates or by transporting gas through our pipelines at approved rates to customers that have purchased gas directly from other producers, brokers, or marketers. Natural gas sales to residential, commercial and industrial customers are seasonal, which results in higher demand for natural gas for heating purposes during the colder months. A weather normalization adjustment (“WNA”) mechanism is in place for our natural gas customers served in Kentucky, and, beginning in October 2024, for our natural gas customers in Pennsylvania. The WNA mechanism serves to minimize the effects of weather on the Company’s ability to collect revenues to cover operating expenses for its residential and small and medium commercial natural gas customers. The WNA mechanism adjusts revenues earned for the variance between actual and normal weather and can have either positive (warmer than normal) or negative (colder than normal) effects on revenues.</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44</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563C1"/>
            <w:sz w:val="24"/>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ESSENTIAL UTILITIES, INC. AND SUBSIDIARIES </w:t>
      </w:r>
    </w:p>
    <w:p>
      <w:pPr>
        <w:pStyle w:val="TextBody"/>
        <w:bidi w:val="0"/>
        <w:spacing w:lineRule="auto" w:line="259"/>
        <w:rPr>
          <w:caps w:val="false"/>
          <w:smallCaps w:val="false"/>
          <w:color w:val="000000"/>
        </w:rPr>
      </w:pPr>
      <w:r>
        <w:rPr>
          <w:caps w:val="false"/>
          <w:smallCaps w:val="false"/>
          <w:color w:val="000000"/>
        </w:rPr>
        <w:t> </w:t>
      </w:r>
    </w:p>
    <w:p>
      <w:pPr>
        <w:pStyle w:val="TextBody"/>
        <w:bidi w:val="0"/>
        <w:spacing w:lineRule="auto" w:line="259"/>
        <w:rPr>
          <w:caps w:val="false"/>
          <w:smallCaps w:val="false"/>
          <w:color w:val="000000"/>
        </w:rPr>
      </w:pPr>
      <w:r>
        <w:rPr>
          <w:caps w:val="false"/>
          <w:smallCaps w:val="false"/>
          <w:color w:val="000000"/>
        </w:rPr>
        <w:t> </w:t>
      </w:r>
      <w:r>
        <w:rPr>
          <w:rFonts w:ascii="Times New Roman;serif" w:hAnsi="Times New Roman;serif"/>
          <w:b w:val="false"/>
          <w:i w:val="false"/>
          <w:caps w:val="false"/>
          <w:smallCaps w:val="false"/>
          <w:color w:val="000000"/>
          <w:sz w:val="24"/>
        </w:rPr>
        <w:t>MANAGEMENT’S DISCUSSION AND ANALYSIS OF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FINANCIAL CONDITION AND RESULTS OF OPERATIONS (continued)</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(In thousands of dollars, except per share amounts)</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The following tables present selected operating results and statistics for our Regulated Natural Gas segment, for the periods ended June 30, 2026 and 2025:</w:t>
      </w:r>
    </w:p>
    <w:tbl>
      <w:tblPr>
        <w:tblW w:w="10205" w:type="dxa"/>
        <w:jc w:val="left"/>
        <w:tblInd w:w="0" w:type="dxa"/>
        <w:tblLayout w:type="fixed"/>
        <w:tblCellMar>
          <w:top w:w="0" w:type="dxa"/>
          <w:left w:w="0" w:type="dxa"/>
          <w:bottom w:w="0" w:type="dxa"/>
          <w:right w:w="0" w:type="dxa"/>
        </w:tblCellMar>
      </w:tblPr>
      <w:tblGrid>
        <w:gridCol w:w="5118"/>
        <w:gridCol w:w="265"/>
        <w:gridCol w:w="986"/>
        <w:gridCol w:w="265"/>
        <w:gridCol w:w="986"/>
        <w:gridCol w:w="109"/>
        <w:gridCol w:w="246"/>
        <w:gridCol w:w="913"/>
        <w:gridCol w:w="246"/>
        <w:gridCol w:w="913"/>
        <w:gridCol w:w="158"/>
      </w:tblGrid>
      <w:tr>
        <w:trPr/>
        <w:tc>
          <w:tcPr>
            <w:tcW w:w="511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18" w:type="dxa"/>
            <w:tcBorders/>
            <w:vAlign w:val="center"/>
          </w:tcPr>
          <w:p>
            <w:pPr>
              <w:pStyle w:val="TableContents"/>
              <w:bidi w:val="0"/>
              <w:spacing w:before="0" w:after="283"/>
              <w:jc w:val="left"/>
              <w:rPr>
                <w:sz w:val="4"/>
                <w:szCs w:val="4"/>
              </w:rPr>
            </w:pPr>
            <w:r>
              <w:rPr>
                <w:sz w:val="4"/>
                <w:szCs w:val="4"/>
              </w:rPr>
            </w:r>
          </w:p>
        </w:tc>
        <w:tc>
          <w:tcPr>
            <w:tcW w:w="2502" w:type="dxa"/>
            <w:gridSpan w:val="4"/>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2318" w:type="dxa"/>
            <w:gridSpan w:val="4"/>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Six Months Ended June 30,</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118" w:type="dxa"/>
            <w:tcBorders/>
            <w:vAlign w:val="center"/>
          </w:tcPr>
          <w:p>
            <w:pPr>
              <w:pStyle w:val="TableContents"/>
              <w:bidi w:val="0"/>
              <w:spacing w:before="0" w:after="283"/>
              <w:jc w:val="left"/>
              <w:rPr>
                <w:sz w:val="4"/>
                <w:szCs w:val="4"/>
              </w:rPr>
            </w:pPr>
            <w:r>
              <w:rPr>
                <w:sz w:val="4"/>
                <w:szCs w:val="4"/>
              </w:rPr>
            </w:r>
          </w:p>
        </w:tc>
        <w:tc>
          <w:tcPr>
            <w:tcW w:w="1251"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2026</w:t>
            </w:r>
          </w:p>
        </w:tc>
        <w:tc>
          <w:tcPr>
            <w:tcW w:w="1251"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159"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2026</w:t>
            </w:r>
          </w:p>
        </w:tc>
        <w:tc>
          <w:tcPr>
            <w:tcW w:w="1159"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2025</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11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Operating revenues</w:t>
            </w:r>
          </w:p>
        </w:tc>
        <w:tc>
          <w:tcPr>
            <w:tcW w:w="26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8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169,279</w:t>
            </w:r>
          </w:p>
        </w:tc>
        <w:tc>
          <w:tcPr>
            <w:tcW w:w="26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8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177,321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1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698,691</w:t>
            </w:r>
          </w:p>
        </w:tc>
        <w:tc>
          <w:tcPr>
            <w:tcW w:w="24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1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648,118</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11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Operations and maintenance expense</w:t>
            </w:r>
          </w:p>
        </w:tc>
        <w:tc>
          <w:tcPr>
            <w:tcW w:w="265"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86"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49,944</w:t>
            </w:r>
          </w:p>
        </w:tc>
        <w:tc>
          <w:tcPr>
            <w:tcW w:w="265"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86"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49,786</w:t>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13"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106,177</w:t>
            </w:r>
          </w:p>
        </w:tc>
        <w:tc>
          <w:tcPr>
            <w:tcW w:w="246"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13"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105,461</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11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Purchased gas</w:t>
            </w:r>
          </w:p>
        </w:tc>
        <w:tc>
          <w:tcPr>
            <w:tcW w:w="265"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86"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44,338</w:t>
            </w:r>
          </w:p>
        </w:tc>
        <w:tc>
          <w:tcPr>
            <w:tcW w:w="265"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86"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53,532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6"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13"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277,640</w:t>
            </w:r>
          </w:p>
        </w:tc>
        <w:tc>
          <w:tcPr>
            <w:tcW w:w="246"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13"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230,491</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11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Segment net income</w:t>
            </w:r>
          </w:p>
        </w:tc>
        <w:tc>
          <w:tcPr>
            <w:tcW w:w="265"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86"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4,162</w:t>
            </w:r>
          </w:p>
        </w:tc>
        <w:tc>
          <w:tcPr>
            <w:tcW w:w="265"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86"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17,516</w:t>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13"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196,392</w:t>
            </w:r>
          </w:p>
        </w:tc>
        <w:tc>
          <w:tcPr>
            <w:tcW w:w="246"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13"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207,021</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118" w:type="dxa"/>
            <w:tcBorders/>
            <w:shd w:fill="CCEEFF" w:val="clear"/>
            <w:vAlign w:val="center"/>
          </w:tcPr>
          <w:p>
            <w:pPr>
              <w:pStyle w:val="TableContents"/>
              <w:bidi w:val="0"/>
              <w:spacing w:before="0" w:after="283"/>
              <w:jc w:val="left"/>
              <w:rPr>
                <w:sz w:val="4"/>
                <w:szCs w:val="4"/>
              </w:rPr>
            </w:pPr>
            <w:r>
              <w:rPr>
                <w:sz w:val="4"/>
                <w:szCs w:val="4"/>
              </w:rPr>
            </w:r>
          </w:p>
        </w:tc>
        <w:tc>
          <w:tcPr>
            <w:tcW w:w="265"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86"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65"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86"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6"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13"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46"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13"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1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Operating Statistics</w:t>
            </w:r>
          </w:p>
        </w:tc>
        <w:tc>
          <w:tcPr>
            <w:tcW w:w="265"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1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Selected operating results as a percentage of operating revenues:</w:t>
            </w:r>
          </w:p>
        </w:tc>
        <w:tc>
          <w:tcPr>
            <w:tcW w:w="265" w:type="dxa"/>
            <w:tcBorders/>
            <w:shd w:fill="CCEEFF" w:val="clear"/>
            <w:vAlign w:val="center"/>
          </w:tcPr>
          <w:p>
            <w:pPr>
              <w:pStyle w:val="TableContents"/>
              <w:bidi w:val="0"/>
              <w:spacing w:before="0" w:after="283"/>
              <w:jc w:val="left"/>
              <w:rPr>
                <w:sz w:val="4"/>
                <w:szCs w:val="4"/>
              </w:rPr>
            </w:pPr>
            <w:r>
              <w:rPr>
                <w:sz w:val="4"/>
                <w:szCs w:val="4"/>
              </w:rPr>
            </w:r>
          </w:p>
        </w:tc>
        <w:tc>
          <w:tcPr>
            <w:tcW w:w="986" w:type="dxa"/>
            <w:tcBorders/>
            <w:shd w:fill="CCEEFF" w:val="clear"/>
            <w:vAlign w:val="center"/>
          </w:tcPr>
          <w:p>
            <w:pPr>
              <w:pStyle w:val="TableContents"/>
              <w:bidi w:val="0"/>
              <w:spacing w:before="0" w:after="283"/>
              <w:jc w:val="left"/>
              <w:rPr>
                <w:sz w:val="4"/>
                <w:szCs w:val="4"/>
              </w:rPr>
            </w:pPr>
            <w:r>
              <w:rPr>
                <w:sz w:val="4"/>
                <w:szCs w:val="4"/>
              </w:rPr>
            </w:r>
          </w:p>
        </w:tc>
        <w:tc>
          <w:tcPr>
            <w:tcW w:w="265" w:type="dxa"/>
            <w:tcBorders/>
            <w:shd w:fill="CCEEFF" w:val="clear"/>
            <w:vAlign w:val="center"/>
          </w:tcPr>
          <w:p>
            <w:pPr>
              <w:pStyle w:val="TableContents"/>
              <w:bidi w:val="0"/>
              <w:spacing w:before="0" w:after="283"/>
              <w:jc w:val="left"/>
              <w:rPr>
                <w:sz w:val="4"/>
                <w:szCs w:val="4"/>
              </w:rPr>
            </w:pPr>
            <w:r>
              <w:rPr>
                <w:sz w:val="4"/>
                <w:szCs w:val="4"/>
              </w:rPr>
            </w:r>
          </w:p>
        </w:tc>
        <w:tc>
          <w:tcPr>
            <w:tcW w:w="98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6" w:type="dxa"/>
            <w:tcBorders/>
            <w:shd w:fill="CCEEFF" w:val="clear"/>
            <w:vAlign w:val="center"/>
          </w:tcPr>
          <w:p>
            <w:pPr>
              <w:pStyle w:val="TableContents"/>
              <w:bidi w:val="0"/>
              <w:spacing w:before="0" w:after="283"/>
              <w:jc w:val="left"/>
              <w:rPr>
                <w:sz w:val="4"/>
                <w:szCs w:val="4"/>
              </w:rPr>
            </w:pPr>
            <w:r>
              <w:rPr>
                <w:sz w:val="4"/>
                <w:szCs w:val="4"/>
              </w:rPr>
            </w:r>
          </w:p>
        </w:tc>
        <w:tc>
          <w:tcPr>
            <w:tcW w:w="913" w:type="dxa"/>
            <w:tcBorders/>
            <w:shd w:fill="CCEEFF" w:val="clear"/>
            <w:vAlign w:val="center"/>
          </w:tcPr>
          <w:p>
            <w:pPr>
              <w:pStyle w:val="TableContents"/>
              <w:bidi w:val="0"/>
              <w:spacing w:before="0" w:after="283"/>
              <w:jc w:val="left"/>
              <w:rPr>
                <w:sz w:val="4"/>
                <w:szCs w:val="4"/>
              </w:rPr>
            </w:pPr>
            <w:r>
              <w:rPr>
                <w:sz w:val="4"/>
                <w:szCs w:val="4"/>
              </w:rPr>
            </w:r>
          </w:p>
        </w:tc>
        <w:tc>
          <w:tcPr>
            <w:tcW w:w="246" w:type="dxa"/>
            <w:tcBorders/>
            <w:shd w:fill="CCEEFF" w:val="clear"/>
            <w:vAlign w:val="center"/>
          </w:tcPr>
          <w:p>
            <w:pPr>
              <w:pStyle w:val="TableContents"/>
              <w:bidi w:val="0"/>
              <w:spacing w:before="0" w:after="283"/>
              <w:jc w:val="left"/>
              <w:rPr>
                <w:sz w:val="4"/>
                <w:szCs w:val="4"/>
              </w:rPr>
            </w:pPr>
            <w:r>
              <w:rPr>
                <w:sz w:val="4"/>
                <w:szCs w:val="4"/>
              </w:rPr>
            </w:r>
          </w:p>
        </w:tc>
        <w:tc>
          <w:tcPr>
            <w:tcW w:w="913" w:type="dxa"/>
            <w:tcBorders/>
            <w:shd w:fill="CCEEFF" w:val="cle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1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Operations and maintenance</w:t>
            </w:r>
          </w:p>
        </w:tc>
        <w:tc>
          <w:tcPr>
            <w:tcW w:w="265"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29.5%</w:t>
            </w:r>
          </w:p>
        </w:tc>
        <w:tc>
          <w:tcPr>
            <w:tcW w:w="265"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28.1%</w:t>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15.2%</w:t>
            </w:r>
          </w:p>
        </w:tc>
        <w:tc>
          <w:tcPr>
            <w:tcW w:w="2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16.3%</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11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Purchased gas</w:t>
            </w:r>
          </w:p>
        </w:tc>
        <w:tc>
          <w:tcPr>
            <w:tcW w:w="265" w:type="dxa"/>
            <w:tcBorders/>
            <w:shd w:fill="CCEEFF" w:val="clear"/>
            <w:vAlign w:val="center"/>
          </w:tcPr>
          <w:p>
            <w:pPr>
              <w:pStyle w:val="TableContents"/>
              <w:bidi w:val="0"/>
              <w:spacing w:before="0" w:after="283"/>
              <w:jc w:val="left"/>
              <w:rPr>
                <w:sz w:val="4"/>
                <w:szCs w:val="4"/>
              </w:rPr>
            </w:pPr>
            <w:r>
              <w:rPr>
                <w:sz w:val="4"/>
                <w:szCs w:val="4"/>
              </w:rPr>
            </w:r>
          </w:p>
        </w:tc>
        <w:tc>
          <w:tcPr>
            <w:tcW w:w="9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26.2%</w:t>
            </w:r>
          </w:p>
        </w:tc>
        <w:tc>
          <w:tcPr>
            <w:tcW w:w="265" w:type="dxa"/>
            <w:tcBorders/>
            <w:shd w:fill="CCEEFF" w:val="clear"/>
            <w:vAlign w:val="center"/>
          </w:tcPr>
          <w:p>
            <w:pPr>
              <w:pStyle w:val="TableContents"/>
              <w:bidi w:val="0"/>
              <w:spacing w:before="0" w:after="283"/>
              <w:jc w:val="left"/>
              <w:rPr>
                <w:sz w:val="4"/>
                <w:szCs w:val="4"/>
              </w:rPr>
            </w:pPr>
            <w:r>
              <w:rPr>
                <w:sz w:val="4"/>
                <w:szCs w:val="4"/>
              </w:rPr>
            </w:r>
          </w:p>
        </w:tc>
        <w:tc>
          <w:tcPr>
            <w:tcW w:w="9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30.2%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6" w:type="dxa"/>
            <w:tcBorders/>
            <w:shd w:fill="CCEEFF" w:val="clear"/>
            <w:vAlign w:val="center"/>
          </w:tcPr>
          <w:p>
            <w:pPr>
              <w:pStyle w:val="TableContents"/>
              <w:bidi w:val="0"/>
              <w:spacing w:before="0" w:after="283"/>
              <w:jc w:val="left"/>
              <w:rPr>
                <w:sz w:val="4"/>
                <w:szCs w:val="4"/>
              </w:rPr>
            </w:pPr>
            <w:r>
              <w:rPr>
                <w:sz w:val="4"/>
                <w:szCs w:val="4"/>
              </w:rPr>
            </w:r>
          </w:p>
        </w:tc>
        <w:tc>
          <w:tcPr>
            <w:tcW w:w="91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39.7%</w:t>
            </w:r>
          </w:p>
        </w:tc>
        <w:tc>
          <w:tcPr>
            <w:tcW w:w="246" w:type="dxa"/>
            <w:tcBorders/>
            <w:shd w:fill="CCEEFF" w:val="clear"/>
            <w:vAlign w:val="center"/>
          </w:tcPr>
          <w:p>
            <w:pPr>
              <w:pStyle w:val="TableContents"/>
              <w:bidi w:val="0"/>
              <w:spacing w:before="0" w:after="283"/>
              <w:jc w:val="left"/>
              <w:rPr>
                <w:sz w:val="4"/>
                <w:szCs w:val="4"/>
              </w:rPr>
            </w:pPr>
            <w:r>
              <w:rPr>
                <w:sz w:val="4"/>
                <w:szCs w:val="4"/>
              </w:rPr>
            </w:r>
          </w:p>
        </w:tc>
        <w:tc>
          <w:tcPr>
            <w:tcW w:w="91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35.6%</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11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Depreciation and amortization</w:t>
            </w:r>
          </w:p>
        </w:tc>
        <w:tc>
          <w:tcPr>
            <w:tcW w:w="265"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24.1%</w:t>
            </w:r>
          </w:p>
        </w:tc>
        <w:tc>
          <w:tcPr>
            <w:tcW w:w="265"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21.6%</w:t>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11.6%</w:t>
            </w:r>
          </w:p>
        </w:tc>
        <w:tc>
          <w:tcPr>
            <w:tcW w:w="2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11.8%</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11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Taxes other than income taxes</w:t>
            </w:r>
          </w:p>
        </w:tc>
        <w:tc>
          <w:tcPr>
            <w:tcW w:w="265" w:type="dxa"/>
            <w:tcBorders/>
            <w:shd w:fill="CCEEFF" w:val="clear"/>
            <w:vAlign w:val="center"/>
          </w:tcPr>
          <w:p>
            <w:pPr>
              <w:pStyle w:val="TableContents"/>
              <w:bidi w:val="0"/>
              <w:spacing w:before="0" w:after="283"/>
              <w:jc w:val="left"/>
              <w:rPr>
                <w:sz w:val="4"/>
                <w:szCs w:val="4"/>
              </w:rPr>
            </w:pPr>
            <w:r>
              <w:rPr>
                <w:sz w:val="4"/>
                <w:szCs w:val="4"/>
              </w:rPr>
            </w:r>
          </w:p>
        </w:tc>
        <w:tc>
          <w:tcPr>
            <w:tcW w:w="9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w:t>
            </w:r>
          </w:p>
        </w:tc>
        <w:tc>
          <w:tcPr>
            <w:tcW w:w="265" w:type="dxa"/>
            <w:tcBorders/>
            <w:shd w:fill="CCEEFF" w:val="clear"/>
            <w:vAlign w:val="center"/>
          </w:tcPr>
          <w:p>
            <w:pPr>
              <w:pStyle w:val="TableContents"/>
              <w:bidi w:val="0"/>
              <w:spacing w:before="0" w:after="283"/>
              <w:jc w:val="left"/>
              <w:rPr>
                <w:sz w:val="4"/>
                <w:szCs w:val="4"/>
              </w:rPr>
            </w:pPr>
            <w:r>
              <w:rPr>
                <w:sz w:val="4"/>
                <w:szCs w:val="4"/>
              </w:rPr>
            </w:r>
          </w:p>
        </w:tc>
        <w:tc>
          <w:tcPr>
            <w:tcW w:w="9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6" w:type="dxa"/>
            <w:tcBorders/>
            <w:shd w:fill="CCEEFF" w:val="clear"/>
            <w:vAlign w:val="center"/>
          </w:tcPr>
          <w:p>
            <w:pPr>
              <w:pStyle w:val="TableContents"/>
              <w:bidi w:val="0"/>
              <w:spacing w:before="0" w:after="283"/>
              <w:jc w:val="left"/>
              <w:rPr>
                <w:sz w:val="4"/>
                <w:szCs w:val="4"/>
              </w:rPr>
            </w:pPr>
            <w:r>
              <w:rPr>
                <w:sz w:val="4"/>
                <w:szCs w:val="4"/>
              </w:rPr>
            </w:r>
          </w:p>
        </w:tc>
        <w:tc>
          <w:tcPr>
            <w:tcW w:w="91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w:t>
            </w:r>
          </w:p>
        </w:tc>
        <w:tc>
          <w:tcPr>
            <w:tcW w:w="246" w:type="dxa"/>
            <w:tcBorders/>
            <w:shd w:fill="CCEEFF" w:val="clear"/>
            <w:vAlign w:val="center"/>
          </w:tcPr>
          <w:p>
            <w:pPr>
              <w:pStyle w:val="TableContents"/>
              <w:bidi w:val="0"/>
              <w:spacing w:before="0" w:after="283"/>
              <w:jc w:val="left"/>
              <w:rPr>
                <w:sz w:val="4"/>
                <w:szCs w:val="4"/>
              </w:rPr>
            </w:pPr>
            <w:r>
              <w:rPr>
                <w:sz w:val="4"/>
                <w:szCs w:val="4"/>
              </w:rPr>
            </w:r>
          </w:p>
        </w:tc>
        <w:tc>
          <w:tcPr>
            <w:tcW w:w="91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11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Interest expense, net of interest income</w:t>
            </w:r>
          </w:p>
        </w:tc>
        <w:tc>
          <w:tcPr>
            <w:tcW w:w="265"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16.6%</w:t>
            </w:r>
          </w:p>
        </w:tc>
        <w:tc>
          <w:tcPr>
            <w:tcW w:w="265"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14.6%</w:t>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8.0%</w:t>
            </w:r>
          </w:p>
        </w:tc>
        <w:tc>
          <w:tcPr>
            <w:tcW w:w="2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8.0%</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11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Segment net income</w:t>
            </w:r>
          </w:p>
        </w:tc>
        <w:tc>
          <w:tcPr>
            <w:tcW w:w="265" w:type="dxa"/>
            <w:tcBorders/>
            <w:shd w:fill="CCEEFF" w:val="clear"/>
            <w:vAlign w:val="center"/>
          </w:tcPr>
          <w:p>
            <w:pPr>
              <w:pStyle w:val="TableContents"/>
              <w:bidi w:val="0"/>
              <w:spacing w:before="0" w:after="283"/>
              <w:jc w:val="left"/>
              <w:rPr>
                <w:sz w:val="4"/>
                <w:szCs w:val="4"/>
              </w:rPr>
            </w:pPr>
            <w:r>
              <w:rPr>
                <w:sz w:val="4"/>
                <w:szCs w:val="4"/>
              </w:rPr>
            </w:r>
          </w:p>
        </w:tc>
        <w:tc>
          <w:tcPr>
            <w:tcW w:w="9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w:t>
            </w:r>
          </w:p>
        </w:tc>
        <w:tc>
          <w:tcPr>
            <w:tcW w:w="265" w:type="dxa"/>
            <w:tcBorders/>
            <w:shd w:fill="CCEEFF" w:val="clear"/>
            <w:vAlign w:val="center"/>
          </w:tcPr>
          <w:p>
            <w:pPr>
              <w:pStyle w:val="TableContents"/>
              <w:bidi w:val="0"/>
              <w:spacing w:before="0" w:after="283"/>
              <w:jc w:val="left"/>
              <w:rPr>
                <w:sz w:val="4"/>
                <w:szCs w:val="4"/>
              </w:rPr>
            </w:pPr>
            <w:r>
              <w:rPr>
                <w:sz w:val="4"/>
                <w:szCs w:val="4"/>
              </w:rPr>
            </w:r>
          </w:p>
        </w:tc>
        <w:tc>
          <w:tcPr>
            <w:tcW w:w="9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6" w:type="dxa"/>
            <w:tcBorders/>
            <w:shd w:fill="CCEEFF" w:val="clear"/>
            <w:vAlign w:val="center"/>
          </w:tcPr>
          <w:p>
            <w:pPr>
              <w:pStyle w:val="TableContents"/>
              <w:bidi w:val="0"/>
              <w:spacing w:before="0" w:after="283"/>
              <w:jc w:val="left"/>
              <w:rPr>
                <w:sz w:val="4"/>
                <w:szCs w:val="4"/>
              </w:rPr>
            </w:pPr>
            <w:r>
              <w:rPr>
                <w:sz w:val="4"/>
                <w:szCs w:val="4"/>
              </w:rPr>
            </w:r>
          </w:p>
        </w:tc>
        <w:tc>
          <w:tcPr>
            <w:tcW w:w="91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28.1%</w:t>
            </w:r>
          </w:p>
        </w:tc>
        <w:tc>
          <w:tcPr>
            <w:tcW w:w="246" w:type="dxa"/>
            <w:tcBorders/>
            <w:shd w:fill="CCEEFF" w:val="clear"/>
            <w:vAlign w:val="center"/>
          </w:tcPr>
          <w:p>
            <w:pPr>
              <w:pStyle w:val="TableContents"/>
              <w:bidi w:val="0"/>
              <w:spacing w:before="0" w:after="283"/>
              <w:jc w:val="left"/>
              <w:rPr>
                <w:sz w:val="4"/>
                <w:szCs w:val="4"/>
              </w:rPr>
            </w:pPr>
            <w:r>
              <w:rPr>
                <w:sz w:val="4"/>
                <w:szCs w:val="4"/>
              </w:rPr>
            </w:r>
          </w:p>
        </w:tc>
        <w:tc>
          <w:tcPr>
            <w:tcW w:w="91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31.9%</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11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1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Effective tax rate</w:t>
            </w:r>
          </w:p>
        </w:tc>
        <w:tc>
          <w:tcPr>
            <w:tcW w:w="265" w:type="dxa"/>
            <w:tcBorders/>
            <w:shd w:fill="CCEEFF" w:val="clear"/>
            <w:vAlign w:val="center"/>
          </w:tcPr>
          <w:p>
            <w:pPr>
              <w:pStyle w:val="TableContents"/>
              <w:bidi w:val="0"/>
              <w:spacing w:before="0" w:after="283"/>
              <w:jc w:val="left"/>
              <w:rPr>
                <w:sz w:val="4"/>
                <w:szCs w:val="4"/>
              </w:rPr>
            </w:pPr>
            <w:r>
              <w:rPr>
                <w:sz w:val="4"/>
                <w:szCs w:val="4"/>
              </w:rPr>
            </w:r>
          </w:p>
        </w:tc>
        <w:tc>
          <w:tcPr>
            <w:tcW w:w="9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-70.0%</w:t>
            </w:r>
          </w:p>
        </w:tc>
        <w:tc>
          <w:tcPr>
            <w:tcW w:w="265" w:type="dxa"/>
            <w:tcBorders/>
            <w:shd w:fill="CCEEFF" w:val="clear"/>
            <w:vAlign w:val="center"/>
          </w:tcPr>
          <w:p>
            <w:pPr>
              <w:pStyle w:val="TableContents"/>
              <w:bidi w:val="0"/>
              <w:spacing w:before="0" w:after="283"/>
              <w:jc w:val="left"/>
              <w:rPr>
                <w:sz w:val="4"/>
                <w:szCs w:val="4"/>
              </w:rPr>
            </w:pPr>
            <w:r>
              <w:rPr>
                <w:sz w:val="4"/>
                <w:szCs w:val="4"/>
              </w:rPr>
            </w:r>
          </w:p>
        </w:tc>
        <w:tc>
          <w:tcPr>
            <w:tcW w:w="9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-96.5%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6" w:type="dxa"/>
            <w:tcBorders/>
            <w:shd w:fill="CCEEFF" w:val="clear"/>
            <w:vAlign w:val="center"/>
          </w:tcPr>
          <w:p>
            <w:pPr>
              <w:pStyle w:val="TableContents"/>
              <w:bidi w:val="0"/>
              <w:spacing w:before="0" w:after="283"/>
              <w:jc w:val="left"/>
              <w:rPr>
                <w:sz w:val="4"/>
                <w:szCs w:val="4"/>
              </w:rPr>
            </w:pPr>
            <w:r>
              <w:rPr>
                <w:sz w:val="4"/>
                <w:szCs w:val="4"/>
              </w:rPr>
            </w:r>
          </w:p>
        </w:tc>
        <w:tc>
          <w:tcPr>
            <w:tcW w:w="91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-16.1%</w:t>
            </w:r>
          </w:p>
        </w:tc>
        <w:tc>
          <w:tcPr>
            <w:tcW w:w="246" w:type="dxa"/>
            <w:tcBorders/>
            <w:shd w:fill="CCEEFF" w:val="clear"/>
            <w:vAlign w:val="center"/>
          </w:tcPr>
          <w:p>
            <w:pPr>
              <w:pStyle w:val="TableContents"/>
              <w:bidi w:val="0"/>
              <w:spacing w:before="0" w:after="283"/>
              <w:jc w:val="left"/>
              <w:rPr>
                <w:sz w:val="4"/>
                <w:szCs w:val="4"/>
              </w:rPr>
            </w:pPr>
            <w:r>
              <w:rPr>
                <w:sz w:val="4"/>
                <w:szCs w:val="4"/>
              </w:rPr>
            </w:r>
          </w:p>
        </w:tc>
        <w:tc>
          <w:tcPr>
            <w:tcW w:w="91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-16.3%</w:t>
            </w:r>
          </w:p>
        </w:tc>
        <w:tc>
          <w:tcPr>
            <w:tcW w:w="158" w:type="dxa"/>
            <w:tcBorders/>
            <w:vAlign w:val="center"/>
          </w:tcPr>
          <w:p>
            <w:pPr>
              <w:pStyle w:val="TableContents"/>
              <w:bidi w:val="0"/>
              <w:spacing w:before="0" w:after="283"/>
              <w:jc w:val="left"/>
              <w:rPr>
                <w:sz w:val="4"/>
                <w:szCs w:val="4"/>
              </w:rPr>
            </w:pPr>
            <w:r>
              <w:rPr>
                <w:sz w:val="4"/>
                <w:szCs w:val="4"/>
              </w:rPr>
            </w:r>
          </w:p>
        </w:tc>
      </w:tr>
    </w:tbl>
    <w:p>
      <w:pPr>
        <w:pStyle w:val="Heading1"/>
        <w:bidi w:val="0"/>
        <w:spacing w:lineRule="auto" w:line="259"/>
        <w:rPr>
          <w:rFonts w:ascii="Times New Roman;serif" w:hAnsi="Times New Roman;serif"/>
          <w:b w:val="false"/>
          <w:i/>
          <w:color w:val="000000"/>
          <w:sz w:val="24"/>
          <w:u w:val="single"/>
        </w:rPr>
      </w:pPr>
      <w:r>
        <w:rPr>
          <w:rFonts w:ascii="Times New Roman;serif" w:hAnsi="Times New Roman;serif"/>
          <w:b w:val="false"/>
          <w:i/>
          <w:color w:val="000000"/>
          <w:sz w:val="24"/>
          <w:u w:val="single"/>
        </w:rPr>
        <w:t>Three months ended June 30, 2026 compared with three months ended June 30, 2025</w:t>
      </w:r>
    </w:p>
    <w:p>
      <w:pPr>
        <w:pStyle w:val="Heading1"/>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 xml:space="preserve">Operating revenues from the Regulated Natural Gas segment decreased by $8,042 or by 4.5% due to: </w:t>
      </w:r>
    </w:p>
    <w:p>
      <w:pPr>
        <w:pStyle w:val="TextBody"/>
        <w:bidi w:val="0"/>
        <w:spacing w:lineRule="auto" w:line="259"/>
        <w:rPr/>
      </w:pPr>
      <w:r>
        <w:rPr>
          <w:caps w:val="false"/>
          <w:smallCaps w:val="false"/>
          <w:color w:val="000000"/>
        </w:rPr>
        <w:t></w:t>
      </w:r>
      <w:r>
        <w:rPr>
          <w:rFonts w:ascii="Times New Roman;serif" w:hAnsi="Times New Roman;serif"/>
          <w:b w:val="false"/>
          <w:i w:val="false"/>
          <w:caps w:val="false"/>
          <w:smallCaps w:val="false"/>
          <w:color w:val="000000"/>
          <w:sz w:val="24"/>
        </w:rPr>
        <w:t>a decrease in purchased gas costs of $9,194; refer to purchased gas costs discussion below for further information;</w:t>
      </w:r>
    </w:p>
    <w:p>
      <w:pPr>
        <w:pStyle w:val="TextBody"/>
        <w:bidi w:val="0"/>
        <w:spacing w:lineRule="auto" w:line="259"/>
        <w:rPr/>
      </w:pPr>
      <w:r>
        <w:rPr>
          <w:caps w:val="false"/>
          <w:smallCaps w:val="false"/>
          <w:color w:val="000000"/>
        </w:rPr>
        <w:t></w:t>
      </w:r>
      <w:r>
        <w:rPr>
          <w:rFonts w:ascii="Times New Roman;serif" w:hAnsi="Times New Roman;serif"/>
          <w:b w:val="false"/>
          <w:i w:val="false"/>
          <w:caps w:val="false"/>
          <w:smallCaps w:val="false"/>
          <w:color w:val="000000"/>
          <w:sz w:val="24"/>
        </w:rPr>
        <w:t>impact of lower volumes delivered of $9,051 due to warmer weather conditions during the second quarter of 2026 as compared to 2025; and</w:t>
      </w:r>
    </w:p>
    <w:p>
      <w:pPr>
        <w:pStyle w:val="TextBody"/>
        <w:bidi w:val="0"/>
        <w:spacing w:lineRule="auto" w:line="259"/>
        <w:ind w:left="317" w:right="0" w:hanging="0"/>
        <w:rPr/>
      </w:pPr>
      <w:r>
        <w:rPr>
          <w:caps w:val="false"/>
          <w:smallCaps w:val="false"/>
          <w:color w:val="000000"/>
        </w:rPr>
        <w:t></w:t>
      </w:r>
      <w:r>
        <w:rPr>
          <w:rFonts w:ascii="Times New Roman;serif" w:hAnsi="Times New Roman;serif"/>
          <w:b w:val="false"/>
          <w:i w:val="false"/>
          <w:caps w:val="false"/>
          <w:smallCaps w:val="false"/>
          <w:color w:val="000000"/>
          <w:sz w:val="24"/>
        </w:rPr>
        <w:t xml:space="preserve">a decrease in customer assistance surcharge of $1,537, which generally has an offsetting amount in operations and maintenance expense; offset by </w:t>
      </w:r>
      <w:r>
        <w:rPr>
          <w:rFonts w:ascii="Symbol" w:hAnsi="Symbol"/>
          <w:caps w:val="false"/>
          <w:smallCaps w:val="false"/>
          <w:color w:val="000000"/>
          <w:sz w:val="24"/>
        </w:rPr>
        <w:t> </w:t>
      </w:r>
    </w:p>
    <w:p>
      <w:pPr>
        <w:pStyle w:val="TextBody"/>
        <w:bidi w:val="0"/>
        <w:spacing w:lineRule="auto" w:line="259"/>
        <w:rPr/>
      </w:pPr>
      <w:r>
        <w:rPr>
          <w:caps w:val="false"/>
          <w:smallCaps w:val="false"/>
          <w:color w:val="000000"/>
        </w:rPr>
        <w:t></w:t>
      </w:r>
      <w:r>
        <w:rPr>
          <w:rFonts w:ascii="Times New Roman;serif" w:hAnsi="Times New Roman;serif"/>
          <w:b w:val="false"/>
          <w:i w:val="false"/>
          <w:caps w:val="false"/>
          <w:smallCaps w:val="false"/>
          <w:color w:val="000000"/>
          <w:sz w:val="24"/>
        </w:rPr>
        <w:t>an increase of $11,816 due to higher rates and other surcharges.</w:t>
      </w:r>
    </w:p>
    <w:p>
      <w:pPr>
        <w:pStyle w:val="Heading1"/>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Operations and maintenance expense for the three months ended June 30, 2026 increased by $158 or 0.3% primarily due to the following:</w:t>
      </w:r>
    </w:p>
    <w:p>
      <w:pPr>
        <w:pStyle w:val="TextBody"/>
        <w:bidi w:val="0"/>
        <w:spacing w:lineRule="auto" w:line="259"/>
        <w:rPr/>
      </w:pPr>
      <w:r>
        <w:rPr>
          <w:caps w:val="false"/>
          <w:smallCaps w:val="false"/>
          <w:color w:val="000000"/>
        </w:rPr>
        <w:t></w:t>
      </w:r>
      <w:r>
        <w:rPr>
          <w:rFonts w:ascii="Times New Roman;serif" w:hAnsi="Times New Roman;serif"/>
          <w:b w:val="false"/>
          <w:i w:val="false"/>
          <w:caps w:val="false"/>
          <w:smallCaps w:val="false"/>
          <w:color w:val="000000"/>
          <w:sz w:val="24"/>
        </w:rPr>
        <w:t>an increase in labor and employee benefits of $2,731 primarily due to annual merit increases and higher medical claims;</w:t>
      </w:r>
    </w:p>
    <w:p>
      <w:pPr>
        <w:pStyle w:val="TextBody"/>
        <w:bidi w:val="0"/>
        <w:spacing w:lineRule="auto" w:line="259"/>
        <w:rPr/>
      </w:pPr>
      <w:r>
        <w:rPr>
          <w:caps w:val="false"/>
          <w:smallCaps w:val="false"/>
          <w:color w:val="000000"/>
        </w:rPr>
        <w:t></w:t>
      </w:r>
      <w:r>
        <w:rPr>
          <w:rFonts w:ascii="Times New Roman;serif" w:hAnsi="Times New Roman;serif"/>
          <w:b w:val="false"/>
          <w:i w:val="false"/>
          <w:caps w:val="false"/>
          <w:smallCaps w:val="false"/>
          <w:color w:val="000000"/>
          <w:sz w:val="24"/>
        </w:rPr>
        <w:t>an increase in legal expenses of $1,527; offset by</w:t>
      </w:r>
    </w:p>
    <w:p>
      <w:pPr>
        <w:pStyle w:val="TextBody"/>
        <w:bidi w:val="0"/>
        <w:spacing w:lineRule="auto" w:line="259"/>
        <w:rPr/>
      </w:pPr>
      <w:r>
        <w:rPr>
          <w:caps w:val="false"/>
          <w:smallCaps w:val="false"/>
          <w:color w:val="000000"/>
        </w:rPr>
        <w:t></w:t>
      </w:r>
      <w:r>
        <w:rPr>
          <w:rFonts w:ascii="Times New Roman;serif" w:hAnsi="Times New Roman;serif"/>
          <w:b w:val="false"/>
          <w:i w:val="false"/>
          <w:caps w:val="false"/>
          <w:smallCaps w:val="false"/>
          <w:color w:val="000000"/>
          <w:sz w:val="24"/>
        </w:rPr>
        <w:t>a decrease in bad debt expense of $2,424; and</w:t>
      </w:r>
    </w:p>
    <w:p>
      <w:pPr>
        <w:pStyle w:val="TextBody"/>
        <w:bidi w:val="0"/>
        <w:spacing w:lineRule="auto" w:line="259"/>
        <w:rPr/>
      </w:pPr>
      <w:r>
        <w:rPr>
          <w:caps w:val="false"/>
          <w:smallCaps w:val="false"/>
          <w:color w:val="000000"/>
          <w:shd w:fill="FFFFFF" w:val="clear"/>
        </w:rPr>
        <w:t></w:t>
      </w:r>
      <w:r>
        <w:rPr>
          <w:rFonts w:ascii="Times New Roman;serif" w:hAnsi="Times New Roman;serif"/>
          <w:b w:val="false"/>
          <w:i w:val="false"/>
          <w:caps w:val="false"/>
          <w:smallCaps w:val="false"/>
          <w:color w:val="000000"/>
          <w:sz w:val="24"/>
        </w:rPr>
        <w:t>a decrease in customer assistance surcharge costs of $1,528, which generally has an offsetting amount in revenues</w:t>
      </w:r>
      <w:r>
        <w:rPr>
          <w:rFonts w:ascii="Times New Roman;serif" w:hAnsi="Times New Roman;serif"/>
          <w:b w:val="false"/>
          <w:i w:val="false"/>
          <w:caps w:val="false"/>
          <w:smallCaps w:val="false"/>
          <w:color w:val="000000"/>
          <w:sz w:val="24"/>
          <w:shd w:fill="FFFFFF" w:val="clear"/>
        </w:rPr>
        <w:t>.</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45</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563C1"/>
            <w:sz w:val="24"/>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ESSENTIAL UTILITIES, INC. AND SUBSIDIARIES </w:t>
      </w:r>
    </w:p>
    <w:p>
      <w:pPr>
        <w:pStyle w:val="TextBody"/>
        <w:bidi w:val="0"/>
        <w:spacing w:lineRule="auto" w:line="259"/>
        <w:rPr>
          <w:caps w:val="false"/>
          <w:smallCaps w:val="false"/>
          <w:color w:val="000000"/>
        </w:rPr>
      </w:pPr>
      <w:r>
        <w:rPr>
          <w:caps w:val="false"/>
          <w:smallCaps w:val="false"/>
          <w:color w:val="000000"/>
        </w:rPr>
        <w:t> </w:t>
      </w:r>
    </w:p>
    <w:p>
      <w:pPr>
        <w:pStyle w:val="TextBody"/>
        <w:bidi w:val="0"/>
        <w:spacing w:lineRule="auto" w:line="259"/>
        <w:rPr>
          <w:caps w:val="false"/>
          <w:smallCaps w:val="false"/>
          <w:color w:val="000000"/>
        </w:rPr>
      </w:pPr>
      <w:r>
        <w:rPr>
          <w:caps w:val="false"/>
          <w:smallCaps w:val="false"/>
          <w:color w:val="000000"/>
        </w:rPr>
        <w:t> </w:t>
      </w:r>
      <w:r>
        <w:rPr>
          <w:rFonts w:ascii="Times New Roman;serif" w:hAnsi="Times New Roman;serif"/>
          <w:b w:val="false"/>
          <w:i w:val="false"/>
          <w:caps w:val="false"/>
          <w:smallCaps w:val="false"/>
          <w:color w:val="000000"/>
          <w:sz w:val="24"/>
        </w:rPr>
        <w:t>MANAGEMENT’S DISCUSSION AND ANALYSIS OF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FINANCIAL CONDITION AND RESULTS OF OPERATIONS (continued)</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(In thousands of dollars, except per share amounts)</w:t>
      </w:r>
    </w:p>
    <w:p>
      <w:pPr>
        <w:pStyle w:val="Heading1"/>
        <w:bidi w:val="0"/>
        <w:spacing w:lineRule="auto" w:line="259"/>
        <w:rPr>
          <w:rFonts w:ascii="Times New Roman;serif" w:hAnsi="Times New Roman;serif"/>
          <w:sz w:val="24"/>
        </w:rPr>
      </w:pPr>
      <w:r>
        <w:rPr>
          <w:rFonts w:ascii="Times New Roman;serif" w:hAnsi="Times New Roman;serif"/>
          <w:b w:val="false"/>
          <w:i w:val="false"/>
          <w:caps w:val="false"/>
          <w:smallCaps w:val="false"/>
          <w:color w:val="000000"/>
          <w:sz w:val="24"/>
        </w:rPr>
        <w:t>Our</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Regulated Natural Gas segment is affected by the cost of natural gas, which is passed through to customers using a purchased gas adjustment clause and includes commodity price, transportation and storage costs. These costs are reflected in the condensed consolidated statement of operations and comprehensive income as purchased gas expenses. Fluctuations in the cost of purchased gas impact operating revenues on a dollar-for-dollar basis. Purchased gas decreased by $9,194 or 17.2% largely due to a decrease in the average cost of gas of $3,317 and lower gas usage of $5,877 resulting from a slight shift in customer usage pattern and warmer weather during the second quarter of 2026. During the quarter ended June 30, 2026, we experienced 485 actual heating degree days (HDDs), which was warmer by 6% than prior year’s 514 HDDs for Pittsburgh, Pennsylvania, which we use as a proxy for our western Pennsylvania service territory. HDDs are used in the natural gas industry to measure the relative coldness of weather and to estimate the demand for natural gas.</w:t>
      </w:r>
    </w:p>
    <w:p>
      <w:pPr>
        <w:pStyle w:val="Heading1"/>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 xml:space="preserve">Depreciation and amortization increased by $2,493 or 6.5% primarily due to continued capital investment.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Taxes other than income taxes increased $2,995, or 120.2%, compared to the same period in the prior year, primarily due to the absence of a $2,709 favorable true-up adjustment to sales and use tax accruals recorded in the Regulated Natural Gas segment during the second quarter of 2025 for resolved sales and use tax audit periods.</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Interest expense, net, increased by $2,245 or 8.7% due to higher push down debt borrowings of the Regulated Natural Gas segment from Essential Utilities, Inc, which is primarily used to fund capital projects.</w:t>
      </w:r>
    </w:p>
    <w:p>
      <w:pPr>
        <w:pStyle w:val="Heading1"/>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Our income tax benefit for our Regulated Natural Gas segment decreased by $6,890 in the second quarter of 2026 compared to second quarter of 2025. The decrease in the income tax benefit is primarily attributed to the decrease in tax benefits associated with the repairs tax deduction related to continued qualifying infrastructure investment.</w:t>
      </w:r>
    </w:p>
    <w:p>
      <w:pPr>
        <w:pStyle w:val="Heading1"/>
        <w:bidi w:val="0"/>
        <w:spacing w:lineRule="auto" w:line="259"/>
        <w:rPr>
          <w:rFonts w:ascii="Times New Roman;serif" w:hAnsi="Times New Roman;serif"/>
          <w:b w:val="false"/>
          <w:i/>
          <w:color w:val="000000"/>
          <w:sz w:val="24"/>
          <w:u w:val="single"/>
        </w:rPr>
      </w:pPr>
      <w:r>
        <w:rPr>
          <w:rFonts w:ascii="Times New Roman;serif" w:hAnsi="Times New Roman;serif"/>
          <w:b w:val="false"/>
          <w:i/>
          <w:color w:val="000000"/>
          <w:sz w:val="24"/>
          <w:u w:val="single"/>
        </w:rPr>
        <w:t>Six months ended June 30, 2026 compared with six months ended June 30, 2025</w:t>
      </w:r>
    </w:p>
    <w:p>
      <w:pPr>
        <w:pStyle w:val="Heading1"/>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 xml:space="preserve">Operating revenues from the Regulated Natural Gas segment increased by $50,573 or by 7.8% due to: </w:t>
      </w:r>
    </w:p>
    <w:p>
      <w:pPr>
        <w:pStyle w:val="TextBody"/>
        <w:bidi w:val="0"/>
        <w:spacing w:lineRule="auto" w:line="259"/>
        <w:rPr/>
      </w:pPr>
      <w:r>
        <w:rPr>
          <w:caps w:val="false"/>
          <w:smallCaps w:val="false"/>
          <w:color w:val="000000"/>
        </w:rPr>
        <w:t></w:t>
      </w:r>
      <w:r>
        <w:rPr>
          <w:rFonts w:ascii="Times New Roman;serif" w:hAnsi="Times New Roman;serif"/>
          <w:b w:val="false"/>
          <w:i w:val="false"/>
          <w:caps w:val="false"/>
          <w:smallCaps w:val="false"/>
          <w:color w:val="000000"/>
          <w:sz w:val="24"/>
        </w:rPr>
        <w:t>an increase in purchased gas costs of $47,149; refer to purchased gas costs discussion below for further information;</w:t>
      </w:r>
    </w:p>
    <w:p>
      <w:pPr>
        <w:pStyle w:val="TextBody"/>
        <w:bidi w:val="0"/>
        <w:spacing w:lineRule="auto" w:line="259"/>
        <w:rPr/>
      </w:pPr>
      <w:r>
        <w:rPr>
          <w:caps w:val="false"/>
          <w:smallCaps w:val="false"/>
          <w:color w:val="000000"/>
        </w:rPr>
        <w:t></w:t>
      </w:r>
      <w:r>
        <w:rPr>
          <w:rFonts w:ascii="Times New Roman;serif" w:hAnsi="Times New Roman;serif"/>
          <w:b w:val="false"/>
          <w:i w:val="false"/>
          <w:caps w:val="false"/>
          <w:smallCaps w:val="false"/>
          <w:color w:val="000000"/>
          <w:sz w:val="24"/>
        </w:rPr>
        <w:t>an increase of $19,347 due to higher rates and other surcharges; offset by</w:t>
      </w:r>
    </w:p>
    <w:p>
      <w:pPr>
        <w:pStyle w:val="TextBody"/>
        <w:bidi w:val="0"/>
        <w:spacing w:lineRule="auto" w:line="259"/>
        <w:rPr/>
      </w:pPr>
      <w:r>
        <w:rPr>
          <w:caps w:val="false"/>
          <w:smallCaps w:val="false"/>
          <w:color w:val="000000"/>
        </w:rPr>
        <w:t></w:t>
      </w:r>
      <w:r>
        <w:rPr>
          <w:rFonts w:ascii="Times New Roman;serif" w:hAnsi="Times New Roman;serif"/>
          <w:b w:val="false"/>
          <w:i w:val="false"/>
          <w:caps w:val="false"/>
          <w:smallCaps w:val="false"/>
          <w:color w:val="000000"/>
          <w:sz w:val="24"/>
        </w:rPr>
        <w:t>impact of lower volumes delivered of $8,617 due to warmer weather conditions during the second half of 2026 as compared to 2025;</w:t>
      </w:r>
    </w:p>
    <w:p>
      <w:pPr>
        <w:pStyle w:val="TextBody"/>
        <w:bidi w:val="0"/>
        <w:spacing w:lineRule="auto" w:line="259"/>
        <w:rPr/>
      </w:pPr>
      <w:r>
        <w:rPr>
          <w:caps w:val="false"/>
          <w:smallCaps w:val="false"/>
          <w:color w:val="000000"/>
        </w:rPr>
        <w:t></w:t>
      </w:r>
      <w:r>
        <w:rPr>
          <w:rFonts w:ascii="Times New Roman;serif" w:hAnsi="Times New Roman;serif"/>
          <w:b w:val="false"/>
          <w:i w:val="false"/>
          <w:caps w:val="false"/>
          <w:smallCaps w:val="false"/>
          <w:color w:val="000000"/>
          <w:sz w:val="24"/>
        </w:rPr>
        <w:t>an increase in the weather normalization adjustment of $4,579 in Pennsylvania, which had the effect of decreasing revenues for the six months ended June 30, 2026; and</w:t>
      </w:r>
    </w:p>
    <w:p>
      <w:pPr>
        <w:pStyle w:val="TextBody"/>
        <w:bidi w:val="0"/>
        <w:spacing w:lineRule="auto" w:line="259"/>
        <w:rPr/>
      </w:pPr>
      <w:r>
        <w:rPr>
          <w:caps w:val="false"/>
          <w:smallCaps w:val="false"/>
          <w:color w:val="000000"/>
        </w:rPr>
        <w:t></w:t>
      </w:r>
      <w:r>
        <w:rPr>
          <w:rFonts w:ascii="Times New Roman;serif" w:hAnsi="Times New Roman;serif"/>
          <w:b w:val="false"/>
          <w:i w:val="false"/>
          <w:caps w:val="false"/>
          <w:smallCaps w:val="false"/>
          <w:color w:val="000000"/>
          <w:sz w:val="24"/>
        </w:rPr>
        <w:t xml:space="preserve">a decrease in customer assistance surcharge of $2,578, which generally has an offsetting amount in operations and maintenance expense.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46</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563C1"/>
            <w:sz w:val="24"/>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ESSENTIAL UTILITIES, INC. AND SUBSIDIARIES </w:t>
      </w:r>
    </w:p>
    <w:p>
      <w:pPr>
        <w:pStyle w:val="TextBody"/>
        <w:bidi w:val="0"/>
        <w:spacing w:lineRule="auto" w:line="259"/>
        <w:rPr>
          <w:caps w:val="false"/>
          <w:smallCaps w:val="false"/>
          <w:color w:val="000000"/>
        </w:rPr>
      </w:pPr>
      <w:r>
        <w:rPr>
          <w:caps w:val="false"/>
          <w:smallCaps w:val="false"/>
          <w:color w:val="000000"/>
        </w:rPr>
        <w:t> </w:t>
      </w:r>
    </w:p>
    <w:p>
      <w:pPr>
        <w:pStyle w:val="TextBody"/>
        <w:bidi w:val="0"/>
        <w:spacing w:lineRule="auto" w:line="259"/>
        <w:rPr>
          <w:caps w:val="false"/>
          <w:smallCaps w:val="false"/>
          <w:color w:val="000000"/>
        </w:rPr>
      </w:pPr>
      <w:r>
        <w:rPr>
          <w:caps w:val="false"/>
          <w:smallCaps w:val="false"/>
          <w:color w:val="000000"/>
        </w:rPr>
        <w:t> </w:t>
      </w:r>
      <w:r>
        <w:rPr>
          <w:rFonts w:ascii="Times New Roman;serif" w:hAnsi="Times New Roman;serif"/>
          <w:b w:val="false"/>
          <w:i w:val="false"/>
          <w:caps w:val="false"/>
          <w:smallCaps w:val="false"/>
          <w:color w:val="000000"/>
          <w:sz w:val="24"/>
        </w:rPr>
        <w:t>MANAGEMENT’S DISCUSSION AND ANALYSIS OF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FINANCIAL CONDITION AND RESULTS OF OPERATIONS (continued)</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(In thousands of dollars, except per share amounts)</w:t>
      </w:r>
    </w:p>
    <w:p>
      <w:pPr>
        <w:pStyle w:val="Heading1"/>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Operations and maintenance expense for the six months ended June 30, 2026 increased by $716 or 0.7% primarily due to the following:</w:t>
      </w:r>
    </w:p>
    <w:p>
      <w:pPr>
        <w:pStyle w:val="TextBody"/>
        <w:bidi w:val="0"/>
        <w:spacing w:lineRule="auto" w:line="259"/>
        <w:rPr/>
      </w:pPr>
      <w:r>
        <w:rPr>
          <w:caps w:val="false"/>
          <w:smallCaps w:val="false"/>
          <w:color w:val="000000"/>
        </w:rPr>
        <w:t></w:t>
      </w:r>
      <w:r>
        <w:rPr>
          <w:rFonts w:ascii="Times New Roman;serif" w:hAnsi="Times New Roman;serif"/>
          <w:b w:val="false"/>
          <w:i w:val="false"/>
          <w:caps w:val="false"/>
          <w:smallCaps w:val="false"/>
          <w:color w:val="000000"/>
          <w:sz w:val="24"/>
        </w:rPr>
        <w:t>an increase in labor and employee benefits of $5,252 primarily due to annual merit increases, increase in incentive bonuses and increase in medical claims;</w:t>
      </w:r>
    </w:p>
    <w:p>
      <w:pPr>
        <w:pStyle w:val="TextBody"/>
        <w:bidi w:val="0"/>
        <w:spacing w:lineRule="auto" w:line="259"/>
        <w:rPr/>
      </w:pPr>
      <w:r>
        <w:rPr>
          <w:caps w:val="false"/>
          <w:smallCaps w:val="false"/>
          <w:color w:val="000000"/>
        </w:rPr>
        <w:t></w:t>
      </w:r>
      <w:r>
        <w:rPr>
          <w:rFonts w:ascii="Times New Roman;serif" w:hAnsi="Times New Roman;serif"/>
          <w:b w:val="false"/>
          <w:i w:val="false"/>
          <w:caps w:val="false"/>
          <w:smallCaps w:val="false"/>
          <w:color w:val="000000"/>
          <w:sz w:val="24"/>
        </w:rPr>
        <w:t>an increase in legal expenses of $1,090; offset by</w:t>
      </w:r>
    </w:p>
    <w:p>
      <w:pPr>
        <w:pStyle w:val="TextBody"/>
        <w:bidi w:val="0"/>
        <w:spacing w:lineRule="auto" w:line="259"/>
        <w:rPr/>
      </w:pPr>
      <w:r>
        <w:rPr>
          <w:caps w:val="false"/>
          <w:smallCaps w:val="false"/>
          <w:color w:val="000000"/>
        </w:rPr>
        <w:t></w:t>
      </w:r>
      <w:r>
        <w:rPr>
          <w:rFonts w:ascii="Times New Roman;serif" w:hAnsi="Times New Roman;serif"/>
          <w:b w:val="false"/>
          <w:i w:val="false"/>
          <w:caps w:val="false"/>
          <w:smallCaps w:val="false"/>
          <w:color w:val="000000"/>
          <w:sz w:val="24"/>
        </w:rPr>
        <w:t>a decrease in bad debt expense of $4,453; and</w:t>
      </w:r>
    </w:p>
    <w:p>
      <w:pPr>
        <w:pStyle w:val="TextBody"/>
        <w:bidi w:val="0"/>
        <w:spacing w:lineRule="auto" w:line="259"/>
        <w:rPr/>
      </w:pPr>
      <w:r>
        <w:rPr>
          <w:caps w:val="false"/>
          <w:smallCaps w:val="false"/>
          <w:color w:val="000000"/>
          <w:shd w:fill="FFFFFF" w:val="clear"/>
        </w:rPr>
        <w:t></w:t>
      </w:r>
      <w:r>
        <w:rPr>
          <w:rFonts w:ascii="Times New Roman;serif" w:hAnsi="Times New Roman;serif"/>
          <w:b w:val="false"/>
          <w:i w:val="false"/>
          <w:caps w:val="false"/>
          <w:smallCaps w:val="false"/>
          <w:color w:val="000000"/>
          <w:sz w:val="24"/>
        </w:rPr>
        <w:t>a decrease in customer assistance surcharge costs of $2,431, which generally has an offsetting amount in revenues</w:t>
      </w:r>
      <w:r>
        <w:rPr>
          <w:rFonts w:ascii="Times New Roman;serif" w:hAnsi="Times New Roman;serif"/>
          <w:b w:val="false"/>
          <w:i w:val="false"/>
          <w:caps w:val="false"/>
          <w:smallCaps w:val="false"/>
          <w:color w:val="000000"/>
          <w:sz w:val="24"/>
          <w:shd w:fill="FFFFFF" w:val="clear"/>
        </w:rPr>
        <w:t>.</w:t>
      </w:r>
    </w:p>
    <w:p>
      <w:pPr>
        <w:pStyle w:val="TextBody"/>
        <w:bidi w:val="0"/>
        <w:spacing w:lineRule="auto" w:line="259"/>
        <w:rPr>
          <w:rFonts w:ascii="Times New Roman;serif" w:hAnsi="Times New Roman;serif"/>
          <w:sz w:val="24"/>
        </w:rPr>
      </w:pPr>
      <w:r>
        <w:rPr>
          <w:rFonts w:ascii="Times New Roman;serif" w:hAnsi="Times New Roman;serif"/>
          <w:b w:val="false"/>
          <w:i w:val="false"/>
          <w:caps w:val="false"/>
          <w:smallCaps w:val="false"/>
          <w:color w:val="000000"/>
          <w:sz w:val="24"/>
        </w:rPr>
        <w:t>Our</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Regulated Natural Gas segment is affected by the cost of natural gas, which is passed through to customers using a purchased gas adjustment clause and includes commodity price, transportation and storage costs. These costs are reflected in the condensed consolidated statement of operations and comprehensive income as purchased gas expenses. Fluctuations in the cost of purchased gas impact operating revenues on a dollar-for-dollar basis. Purchased gas increased by $47,149 or 20.5% largely due to an increase in the average cost of gas of $59,976, offset by lower gas usage of $12,827 resulting from a slight shift in customer usage pattern during the first six months of 2026. During the six months ended June 30, 2026, heating degree days (HDDs) in Pittsburgh, Pennsylvania, which the Company uses as a proxy for its western Pennsylvania service territory, were 3,273, or 1% higher than 3,244 HDDs in the prior-year period. HDDs are used in the natural gas industry to measure the relative coldness of weather and to estimate the demand for natural gas.</w:t>
      </w:r>
    </w:p>
    <w:p>
      <w:pPr>
        <w:pStyle w:val="Heading1"/>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 xml:space="preserve">Depreciation and amortization increased by $4,734 or 6.2% primarily due to continued capital investment.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Taxes other than income taxes increased by $3,270 or 39.7% primarily due to the absence of a prior year benefit from favorable sales and use tax accrual adjustment amounting to $2,709 in the Regulated Natural Gas segment following the closure of a sales and use tax audit during the second quarter of 2025.</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Interest expense, net, increased by $3,850 or 7.4% due to higher push down debt borrowings of the Regulated Natural Gas segment from Essential Utilities, Inc, which is primarily used to fund capital projects.</w:t>
      </w:r>
    </w:p>
    <w:p>
      <w:pPr>
        <w:pStyle w:val="Heading1"/>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Our effective income tax rate for our Regulated Natural Gas segment was a benefit of 16.1% and 16.3% in the first six months of 2026 and 2025, respectively. The decrease in the income tax benefit is primarily attributed to the decrease in tax benefits associated with the repairs tax deduction related to continued qualifying infrastructure investment.</w:t>
      </w:r>
    </w:p>
    <w:p>
      <w:pPr>
        <w:pStyle w:val="TextBody"/>
        <w:shd w:fill="FFFFFF" w:val="clear"/>
        <w:bidi w:val="0"/>
        <w:spacing w:lineRule="auto" w:line="259"/>
        <w:rPr>
          <w:rFonts w:ascii="Times New Roman;serif" w:hAnsi="Times New Roman;serif"/>
          <w:b w:val="false"/>
          <w:i w:val="false"/>
          <w:caps w:val="false"/>
          <w:smallCaps w:val="false"/>
          <w:color w:val="000000"/>
          <w:sz w:val="24"/>
          <w:u w:val="single"/>
        </w:rPr>
      </w:pPr>
      <w:r>
        <w:rPr>
          <w:rFonts w:ascii="Times New Roman;serif" w:hAnsi="Times New Roman;serif"/>
          <w:b w:val="false"/>
          <w:i w:val="false"/>
          <w:caps w:val="false"/>
          <w:smallCaps w:val="false"/>
          <w:color w:val="000000"/>
          <w:sz w:val="24"/>
          <w:u w:val="single"/>
        </w:rPr>
        <w:t>Impact of Recent Accounting Pronouncements</w:t>
      </w:r>
    </w:p>
    <w:p>
      <w:pPr>
        <w:pStyle w:val="TextBody"/>
        <w:bidi w:val="0"/>
        <w:spacing w:lineRule="auto" w:line="259"/>
        <w:rPr>
          <w:rFonts w:ascii="Times New Roman;serif" w:hAnsi="Times New Roman;serif"/>
          <w:sz w:val="24"/>
        </w:rPr>
      </w:pPr>
      <w:r>
        <w:rPr>
          <w:rFonts w:ascii="Times New Roman;serif" w:hAnsi="Times New Roman;serif"/>
          <w:b w:val="false"/>
          <w:i w:val="false"/>
          <w:caps w:val="false"/>
          <w:smallCaps w:val="false"/>
          <w:color w:val="000000"/>
          <w:sz w:val="24"/>
        </w:rPr>
        <w:t xml:space="preserve">We describe the impact of recent accounting pronouncements in Note 17, </w:t>
      </w:r>
      <w:r>
        <w:rPr>
          <w:rFonts w:ascii="Times New Roman;serif" w:hAnsi="Times New Roman;serif"/>
          <w:b w:val="false"/>
          <w:i/>
          <w:color w:val="000000"/>
          <w:sz w:val="24"/>
        </w:rPr>
        <w:t>Recent Accounting Pronouncements</w:t>
      </w:r>
      <w:r>
        <w:rPr>
          <w:rFonts w:ascii="Times New Roman;serif" w:hAnsi="Times New Roman;serif"/>
          <w:b w:val="false"/>
          <w:i w:val="false"/>
          <w:caps w:val="false"/>
          <w:smallCaps w:val="false"/>
          <w:color w:val="000000"/>
          <w:sz w:val="24"/>
        </w:rPr>
        <w:t>, to the condensed consolidated financial statements in this report.</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47</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563C1"/>
            <w:sz w:val="24"/>
            <w:u w:val="single"/>
            <w:effect w:val="none"/>
          </w:rPr>
          <w:t>Table of Contents</w:t>
        </w:r>
      </w:hyperlink>
    </w:p>
    <w:p>
      <w:pPr>
        <w:pStyle w:val="TextBody"/>
        <w:bidi w:val="0"/>
        <w:spacing w:lineRule="auto" w:line="259"/>
        <w:rPr>
          <w:caps w:val="false"/>
          <w:smallCaps w:val="false"/>
          <w:color w:val="000000"/>
        </w:rPr>
      </w:pPr>
      <w:r>
        <w:rPr>
          <w:caps w:val="false"/>
          <w:smallCaps w:val="false"/>
          <w:color w:val="000000"/>
        </w:rPr>
        <w:t> </w:t>
      </w:r>
    </w:p>
    <w:p>
      <w:pPr>
        <w:pStyle w:val="TextBody"/>
        <w:bidi w:val="0"/>
        <w:spacing w:lineRule="auto" w:line="259"/>
        <w:rPr>
          <w:rFonts w:ascii="Times New Roman;serif" w:hAnsi="Times New Roman;serif"/>
          <w:sz w:val="24"/>
        </w:rPr>
      </w:pPr>
      <w:r>
        <w:rPr>
          <w:rFonts w:ascii="Times New Roman;serif" w:hAnsi="Times New Roman;serif"/>
          <w:b w:val="false"/>
          <w:i w:val="false"/>
          <w:caps w:val="false"/>
          <w:smallCaps w:val="false"/>
          <w:color w:val="000000"/>
          <w:sz w:val="24"/>
        </w:rPr>
        <w:t>Item 3 – Qua</w:t>
      </w:r>
      <w:bookmarkStart w:id="31" w:name="Item3_QAQ"/>
      <w:bookmarkEnd w:id="31"/>
      <w:r>
        <w:rPr>
          <w:rFonts w:ascii="Times New Roman;serif" w:hAnsi="Times New Roman;serif"/>
          <w:b w:val="false"/>
          <w:i w:val="false"/>
          <w:caps w:val="false"/>
          <w:smallCaps w:val="false"/>
          <w:color w:val="000000"/>
          <w:sz w:val="24"/>
        </w:rPr>
        <w:t>ntitative and Qualitative Disclosures About Market Risk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We are subject to market risks in the normal course of business, including changes in interest rates and equity prices. Refer to Item 7A of the Company’s Annual Report on Form 10-K for the year ended December 31, 2025, filed February 26, 2026, for additional information on market risks.</w:t>
      </w:r>
    </w:p>
    <w:p>
      <w:pPr>
        <w:pStyle w:val="TextBody"/>
        <w:bidi w:val="0"/>
        <w:spacing w:lineRule="auto" w:line="259"/>
        <w:rPr>
          <w:rFonts w:ascii="Times New Roman;serif" w:hAnsi="Times New Roman;serif"/>
          <w:sz w:val="24"/>
        </w:rPr>
      </w:pPr>
      <w:bookmarkStart w:id="32" w:name="_Hlk39337571"/>
      <w:bookmarkEnd w:id="32"/>
      <w:r>
        <w:rPr>
          <w:rFonts w:ascii="Times New Roman;serif" w:hAnsi="Times New Roman;serif"/>
          <w:b w:val="false"/>
          <w:i w:val="false"/>
          <w:caps w:val="false"/>
          <w:smallCaps w:val="false"/>
          <w:color w:val="000000"/>
          <w:sz w:val="24"/>
        </w:rPr>
        <w:t>Item 4 – C</w:t>
      </w:r>
      <w:bookmarkStart w:id="33" w:name="Item4_Controls"/>
      <w:bookmarkEnd w:id="33"/>
      <w:r>
        <w:rPr>
          <w:rFonts w:ascii="Times New Roman;serif" w:hAnsi="Times New Roman;serif"/>
          <w:b w:val="false"/>
          <w:i w:val="false"/>
          <w:caps w:val="false"/>
          <w:smallCaps w:val="false"/>
          <w:color w:val="000000"/>
          <w:sz w:val="24"/>
        </w:rPr>
        <w:t>ontrols and Procedures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(a)Evaluation of Disclosure Controls and Procedures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Our management, with the participation of our Chief Executive Officer and Chief Financial Officer, evaluated the effectiveness of our disclosure controls and procedures as of the end of the period covered by this report. Based on that evaluation, the Chief Executive Officer and Chief Financial Officer concluded that our disclosure controls and procedures as of the end of the period covered by this report are effective such that the information required to be disclosed by us in reports filed under the Securities Exchange Act of 1934 is (i) recorded, processed, summarized and reported within the time periods specified in the Securities and Exchange Commission’s rules and forms and (ii) accumulated and communicated to our management, including the Chief Executive Officer and Chief Financial Officer, as appropriate to allow timely decisions regarding disclosure.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(b)Changes in Internal Control over Financial Reporting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 xml:space="preserve">No change in our internal control over financial reporting occurred during the quarter ended June 30, 2026 that has materially affected, or is reasonably likely to materially affect, our internal control over financial reporting. </w:t>
      </w:r>
    </w:p>
    <w:p>
      <w:pPr>
        <w:pStyle w:val="TextBody"/>
        <w:bidi w:val="0"/>
        <w:spacing w:lineRule="auto" w:line="259"/>
        <w:rPr>
          <w:rFonts w:ascii="Times New Roman;serif" w:hAnsi="Times New Roman;serif"/>
          <w:sz w:val="24"/>
        </w:rPr>
      </w:pPr>
      <w:r>
        <w:rPr>
          <w:rFonts w:ascii="Times New Roman;serif" w:hAnsi="Times New Roman;serif"/>
          <w:b w:val="false"/>
          <w:i w:val="false"/>
          <w:caps w:val="false"/>
          <w:smallCaps w:val="false"/>
          <w:color w:val="000000"/>
          <w:sz w:val="24"/>
        </w:rPr>
        <w:t>Part II. Ot</w:t>
      </w:r>
      <w:bookmarkStart w:id="34" w:name="PartII_Other"/>
      <w:bookmarkEnd w:id="34"/>
      <w:r>
        <w:rPr>
          <w:rFonts w:ascii="Times New Roman;serif" w:hAnsi="Times New Roman;serif"/>
          <w:b w:val="false"/>
          <w:i w:val="false"/>
          <w:caps w:val="false"/>
          <w:smallCaps w:val="false"/>
          <w:color w:val="000000"/>
          <w:sz w:val="24"/>
        </w:rPr>
        <w:t>her Information</w:t>
      </w:r>
    </w:p>
    <w:p>
      <w:pPr>
        <w:pStyle w:val="TextBody"/>
        <w:bidi w:val="0"/>
        <w:spacing w:lineRule="auto" w:line="259"/>
        <w:rPr>
          <w:rFonts w:ascii="Times New Roman;serif" w:hAnsi="Times New Roman;serif"/>
          <w:sz w:val="24"/>
        </w:rPr>
      </w:pPr>
      <w:r>
        <w:rPr>
          <w:rFonts w:ascii="Times New Roman;serif" w:hAnsi="Times New Roman;serif"/>
          <w:b w:val="false"/>
          <w:i w:val="false"/>
          <w:caps w:val="false"/>
          <w:smallCaps w:val="false"/>
          <w:color w:val="000000"/>
          <w:sz w:val="24"/>
        </w:rPr>
        <w:t>Item 1 – Leg</w:t>
      </w:r>
      <w:bookmarkStart w:id="35" w:name="Item1_Legal"/>
      <w:bookmarkEnd w:id="35"/>
      <w:r>
        <w:rPr>
          <w:rFonts w:ascii="Times New Roman;serif" w:hAnsi="Times New Roman;serif"/>
          <w:b w:val="false"/>
          <w:i w:val="false"/>
          <w:caps w:val="false"/>
          <w:smallCaps w:val="false"/>
          <w:color w:val="000000"/>
          <w:sz w:val="24"/>
        </w:rPr>
        <w:t>al Proceedings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 xml:space="preserve">For a discussion of the Company’s legal proceedings, see Part I – Item I – Note 15 to the Company’s condensed consolidated financial statements. </w:t>
      </w:r>
    </w:p>
    <w:p>
      <w:pPr>
        <w:pStyle w:val="TextBody"/>
        <w:bidi w:val="0"/>
        <w:spacing w:lineRule="auto" w:line="259"/>
        <w:rPr>
          <w:rFonts w:ascii="Times New Roman;serif" w:hAnsi="Times New Roman;serif"/>
          <w:sz w:val="24"/>
        </w:rPr>
      </w:pPr>
      <w:r>
        <w:rPr>
          <w:rFonts w:ascii="Times New Roman;serif" w:hAnsi="Times New Roman;serif"/>
          <w:b w:val="false"/>
          <w:i w:val="false"/>
          <w:caps w:val="false"/>
          <w:smallCaps w:val="false"/>
          <w:color w:val="000000"/>
          <w:sz w:val="24"/>
        </w:rPr>
        <w:t>Item 1A – Ris</w:t>
      </w:r>
      <w:bookmarkStart w:id="36" w:name="Item1A_RiskFactors"/>
      <w:bookmarkEnd w:id="36"/>
      <w:r>
        <w:rPr>
          <w:rFonts w:ascii="Times New Roman;serif" w:hAnsi="Times New Roman;serif"/>
          <w:b w:val="false"/>
          <w:i w:val="false"/>
          <w:caps w:val="false"/>
          <w:smallCaps w:val="false"/>
          <w:color w:val="000000"/>
          <w:sz w:val="24"/>
        </w:rPr>
        <w:t>k Factors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Please review the risks disclosed in our Annual Report on Form 10-K for the year ended December 31, 2025, under “Part 1, Item 1A – Risk Factors”.</w:t>
      </w:r>
    </w:p>
    <w:p>
      <w:pPr>
        <w:pStyle w:val="TextBody"/>
        <w:bidi w:val="0"/>
        <w:spacing w:lineRule="auto" w:line="259"/>
        <w:rPr>
          <w:rFonts w:ascii="Times New Roman;serif" w:hAnsi="Times New Roman;serif"/>
          <w:sz w:val="24"/>
        </w:rPr>
      </w:pPr>
      <w:r>
        <w:rPr>
          <w:rFonts w:ascii="Times New Roman;serif" w:hAnsi="Times New Roman;serif"/>
          <w:b w:val="false"/>
          <w:i w:val="false"/>
          <w:caps w:val="false"/>
          <w:smallCaps w:val="false"/>
          <w:color w:val="000000"/>
          <w:sz w:val="24"/>
        </w:rPr>
        <w:t>Item 5 - Other Infor</w:t>
      </w:r>
      <w:bookmarkStart w:id="37" w:name="Item5_Other_Info"/>
      <w:bookmarkEnd w:id="37"/>
      <w:r>
        <w:rPr>
          <w:rFonts w:ascii="Times New Roman;serif" w:hAnsi="Times New Roman;serif"/>
          <w:b w:val="false"/>
          <w:i w:val="false"/>
          <w:caps w:val="false"/>
          <w:smallCaps w:val="false"/>
          <w:color w:val="000000"/>
          <w:sz w:val="24"/>
        </w:rPr>
        <w:t>mation</w:t>
      </w:r>
    </w:p>
    <w:p>
      <w:pPr>
        <w:pStyle w:val="TextBody"/>
        <w:bidi w:val="0"/>
        <w:spacing w:lineRule="auto" w:line="259"/>
        <w:rPr>
          <w:rFonts w:ascii="Times New Roman;serif" w:hAnsi="Times New Roman;serif"/>
          <w:b w:val="false"/>
          <w:i/>
          <w:color w:val="000000"/>
          <w:sz w:val="24"/>
        </w:rPr>
      </w:pPr>
      <w:r>
        <w:rPr>
          <w:rFonts w:ascii="Times New Roman;serif" w:hAnsi="Times New Roman;serif"/>
          <w:b w:val="false"/>
          <w:i/>
          <w:color w:val="000000"/>
          <w:sz w:val="24"/>
        </w:rPr>
        <w:t>Security Trading Plans of Directors and Executive Officers</w:t>
      </w:r>
    </w:p>
    <w:p>
      <w:pPr>
        <w:pStyle w:val="TextBody"/>
        <w:bidi w:val="0"/>
        <w:spacing w:lineRule="auto" w:line="259"/>
        <w:rPr>
          <w:rFonts w:ascii="Times New Roman;serif" w:hAnsi="Times New Roman;serif"/>
          <w:sz w:val="24"/>
        </w:rPr>
      </w:pPr>
      <w:r>
        <w:rPr>
          <w:rFonts w:ascii="Times New Roman;serif" w:hAnsi="Times New Roman;serif"/>
          <w:b w:val="false"/>
          <w:i w:val="false"/>
          <w:caps w:val="false"/>
          <w:smallCaps w:val="false"/>
          <w:color w:val="000000"/>
          <w:sz w:val="24"/>
        </w:rPr>
        <w:t>During the quarter ended June 30, 2026, none of the Company’s directors or executive officers adopted, modified or terminated</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any contract, instruction or written plan for the purchase or sale of Company securities that was intended to satisfy the affirmative defense conditions of Rule 10b5-1(c) or any “non-Rule</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4"/>
        </w:rPr>
        <w:t>10b5-1 trading arrangement”.</w:t>
      </w:r>
    </w:p>
    <w:p>
      <w:pPr>
        <w:pStyle w:val="TextBody"/>
        <w:bidi w:val="0"/>
        <w:spacing w:lineRule="auto" w:line="259"/>
        <w:rPr>
          <w:caps w:val="false"/>
          <w:smallCaps w:val="false"/>
          <w:color w:val="000000"/>
        </w:rPr>
      </w:pPr>
      <w:r>
        <w:rPr>
          <w:caps w:val="false"/>
          <w:smallCaps w:val="false"/>
          <w:color w:val="000000"/>
        </w:rPr>
        <w:t> </w:t>
      </w:r>
    </w:p>
    <w:p>
      <w:pPr>
        <w:pStyle w:val="TextBody"/>
        <w:bidi w:val="0"/>
        <w:spacing w:lineRule="auto" w:line="259"/>
        <w:rPr>
          <w:rFonts w:ascii="Times New Roman;serif" w:hAnsi="Times New Roman;serif"/>
          <w:sz w:val="24"/>
        </w:rPr>
      </w:pPr>
      <w:r>
        <w:rPr>
          <w:rFonts w:ascii="Times New Roman;serif" w:hAnsi="Times New Roman;serif"/>
          <w:b w:val="false"/>
          <w:i w:val="false"/>
          <w:caps w:val="false"/>
          <w:smallCaps w:val="false"/>
          <w:color w:val="000000"/>
          <w:sz w:val="24"/>
        </w:rPr>
        <w:br/>
        <w:t>‎</w:t>
      </w:r>
      <w:r>
        <w:rPr>
          <w:rFonts w:ascii="Times New Roman;serif" w:hAnsi="Times New Roman;serif"/>
          <w:caps w:val="false"/>
          <w:smallCaps w:val="false"/>
          <w:color w:val="000000"/>
          <w:sz w:val="24"/>
        </w:rPr>
        <w:t xml:space="preserve">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48</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563C1"/>
            <w:sz w:val="24"/>
            <w:u w:val="single"/>
            <w:effect w:val="none"/>
          </w:rPr>
          <w:t>Table of Contents</w:t>
        </w:r>
      </w:hyperlink>
    </w:p>
    <w:p>
      <w:pPr>
        <w:pStyle w:val="TextBody"/>
        <w:bidi w:val="0"/>
        <w:spacing w:lineRule="auto" w:line="259"/>
        <w:rPr>
          <w:caps w:val="false"/>
          <w:smallCaps w:val="false"/>
          <w:color w:val="000000"/>
        </w:rPr>
      </w:pPr>
      <w:r>
        <w:rPr>
          <w:caps w:val="false"/>
          <w:smallCaps w:val="false"/>
          <w:color w:val="000000"/>
        </w:rPr>
        <w:t> </w:t>
      </w:r>
    </w:p>
    <w:p>
      <w:pPr>
        <w:pStyle w:val="TextBody"/>
        <w:bidi w:val="0"/>
        <w:spacing w:lineRule="auto" w:line="259"/>
        <w:rPr>
          <w:rFonts w:ascii="Times New Roman;serif" w:hAnsi="Times New Roman;serif"/>
          <w:sz w:val="24"/>
        </w:rPr>
      </w:pPr>
      <w:r>
        <w:rPr>
          <w:rFonts w:ascii="Times New Roman;serif" w:hAnsi="Times New Roman;serif"/>
          <w:b w:val="false"/>
          <w:i w:val="false"/>
          <w:caps w:val="false"/>
          <w:smallCaps w:val="false"/>
          <w:color w:val="000000"/>
          <w:sz w:val="24"/>
        </w:rPr>
        <w:t>Item 6 – Ex</w:t>
      </w:r>
      <w:bookmarkStart w:id="38" w:name="Item6_Exhibits"/>
      <w:bookmarkEnd w:id="38"/>
      <w:r>
        <w:rPr>
          <w:rFonts w:ascii="Times New Roman;serif" w:hAnsi="Times New Roman;serif"/>
          <w:b w:val="false"/>
          <w:i w:val="false"/>
          <w:caps w:val="false"/>
          <w:smallCaps w:val="false"/>
          <w:color w:val="000000"/>
          <w:sz w:val="24"/>
        </w:rPr>
        <w:t>hibits  </w:t>
      </w:r>
    </w:p>
    <w:tbl>
      <w:tblPr>
        <w:tblW w:w="10205" w:type="dxa"/>
        <w:jc w:val="left"/>
        <w:tblInd w:w="0" w:type="dxa"/>
        <w:tblLayout w:type="fixed"/>
        <w:tblCellMar>
          <w:top w:w="0" w:type="dxa"/>
          <w:left w:w="0" w:type="dxa"/>
          <w:bottom w:w="0" w:type="dxa"/>
          <w:right w:w="0" w:type="dxa"/>
        </w:tblCellMar>
      </w:tblPr>
      <w:tblGrid>
        <w:gridCol w:w="1126"/>
        <w:gridCol w:w="109"/>
        <w:gridCol w:w="8970"/>
      </w:tblGrid>
      <w:tr>
        <w:trPr/>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70"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70"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70"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70"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Exhibit No. </w:t>
            </w:r>
          </w:p>
        </w:tc>
        <w:tc>
          <w:tcPr>
            <w:tcW w:w="109" w:type="dxa"/>
            <w:tcBorders/>
            <w:vAlign w:val="center"/>
          </w:tcPr>
          <w:p>
            <w:pPr>
              <w:pStyle w:val="TableContents"/>
              <w:bidi w:val="0"/>
              <w:spacing w:before="0" w:after="283"/>
              <w:jc w:val="left"/>
              <w:rPr>
                <w:sz w:val="4"/>
                <w:szCs w:val="4"/>
              </w:rPr>
            </w:pPr>
            <w:r>
              <w:rPr>
                <w:sz w:val="4"/>
                <w:szCs w:val="4"/>
              </w:rPr>
            </w:r>
          </w:p>
        </w:tc>
        <w:tc>
          <w:tcPr>
            <w:tcW w:w="8970"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20"/>
              </w:rPr>
              <w:t>Description </w:t>
            </w:r>
          </w:p>
        </w:tc>
      </w:tr>
      <w:tr>
        <w:trPr/>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70" w:type="dxa"/>
            <w:tcBorders/>
            <w:vAlign w:val="center"/>
          </w:tcPr>
          <w:p>
            <w:pPr>
              <w:pStyle w:val="TableContents"/>
              <w:bidi w:val="0"/>
              <w:spacing w:before="0" w:after="283"/>
              <w:jc w:val="left"/>
              <w:rPr>
                <w:sz w:val="4"/>
                <w:szCs w:val="4"/>
              </w:rPr>
            </w:pPr>
            <w:r>
              <w:rPr>
                <w:sz w:val="4"/>
                <w:szCs w:val="4"/>
              </w:rPr>
            </w:r>
          </w:p>
        </w:tc>
      </w:tr>
      <w:tr>
        <w:trPr/>
        <w:tc>
          <w:tcPr>
            <w:tcW w:w="11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970" w:type="dxa"/>
            <w:tcBorders/>
            <w:shd w:fill="CCEEFF" w:val="clear"/>
            <w:vAlign w:val="center"/>
          </w:tcPr>
          <w:p>
            <w:pPr>
              <w:pStyle w:val="TableContents"/>
              <w:bidi w:val="0"/>
              <w:spacing w:lineRule="auto" w:line="259" w:before="0" w:after="283"/>
              <w:jc w:val="left"/>
              <w:rPr/>
            </w:pPr>
            <w:hyperlink w:anchor="wtrg-20260630xex10_1.htm">
              <w:r>
                <w:rPr>
                  <w:rStyle w:val="InternetLink"/>
                  <w:rFonts w:ascii="Times New Roman;serif" w:hAnsi="Times New Roman;serif"/>
                  <w:b w:val="false"/>
                  <w:i w:val="false"/>
                  <w:caps w:val="false"/>
                  <w:smallCaps w:val="false"/>
                  <w:color w:val="0563C1"/>
                  <w:sz w:val="20"/>
                  <w:u w:val="single"/>
                </w:rPr>
                <w:t>First Amendment to Credit Agreement, dated June 16, 2026, by and between Essential Utilities, Inc. and PNC Bank, National Association</w:t>
              </w:r>
            </w:hyperlink>
          </w:p>
        </w:tc>
      </w:tr>
      <w:tr>
        <w:trPr/>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70" w:type="dxa"/>
            <w:tcBorders/>
            <w:vAlign w:val="center"/>
          </w:tcPr>
          <w:p>
            <w:pPr>
              <w:pStyle w:val="TableContents"/>
              <w:bidi w:val="0"/>
              <w:spacing w:before="0" w:after="283"/>
              <w:jc w:val="left"/>
              <w:rPr>
                <w:sz w:val="4"/>
                <w:szCs w:val="4"/>
              </w:rPr>
            </w:pPr>
            <w:r>
              <w:rPr>
                <w:sz w:val="4"/>
                <w:szCs w:val="4"/>
              </w:rPr>
            </w:r>
          </w:p>
        </w:tc>
      </w:tr>
      <w:tr>
        <w:trPr/>
        <w:tc>
          <w:tcPr>
            <w:tcW w:w="11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970" w:type="dxa"/>
            <w:tcBorders/>
            <w:shd w:fill="CCEEFF" w:val="clear"/>
            <w:vAlign w:val="center"/>
          </w:tcPr>
          <w:p>
            <w:pPr>
              <w:pStyle w:val="TableContents"/>
              <w:bidi w:val="0"/>
              <w:spacing w:lineRule="auto" w:line="259" w:before="0" w:after="283"/>
              <w:jc w:val="left"/>
              <w:rPr/>
            </w:pPr>
            <w:hyperlink w:anchor="wtrg-20260630xex10_2.htm">
              <w:r>
                <w:rPr>
                  <w:rStyle w:val="InternetLink"/>
                  <w:rFonts w:ascii="Times New Roman;serif" w:hAnsi="Times New Roman;serif"/>
                  <w:b w:val="false"/>
                  <w:i w:val="false"/>
                  <w:caps w:val="false"/>
                  <w:smallCaps w:val="false"/>
                  <w:color w:val="0563C1"/>
                  <w:sz w:val="20"/>
                  <w:u w:val="single"/>
                </w:rPr>
                <w:t>First Amendment to Amended and Restated Credit Agreement, dated May 1, 2026, by and between PNG Companies, LLC and PNC Bank, National Association, Citizens Bank, N.A and Huntington National Bank</w:t>
              </w:r>
            </w:hyperlink>
          </w:p>
        </w:tc>
      </w:tr>
      <w:tr>
        <w:trPr/>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70" w:type="dxa"/>
            <w:tcBorders/>
            <w:vAlign w:val="center"/>
          </w:tcPr>
          <w:p>
            <w:pPr>
              <w:pStyle w:val="TableContents"/>
              <w:bidi w:val="0"/>
              <w:spacing w:before="0" w:after="283"/>
              <w:jc w:val="left"/>
              <w:rPr>
                <w:sz w:val="4"/>
                <w:szCs w:val="4"/>
              </w:rPr>
            </w:pPr>
            <w:r>
              <w:rPr>
                <w:sz w:val="4"/>
                <w:szCs w:val="4"/>
              </w:rPr>
            </w:r>
          </w:p>
        </w:tc>
      </w:tr>
      <w:tr>
        <w:trPr/>
        <w:tc>
          <w:tcPr>
            <w:tcW w:w="11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970" w:type="dxa"/>
            <w:tcBorders/>
            <w:shd w:fill="CCEEFF" w:val="clear"/>
            <w:vAlign w:val="center"/>
          </w:tcPr>
          <w:p>
            <w:pPr>
              <w:pStyle w:val="TableContents"/>
              <w:bidi w:val="0"/>
              <w:spacing w:lineRule="auto" w:line="259" w:before="0" w:after="283"/>
              <w:jc w:val="left"/>
              <w:rPr/>
            </w:pPr>
            <w:hyperlink w:anchor="wtrg-20260630xex10_3.htm">
              <w:r>
                <w:rPr>
                  <w:rStyle w:val="InternetLink"/>
                  <w:rFonts w:ascii="Times New Roman;serif" w:hAnsi="Times New Roman;serif"/>
                  <w:b w:val="false"/>
                  <w:i w:val="false"/>
                  <w:caps w:val="false"/>
                  <w:smallCaps w:val="false"/>
                  <w:color w:val="0563C1"/>
                  <w:sz w:val="20"/>
                  <w:u w:val="single"/>
                </w:rPr>
                <w:t>First Amendment to Second Amended and Restated Revolving Credit Agreement, dated May 1, 2026, by and between Aqua Pennsylvania and PNC Bank, National Association, Citizens Bank, N.A, and Huntington National Bank</w:t>
              </w:r>
            </w:hyperlink>
          </w:p>
        </w:tc>
      </w:tr>
      <w:tr>
        <w:trPr/>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70" w:type="dxa"/>
            <w:tcBorders/>
            <w:vAlign w:val="center"/>
          </w:tcPr>
          <w:p>
            <w:pPr>
              <w:pStyle w:val="TableContents"/>
              <w:bidi w:val="0"/>
              <w:spacing w:before="0" w:after="283"/>
              <w:jc w:val="left"/>
              <w:rPr>
                <w:sz w:val="4"/>
                <w:szCs w:val="4"/>
              </w:rPr>
            </w:pPr>
            <w:r>
              <w:rPr>
                <w:sz w:val="4"/>
                <w:szCs w:val="4"/>
              </w:rPr>
            </w:r>
          </w:p>
        </w:tc>
      </w:tr>
      <w:tr>
        <w:trPr/>
        <w:tc>
          <w:tcPr>
            <w:tcW w:w="11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31.1*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970" w:type="dxa"/>
            <w:tcBorders/>
            <w:shd w:fill="CCEEFF" w:val="clear"/>
            <w:vAlign w:val="center"/>
          </w:tcPr>
          <w:p>
            <w:pPr>
              <w:pStyle w:val="TableContents"/>
              <w:bidi w:val="0"/>
              <w:spacing w:lineRule="auto" w:line="259" w:before="0" w:after="283"/>
              <w:jc w:val="left"/>
              <w:rPr/>
            </w:pPr>
            <w:hyperlink w:anchor="wtrg-20260630xex31_1.htm">
              <w:r>
                <w:rPr>
                  <w:rStyle w:val="InternetLink"/>
                  <w:rFonts w:ascii="Times New Roman;serif" w:hAnsi="Times New Roman;serif"/>
                  <w:b w:val="false"/>
                  <w:i w:val="false"/>
                  <w:caps w:val="false"/>
                  <w:smallCaps w:val="false"/>
                  <w:color w:val="0563C1"/>
                  <w:sz w:val="20"/>
                  <w:u w:val="single"/>
                </w:rPr>
                <w:t>Certification of Chief Executive Officer, filed pursuant to Rule 13a-14(a) under the Securities and Exchange Act of 1934</w:t>
              </w:r>
            </w:hyperlink>
          </w:p>
        </w:tc>
      </w:tr>
      <w:tr>
        <w:trPr/>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70" w:type="dxa"/>
            <w:tcBorders/>
            <w:vAlign w:val="center"/>
          </w:tcPr>
          <w:p>
            <w:pPr>
              <w:pStyle w:val="TableContents"/>
              <w:bidi w:val="0"/>
              <w:spacing w:before="0" w:after="283"/>
              <w:jc w:val="left"/>
              <w:rPr>
                <w:sz w:val="4"/>
                <w:szCs w:val="4"/>
              </w:rPr>
            </w:pPr>
            <w:r>
              <w:rPr>
                <w:sz w:val="4"/>
                <w:szCs w:val="4"/>
              </w:rPr>
            </w:r>
          </w:p>
        </w:tc>
      </w:tr>
      <w:tr>
        <w:trPr/>
        <w:tc>
          <w:tcPr>
            <w:tcW w:w="11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31.2*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970" w:type="dxa"/>
            <w:tcBorders/>
            <w:shd w:fill="CCEEFF" w:val="clear"/>
            <w:vAlign w:val="center"/>
          </w:tcPr>
          <w:p>
            <w:pPr>
              <w:pStyle w:val="TableContents"/>
              <w:bidi w:val="0"/>
              <w:spacing w:lineRule="auto" w:line="259" w:before="0" w:after="283"/>
              <w:jc w:val="left"/>
              <w:rPr/>
            </w:pPr>
            <w:hyperlink w:anchor="wtrg-20260630xex31_2.htm">
              <w:r>
                <w:rPr>
                  <w:rStyle w:val="InternetLink"/>
                  <w:rFonts w:ascii="Times New Roman;serif" w:hAnsi="Times New Roman;serif"/>
                  <w:b w:val="false"/>
                  <w:i w:val="false"/>
                  <w:caps w:val="false"/>
                  <w:smallCaps w:val="false"/>
                  <w:color w:val="0563C1"/>
                  <w:sz w:val="20"/>
                  <w:u w:val="single"/>
                </w:rPr>
                <w:t>Certification of Chief Financial Officer, filed pursuant to Rule 13a-14(a) under the Securities and Exchange Act of 1934</w:t>
              </w:r>
            </w:hyperlink>
          </w:p>
        </w:tc>
      </w:tr>
      <w:tr>
        <w:trPr/>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70" w:type="dxa"/>
            <w:tcBorders/>
            <w:vAlign w:val="center"/>
          </w:tcPr>
          <w:p>
            <w:pPr>
              <w:pStyle w:val="TableContents"/>
              <w:bidi w:val="0"/>
              <w:spacing w:before="0" w:after="283"/>
              <w:jc w:val="left"/>
              <w:rPr>
                <w:sz w:val="4"/>
                <w:szCs w:val="4"/>
              </w:rPr>
            </w:pPr>
            <w:r>
              <w:rPr>
                <w:sz w:val="4"/>
                <w:szCs w:val="4"/>
              </w:rPr>
            </w:r>
          </w:p>
        </w:tc>
      </w:tr>
      <w:tr>
        <w:trPr/>
        <w:tc>
          <w:tcPr>
            <w:tcW w:w="11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32.1*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970" w:type="dxa"/>
            <w:tcBorders/>
            <w:shd w:fill="CCEEFF" w:val="clear"/>
            <w:vAlign w:val="center"/>
          </w:tcPr>
          <w:p>
            <w:pPr>
              <w:pStyle w:val="TableContents"/>
              <w:bidi w:val="0"/>
              <w:spacing w:lineRule="auto" w:line="259" w:before="0" w:after="283"/>
              <w:jc w:val="left"/>
              <w:rPr/>
            </w:pPr>
            <w:hyperlink w:anchor="wtrg-20260630xex32_1.htm">
              <w:r>
                <w:rPr>
                  <w:rStyle w:val="InternetLink"/>
                  <w:rFonts w:ascii="Times New Roman;serif" w:hAnsi="Times New Roman;serif"/>
                  <w:b w:val="false"/>
                  <w:i w:val="false"/>
                  <w:caps w:val="false"/>
                  <w:smallCaps w:val="false"/>
                  <w:color w:val="0563C1"/>
                  <w:sz w:val="20"/>
                  <w:u w:val="single"/>
                </w:rPr>
                <w:t>Certification of Chief Executive Officer, furnished pursuant to 18 U.S.C. Section 1350</w:t>
              </w:r>
            </w:hyperlink>
          </w:p>
        </w:tc>
      </w:tr>
      <w:tr>
        <w:trPr/>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70" w:type="dxa"/>
            <w:tcBorders/>
            <w:vAlign w:val="center"/>
          </w:tcPr>
          <w:p>
            <w:pPr>
              <w:pStyle w:val="TableContents"/>
              <w:bidi w:val="0"/>
              <w:spacing w:before="0" w:after="283"/>
              <w:jc w:val="left"/>
              <w:rPr>
                <w:sz w:val="4"/>
                <w:szCs w:val="4"/>
              </w:rPr>
            </w:pPr>
            <w:r>
              <w:rPr>
                <w:sz w:val="4"/>
                <w:szCs w:val="4"/>
              </w:rPr>
            </w:r>
          </w:p>
        </w:tc>
      </w:tr>
      <w:tr>
        <w:trPr/>
        <w:tc>
          <w:tcPr>
            <w:tcW w:w="11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32.2*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970" w:type="dxa"/>
            <w:tcBorders/>
            <w:shd w:fill="CCEEFF" w:val="clear"/>
            <w:vAlign w:val="center"/>
          </w:tcPr>
          <w:p>
            <w:pPr>
              <w:pStyle w:val="TableContents"/>
              <w:bidi w:val="0"/>
              <w:spacing w:lineRule="auto" w:line="259" w:before="0" w:after="283"/>
              <w:rPr/>
            </w:pPr>
            <w:hyperlink w:anchor="wtrg-20260630xex32_2.htm">
              <w:r>
                <w:rPr>
                  <w:rStyle w:val="InternetLink"/>
                  <w:rFonts w:ascii="Times New Roman;serif" w:hAnsi="Times New Roman;serif"/>
                  <w:b w:val="false"/>
                  <w:i w:val="false"/>
                  <w:caps w:val="false"/>
                  <w:smallCaps w:val="false"/>
                  <w:color w:val="0563C1"/>
                  <w:sz w:val="20"/>
                  <w:u w:val="single"/>
                </w:rPr>
                <w:t>Certification of Chief Financial Officer, furnished pursuant to 18 U.S.C. Section 1350</w:t>
              </w:r>
            </w:hyperlink>
          </w:p>
        </w:tc>
      </w:tr>
      <w:tr>
        <w:trPr/>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70" w:type="dxa"/>
            <w:tcBorders/>
            <w:vAlign w:val="center"/>
          </w:tcPr>
          <w:p>
            <w:pPr>
              <w:pStyle w:val="TableContents"/>
              <w:bidi w:val="0"/>
              <w:spacing w:before="0" w:after="283"/>
              <w:jc w:val="left"/>
              <w:rPr>
                <w:sz w:val="4"/>
                <w:szCs w:val="4"/>
              </w:rPr>
            </w:pPr>
            <w:r>
              <w:rPr>
                <w:sz w:val="4"/>
                <w:szCs w:val="4"/>
              </w:rPr>
            </w:r>
          </w:p>
        </w:tc>
      </w:tr>
      <w:tr>
        <w:trPr/>
        <w:tc>
          <w:tcPr>
            <w:tcW w:w="11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101.INS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97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Inline XBRL Instance Document – The instance document does not appear in the Interactive Data File because its XBRL tags are embedded within the Inline XBRL document.</w:t>
            </w:r>
          </w:p>
        </w:tc>
      </w:tr>
      <w:tr>
        <w:trPr/>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70" w:type="dxa"/>
            <w:tcBorders/>
            <w:vAlign w:val="center"/>
          </w:tcPr>
          <w:p>
            <w:pPr>
              <w:pStyle w:val="TableContents"/>
              <w:bidi w:val="0"/>
              <w:spacing w:before="0" w:after="283"/>
              <w:jc w:val="left"/>
              <w:rPr>
                <w:sz w:val="4"/>
                <w:szCs w:val="4"/>
              </w:rPr>
            </w:pPr>
            <w:r>
              <w:rPr>
                <w:sz w:val="4"/>
                <w:szCs w:val="4"/>
              </w:rPr>
            </w:r>
          </w:p>
        </w:tc>
      </w:tr>
      <w:tr>
        <w:trPr/>
        <w:tc>
          <w:tcPr>
            <w:tcW w:w="11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101.SCH</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97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Inline XBRL Taxonomy Extension Schema Document</w:t>
            </w:r>
          </w:p>
        </w:tc>
      </w:tr>
      <w:tr>
        <w:trPr/>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70" w:type="dxa"/>
            <w:tcBorders/>
            <w:vAlign w:val="center"/>
          </w:tcPr>
          <w:p>
            <w:pPr>
              <w:pStyle w:val="TableContents"/>
              <w:bidi w:val="0"/>
              <w:spacing w:before="0" w:after="283"/>
              <w:jc w:val="left"/>
              <w:rPr>
                <w:sz w:val="4"/>
                <w:szCs w:val="4"/>
              </w:rPr>
            </w:pPr>
            <w:r>
              <w:rPr>
                <w:sz w:val="4"/>
                <w:szCs w:val="4"/>
              </w:rPr>
            </w:r>
          </w:p>
        </w:tc>
      </w:tr>
      <w:tr>
        <w:trPr/>
        <w:tc>
          <w:tcPr>
            <w:tcW w:w="11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101.CAL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97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Inline XBRL Taxonomy Extension Calculation Linkbase Document</w:t>
            </w:r>
          </w:p>
        </w:tc>
      </w:tr>
      <w:tr>
        <w:trPr/>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70" w:type="dxa"/>
            <w:tcBorders/>
            <w:vAlign w:val="center"/>
          </w:tcPr>
          <w:p>
            <w:pPr>
              <w:pStyle w:val="TableContents"/>
              <w:bidi w:val="0"/>
              <w:spacing w:before="0" w:after="283"/>
              <w:jc w:val="left"/>
              <w:rPr>
                <w:sz w:val="4"/>
                <w:szCs w:val="4"/>
              </w:rPr>
            </w:pPr>
            <w:r>
              <w:rPr>
                <w:sz w:val="4"/>
                <w:szCs w:val="4"/>
              </w:rPr>
            </w:r>
          </w:p>
        </w:tc>
      </w:tr>
      <w:tr>
        <w:trPr/>
        <w:tc>
          <w:tcPr>
            <w:tcW w:w="11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101.DEF</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97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Inline XBRL Taxonomy Extension Definition Linkbase Document</w:t>
            </w:r>
          </w:p>
        </w:tc>
      </w:tr>
      <w:tr>
        <w:trPr/>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70" w:type="dxa"/>
            <w:tcBorders/>
            <w:vAlign w:val="center"/>
          </w:tcPr>
          <w:p>
            <w:pPr>
              <w:pStyle w:val="TableContents"/>
              <w:bidi w:val="0"/>
              <w:spacing w:before="0" w:after="283"/>
              <w:jc w:val="left"/>
              <w:rPr>
                <w:sz w:val="4"/>
                <w:szCs w:val="4"/>
              </w:rPr>
            </w:pPr>
            <w:r>
              <w:rPr>
                <w:sz w:val="4"/>
                <w:szCs w:val="4"/>
              </w:rPr>
            </w:r>
          </w:p>
        </w:tc>
      </w:tr>
      <w:tr>
        <w:trPr/>
        <w:tc>
          <w:tcPr>
            <w:tcW w:w="11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101.LAB</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97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Inline XBRL Taxonomy Extension Label Linkbase Document</w:t>
            </w:r>
          </w:p>
        </w:tc>
      </w:tr>
      <w:tr>
        <w:trPr/>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70" w:type="dxa"/>
            <w:tcBorders/>
            <w:vAlign w:val="center"/>
          </w:tcPr>
          <w:p>
            <w:pPr>
              <w:pStyle w:val="TableContents"/>
              <w:bidi w:val="0"/>
              <w:spacing w:before="0" w:after="283"/>
              <w:jc w:val="left"/>
              <w:rPr>
                <w:sz w:val="4"/>
                <w:szCs w:val="4"/>
              </w:rPr>
            </w:pPr>
            <w:r>
              <w:rPr>
                <w:sz w:val="4"/>
                <w:szCs w:val="4"/>
              </w:rPr>
            </w:r>
          </w:p>
        </w:tc>
      </w:tr>
      <w:tr>
        <w:trPr/>
        <w:tc>
          <w:tcPr>
            <w:tcW w:w="11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101.PRES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97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Inline XBRL Taxonomy Extension Presentation Linkbase Document</w:t>
            </w:r>
          </w:p>
        </w:tc>
      </w:tr>
      <w:tr>
        <w:trPr/>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70" w:type="dxa"/>
            <w:tcBorders/>
            <w:vAlign w:val="center"/>
          </w:tcPr>
          <w:p>
            <w:pPr>
              <w:pStyle w:val="TableContents"/>
              <w:bidi w:val="0"/>
              <w:spacing w:before="0" w:after="283"/>
              <w:jc w:val="left"/>
              <w:rPr>
                <w:sz w:val="4"/>
                <w:szCs w:val="4"/>
              </w:rPr>
            </w:pPr>
            <w:r>
              <w:rPr>
                <w:sz w:val="4"/>
                <w:szCs w:val="4"/>
              </w:rPr>
            </w:r>
          </w:p>
        </w:tc>
      </w:tr>
      <w:tr>
        <w:trPr/>
        <w:tc>
          <w:tcPr>
            <w:tcW w:w="11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97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 cover page from the Company’s Quarterly Report on Form 10-Q for the quarter ended June 30, 2026, formatted in Inline XBRL (included in Exhibit 101)</w:t>
            </w:r>
          </w:p>
        </w:tc>
      </w:tr>
    </w:tbl>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*Filed herewith.</w:t>
      </w:r>
    </w:p>
    <w:p>
      <w:pPr>
        <w:pStyle w:val="TextBody"/>
        <w:bidi w:val="0"/>
        <w:spacing w:lineRule="auto" w:line="259"/>
        <w:rPr>
          <w:rFonts w:ascii="Times New Roman;serif" w:hAnsi="Times New Roman;serif"/>
          <w:sz w:val="24"/>
        </w:rPr>
      </w:pPr>
      <w:r>
        <w:rPr>
          <w:rFonts w:ascii="Times New Roman;serif" w:hAnsi="Times New Roman;serif"/>
          <w:b w:val="false"/>
          <w:i w:val="false"/>
          <w:caps w:val="false"/>
          <w:smallCaps w:val="false"/>
          <w:color w:val="000000"/>
          <w:position w:val="8"/>
          <w:sz w:val="19"/>
          <w:sz w:val="24"/>
        </w:rPr>
        <w:t xml:space="preserve"># </w:t>
      </w:r>
      <w:r>
        <w:rPr>
          <w:rFonts w:ascii="Times New Roman;serif" w:hAnsi="Times New Roman;serif"/>
          <w:b w:val="false"/>
          <w:i w:val="false"/>
          <w:caps w:val="false"/>
          <w:smallCaps w:val="false"/>
          <w:color w:val="000000"/>
          <w:sz w:val="24"/>
        </w:rPr>
        <w:t>Certain schedules and exhibits to this agreement have been omitted as permitted by rules or regulations of the SEC. The Company will furnish the omitted schedules and exhibits to the SEC upon request.</w:t>
      </w:r>
    </w:p>
    <w:p>
      <w:pPr>
        <w:pStyle w:val="TextBody"/>
        <w:bidi w:val="0"/>
        <w:spacing w:lineRule="auto" w:line="259"/>
        <w:rPr>
          <w:rFonts w:ascii="Times New Roman;serif" w:hAnsi="Times New Roman;serif"/>
          <w:sz w:val="24"/>
        </w:rPr>
      </w:pPr>
      <w:r>
        <w:rPr>
          <w:rFonts w:ascii="Times New Roman;serif" w:hAnsi="Times New Roman;serif"/>
          <w:b w:val="false"/>
          <w:i w:val="false"/>
          <w:caps w:val="false"/>
          <w:smallCaps w:val="false"/>
          <w:color w:val="000000"/>
          <w:sz w:val="24"/>
        </w:rPr>
        <w:br/>
        <w:t>‎</w:t>
      </w:r>
      <w:r>
        <w:rPr>
          <w:rFonts w:ascii="Times New Roman;serif" w:hAnsi="Times New Roman;serif"/>
          <w:caps w:val="false"/>
          <w:smallCaps w:val="false"/>
          <w:color w:val="000000"/>
          <w:sz w:val="24"/>
        </w:rPr>
        <w:t xml:space="preserve">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49</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563C1"/>
            <w:sz w:val="24"/>
            <w:u w:val="single"/>
            <w:effect w:val="none"/>
          </w:rPr>
          <w:t>Table of Contents</w:t>
        </w:r>
      </w:hyperlink>
    </w:p>
    <w:p>
      <w:pPr>
        <w:pStyle w:val="TextBody"/>
        <w:bidi w:val="0"/>
        <w:spacing w:lineRule="auto" w:line="259"/>
        <w:rPr>
          <w:caps w:val="false"/>
          <w:smallCaps w:val="false"/>
          <w:color w:val="000000"/>
        </w:rPr>
      </w:pPr>
      <w:r>
        <w:rPr>
          <w:caps w:val="false"/>
          <w:smallCaps w:val="false"/>
          <w:color w:val="000000"/>
        </w:rPr>
        <w:t> </w:t>
      </w:r>
    </w:p>
    <w:p>
      <w:pPr>
        <w:pStyle w:val="TextBody"/>
        <w:bidi w:val="0"/>
        <w:spacing w:lineRule="auto" w:line="192"/>
        <w:rPr>
          <w:rFonts w:ascii="Times New Roman;serif" w:hAnsi="Times New Roman;serif"/>
          <w:sz w:val="24"/>
        </w:rPr>
      </w:pPr>
      <w:r>
        <w:rPr>
          <w:rFonts w:ascii="Times New Roman;serif" w:hAnsi="Times New Roman;serif"/>
          <w:b w:val="false"/>
          <w:i w:val="false"/>
          <w:caps w:val="false"/>
          <w:smallCaps w:val="false"/>
          <w:color w:val="000000"/>
          <w:sz w:val="24"/>
        </w:rPr>
        <w:t>SIGN</w:t>
      </w:r>
      <w:bookmarkStart w:id="39" w:name="Signatures"/>
      <w:bookmarkEnd w:id="39"/>
      <w:r>
        <w:rPr>
          <w:rFonts w:ascii="Times New Roman;serif" w:hAnsi="Times New Roman;serif"/>
          <w:b w:val="false"/>
          <w:i w:val="false"/>
          <w:caps w:val="false"/>
          <w:smallCaps w:val="false"/>
          <w:color w:val="000000"/>
          <w:sz w:val="24"/>
        </w:rPr>
        <w:t>ATURES </w:t>
      </w:r>
    </w:p>
    <w:p>
      <w:pPr>
        <w:pStyle w:val="TextBody"/>
        <w:bidi w:val="0"/>
        <w:spacing w:lineRule="auto" w:line="192"/>
        <w:rPr>
          <w:caps w:val="false"/>
          <w:smallCaps w:val="false"/>
          <w:color w:val="000000"/>
        </w:rPr>
      </w:pPr>
      <w:r>
        <w:rPr>
          <w:caps w:val="false"/>
          <w:smallCaps w:val="false"/>
          <w:color w:val="000000"/>
        </w:rPr>
        <w:t> </w:t>
      </w:r>
    </w:p>
    <w:p>
      <w:pPr>
        <w:pStyle w:val="TextBody"/>
        <w:bidi w:val="0"/>
        <w:spacing w:lineRule="auto" w:line="192"/>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Pursuant to the requirements of the Securities Exchange Act of 1934, the registrant has duly caused this report to be executed on its behalf by the undersigned thereunto duly authorized. </w:t>
      </w:r>
    </w:p>
    <w:p>
      <w:pPr>
        <w:pStyle w:val="TextBody"/>
        <w:bidi w:val="0"/>
        <w:spacing w:lineRule="auto" w:line="192"/>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August 5, 2026</w:t>
      </w:r>
    </w:p>
    <w:tbl>
      <w:tblPr>
        <w:tblW w:w="3578" w:type="dxa"/>
        <w:jc w:val="left"/>
        <w:tblInd w:w="0" w:type="dxa"/>
        <w:tblLayout w:type="fixed"/>
        <w:tblCellMar>
          <w:top w:w="0" w:type="dxa"/>
          <w:left w:w="0" w:type="dxa"/>
          <w:bottom w:w="0" w:type="dxa"/>
          <w:right w:w="0" w:type="dxa"/>
        </w:tblCellMar>
      </w:tblPr>
      <w:tblGrid>
        <w:gridCol w:w="124"/>
        <w:gridCol w:w="109"/>
        <w:gridCol w:w="1385"/>
        <w:gridCol w:w="1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5" w:type="dxa"/>
            <w:gridSpan w:val="2"/>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Essential Utilities, Inc.                  </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5" w:type="dxa"/>
            <w:gridSpan w:val="2"/>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Registrant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5" w:type="dxa"/>
            <w:gridSpan w:val="2"/>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/s/ Christopher H. Franklin</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5" w:type="dxa"/>
            <w:gridSpan w:val="2"/>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Christopher H. Franklin</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5" w:type="dxa"/>
            <w:gridSpan w:val="2"/>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Chairman, President and</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5" w:type="dxa"/>
            <w:gridSpan w:val="2"/>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Chief Executive Officer</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5" w:type="dxa"/>
            <w:gridSpan w:val="2"/>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/s/ Daniel J. Schuller</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5" w:type="dxa"/>
            <w:gridSpan w:val="2"/>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Daniel J. Schuller</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5" w:type="dxa"/>
            <w:gridSpan w:val="2"/>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Executive Vice President and</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5" w:type="dxa"/>
            <w:gridSpan w:val="2"/>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 xml:space="preserve">Chief Financial Officer </w:t>
            </w:r>
          </w:p>
        </w:tc>
      </w:tr>
    </w:tbl>
    <w:p>
      <w:pPr>
        <w:pStyle w:val="TextBody"/>
        <w:bidi w:val="0"/>
        <w:spacing w:lineRule="auto" w:line="192"/>
        <w:rPr>
          <w:caps w:val="false"/>
          <w:smallCaps w:val="false"/>
          <w:color w:val="000000"/>
        </w:rPr>
      </w:pPr>
      <w:r>
        <w:rPr>
          <w:caps w:val="false"/>
          <w:smallCaps w:val="false"/>
          <w:color w:val="000000"/>
        </w:rPr>
        <w:t> </w:t>
      </w:r>
    </w:p>
    <w:p>
      <w:pPr>
        <w:pStyle w:val="TextBody"/>
        <w:bidi w:val="0"/>
        <w:spacing w:lineRule="auto" w:line="259"/>
        <w:rPr>
          <w:rFonts w:ascii="Times New Roman;serif" w:hAnsi="Times New Roman;serif"/>
          <w:b w:val="false"/>
          <w:i w:val="false"/>
          <w:caps w:val="false"/>
          <w:smallCaps w:val="false"/>
          <w:color w:val="000000"/>
          <w:sz w:val="24"/>
        </w:rPr>
      </w:pPr>
      <w:r>
        <w:rPr>
          <w:rFonts w:ascii="Times New Roman;serif" w:hAnsi="Times New Roman;serif"/>
          <w:b w:val="false"/>
          <w:i w:val="false"/>
          <w:caps w:val="false"/>
          <w:smallCaps w:val="false"/>
          <w:color w:val="000000"/>
          <w:sz w:val="24"/>
        </w:rPr>
        <w:t>50</w:t>
      </w:r>
    </w:p>
    <w:p>
      <w:pPr>
        <w:pStyle w:val="TextBody"/>
        <w:bidi w:val="0"/>
        <w:spacing w:before="0" w:after="0"/>
        <w:ind w:left="1440" w:right="1440" w:hanging="0"/>
        <w:jc w:val="right"/>
        <w:rPr>
          <w:rFonts w:ascii="Times New Roman" w:hAnsi="Times New Roman"/>
          <w:sz w:val="24"/>
        </w:rPr>
      </w:pPr>
      <w:bookmarkStart w:id="40" w:name="wtrg-20260630xex10_1.htm"/>
      <w:bookmarkStart w:id="41" w:name="kswtrg20260630xex10_1"/>
      <w:bookmarkEnd w:id="40"/>
      <w:bookmarkEnd w:id="41"/>
      <w:r>
        <w:rPr>
          <w:rFonts w:ascii="Times New Roman" w:hAnsi="Times New Roman"/>
          <w:sz w:val="24"/>
        </w:rPr>
        <w:t xml:space="preserve">Exhibit 10.1 </w:t>
      </w:r>
      <w:r>
        <w:br w:type="page"/>
      </w:r>
    </w:p>
    <w:p>
      <w:pPr>
        <w:pStyle w:val="TextBody"/>
        <w:bidi w:val="0"/>
        <w:spacing w:before="0" w:after="480"/>
        <w:ind w:left="1440" w:right="1440" w:hanging="0"/>
        <w:jc w:val="center"/>
        <w:rPr>
          <w:rFonts w:ascii="Times New Roman" w:hAnsi="Times New Roman"/>
          <w:b/>
          <w:strike w:val="false"/>
          <w:dstrike w:val="false"/>
          <w:sz w:val="24"/>
          <w:u w:val="none"/>
          <w:effect w:val="none"/>
        </w:rPr>
      </w:pPr>
      <w:r>
        <w:rPr>
          <w:rFonts w:ascii="Times New Roman" w:hAnsi="Times New Roman"/>
          <w:b/>
          <w:strike w:val="false"/>
          <w:dstrike w:val="false"/>
          <w:sz w:val="24"/>
          <w:u w:val="none"/>
          <w:effect w:val="none"/>
        </w:rPr>
        <w:t xml:space="preserve">FIRST AMENDMENT TO CREDIT AGREEMENT </w:t>
      </w:r>
    </w:p>
    <w:p>
      <w:pPr>
        <w:pStyle w:val="TextBody"/>
        <w:bidi w:val="0"/>
        <w:spacing w:before="0" w:after="240"/>
        <w:ind w:left="1440" w:right="1440" w:firstLine="1440"/>
        <w:jc w:val="both"/>
        <w:rPr>
          <w:rFonts w:ascii="Times New Roman" w:hAnsi="Times New Roman"/>
          <w:sz w:val="24"/>
        </w:rPr>
      </w:pPr>
      <w:r>
        <w:rPr>
          <w:rFonts w:ascii="Times New Roman" w:hAnsi="Times New Roman"/>
          <w:sz w:val="24"/>
        </w:rPr>
        <w:t>THIS FIRST AMENDMENT TO CREDIT AGREEMENT (this “</w:t>
      </w:r>
      <w:r>
        <w:rPr>
          <w:rFonts w:ascii="Times New Roman" w:hAnsi="Times New Roman"/>
          <w:sz w:val="24"/>
          <w:u w:val="single"/>
        </w:rPr>
        <w:t>Agreement</w:t>
      </w:r>
      <w:r>
        <w:rPr>
          <w:rFonts w:ascii="Times New Roman" w:hAnsi="Times New Roman"/>
          <w:sz w:val="24"/>
        </w:rPr>
        <w:t>”) is made as of June 16, 2026 (the “</w:t>
      </w:r>
      <w:r>
        <w:rPr>
          <w:rFonts w:ascii="Times New Roman" w:hAnsi="Times New Roman"/>
          <w:sz w:val="24"/>
          <w:u w:val="single"/>
        </w:rPr>
        <w:t>First Amendment Effective Date</w:t>
      </w:r>
      <w:r>
        <w:rPr>
          <w:rFonts w:ascii="Times New Roman" w:hAnsi="Times New Roman"/>
          <w:sz w:val="24"/>
        </w:rPr>
        <w:t>”), by and among (i) ESSENTIAL UTILITIES, INC., a Pennsylvania corporation  (the “</w:t>
      </w:r>
      <w:r>
        <w:rPr>
          <w:rFonts w:ascii="Times New Roman" w:hAnsi="Times New Roman"/>
          <w:sz w:val="24"/>
          <w:u w:val="single"/>
        </w:rPr>
        <w:t>Company</w:t>
      </w:r>
      <w:r>
        <w:rPr>
          <w:rFonts w:ascii="Times New Roman" w:hAnsi="Times New Roman"/>
          <w:sz w:val="24"/>
        </w:rPr>
        <w:t>”), (ii) the several banks and other financial institutions or entities parties on the date hereof to the Existing Credit Agreement (as defined below) (each a “</w:t>
      </w:r>
      <w:r>
        <w:rPr>
          <w:rFonts w:ascii="Times New Roman" w:hAnsi="Times New Roman"/>
          <w:sz w:val="24"/>
          <w:u w:val="single"/>
        </w:rPr>
        <w:t>Lender</w:t>
      </w:r>
      <w:r>
        <w:rPr>
          <w:rFonts w:ascii="Times New Roman" w:hAnsi="Times New Roman"/>
          <w:sz w:val="24"/>
        </w:rPr>
        <w:t>” and, collectively, the “</w:t>
      </w:r>
      <w:r>
        <w:rPr>
          <w:rFonts w:ascii="Times New Roman" w:hAnsi="Times New Roman"/>
          <w:sz w:val="24"/>
          <w:u w:val="single"/>
        </w:rPr>
        <w:t>Lenders</w:t>
      </w:r>
      <w:r>
        <w:rPr>
          <w:rFonts w:ascii="Times New Roman" w:hAnsi="Times New Roman"/>
          <w:sz w:val="24"/>
        </w:rPr>
        <w:t>”), and (iii) PNC BANK, NATIONAL ASSOCIATION in its capacity as administrative agent for the Lenders (in such capacity, the “</w:t>
      </w:r>
      <w:r>
        <w:rPr>
          <w:rFonts w:ascii="Times New Roman" w:hAnsi="Times New Roman"/>
          <w:sz w:val="24"/>
          <w:u w:val="single"/>
        </w:rPr>
        <w:t>Administrative Agent</w:t>
      </w:r>
      <w:r>
        <w:rPr>
          <w:rFonts w:ascii="Times New Roman" w:hAnsi="Times New Roman"/>
          <w:sz w:val="24"/>
        </w:rPr>
        <w:t xml:space="preserve">”).  </w:t>
      </w:r>
    </w:p>
    <w:p>
      <w:pPr>
        <w:pStyle w:val="TextBody"/>
        <w:bidi w:val="0"/>
        <w:spacing w:before="0" w:after="240"/>
        <w:ind w:left="1440" w:right="1440" w:hanging="0"/>
        <w:jc w:val="center"/>
        <w:rPr>
          <w:rFonts w:ascii="Times New Roman" w:hAnsi="Times New Roman"/>
          <w:sz w:val="24"/>
        </w:rPr>
      </w:pPr>
      <w:r>
        <w:rPr>
          <w:rFonts w:ascii="Times New Roman" w:hAnsi="Times New Roman"/>
          <w:sz w:val="24"/>
          <w:u w:val="single"/>
        </w:rPr>
        <w:t>BACKGROUND</w:t>
      </w:r>
      <w:r>
        <w:rPr>
          <w:rFonts w:ascii="Times New Roman" w:hAnsi="Times New Roman"/>
          <w:sz w:val="24"/>
        </w:rPr>
        <w:t xml:space="preserve"> </w:t>
      </w:r>
    </w:p>
    <w:tbl>
      <w:tblPr>
        <w:tblW w:w="7325" w:type="dxa"/>
        <w:jc w:val="left"/>
        <w:tblInd w:w="1440" w:type="dxa"/>
        <w:tblLayout w:type="fixed"/>
        <w:tblCellMar>
          <w:top w:w="0" w:type="dxa"/>
          <w:left w:w="0" w:type="dxa"/>
          <w:bottom w:w="0" w:type="dxa"/>
          <w:right w:w="0" w:type="dxa"/>
        </w:tblCellMar>
      </w:tblPr>
      <w:tblGrid>
        <w:gridCol w:w="735"/>
        <w:gridCol w:w="659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590" w:type="dxa"/>
            <w:tcBorders/>
          </w:tcPr>
          <w:p>
            <w:pPr>
              <w:pStyle w:val="TableContents"/>
              <w:pBdr/>
              <w:bidi w:val="0"/>
              <w:spacing w:before="0" w:after="240"/>
              <w:ind w:left="0" w:right="0" w:firstLine="720"/>
              <w:jc w:val="both"/>
              <w:rPr>
                <w:rFonts w:ascii="Times New Roman" w:hAnsi="Times New Roman"/>
                <w:sz w:val="24"/>
              </w:rPr>
            </w:pPr>
            <w:r>
              <w:rPr>
                <w:rFonts w:ascii="Times New Roman" w:hAnsi="Times New Roman"/>
                <w:sz w:val="24"/>
              </w:rPr>
              <w:t>A.</w:t>
            </w:r>
            <w:r>
              <w:rPr>
                <w:rFonts w:ascii="Times New Roman" w:hAnsi="Times New Roman"/>
                <w:sz w:val="24"/>
              </w:rPr>
              <w:t xml:space="preserve"> </w:t>
            </w:r>
            <w:r>
              <w:rPr>
                <w:rFonts w:ascii="Times New Roman" w:hAnsi="Times New Roman"/>
                <w:color w:val="000000"/>
                <w:sz w:val="24"/>
              </w:rPr>
              <w:t>The Company, the Administrative Agent and the Lenders are parties to a  Credit Agreement, dated as of December 14, 2022 (the “</w:t>
            </w:r>
            <w:r>
              <w:rPr>
                <w:rFonts w:ascii="Times New Roman" w:hAnsi="Times New Roman"/>
                <w:color w:val="000000"/>
                <w:sz w:val="24"/>
                <w:u w:val="single"/>
              </w:rPr>
              <w:t>Existing Credit Agreement</w:t>
            </w:r>
            <w:r>
              <w:rPr>
                <w:rFonts w:ascii="Times New Roman" w:hAnsi="Times New Roman"/>
                <w:color w:val="000000"/>
                <w:sz w:val="24"/>
              </w:rPr>
              <w:t>”; the Existing Credit Agreement, as amended by this Agreement and as may be further amended, supplemented, modified or restated from time to time, the “</w:t>
            </w:r>
            <w:r>
              <w:rPr>
                <w:rFonts w:ascii="Times New Roman" w:hAnsi="Times New Roman"/>
                <w:color w:val="000000"/>
                <w:sz w:val="24"/>
                <w:u w:val="single"/>
              </w:rPr>
              <w:t>Amended Credit Agreement</w:t>
            </w:r>
            <w:r>
              <w:rPr>
                <w:rFonts w:ascii="Times New Roman" w:hAnsi="Times New Roman"/>
                <w:color w:val="000000"/>
                <w:sz w:val="24"/>
              </w:rPr>
              <w:t>”), pursuant to which the Lenders have made available to the Company a revolving credit facility in an aggregate amount of $1,000,000,000 (the “</w:t>
            </w:r>
            <w:r>
              <w:rPr>
                <w:rFonts w:ascii="Times New Roman" w:hAnsi="Times New Roman"/>
                <w:color w:val="000000"/>
                <w:sz w:val="24"/>
                <w:u w:val="single"/>
              </w:rPr>
              <w:t>Facility</w:t>
            </w:r>
            <w:r>
              <w:rPr>
                <w:rFonts w:ascii="Times New Roman" w:hAnsi="Times New Roman"/>
                <w:color w:val="000000"/>
                <w:sz w:val="24"/>
              </w:rPr>
              <w:t xml:space="preserve">”).  </w:t>
            </w:r>
          </w:p>
        </w:tc>
      </w:tr>
    </w:tbl>
    <w:tbl>
      <w:tblPr>
        <w:tblW w:w="7325" w:type="dxa"/>
        <w:jc w:val="left"/>
        <w:tblInd w:w="1440" w:type="dxa"/>
        <w:tblLayout w:type="fixed"/>
        <w:tblCellMar>
          <w:top w:w="0" w:type="dxa"/>
          <w:left w:w="0" w:type="dxa"/>
          <w:bottom w:w="0" w:type="dxa"/>
          <w:right w:w="0" w:type="dxa"/>
        </w:tblCellMar>
      </w:tblPr>
      <w:tblGrid>
        <w:gridCol w:w="735"/>
        <w:gridCol w:w="659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590" w:type="dxa"/>
            <w:tcBorders/>
          </w:tcPr>
          <w:p>
            <w:pPr>
              <w:pStyle w:val="TableContents"/>
              <w:pBdr/>
              <w:bidi w:val="0"/>
              <w:spacing w:before="0" w:after="240"/>
              <w:ind w:left="0" w:right="0" w:firstLine="720"/>
              <w:jc w:val="both"/>
              <w:rPr>
                <w:rFonts w:ascii="Times New Roman" w:hAnsi="Times New Roman"/>
                <w:sz w:val="24"/>
              </w:rPr>
            </w:pPr>
            <w:r>
              <w:rPr>
                <w:rFonts w:ascii="Times New Roman" w:hAnsi="Times New Roman"/>
                <w:sz w:val="24"/>
              </w:rPr>
              <w:t>B.</w:t>
            </w:r>
            <w:r>
              <w:rPr>
                <w:rFonts w:ascii="Times New Roman" w:hAnsi="Times New Roman"/>
                <w:sz w:val="24"/>
              </w:rPr>
              <w:t xml:space="preserve"> </w:t>
            </w:r>
            <w:r>
              <w:rPr>
                <w:rFonts w:ascii="Times New Roman" w:hAnsi="Times New Roman"/>
                <w:color w:val="000000"/>
                <w:sz w:val="24"/>
              </w:rPr>
              <w:t>The Company,  the Administrative Agent and the Lenders desire to extend the Initial Maturity Date and make certain other amendments to the Existing Credit Agreement on the terms and subject to the conditions herein set forth.</w:t>
            </w:r>
          </w:p>
        </w:tc>
      </w:tr>
    </w:tbl>
    <w:p>
      <w:pPr>
        <w:pStyle w:val="TextBody"/>
        <w:bidi w:val="0"/>
        <w:spacing w:before="0" w:after="240"/>
        <w:ind w:left="1440" w:right="1440" w:firstLine="1440"/>
        <w:jc w:val="both"/>
        <w:rPr>
          <w:rFonts w:ascii="Times New Roman" w:hAnsi="Times New Roman"/>
          <w:sz w:val="24"/>
        </w:rPr>
      </w:pPr>
      <w:r>
        <w:rPr>
          <w:rFonts w:ascii="Times New Roman" w:hAnsi="Times New Roman"/>
          <w:color w:val="000000"/>
          <w:sz w:val="24"/>
        </w:rPr>
        <w:t>NOW THEREFORE, the parties hereto, intending to be legally bound hereby, agree as follows:</w:t>
      </w:r>
      <w:r>
        <w:rPr>
          <w:rFonts w:ascii="Times New Roman" w:hAnsi="Times New Roman"/>
          <w:sz w:val="24"/>
        </w:rPr>
        <w:t xml:space="preserve"> </w:t>
      </w:r>
    </w:p>
    <w:p>
      <w:pPr>
        <w:pStyle w:val="TextBody"/>
        <w:bidi w:val="0"/>
        <w:spacing w:before="0" w:after="240"/>
        <w:ind w:left="1440" w:right="1440" w:hanging="0"/>
        <w:jc w:val="center"/>
        <w:rPr>
          <w:rFonts w:ascii="Times New Roman" w:hAnsi="Times New Roman"/>
          <w:sz w:val="24"/>
        </w:rPr>
      </w:pPr>
      <w:r>
        <w:rPr>
          <w:rFonts w:ascii="Times New Roman" w:hAnsi="Times New Roman"/>
          <w:color w:val="000000"/>
          <w:sz w:val="24"/>
          <w:u w:val="single"/>
        </w:rPr>
        <w:t>AGREEMENT</w:t>
      </w:r>
      <w:r>
        <w:rPr>
          <w:rFonts w:ascii="Times New Roman" w:hAnsi="Times New Roman"/>
          <w:sz w:val="24"/>
        </w:rPr>
        <w:t xml:space="preserve"> </w:t>
      </w:r>
    </w:p>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color w:val="000000"/>
                <w:sz w:val="24"/>
              </w:rPr>
            </w:pPr>
            <w:r>
              <w:rPr>
                <w:rFonts w:ascii="Times New Roman" w:hAnsi="Times New Roman"/>
                <w:strike w:val="false"/>
                <w:dstrike w:val="false"/>
                <w:color w:val="000000"/>
                <w:sz w:val="24"/>
                <w:u w:val="none"/>
                <w:effect w:val="none"/>
              </w:rPr>
              <w:t>1.</w:t>
            </w:r>
            <w:r>
              <w:rPr>
                <w:rFonts w:ascii="Times New Roman" w:hAnsi="Times New Roman"/>
                <w:color w:val="000000"/>
                <w:sz w:val="24"/>
              </w:rPr>
              <w:t xml:space="preserve"> </w:t>
            </w:r>
            <w:r>
              <w:rPr>
                <w:rFonts w:ascii="Times New Roman" w:hAnsi="Times New Roman"/>
                <w:color w:val="000000"/>
                <w:sz w:val="24"/>
                <w:u w:val="single"/>
              </w:rPr>
              <w:t>Terms</w:t>
            </w:r>
            <w:r>
              <w:rPr>
                <w:rFonts w:ascii="Times New Roman" w:hAnsi="Times New Roman"/>
                <w:color w:val="000000"/>
                <w:sz w:val="24"/>
              </w:rPr>
              <w:t>.  Capitalized terms used herein and not otherwise defined herein shall have the meanings given to such terms in the Amended Credit Agreement.</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color w:val="000000"/>
                <w:sz w:val="24"/>
              </w:rPr>
            </w:pPr>
            <w:r>
              <w:rPr>
                <w:rFonts w:ascii="Times New Roman" w:hAnsi="Times New Roman"/>
                <w:strike w:val="false"/>
                <w:dstrike w:val="false"/>
                <w:color w:val="000000"/>
                <w:sz w:val="24"/>
                <w:u w:val="none"/>
                <w:effect w:val="none"/>
              </w:rPr>
              <w:t>2.</w:t>
            </w:r>
            <w:r>
              <w:rPr>
                <w:rFonts w:ascii="Times New Roman" w:hAnsi="Times New Roman"/>
                <w:color w:val="000000"/>
                <w:sz w:val="24"/>
              </w:rPr>
              <w:t xml:space="preserve"> </w:t>
            </w:r>
            <w:r>
              <w:rPr>
                <w:rFonts w:ascii="Times New Roman" w:hAnsi="Times New Roman"/>
                <w:color w:val="000000"/>
                <w:sz w:val="24"/>
                <w:u w:val="single"/>
              </w:rPr>
              <w:t>Amendments to Existing Credit Agreement</w:t>
            </w:r>
            <w:r>
              <w:rPr>
                <w:rFonts w:ascii="Times New Roman" w:hAnsi="Times New Roman"/>
                <w:color w:val="000000"/>
                <w:sz w:val="24"/>
              </w:rPr>
              <w:t>.  Effective on the First Amendment Effective Date, the Existing Credit Agreement shall be amended as follows:</w:t>
            </w:r>
          </w:p>
        </w:tc>
      </w:tr>
    </w:tbl>
    <w:tbl>
      <w:tblPr>
        <w:tblW w:w="7325" w:type="dxa"/>
        <w:jc w:val="left"/>
        <w:tblInd w:w="1440" w:type="dxa"/>
        <w:tblLayout w:type="fixed"/>
        <w:tblCellMar>
          <w:top w:w="0" w:type="dxa"/>
          <w:left w:w="0" w:type="dxa"/>
          <w:bottom w:w="0" w:type="dxa"/>
          <w:right w:w="0" w:type="dxa"/>
        </w:tblCellMar>
      </w:tblPr>
      <w:tblGrid>
        <w:gridCol w:w="2175"/>
        <w:gridCol w:w="5150"/>
      </w:tblGrid>
      <w:tr>
        <w:trPr/>
        <w:tc>
          <w:tcPr>
            <w:tcW w:w="2175" w:type="dxa"/>
            <w:tcBorders/>
            <w:vAlign w:val="center"/>
          </w:tcPr>
          <w:p>
            <w:pPr>
              <w:pStyle w:val="TableContents"/>
              <w:bidi w:val="0"/>
              <w:spacing w:before="0" w:after="283"/>
              <w:ind w:left="0" w:right="0" w:firstLine="2160"/>
              <w:jc w:val="left"/>
              <w:rPr>
                <w:sz w:val="4"/>
                <w:szCs w:val="4"/>
              </w:rPr>
            </w:pPr>
            <w:r>
              <w:rPr>
                <w:sz w:val="4"/>
                <w:szCs w:val="4"/>
              </w:rPr>
            </w:r>
          </w:p>
        </w:tc>
        <w:tc>
          <w:tcPr>
            <w:tcW w:w="5150" w:type="dxa"/>
            <w:tcBorders/>
          </w:tcPr>
          <w:p>
            <w:pPr>
              <w:pStyle w:val="TableContents"/>
              <w:bidi w:val="0"/>
              <w:spacing w:before="0" w:after="240"/>
              <w:ind w:left="0" w:right="0" w:firstLine="2160"/>
              <w:jc w:val="both"/>
              <w:rPr>
                <w:rFonts w:ascii="Times New Roman" w:hAnsi="Times New Roman"/>
                <w:color w:val="000000"/>
                <w:sz w:val="24"/>
              </w:rPr>
            </w:pPr>
            <w:r>
              <w:rPr>
                <w:rFonts w:ascii="Times New Roman" w:hAnsi="Times New Roman"/>
                <w:strike w:val="false"/>
                <w:dstrike w:val="false"/>
                <w:color w:val="000000"/>
                <w:sz w:val="24"/>
                <w:u w:val="none"/>
                <w:effect w:val="none"/>
              </w:rPr>
              <w:t>(a)</w:t>
            </w:r>
            <w:r>
              <w:rPr>
                <w:rFonts w:ascii="Times New Roman" w:hAnsi="Times New Roman"/>
                <w:color w:val="000000"/>
                <w:sz w:val="24"/>
              </w:rPr>
              <w:t xml:space="preserve"> The definition of term “Initial Maturity Date” in Section 1.01 of the Existing Credit Agreement shall be amended and restated to read in full as follows:</w:t>
            </w:r>
          </w:p>
        </w:tc>
      </w:tr>
    </w:tbl>
    <w:p>
      <w:pPr>
        <w:pStyle w:val="TextBody"/>
        <w:bidi w:val="0"/>
        <w:spacing w:before="0" w:after="240"/>
        <w:ind w:left="3600" w:right="2880" w:firstLine="720"/>
        <w:jc w:val="left"/>
        <w:rPr/>
      </w:pPr>
      <w:r>
        <w:rPr>
          <w:color w:val="000000"/>
        </w:rPr>
        <w:t>“</w:t>
      </w:r>
      <w:r>
        <w:rPr>
          <w:rFonts w:ascii="Times New Roman" w:hAnsi="Times New Roman"/>
          <w:color w:val="000000"/>
          <w:sz w:val="24"/>
          <w:u w:val="single"/>
        </w:rPr>
        <w:t>Initial Maturity Date</w:t>
      </w:r>
      <w:r>
        <w:rPr>
          <w:rFonts w:ascii="Times New Roman" w:hAnsi="Times New Roman"/>
          <w:color w:val="000000"/>
          <w:sz w:val="24"/>
        </w:rPr>
        <w:t>” means December 14, 2028.  </w:t>
      </w:r>
      <w:r>
        <w:rPr>
          <w:rFonts w:ascii="Times New Roman" w:hAnsi="Times New Roman"/>
          <w:sz w:val="24"/>
        </w:rPr>
        <w:t xml:space="preserve"> </w:t>
      </w:r>
    </w:p>
    <w:tbl>
      <w:tblPr>
        <w:tblW w:w="7325" w:type="dxa"/>
        <w:jc w:val="left"/>
        <w:tblInd w:w="1440" w:type="dxa"/>
        <w:tblLayout w:type="fixed"/>
        <w:tblCellMar>
          <w:top w:w="0" w:type="dxa"/>
          <w:left w:w="0" w:type="dxa"/>
          <w:bottom w:w="0" w:type="dxa"/>
          <w:right w:w="0" w:type="dxa"/>
        </w:tblCellMar>
      </w:tblPr>
      <w:tblGrid>
        <w:gridCol w:w="2175"/>
        <w:gridCol w:w="5150"/>
      </w:tblGrid>
      <w:tr>
        <w:trPr/>
        <w:tc>
          <w:tcPr>
            <w:tcW w:w="2175" w:type="dxa"/>
            <w:tcBorders/>
            <w:vAlign w:val="center"/>
          </w:tcPr>
          <w:p>
            <w:pPr>
              <w:pStyle w:val="TableContents"/>
              <w:bidi w:val="0"/>
              <w:spacing w:before="0" w:after="283"/>
              <w:ind w:left="0" w:right="0" w:firstLine="2160"/>
              <w:jc w:val="left"/>
              <w:rPr>
                <w:sz w:val="4"/>
                <w:szCs w:val="4"/>
              </w:rPr>
            </w:pPr>
            <w:r>
              <w:rPr>
                <w:sz w:val="4"/>
                <w:szCs w:val="4"/>
              </w:rPr>
            </w:r>
          </w:p>
        </w:tc>
        <w:tc>
          <w:tcPr>
            <w:tcW w:w="5150" w:type="dxa"/>
            <w:tcBorders/>
          </w:tcPr>
          <w:p>
            <w:pPr>
              <w:pStyle w:val="TableContents"/>
              <w:bidi w:val="0"/>
              <w:spacing w:before="0" w:after="240"/>
              <w:ind w:left="0" w:right="0" w:firstLine="2160"/>
              <w:jc w:val="both"/>
              <w:rPr>
                <w:rFonts w:ascii="Times New Roman" w:hAnsi="Times New Roman"/>
                <w:color w:val="000000"/>
                <w:sz w:val="24"/>
              </w:rPr>
            </w:pPr>
            <w:r>
              <w:rPr>
                <w:rFonts w:ascii="Times New Roman" w:hAnsi="Times New Roman"/>
                <w:strike w:val="false"/>
                <w:dstrike w:val="false"/>
                <w:color w:val="000000"/>
                <w:sz w:val="24"/>
                <w:u w:val="none"/>
                <w:effect w:val="none"/>
              </w:rPr>
              <w:t>(b)</w:t>
            </w:r>
            <w:r>
              <w:rPr>
                <w:rFonts w:ascii="Times New Roman" w:hAnsi="Times New Roman"/>
                <w:color w:val="000000"/>
                <w:sz w:val="24"/>
              </w:rPr>
              <w:t xml:space="preserve"> The defined terms “KPI 2”, “KPI 2 Applicable Rate Adjustment Amount”, “KPI 2 Baseline”, “KPI 2 Commitment Fee Adjustment Amount” and “KPI 2 Target B”, and each reference to such terms, shall be deleted from the Existing Credit Agreement.  For the sake of clarity, under the Amended Credit Agreement, the Applicable Rate for Loans shall only be adjusted for the KPI 1 Applicable Rate Adjustment Amount (and not the KPI 2 Applicable Rate Adjustment Amount),  the Applicable Rate for Commitment Fees shall only be adjusted for the </w:t>
            </w:r>
          </w:p>
          <w:p>
            <w:pPr>
              <w:pStyle w:val="TableContents"/>
              <w:bidi w:val="0"/>
              <w:spacing w:before="0" w:after="0"/>
              <w:ind w:left="0" w:right="0" w:firstLine="2160"/>
              <w:jc w:val="left"/>
              <w:rPr/>
            </w:pPr>
            <w:r>
              <w:rPr/>
              <w:t xml:space="preserve">  </w:t>
            </w:r>
          </w:p>
        </w:tc>
      </w:tr>
    </w:tbl>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tbl>
      <w:tblPr>
        <w:tblW w:w="7325" w:type="dxa"/>
        <w:jc w:val="left"/>
        <w:tblInd w:w="1440" w:type="dxa"/>
        <w:tblLayout w:type="fixed"/>
        <w:tblCellMar>
          <w:top w:w="0" w:type="dxa"/>
          <w:left w:w="0" w:type="dxa"/>
          <w:bottom w:w="0" w:type="dxa"/>
          <w:right w:w="0" w:type="dxa"/>
        </w:tblCellMar>
      </w:tblPr>
      <w:tblGrid>
        <w:gridCol w:w="7325"/>
      </w:tblGrid>
      <w:tr>
        <w:trPr/>
        <w:tc>
          <w:tcPr>
            <w:tcW w:w="7325" w:type="dxa"/>
            <w:tcBorders/>
            <w:vAlign w:val="center"/>
          </w:tcPr>
          <w:p>
            <w:pPr>
              <w:pStyle w:val="TableContents"/>
              <w:bidi w:val="0"/>
              <w:spacing w:before="0" w:after="240"/>
              <w:ind w:left="0" w:right="0" w:hanging="0"/>
              <w:jc w:val="both"/>
              <w:rPr>
                <w:rFonts w:ascii="Times New Roman" w:hAnsi="Times New Roman"/>
                <w:color w:val="000000"/>
                <w:sz w:val="24"/>
              </w:rPr>
            </w:pPr>
            <w:r>
              <w:rPr>
                <w:rFonts w:ascii="Times New Roman" w:hAnsi="Times New Roman"/>
                <w:color w:val="000000"/>
                <w:sz w:val="24"/>
              </w:rPr>
              <w:t>KPI 1 Commitment Fee Adjustment Amount (and not for the KPI 2 Commitment Fee Adjustment Amount), and the Sustainability Certificate shall only measure, verify, calculate and certify KPI 1 (and not KPI 2).  </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color w:val="000000"/>
                <w:sz w:val="24"/>
              </w:rPr>
            </w:pPr>
            <w:r>
              <w:rPr>
                <w:rFonts w:ascii="Times New Roman" w:hAnsi="Times New Roman"/>
                <w:strike w:val="false"/>
                <w:dstrike w:val="false"/>
                <w:color w:val="000000"/>
                <w:sz w:val="24"/>
                <w:u w:val="none"/>
                <w:effect w:val="none"/>
              </w:rPr>
              <w:t>3.</w:t>
            </w:r>
            <w:r>
              <w:rPr>
                <w:rFonts w:ascii="Times New Roman" w:hAnsi="Times New Roman"/>
                <w:color w:val="000000"/>
                <w:sz w:val="24"/>
              </w:rPr>
              <w:t xml:space="preserve"> </w:t>
            </w:r>
            <w:r>
              <w:rPr>
                <w:rFonts w:ascii="Times New Roman" w:hAnsi="Times New Roman"/>
                <w:color w:val="000000"/>
                <w:sz w:val="24"/>
                <w:u w:val="single"/>
              </w:rPr>
              <w:t>Company’s Ratification</w:t>
            </w:r>
            <w:r>
              <w:rPr>
                <w:rFonts w:ascii="Times New Roman" w:hAnsi="Times New Roman"/>
                <w:color w:val="000000"/>
                <w:sz w:val="24"/>
              </w:rPr>
              <w:t>.  The Company agrees that it has no defenses, set-offs, counterclaims or challenges against the Lenders or the Administrative Agent or their respective officers, directors, employees, agents or attorneys, with respect to the Loan Documents, all of which are in full force and effect, and that all of the terms and conditions of the Loan Documents not inconsistent herewith shall remain in full force and effect unless and until modified or amended in writing in accordance with their terms.  The Company hereby ratifies and confirms its obligations under the Loan Documents as amended hereby and agrees that the execution and delivery of this Agreement does not in any way diminish or invalidate any of its obligations thereunder.</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color w:val="000000"/>
                <w:sz w:val="24"/>
              </w:rPr>
            </w:pPr>
            <w:r>
              <w:rPr>
                <w:rFonts w:ascii="Times New Roman" w:hAnsi="Times New Roman"/>
                <w:strike w:val="false"/>
                <w:dstrike w:val="false"/>
                <w:color w:val="000000"/>
                <w:sz w:val="24"/>
                <w:u w:val="none"/>
                <w:effect w:val="none"/>
              </w:rPr>
              <w:t>4.</w:t>
            </w:r>
            <w:r>
              <w:rPr>
                <w:rFonts w:ascii="Times New Roman" w:hAnsi="Times New Roman"/>
                <w:color w:val="000000"/>
                <w:sz w:val="24"/>
              </w:rPr>
              <w:t xml:space="preserve"> </w:t>
            </w:r>
            <w:r>
              <w:rPr>
                <w:rFonts w:ascii="Times New Roman" w:hAnsi="Times New Roman"/>
                <w:color w:val="000000"/>
                <w:sz w:val="24"/>
                <w:u w:val="single"/>
              </w:rPr>
              <w:t>Representations and Warranties</w:t>
            </w:r>
            <w:r>
              <w:rPr>
                <w:rFonts w:ascii="Times New Roman" w:hAnsi="Times New Roman"/>
                <w:color w:val="000000"/>
                <w:sz w:val="24"/>
              </w:rPr>
              <w:t>.  The Company hereby represents and warrants to the Administrative Agent and the Lenders that:</w:t>
            </w:r>
          </w:p>
        </w:tc>
      </w:tr>
    </w:tbl>
    <w:tbl>
      <w:tblPr>
        <w:tblW w:w="7325" w:type="dxa"/>
        <w:jc w:val="left"/>
        <w:tblInd w:w="1440" w:type="dxa"/>
        <w:tblLayout w:type="fixed"/>
        <w:tblCellMar>
          <w:top w:w="0" w:type="dxa"/>
          <w:left w:w="0" w:type="dxa"/>
          <w:bottom w:w="0" w:type="dxa"/>
          <w:right w:w="0" w:type="dxa"/>
        </w:tblCellMar>
      </w:tblPr>
      <w:tblGrid>
        <w:gridCol w:w="2175"/>
        <w:gridCol w:w="5150"/>
      </w:tblGrid>
      <w:tr>
        <w:trPr/>
        <w:tc>
          <w:tcPr>
            <w:tcW w:w="2175" w:type="dxa"/>
            <w:tcBorders/>
            <w:vAlign w:val="center"/>
          </w:tcPr>
          <w:p>
            <w:pPr>
              <w:pStyle w:val="TableContents"/>
              <w:bidi w:val="0"/>
              <w:spacing w:before="0" w:after="283"/>
              <w:ind w:left="0" w:right="0" w:firstLine="2160"/>
              <w:jc w:val="left"/>
              <w:rPr>
                <w:sz w:val="4"/>
                <w:szCs w:val="4"/>
              </w:rPr>
            </w:pPr>
            <w:r>
              <w:rPr>
                <w:sz w:val="4"/>
                <w:szCs w:val="4"/>
              </w:rPr>
            </w:r>
          </w:p>
        </w:tc>
        <w:tc>
          <w:tcPr>
            <w:tcW w:w="5150" w:type="dxa"/>
            <w:tcBorders/>
          </w:tcPr>
          <w:p>
            <w:pPr>
              <w:pStyle w:val="TableContents"/>
              <w:pBdr/>
              <w:bidi w:val="0"/>
              <w:spacing w:before="0" w:after="240"/>
              <w:ind w:left="0" w:right="0" w:firstLine="2160"/>
              <w:jc w:val="both"/>
              <w:rPr>
                <w:rFonts w:ascii="Times New Roman" w:hAnsi="Times New Roman"/>
                <w:color w:val="000000"/>
                <w:sz w:val="24"/>
              </w:rPr>
            </w:pPr>
            <w:r>
              <w:rPr>
                <w:rFonts w:ascii="Times New Roman" w:hAnsi="Times New Roman"/>
                <w:strike w:val="false"/>
                <w:dstrike w:val="false"/>
                <w:color w:val="000000"/>
                <w:sz w:val="24"/>
                <w:u w:val="none"/>
                <w:effect w:val="none"/>
              </w:rPr>
              <w:t>(a)</w:t>
            </w:r>
            <w:r>
              <w:rPr>
                <w:rFonts w:ascii="Times New Roman" w:hAnsi="Times New Roman"/>
                <w:color w:val="000000"/>
                <w:sz w:val="24"/>
              </w:rPr>
              <w:t xml:space="preserve"> Immediately before giving effect to this Agreement, the representations and warranties of the Company set forth in the Existing Credit Agreement, and immediately after giving effect to this Agreement, the representations and warranties of the Company set forth in the Amended Credit Agreement and the other Loan Documents, are in each case true and correct in all material respects (it being understood that the materiality qualifier shall not be applicable with respect to any clause of any representation or warranty which itself contains a materiality qualification) as of the First Amendment Effective Date (except representations and warranties which relate solely to an earlier date or time, which representations and warranties shall be true and correct in all material respects (or all respects, as applicable) on and as of the specific dates or times referred to therein);</w:t>
            </w:r>
          </w:p>
        </w:tc>
      </w:tr>
    </w:tbl>
    <w:tbl>
      <w:tblPr>
        <w:tblW w:w="7325" w:type="dxa"/>
        <w:jc w:val="left"/>
        <w:tblInd w:w="1440" w:type="dxa"/>
        <w:tblLayout w:type="fixed"/>
        <w:tblCellMar>
          <w:top w:w="0" w:type="dxa"/>
          <w:left w:w="0" w:type="dxa"/>
          <w:bottom w:w="0" w:type="dxa"/>
          <w:right w:w="0" w:type="dxa"/>
        </w:tblCellMar>
      </w:tblPr>
      <w:tblGrid>
        <w:gridCol w:w="2175"/>
        <w:gridCol w:w="5150"/>
      </w:tblGrid>
      <w:tr>
        <w:trPr/>
        <w:tc>
          <w:tcPr>
            <w:tcW w:w="2175" w:type="dxa"/>
            <w:tcBorders/>
            <w:vAlign w:val="center"/>
          </w:tcPr>
          <w:p>
            <w:pPr>
              <w:pStyle w:val="TableContents"/>
              <w:bidi w:val="0"/>
              <w:spacing w:before="0" w:after="283"/>
              <w:ind w:left="0" w:right="0" w:firstLine="2160"/>
              <w:jc w:val="left"/>
              <w:rPr>
                <w:sz w:val="4"/>
                <w:szCs w:val="4"/>
              </w:rPr>
            </w:pPr>
            <w:r>
              <w:rPr>
                <w:sz w:val="4"/>
                <w:szCs w:val="4"/>
              </w:rPr>
            </w:r>
          </w:p>
        </w:tc>
        <w:tc>
          <w:tcPr>
            <w:tcW w:w="5150" w:type="dxa"/>
            <w:tcBorders/>
          </w:tcPr>
          <w:p>
            <w:pPr>
              <w:pStyle w:val="TableContents"/>
              <w:pBdr/>
              <w:bidi w:val="0"/>
              <w:spacing w:before="0" w:after="240"/>
              <w:ind w:left="0" w:right="0" w:firstLine="2160"/>
              <w:jc w:val="both"/>
              <w:rPr>
                <w:rFonts w:ascii="Times New Roman" w:hAnsi="Times New Roman"/>
                <w:color w:val="000000"/>
                <w:sz w:val="24"/>
              </w:rPr>
            </w:pPr>
            <w:r>
              <w:rPr>
                <w:rFonts w:ascii="Times New Roman" w:hAnsi="Times New Roman"/>
                <w:strike w:val="false"/>
                <w:dstrike w:val="false"/>
                <w:color w:val="000000"/>
                <w:sz w:val="24"/>
                <w:u w:val="none"/>
                <w:effect w:val="none"/>
              </w:rPr>
              <w:t>(b)</w:t>
            </w:r>
            <w:r>
              <w:rPr>
                <w:rFonts w:ascii="Times New Roman" w:hAnsi="Times New Roman"/>
                <w:color w:val="000000"/>
                <w:sz w:val="24"/>
              </w:rPr>
              <w:t xml:space="preserve"> Immediately before giving effect to this Agreement, there exists no Default or Event of Default under the Existing Credit Agreement, and immediately after giving effect to this Agreement, there exists no Default or Event of Default under the Amended Credit Agreement;</w:t>
            </w:r>
          </w:p>
        </w:tc>
      </w:tr>
    </w:tbl>
    <w:tbl>
      <w:tblPr>
        <w:tblW w:w="7325" w:type="dxa"/>
        <w:jc w:val="left"/>
        <w:tblInd w:w="1440" w:type="dxa"/>
        <w:tblLayout w:type="fixed"/>
        <w:tblCellMar>
          <w:top w:w="0" w:type="dxa"/>
          <w:left w:w="0" w:type="dxa"/>
          <w:bottom w:w="0" w:type="dxa"/>
          <w:right w:w="0" w:type="dxa"/>
        </w:tblCellMar>
      </w:tblPr>
      <w:tblGrid>
        <w:gridCol w:w="2175"/>
        <w:gridCol w:w="5150"/>
      </w:tblGrid>
      <w:tr>
        <w:trPr/>
        <w:tc>
          <w:tcPr>
            <w:tcW w:w="2175" w:type="dxa"/>
            <w:tcBorders/>
            <w:vAlign w:val="center"/>
          </w:tcPr>
          <w:p>
            <w:pPr>
              <w:pStyle w:val="TableContents"/>
              <w:bidi w:val="0"/>
              <w:spacing w:before="0" w:after="283"/>
              <w:ind w:left="0" w:right="0" w:firstLine="2160"/>
              <w:jc w:val="left"/>
              <w:rPr>
                <w:sz w:val="4"/>
                <w:szCs w:val="4"/>
              </w:rPr>
            </w:pPr>
            <w:r>
              <w:rPr>
                <w:sz w:val="4"/>
                <w:szCs w:val="4"/>
              </w:rPr>
            </w:r>
          </w:p>
        </w:tc>
        <w:tc>
          <w:tcPr>
            <w:tcW w:w="5150" w:type="dxa"/>
            <w:tcBorders/>
          </w:tcPr>
          <w:p>
            <w:pPr>
              <w:pStyle w:val="TableContents"/>
              <w:pBdr/>
              <w:bidi w:val="0"/>
              <w:spacing w:before="0" w:after="240"/>
              <w:ind w:left="0" w:right="0" w:firstLine="2160"/>
              <w:jc w:val="both"/>
              <w:rPr>
                <w:rFonts w:ascii="Times New Roman" w:hAnsi="Times New Roman"/>
                <w:color w:val="000000"/>
                <w:sz w:val="24"/>
              </w:rPr>
            </w:pPr>
            <w:r>
              <w:rPr>
                <w:rFonts w:ascii="Times New Roman" w:hAnsi="Times New Roman"/>
                <w:strike w:val="false"/>
                <w:dstrike w:val="false"/>
                <w:color w:val="000000"/>
                <w:sz w:val="24"/>
                <w:u w:val="none"/>
                <w:effect w:val="none"/>
              </w:rPr>
              <w:t>(c)</w:t>
            </w:r>
            <w:r>
              <w:rPr>
                <w:rFonts w:ascii="Times New Roman" w:hAnsi="Times New Roman"/>
                <w:color w:val="000000"/>
                <w:sz w:val="24"/>
              </w:rPr>
              <w:t xml:space="preserve"> This Agreement has been duly authorized, executed and delivered by the Company and each of this Agreement and the Amended Credit Agreement constitutes the legal, valid and binding obligation of the Company, enforceable in accordance with its terms; and </w:t>
            </w:r>
          </w:p>
        </w:tc>
      </w:tr>
    </w:tbl>
    <w:tbl>
      <w:tblPr>
        <w:tblW w:w="7325" w:type="dxa"/>
        <w:jc w:val="left"/>
        <w:tblInd w:w="1440" w:type="dxa"/>
        <w:tblLayout w:type="fixed"/>
        <w:tblCellMar>
          <w:top w:w="0" w:type="dxa"/>
          <w:left w:w="0" w:type="dxa"/>
          <w:bottom w:w="0" w:type="dxa"/>
          <w:right w:w="0" w:type="dxa"/>
        </w:tblCellMar>
      </w:tblPr>
      <w:tblGrid>
        <w:gridCol w:w="2175"/>
        <w:gridCol w:w="5150"/>
      </w:tblGrid>
      <w:tr>
        <w:trPr/>
        <w:tc>
          <w:tcPr>
            <w:tcW w:w="2175" w:type="dxa"/>
            <w:tcBorders/>
            <w:vAlign w:val="center"/>
          </w:tcPr>
          <w:p>
            <w:pPr>
              <w:pStyle w:val="TableContents"/>
              <w:bidi w:val="0"/>
              <w:spacing w:before="0" w:after="283"/>
              <w:ind w:left="0" w:right="0" w:firstLine="2160"/>
              <w:jc w:val="left"/>
              <w:rPr>
                <w:sz w:val="4"/>
                <w:szCs w:val="4"/>
              </w:rPr>
            </w:pPr>
            <w:r>
              <w:rPr>
                <w:sz w:val="4"/>
                <w:szCs w:val="4"/>
              </w:rPr>
            </w:r>
          </w:p>
        </w:tc>
        <w:tc>
          <w:tcPr>
            <w:tcW w:w="5150" w:type="dxa"/>
            <w:tcBorders/>
          </w:tcPr>
          <w:p>
            <w:pPr>
              <w:pStyle w:val="TableContents"/>
              <w:pBdr/>
              <w:bidi w:val="0"/>
              <w:spacing w:before="0" w:after="240"/>
              <w:ind w:left="0" w:right="0" w:firstLine="2160"/>
              <w:jc w:val="both"/>
              <w:rPr>
                <w:rFonts w:ascii="Times New Roman" w:hAnsi="Times New Roman"/>
                <w:color w:val="000000"/>
                <w:sz w:val="24"/>
              </w:rPr>
            </w:pPr>
            <w:r>
              <w:rPr>
                <w:rFonts w:ascii="Times New Roman" w:hAnsi="Times New Roman"/>
                <w:strike w:val="false"/>
                <w:dstrike w:val="false"/>
                <w:color w:val="000000"/>
                <w:sz w:val="24"/>
                <w:u w:val="none"/>
                <w:effect w:val="none"/>
              </w:rPr>
              <w:t>(d)</w:t>
            </w:r>
            <w:r>
              <w:rPr>
                <w:rFonts w:ascii="Times New Roman" w:hAnsi="Times New Roman"/>
                <w:color w:val="000000"/>
                <w:sz w:val="24"/>
              </w:rPr>
              <w:t xml:space="preserve"> No consent, approval or authorization of, filing, registration or recording with, notice to or other act by or in respect of, any Governmental Authority or any other Person is required in connection with the execution, delivery or performance by the Company of this Agreement or performance by the Company of the Amended Credit Agreement (except for those which have been obtained on or prior to the date hereof).</w:t>
            </w:r>
          </w:p>
        </w:tc>
      </w:tr>
    </w:tbl>
    <w:p>
      <w:pPr>
        <w:pStyle w:val="TextBody"/>
        <w:bidi w:val="0"/>
        <w:spacing w:before="0" w:after="240"/>
        <w:ind w:left="1440" w:right="1440" w:firstLine="1440"/>
        <w:jc w:val="both"/>
        <w:rPr>
          <w:rFonts w:ascii="Times New Roman" w:hAnsi="Times New Roman"/>
          <w:sz w:val="24"/>
        </w:rPr>
      </w:pPr>
      <w:r>
        <w:rPr>
          <w:rFonts w:ascii="Times New Roman" w:hAnsi="Times New Roman"/>
          <w:color w:val="000000"/>
          <w:sz w:val="24"/>
        </w:rPr>
        <w:t>All of the above representations and warranties shall survive the making of this Agreement.</w:t>
      </w:r>
      <w:r>
        <w:rPr>
          <w:rFonts w:ascii="Times New Roman" w:hAnsi="Times New Roman"/>
          <w:sz w:val="24"/>
        </w:rPr>
        <w:t xml:space="preserve"> </w:t>
      </w:r>
    </w:p>
    <w:p>
      <w:pPr>
        <w:pStyle w:val="TextBody"/>
        <w:bidi w:val="0"/>
        <w:spacing w:before="0" w:after="0"/>
        <w:ind w:left="1440" w:right="1440" w:hanging="0"/>
        <w:jc w:val="left"/>
        <w:rPr/>
      </w:pPr>
      <w:r>
        <w:rPr/>
        <w:t xml:space="preserve">  </w:t>
      </w:r>
    </w:p>
    <w:p>
      <w:pPr>
        <w:pStyle w:val="TextBody"/>
        <w:bidi w:val="0"/>
        <w:spacing w:before="0" w:after="0"/>
        <w:ind w:left="1440" w:right="1440" w:hanging="0"/>
        <w:jc w:val="center"/>
        <w:rPr>
          <w:rFonts w:ascii="Times New Roman" w:hAnsi="Times New Roman"/>
          <w:sz w:val="24"/>
        </w:rPr>
      </w:pPr>
      <w:r>
        <w:rPr>
          <w:rFonts w:ascii="Times New Roman" w:hAnsi="Times New Roman"/>
          <w:sz w:val="24"/>
        </w:rPr>
        <w:t xml:space="preserve">2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bidi w:val="0"/>
              <w:spacing w:before="0" w:after="240"/>
              <w:ind w:left="0" w:right="0" w:firstLine="1440"/>
              <w:jc w:val="both"/>
              <w:rPr>
                <w:rFonts w:ascii="Times New Roman" w:hAnsi="Times New Roman"/>
                <w:color w:val="000000"/>
                <w:sz w:val="24"/>
              </w:rPr>
            </w:pPr>
            <w:r>
              <w:rPr>
                <w:rFonts w:ascii="Times New Roman" w:hAnsi="Times New Roman"/>
                <w:strike w:val="false"/>
                <w:dstrike w:val="false"/>
                <w:color w:val="000000"/>
                <w:sz w:val="24"/>
                <w:u w:val="none"/>
                <w:effect w:val="none"/>
              </w:rPr>
              <w:t>5.</w:t>
            </w:r>
            <w:r>
              <w:rPr>
                <w:rFonts w:ascii="Times New Roman" w:hAnsi="Times New Roman"/>
                <w:color w:val="000000"/>
                <w:sz w:val="24"/>
              </w:rPr>
              <w:t xml:space="preserve"> </w:t>
            </w:r>
            <w:r>
              <w:rPr>
                <w:rFonts w:ascii="Times New Roman" w:hAnsi="Times New Roman"/>
                <w:color w:val="000000"/>
                <w:sz w:val="24"/>
                <w:u w:val="single"/>
              </w:rPr>
              <w:t>Conditions Precedent</w:t>
            </w:r>
            <w:r>
              <w:rPr>
                <w:rFonts w:ascii="Times New Roman" w:hAnsi="Times New Roman"/>
                <w:color w:val="000000"/>
                <w:sz w:val="24"/>
              </w:rPr>
              <w:t>.  The effectiveness of the amendments set forth herein is subject to the fulfillment, to the satisfaction of the Administrative Agent and its counsel, of the following conditions precedent on or before the First Amendment Effective Date:</w:t>
            </w:r>
          </w:p>
        </w:tc>
      </w:tr>
    </w:tbl>
    <w:tbl>
      <w:tblPr>
        <w:tblW w:w="7325" w:type="dxa"/>
        <w:jc w:val="left"/>
        <w:tblInd w:w="1440" w:type="dxa"/>
        <w:tblLayout w:type="fixed"/>
        <w:tblCellMar>
          <w:top w:w="0" w:type="dxa"/>
          <w:left w:w="0" w:type="dxa"/>
          <w:bottom w:w="0" w:type="dxa"/>
          <w:right w:w="0" w:type="dxa"/>
        </w:tblCellMar>
      </w:tblPr>
      <w:tblGrid>
        <w:gridCol w:w="2175"/>
        <w:gridCol w:w="5150"/>
      </w:tblGrid>
      <w:tr>
        <w:trPr/>
        <w:tc>
          <w:tcPr>
            <w:tcW w:w="2175" w:type="dxa"/>
            <w:tcBorders/>
            <w:vAlign w:val="center"/>
          </w:tcPr>
          <w:p>
            <w:pPr>
              <w:pStyle w:val="TableContents"/>
              <w:bidi w:val="0"/>
              <w:spacing w:before="0" w:after="283"/>
              <w:ind w:left="0" w:right="0" w:firstLine="2160"/>
              <w:jc w:val="left"/>
              <w:rPr>
                <w:sz w:val="4"/>
                <w:szCs w:val="4"/>
              </w:rPr>
            </w:pPr>
            <w:r>
              <w:rPr>
                <w:sz w:val="4"/>
                <w:szCs w:val="4"/>
              </w:rPr>
            </w:r>
          </w:p>
        </w:tc>
        <w:tc>
          <w:tcPr>
            <w:tcW w:w="5150" w:type="dxa"/>
            <w:tcBorders/>
          </w:tcPr>
          <w:p>
            <w:pPr>
              <w:pStyle w:val="TableContents"/>
              <w:bidi w:val="0"/>
              <w:spacing w:before="0" w:after="240"/>
              <w:ind w:left="0" w:right="0" w:firstLine="2160"/>
              <w:jc w:val="both"/>
              <w:rPr>
                <w:rFonts w:ascii="Times New Roman" w:hAnsi="Times New Roman"/>
                <w:color w:val="000000"/>
                <w:sz w:val="24"/>
              </w:rPr>
            </w:pPr>
            <w:r>
              <w:rPr>
                <w:rFonts w:ascii="Times New Roman" w:hAnsi="Times New Roman"/>
                <w:strike w:val="false"/>
                <w:dstrike w:val="false"/>
                <w:color w:val="000000"/>
                <w:sz w:val="24"/>
                <w:u w:val="none"/>
                <w:effect w:val="none"/>
              </w:rPr>
              <w:t>(a)</w:t>
            </w:r>
            <w:r>
              <w:rPr>
                <w:rFonts w:ascii="Times New Roman" w:hAnsi="Times New Roman"/>
                <w:color w:val="000000"/>
                <w:sz w:val="24"/>
              </w:rPr>
              <w:t xml:space="preserve"> The Administrative Agent shall have received the following, all of which shall be in form and substance satisfactory to the Administrative Agent and shall be duly completed and executed by the Company,  the Administrative Agent and the Lenders, as applicable:</w:t>
            </w:r>
          </w:p>
        </w:tc>
      </w:tr>
    </w:tbl>
    <w:tbl>
      <w:tblPr>
        <w:tblW w:w="2036" w:type="dxa"/>
        <w:jc w:val="left"/>
        <w:tblInd w:w="1440" w:type="dxa"/>
        <w:tblLayout w:type="fixed"/>
        <w:tblCellMar>
          <w:top w:w="0" w:type="dxa"/>
          <w:left w:w="0" w:type="dxa"/>
          <w:bottom w:w="0" w:type="dxa"/>
          <w:right w:w="0" w:type="dxa"/>
        </w:tblCellMar>
      </w:tblPr>
      <w:tblGrid>
        <w:gridCol w:w="38"/>
        <w:gridCol w:w="290"/>
        <w:gridCol w:w="23"/>
        <w:gridCol w:w="168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tcPr>
          <w:p>
            <w:pPr>
              <w:pStyle w:val="TableContents"/>
              <w:pBdr/>
              <w:bidi w:val="0"/>
              <w:spacing w:before="0" w:after="240"/>
              <w:ind w:left="0" w:right="0" w:hanging="0"/>
              <w:jc w:val="both"/>
              <w:rPr>
                <w:rFonts w:ascii="Times New Roman" w:hAnsi="Times New Roman"/>
                <w:color w:val="000000"/>
                <w:sz w:val="24"/>
              </w:rPr>
            </w:pPr>
            <w:r>
              <w:rPr>
                <w:rFonts w:ascii="Times New Roman" w:hAnsi="Times New Roman"/>
                <w:strike w:val="false"/>
                <w:dstrike w:val="false"/>
                <w:color w:val="000000"/>
                <w:sz w:val="24"/>
                <w:u w:val="none"/>
                <w:effect w:val="none"/>
              </w:rPr>
              <w:t>(i)</w:t>
            </w:r>
            <w:r>
              <w:rPr>
                <w:rFonts w:ascii="Times New Roman" w:hAnsi="Times New Roman"/>
                <w:color w:val="000000"/>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685" w:type="dxa"/>
            <w:tcBorders/>
          </w:tcPr>
          <w:p>
            <w:pPr>
              <w:pStyle w:val="TableContents"/>
              <w:pBdr/>
              <w:bidi w:val="0"/>
              <w:spacing w:before="0" w:after="240"/>
              <w:ind w:left="0" w:right="0" w:hanging="0"/>
              <w:jc w:val="both"/>
              <w:rPr>
                <w:rFonts w:ascii="Times New Roman" w:hAnsi="Times New Roman"/>
                <w:color w:val="000000"/>
                <w:sz w:val="24"/>
              </w:rPr>
            </w:pPr>
            <w:r>
              <w:rPr>
                <w:rFonts w:ascii="Times New Roman" w:hAnsi="Times New Roman"/>
                <w:color w:val="000000"/>
                <w:sz w:val="24"/>
              </w:rPr>
              <w:t xml:space="preserve">This Agreement; </w:t>
            </w:r>
          </w:p>
        </w:tc>
      </w:tr>
    </w:tbl>
    <w:tbl>
      <w:tblPr>
        <w:tblW w:w="7325" w:type="dxa"/>
        <w:jc w:val="left"/>
        <w:tblInd w:w="1440" w:type="dxa"/>
        <w:tblLayout w:type="fixed"/>
        <w:tblCellMar>
          <w:top w:w="0" w:type="dxa"/>
          <w:left w:w="0" w:type="dxa"/>
          <w:bottom w:w="0" w:type="dxa"/>
          <w:right w:w="0" w:type="dxa"/>
        </w:tblCellMar>
      </w:tblPr>
      <w:tblGrid>
        <w:gridCol w:w="38"/>
        <w:gridCol w:w="263"/>
        <w:gridCol w:w="23"/>
        <w:gridCol w:w="7001"/>
      </w:tblGrid>
      <w:tr>
        <w:trPr/>
        <w:tc>
          <w:tcPr>
            <w:tcW w:w="38" w:type="dxa"/>
            <w:tcBorders/>
            <w:vAlign w:val="center"/>
          </w:tcPr>
          <w:p>
            <w:pPr>
              <w:pStyle w:val="TableContents"/>
              <w:bidi w:val="0"/>
              <w:spacing w:before="0" w:after="283"/>
              <w:jc w:val="left"/>
              <w:rPr>
                <w:sz w:val="4"/>
                <w:szCs w:val="4"/>
              </w:rPr>
            </w:pPr>
            <w:r>
              <w:rPr>
                <w:sz w:val="4"/>
                <w:szCs w:val="4"/>
              </w:rPr>
            </w:r>
          </w:p>
        </w:tc>
        <w:tc>
          <w:tcPr>
            <w:tcW w:w="263" w:type="dxa"/>
            <w:tcBorders/>
          </w:tcPr>
          <w:p>
            <w:pPr>
              <w:pStyle w:val="TableContents"/>
              <w:pBdr/>
              <w:bidi w:val="0"/>
              <w:spacing w:before="0" w:after="240"/>
              <w:ind w:left="0" w:right="0" w:hanging="0"/>
              <w:jc w:val="both"/>
              <w:rPr>
                <w:rFonts w:ascii="Times New Roman" w:hAnsi="Times New Roman"/>
                <w:color w:val="000000"/>
                <w:sz w:val="24"/>
              </w:rPr>
            </w:pPr>
            <w:r>
              <w:rPr>
                <w:rFonts w:ascii="Times New Roman" w:hAnsi="Times New Roman"/>
                <w:strike w:val="false"/>
                <w:dstrike w:val="false"/>
                <w:color w:val="000000"/>
                <w:sz w:val="24"/>
                <w:u w:val="none"/>
                <w:effect w:val="none"/>
              </w:rPr>
              <w:t>(ii)</w:t>
            </w:r>
            <w:r>
              <w:rPr>
                <w:rFonts w:ascii="Times New Roman" w:hAnsi="Times New Roman"/>
                <w:color w:val="000000"/>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01" w:type="dxa"/>
            <w:tcBorders/>
          </w:tcPr>
          <w:p>
            <w:pPr>
              <w:pStyle w:val="TableContents"/>
              <w:pBdr/>
              <w:bidi w:val="0"/>
              <w:spacing w:before="0" w:after="240"/>
              <w:ind w:left="0" w:right="0" w:hanging="0"/>
              <w:jc w:val="both"/>
              <w:rPr>
                <w:rFonts w:ascii="Times New Roman" w:hAnsi="Times New Roman"/>
                <w:color w:val="000000"/>
                <w:sz w:val="24"/>
              </w:rPr>
            </w:pPr>
            <w:r>
              <w:rPr>
                <w:rFonts w:ascii="Times New Roman" w:hAnsi="Times New Roman"/>
                <w:color w:val="000000"/>
                <w:sz w:val="24"/>
              </w:rPr>
              <w:t>Copies, certified by an officer of the Company, of resolutions of the board of directors of the Company in effect on the date hereof authorizing the transactions contemplated hereby;  </w:t>
            </w:r>
          </w:p>
        </w:tc>
      </w:tr>
    </w:tbl>
    <w:tbl>
      <w:tblPr>
        <w:tblW w:w="7325" w:type="dxa"/>
        <w:jc w:val="left"/>
        <w:tblInd w:w="1440" w:type="dxa"/>
        <w:tblLayout w:type="fixed"/>
        <w:tblCellMar>
          <w:top w:w="0" w:type="dxa"/>
          <w:left w:w="0" w:type="dxa"/>
          <w:bottom w:w="0" w:type="dxa"/>
          <w:right w:w="0" w:type="dxa"/>
        </w:tblCellMar>
      </w:tblPr>
      <w:tblGrid>
        <w:gridCol w:w="38"/>
        <w:gridCol w:w="299"/>
        <w:gridCol w:w="23"/>
        <w:gridCol w:w="6965"/>
      </w:tblGrid>
      <w:tr>
        <w:trPr/>
        <w:tc>
          <w:tcPr>
            <w:tcW w:w="38" w:type="dxa"/>
            <w:tcBorders/>
            <w:vAlign w:val="center"/>
          </w:tcPr>
          <w:p>
            <w:pPr>
              <w:pStyle w:val="TableContents"/>
              <w:bidi w:val="0"/>
              <w:spacing w:before="0" w:after="283"/>
              <w:jc w:val="left"/>
              <w:rPr>
                <w:sz w:val="4"/>
                <w:szCs w:val="4"/>
              </w:rPr>
            </w:pPr>
            <w:r>
              <w:rPr>
                <w:sz w:val="4"/>
                <w:szCs w:val="4"/>
              </w:rPr>
            </w:r>
          </w:p>
        </w:tc>
        <w:tc>
          <w:tcPr>
            <w:tcW w:w="299" w:type="dxa"/>
            <w:tcBorders/>
          </w:tcPr>
          <w:p>
            <w:pPr>
              <w:pStyle w:val="TableContents"/>
              <w:pBdr/>
              <w:bidi w:val="0"/>
              <w:spacing w:before="0" w:after="240"/>
              <w:ind w:left="0" w:right="0" w:hanging="0"/>
              <w:jc w:val="both"/>
              <w:rPr>
                <w:rFonts w:ascii="Times New Roman" w:hAnsi="Times New Roman"/>
                <w:color w:val="000000"/>
                <w:sz w:val="24"/>
              </w:rPr>
            </w:pPr>
            <w:r>
              <w:rPr>
                <w:rFonts w:ascii="Times New Roman" w:hAnsi="Times New Roman"/>
                <w:strike w:val="false"/>
                <w:dstrike w:val="false"/>
                <w:color w:val="000000"/>
                <w:sz w:val="24"/>
                <w:u w:val="none"/>
                <w:effect w:val="none"/>
              </w:rPr>
              <w:t>(iii)</w:t>
            </w:r>
            <w:r>
              <w:rPr>
                <w:rFonts w:ascii="Times New Roman" w:hAnsi="Times New Roman"/>
                <w:color w:val="000000"/>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965" w:type="dxa"/>
            <w:tcBorders/>
          </w:tcPr>
          <w:p>
            <w:pPr>
              <w:pStyle w:val="TableContents"/>
              <w:pBdr/>
              <w:bidi w:val="0"/>
              <w:spacing w:before="0" w:after="240"/>
              <w:ind w:left="0" w:right="0" w:hanging="0"/>
              <w:jc w:val="both"/>
              <w:rPr>
                <w:rFonts w:ascii="Times New Roman" w:hAnsi="Times New Roman"/>
                <w:color w:val="000000"/>
                <w:sz w:val="24"/>
              </w:rPr>
            </w:pPr>
            <w:r>
              <w:rPr>
                <w:rFonts w:ascii="Times New Roman" w:hAnsi="Times New Roman"/>
                <w:color w:val="000000"/>
                <w:sz w:val="24"/>
              </w:rPr>
              <w:t>Copies, certified by an officer of the Company, of the articles of incorporation and bylaws of the Company as in effect on the First Amendment Effective Date, or a certificate stating that there have been no changes to any such documents since the most recent date true and correct copies thereof were delivered to the Administrative Agent;</w:t>
            </w:r>
          </w:p>
        </w:tc>
      </w:tr>
    </w:tbl>
    <w:tbl>
      <w:tblPr>
        <w:tblW w:w="7325" w:type="dxa"/>
        <w:jc w:val="left"/>
        <w:tblInd w:w="1440" w:type="dxa"/>
        <w:tblLayout w:type="fixed"/>
        <w:tblCellMar>
          <w:top w:w="0" w:type="dxa"/>
          <w:left w:w="0" w:type="dxa"/>
          <w:bottom w:w="0" w:type="dxa"/>
          <w:right w:w="0" w:type="dxa"/>
        </w:tblCellMar>
      </w:tblPr>
      <w:tblGrid>
        <w:gridCol w:w="38"/>
        <w:gridCol w:w="219"/>
        <w:gridCol w:w="23"/>
        <w:gridCol w:w="7045"/>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tcPr>
          <w:p>
            <w:pPr>
              <w:pStyle w:val="TableContents"/>
              <w:pBdr/>
              <w:bidi w:val="0"/>
              <w:spacing w:before="0" w:after="240"/>
              <w:ind w:left="0" w:right="0" w:hanging="0"/>
              <w:jc w:val="both"/>
              <w:rPr>
                <w:rFonts w:ascii="Times New Roman" w:hAnsi="Times New Roman"/>
                <w:color w:val="000000"/>
                <w:sz w:val="24"/>
              </w:rPr>
            </w:pPr>
            <w:r>
              <w:rPr>
                <w:rFonts w:ascii="Times New Roman" w:hAnsi="Times New Roman"/>
                <w:strike w:val="false"/>
                <w:dstrike w:val="false"/>
                <w:color w:val="000000"/>
                <w:sz w:val="24"/>
                <w:u w:val="none"/>
                <w:effect w:val="none"/>
              </w:rPr>
              <w:t>(i)</w:t>
            </w:r>
            <w:r>
              <w:rPr>
                <w:rFonts w:ascii="Times New Roman" w:hAnsi="Times New Roman"/>
                <w:color w:val="000000"/>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45" w:type="dxa"/>
            <w:tcBorders/>
          </w:tcPr>
          <w:p>
            <w:pPr>
              <w:pStyle w:val="TableContents"/>
              <w:pBdr/>
              <w:bidi w:val="0"/>
              <w:spacing w:before="0" w:after="240"/>
              <w:ind w:left="0" w:right="0" w:hanging="0"/>
              <w:jc w:val="both"/>
              <w:rPr>
                <w:rFonts w:ascii="Times New Roman" w:hAnsi="Times New Roman"/>
                <w:color w:val="000000"/>
                <w:sz w:val="24"/>
              </w:rPr>
            </w:pPr>
            <w:r>
              <w:rPr>
                <w:rFonts w:ascii="Times New Roman" w:hAnsi="Times New Roman"/>
                <w:color w:val="000000"/>
                <w:sz w:val="24"/>
              </w:rPr>
              <w:t>A written certificate dated the First Amendment Effective Date by an officer of the Company certifying no Default or Event of Default exists;</w:t>
            </w:r>
          </w:p>
        </w:tc>
      </w:tr>
    </w:tbl>
    <w:tbl>
      <w:tblPr>
        <w:tblW w:w="7325" w:type="dxa"/>
        <w:jc w:val="left"/>
        <w:tblInd w:w="1440" w:type="dxa"/>
        <w:tblLayout w:type="fixed"/>
        <w:tblCellMar>
          <w:top w:w="0" w:type="dxa"/>
          <w:left w:w="0" w:type="dxa"/>
          <w:bottom w:w="0" w:type="dxa"/>
          <w:right w:w="0" w:type="dxa"/>
        </w:tblCellMar>
      </w:tblPr>
      <w:tblGrid>
        <w:gridCol w:w="38"/>
        <w:gridCol w:w="300"/>
        <w:gridCol w:w="23"/>
        <w:gridCol w:w="6964"/>
      </w:tblGrid>
      <w:tr>
        <w:trPr/>
        <w:tc>
          <w:tcPr>
            <w:tcW w:w="38" w:type="dxa"/>
            <w:tcBorders/>
            <w:vAlign w:val="center"/>
          </w:tcPr>
          <w:p>
            <w:pPr>
              <w:pStyle w:val="TableContents"/>
              <w:bidi w:val="0"/>
              <w:spacing w:before="0" w:after="283"/>
              <w:jc w:val="left"/>
              <w:rPr>
                <w:sz w:val="4"/>
                <w:szCs w:val="4"/>
              </w:rPr>
            </w:pPr>
            <w:r>
              <w:rPr>
                <w:sz w:val="4"/>
                <w:szCs w:val="4"/>
              </w:rPr>
            </w:r>
          </w:p>
        </w:tc>
        <w:tc>
          <w:tcPr>
            <w:tcW w:w="300" w:type="dxa"/>
            <w:tcBorders/>
          </w:tcPr>
          <w:p>
            <w:pPr>
              <w:pStyle w:val="TableContents"/>
              <w:pBdr/>
              <w:bidi w:val="0"/>
              <w:spacing w:before="0" w:after="240"/>
              <w:ind w:left="0" w:right="0" w:hanging="0"/>
              <w:jc w:val="both"/>
              <w:rPr>
                <w:rFonts w:ascii="Times New Roman" w:hAnsi="Times New Roman"/>
                <w:color w:val="000000"/>
                <w:sz w:val="24"/>
              </w:rPr>
            </w:pPr>
            <w:r>
              <w:rPr>
                <w:rFonts w:ascii="Times New Roman" w:hAnsi="Times New Roman"/>
                <w:strike w:val="false"/>
                <w:dstrike w:val="false"/>
                <w:color w:val="000000"/>
                <w:sz w:val="24"/>
                <w:u w:val="none"/>
                <w:effect w:val="none"/>
              </w:rPr>
              <w:t>(ii)</w:t>
            </w:r>
            <w:r>
              <w:rPr>
                <w:rFonts w:ascii="Times New Roman" w:hAnsi="Times New Roman"/>
                <w:color w:val="000000"/>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964" w:type="dxa"/>
            <w:tcBorders/>
          </w:tcPr>
          <w:p>
            <w:pPr>
              <w:pStyle w:val="TableContents"/>
              <w:pBdr/>
              <w:bidi w:val="0"/>
              <w:spacing w:before="0" w:after="240"/>
              <w:ind w:left="0" w:right="0" w:hanging="0"/>
              <w:jc w:val="both"/>
              <w:rPr>
                <w:rFonts w:ascii="Times New Roman" w:hAnsi="Times New Roman"/>
                <w:color w:val="000000"/>
                <w:sz w:val="24"/>
              </w:rPr>
            </w:pPr>
            <w:r>
              <w:rPr>
                <w:rFonts w:ascii="Times New Roman" w:hAnsi="Times New Roman"/>
                <w:color w:val="000000"/>
                <w:sz w:val="24"/>
              </w:rPr>
              <w:t>A  subsistence certificate for the Company in the state of its incorporation dated as of a recent date; and</w:t>
            </w:r>
          </w:p>
        </w:tc>
      </w:tr>
    </w:tbl>
    <w:tbl>
      <w:tblPr>
        <w:tblW w:w="7325" w:type="dxa"/>
        <w:jc w:val="left"/>
        <w:tblInd w:w="1440" w:type="dxa"/>
        <w:tblLayout w:type="fixed"/>
        <w:tblCellMar>
          <w:top w:w="0" w:type="dxa"/>
          <w:left w:w="0" w:type="dxa"/>
          <w:bottom w:w="0" w:type="dxa"/>
          <w:right w:w="0" w:type="dxa"/>
        </w:tblCellMar>
      </w:tblPr>
      <w:tblGrid>
        <w:gridCol w:w="38"/>
        <w:gridCol w:w="294"/>
        <w:gridCol w:w="23"/>
        <w:gridCol w:w="6970"/>
      </w:tblGrid>
      <w:tr>
        <w:trPr/>
        <w:tc>
          <w:tcPr>
            <w:tcW w:w="38" w:type="dxa"/>
            <w:tcBorders/>
            <w:vAlign w:val="center"/>
          </w:tcPr>
          <w:p>
            <w:pPr>
              <w:pStyle w:val="TableContents"/>
              <w:bidi w:val="0"/>
              <w:spacing w:before="0" w:after="283"/>
              <w:jc w:val="left"/>
              <w:rPr>
                <w:sz w:val="4"/>
                <w:szCs w:val="4"/>
              </w:rPr>
            </w:pPr>
            <w:r>
              <w:rPr>
                <w:sz w:val="4"/>
                <w:szCs w:val="4"/>
              </w:rPr>
            </w:r>
          </w:p>
        </w:tc>
        <w:tc>
          <w:tcPr>
            <w:tcW w:w="294" w:type="dxa"/>
            <w:tcBorders/>
          </w:tcPr>
          <w:p>
            <w:pPr>
              <w:pStyle w:val="TableContents"/>
              <w:pBdr/>
              <w:bidi w:val="0"/>
              <w:spacing w:before="0" w:after="240"/>
              <w:ind w:left="0" w:right="0" w:hanging="0"/>
              <w:jc w:val="both"/>
              <w:rPr>
                <w:rFonts w:ascii="Times New Roman" w:hAnsi="Times New Roman"/>
                <w:color w:val="000000"/>
                <w:sz w:val="24"/>
              </w:rPr>
            </w:pPr>
            <w:r>
              <w:rPr>
                <w:rFonts w:ascii="Times New Roman" w:hAnsi="Times New Roman"/>
                <w:strike w:val="false"/>
                <w:dstrike w:val="false"/>
                <w:color w:val="000000"/>
                <w:sz w:val="24"/>
                <w:u w:val="none"/>
                <w:effect w:val="none"/>
              </w:rPr>
              <w:t>(iv)</w:t>
            </w:r>
            <w:r>
              <w:rPr>
                <w:rFonts w:ascii="Times New Roman" w:hAnsi="Times New Roman"/>
                <w:color w:val="000000"/>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970" w:type="dxa"/>
            <w:tcBorders/>
          </w:tcPr>
          <w:p>
            <w:pPr>
              <w:pStyle w:val="TableContents"/>
              <w:pBdr/>
              <w:bidi w:val="0"/>
              <w:spacing w:before="0" w:after="240"/>
              <w:ind w:left="0" w:right="0" w:hanging="0"/>
              <w:jc w:val="both"/>
              <w:rPr>
                <w:rFonts w:ascii="Times New Roman" w:hAnsi="Times New Roman"/>
                <w:color w:val="000000"/>
                <w:sz w:val="24"/>
              </w:rPr>
            </w:pPr>
            <w:r>
              <w:rPr>
                <w:rFonts w:ascii="Times New Roman" w:hAnsi="Times New Roman"/>
                <w:color w:val="000000"/>
                <w:sz w:val="24"/>
              </w:rPr>
              <w:t>If the Company qualifies as a “legal entity customer” under the Beneficial Ownership Regulation, an executed Beneficial Ownership Certification in relation to the Company and, in any case, such other documentation and other information requested by the Administrative Agent and the Lenders in connection with applicable “know your customer” and anti-money laundering rules and regulations, including the USA Patriot Act.</w:t>
            </w:r>
          </w:p>
        </w:tc>
      </w:tr>
    </w:tbl>
    <w:tbl>
      <w:tblPr>
        <w:tblW w:w="7325" w:type="dxa"/>
        <w:jc w:val="left"/>
        <w:tblInd w:w="1440" w:type="dxa"/>
        <w:tblLayout w:type="fixed"/>
        <w:tblCellMar>
          <w:top w:w="0" w:type="dxa"/>
          <w:left w:w="0" w:type="dxa"/>
          <w:bottom w:w="0" w:type="dxa"/>
          <w:right w:w="0" w:type="dxa"/>
        </w:tblCellMar>
      </w:tblPr>
      <w:tblGrid>
        <w:gridCol w:w="2175"/>
        <w:gridCol w:w="5150"/>
      </w:tblGrid>
      <w:tr>
        <w:trPr/>
        <w:tc>
          <w:tcPr>
            <w:tcW w:w="2175" w:type="dxa"/>
            <w:tcBorders/>
            <w:vAlign w:val="center"/>
          </w:tcPr>
          <w:p>
            <w:pPr>
              <w:pStyle w:val="TableContents"/>
              <w:bidi w:val="0"/>
              <w:spacing w:before="0" w:after="283"/>
              <w:ind w:left="0" w:right="0" w:firstLine="2160"/>
              <w:jc w:val="left"/>
              <w:rPr>
                <w:sz w:val="4"/>
                <w:szCs w:val="4"/>
              </w:rPr>
            </w:pPr>
            <w:r>
              <w:rPr>
                <w:sz w:val="4"/>
                <w:szCs w:val="4"/>
              </w:rPr>
            </w:r>
          </w:p>
        </w:tc>
        <w:tc>
          <w:tcPr>
            <w:tcW w:w="5150" w:type="dxa"/>
            <w:tcBorders/>
          </w:tcPr>
          <w:p>
            <w:pPr>
              <w:pStyle w:val="TableContents"/>
              <w:pBdr/>
              <w:bidi w:val="0"/>
              <w:spacing w:before="0" w:after="240"/>
              <w:ind w:left="0" w:right="0" w:firstLine="2160"/>
              <w:jc w:val="both"/>
              <w:rPr>
                <w:rFonts w:ascii="Times New Roman" w:hAnsi="Times New Roman"/>
                <w:color w:val="000000"/>
                <w:sz w:val="24"/>
              </w:rPr>
            </w:pPr>
            <w:r>
              <w:rPr>
                <w:rFonts w:ascii="Times New Roman" w:hAnsi="Times New Roman"/>
                <w:strike w:val="false"/>
                <w:dstrike w:val="false"/>
                <w:color w:val="000000"/>
                <w:sz w:val="24"/>
                <w:u w:val="none"/>
                <w:effect w:val="none"/>
              </w:rPr>
              <w:t>(c)</w:t>
            </w:r>
            <w:r>
              <w:rPr>
                <w:rFonts w:ascii="Times New Roman" w:hAnsi="Times New Roman"/>
                <w:color w:val="000000"/>
                <w:sz w:val="24"/>
              </w:rPr>
              <w:t xml:space="preserve"> The Administrative Agent shall have received such fees as shall have been agreed.</w:t>
            </w:r>
          </w:p>
        </w:tc>
      </w:tr>
    </w:tbl>
    <w:tbl>
      <w:tblPr>
        <w:tblW w:w="7325" w:type="dxa"/>
        <w:jc w:val="left"/>
        <w:tblInd w:w="1440" w:type="dxa"/>
        <w:tblLayout w:type="fixed"/>
        <w:tblCellMar>
          <w:top w:w="0" w:type="dxa"/>
          <w:left w:w="0" w:type="dxa"/>
          <w:bottom w:w="0" w:type="dxa"/>
          <w:right w:w="0" w:type="dxa"/>
        </w:tblCellMar>
      </w:tblPr>
      <w:tblGrid>
        <w:gridCol w:w="2175"/>
        <w:gridCol w:w="5150"/>
      </w:tblGrid>
      <w:tr>
        <w:trPr/>
        <w:tc>
          <w:tcPr>
            <w:tcW w:w="2175" w:type="dxa"/>
            <w:tcBorders/>
            <w:vAlign w:val="center"/>
          </w:tcPr>
          <w:p>
            <w:pPr>
              <w:pStyle w:val="TableContents"/>
              <w:bidi w:val="0"/>
              <w:spacing w:before="0" w:after="283"/>
              <w:ind w:left="0" w:right="0" w:firstLine="2160"/>
              <w:jc w:val="left"/>
              <w:rPr>
                <w:sz w:val="4"/>
                <w:szCs w:val="4"/>
              </w:rPr>
            </w:pPr>
            <w:r>
              <w:rPr>
                <w:sz w:val="4"/>
                <w:szCs w:val="4"/>
              </w:rPr>
            </w:r>
          </w:p>
        </w:tc>
        <w:tc>
          <w:tcPr>
            <w:tcW w:w="5150" w:type="dxa"/>
            <w:tcBorders/>
          </w:tcPr>
          <w:p>
            <w:pPr>
              <w:pStyle w:val="TableContents"/>
              <w:pBdr/>
              <w:bidi w:val="0"/>
              <w:spacing w:before="0" w:after="240"/>
              <w:ind w:left="0" w:right="0" w:firstLine="2160"/>
              <w:jc w:val="both"/>
              <w:rPr>
                <w:rFonts w:ascii="Times New Roman" w:hAnsi="Times New Roman"/>
                <w:color w:val="000000"/>
                <w:sz w:val="24"/>
              </w:rPr>
            </w:pPr>
            <w:r>
              <w:rPr>
                <w:rFonts w:ascii="Times New Roman" w:hAnsi="Times New Roman"/>
                <w:strike w:val="false"/>
                <w:dstrike w:val="false"/>
                <w:color w:val="000000"/>
                <w:sz w:val="24"/>
                <w:u w:val="none"/>
                <w:effect w:val="none"/>
              </w:rPr>
              <w:t>(d)</w:t>
            </w:r>
            <w:r>
              <w:rPr>
                <w:rFonts w:ascii="Times New Roman" w:hAnsi="Times New Roman"/>
                <w:color w:val="000000"/>
                <w:sz w:val="24"/>
              </w:rPr>
              <w:t xml:space="preserve"> The Administrative Agent shall have received, to the extent invoiced at least one Business Day prior to the First Amendment Effective Date, reimbursement of all reasonable and documented fees and expenses of counsel to the Administrative Agent required to be paid or reimbursed by the Company hereunder.</w:t>
            </w:r>
          </w:p>
        </w:tc>
      </w:tr>
    </w:tbl>
    <w:p>
      <w:pPr>
        <w:pStyle w:val="TextBody"/>
        <w:bidi w:val="0"/>
        <w:spacing w:before="0" w:after="0"/>
        <w:ind w:left="1440" w:right="1440" w:hanging="0"/>
        <w:jc w:val="left"/>
        <w:rPr/>
      </w:pPr>
      <w:r>
        <w:rPr/>
        <w:t xml:space="preserve">  </w:t>
      </w:r>
    </w:p>
    <w:p>
      <w:pPr>
        <w:pStyle w:val="TextBody"/>
        <w:bidi w:val="0"/>
        <w:spacing w:before="0" w:after="0"/>
        <w:ind w:left="1440" w:right="1440" w:hanging="0"/>
        <w:jc w:val="center"/>
        <w:rPr>
          <w:rFonts w:ascii="Times New Roman" w:hAnsi="Times New Roman"/>
          <w:sz w:val="24"/>
        </w:rPr>
      </w:pPr>
      <w:r>
        <w:rPr>
          <w:rFonts w:ascii="Times New Roman" w:hAnsi="Times New Roman"/>
          <w:sz w:val="24"/>
        </w:rPr>
        <w:t xml:space="preserve">3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before="0" w:after="240"/>
        <w:ind w:left="1440" w:right="1440" w:hanging="0"/>
        <w:jc w:val="both"/>
        <w:rPr>
          <w:rFonts w:ascii="Times New Roman" w:hAnsi="Times New Roman"/>
          <w:sz w:val="24"/>
        </w:rPr>
      </w:pPr>
      <w:r>
        <w:rPr>
          <w:rFonts w:ascii="Times New Roman" w:hAnsi="Times New Roman"/>
          <w:sz w:val="24"/>
        </w:rPr>
        <w:t xml:space="preserve">All of the foregoing fees shall be in all respects, fully earned, due and payable on the First Amendment Effective Date and non-refundable and non-creditable thereafter. </w:t>
      </w:r>
    </w:p>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color w:val="000000"/>
                <w:sz w:val="24"/>
              </w:rPr>
            </w:pPr>
            <w:r>
              <w:rPr>
                <w:rFonts w:ascii="Times New Roman" w:hAnsi="Times New Roman"/>
                <w:strike w:val="false"/>
                <w:dstrike w:val="false"/>
                <w:color w:val="000000"/>
                <w:sz w:val="24"/>
                <w:u w:val="none"/>
                <w:effect w:val="none"/>
              </w:rPr>
              <w:t>6.</w:t>
            </w:r>
            <w:r>
              <w:rPr>
                <w:rFonts w:ascii="Times New Roman" w:hAnsi="Times New Roman"/>
                <w:color w:val="000000"/>
                <w:sz w:val="24"/>
              </w:rPr>
              <w:t xml:space="preserve"> </w:t>
            </w:r>
            <w:r>
              <w:rPr>
                <w:rFonts w:ascii="Times New Roman" w:hAnsi="Times New Roman"/>
                <w:color w:val="000000"/>
                <w:sz w:val="24"/>
                <w:u w:val="single"/>
              </w:rPr>
              <w:t>Integration</w:t>
            </w:r>
            <w:r>
              <w:rPr>
                <w:rFonts w:ascii="Times New Roman" w:hAnsi="Times New Roman"/>
                <w:color w:val="000000"/>
                <w:sz w:val="24"/>
              </w:rPr>
              <w:t xml:space="preserve">.  This Agreement, together with the Existing Credit Agreement and the other Loan Documents, constitutes the sole agreement of the parties hereto with respect to the transactions contemplated hereby and shall supersede all oral negotiations and the terms of prior writings with respect thereto.  From and after the First Amendment Effective Date, all references in the Amended Credit Agreement and each of the other Loan Documents to the Credit Agreement or the other Loan Documents modified hereby shall be deemed to be references to the Amended Credit Agreement and such other Loan Documents as modified hereby.  This Agreement shall constitute a Loan Document for all purposes under the Amended Credit Agreement and each of the other Loan Documents. </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color w:val="000000"/>
                <w:sz w:val="24"/>
              </w:rPr>
            </w:pPr>
            <w:r>
              <w:rPr>
                <w:rFonts w:ascii="Times New Roman" w:hAnsi="Times New Roman"/>
                <w:strike w:val="false"/>
                <w:dstrike w:val="false"/>
                <w:color w:val="000000"/>
                <w:sz w:val="24"/>
                <w:u w:val="none"/>
                <w:effect w:val="none"/>
              </w:rPr>
              <w:t>7.</w:t>
            </w:r>
            <w:r>
              <w:rPr>
                <w:rFonts w:ascii="Times New Roman" w:hAnsi="Times New Roman"/>
                <w:color w:val="000000"/>
                <w:sz w:val="24"/>
              </w:rPr>
              <w:t xml:space="preserve"> </w:t>
            </w:r>
            <w:r>
              <w:rPr>
                <w:rFonts w:ascii="Times New Roman" w:hAnsi="Times New Roman"/>
                <w:color w:val="000000"/>
                <w:sz w:val="24"/>
                <w:u w:val="single"/>
              </w:rPr>
              <w:t>Severability</w:t>
            </w:r>
            <w:r>
              <w:rPr>
                <w:rFonts w:ascii="Times New Roman" w:hAnsi="Times New Roman"/>
                <w:color w:val="000000"/>
                <w:sz w:val="24"/>
              </w:rPr>
              <w:t>.  Any provision of this Agreement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tc>
      </w:tr>
    </w:tbl>
    <w:tbl>
      <w:tblPr>
        <w:tblW w:w="4580" w:type="dxa"/>
        <w:jc w:val="left"/>
        <w:tblInd w:w="1440" w:type="dxa"/>
        <w:tblLayout w:type="fixed"/>
        <w:tblCellMar>
          <w:top w:w="0" w:type="dxa"/>
          <w:left w:w="0" w:type="dxa"/>
          <w:bottom w:w="0" w:type="dxa"/>
          <w:right w:w="0" w:type="dxa"/>
        </w:tblCellMar>
      </w:tblPr>
      <w:tblGrid>
        <w:gridCol w:w="1455"/>
        <w:gridCol w:w="3125"/>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3125" w:type="dxa"/>
            <w:tcBorders/>
          </w:tcPr>
          <w:p>
            <w:pPr>
              <w:pStyle w:val="TableContents"/>
              <w:pBdr/>
              <w:bidi w:val="0"/>
              <w:spacing w:before="0" w:after="240"/>
              <w:ind w:left="0" w:right="0" w:firstLine="1440"/>
              <w:jc w:val="both"/>
              <w:rPr>
                <w:rFonts w:ascii="Times New Roman" w:hAnsi="Times New Roman"/>
                <w:color w:val="000000"/>
                <w:sz w:val="24"/>
              </w:rPr>
            </w:pPr>
            <w:r>
              <w:rPr>
                <w:rFonts w:ascii="Times New Roman" w:hAnsi="Times New Roman"/>
                <w:strike w:val="false"/>
                <w:dstrike w:val="false"/>
                <w:color w:val="000000"/>
                <w:sz w:val="24"/>
                <w:u w:val="none"/>
                <w:effect w:val="none"/>
              </w:rPr>
              <w:t>8.</w:t>
            </w:r>
            <w:r>
              <w:rPr>
                <w:rFonts w:ascii="Times New Roman" w:hAnsi="Times New Roman"/>
                <w:color w:val="000000"/>
                <w:sz w:val="24"/>
              </w:rPr>
              <w:t xml:space="preserve"> </w:t>
            </w:r>
            <w:r>
              <w:rPr>
                <w:rFonts w:ascii="Times New Roman" w:hAnsi="Times New Roman"/>
                <w:color w:val="000000"/>
                <w:sz w:val="24"/>
                <w:u w:val="single"/>
              </w:rPr>
              <w:t>Miscellaneous</w:t>
            </w:r>
            <w:r>
              <w:rPr>
                <w:rFonts w:ascii="Times New Roman" w:hAnsi="Times New Roman"/>
                <w:color w:val="000000"/>
                <w:sz w:val="24"/>
              </w:rPr>
              <w:t>.</w:t>
            </w:r>
          </w:p>
        </w:tc>
      </w:tr>
    </w:tbl>
    <w:tbl>
      <w:tblPr>
        <w:tblW w:w="7325" w:type="dxa"/>
        <w:jc w:val="left"/>
        <w:tblInd w:w="1440" w:type="dxa"/>
        <w:tblLayout w:type="fixed"/>
        <w:tblCellMar>
          <w:top w:w="0" w:type="dxa"/>
          <w:left w:w="0" w:type="dxa"/>
          <w:bottom w:w="0" w:type="dxa"/>
          <w:right w:w="0" w:type="dxa"/>
        </w:tblCellMar>
      </w:tblPr>
      <w:tblGrid>
        <w:gridCol w:w="2175"/>
        <w:gridCol w:w="5150"/>
      </w:tblGrid>
      <w:tr>
        <w:trPr/>
        <w:tc>
          <w:tcPr>
            <w:tcW w:w="2175" w:type="dxa"/>
            <w:tcBorders/>
            <w:vAlign w:val="center"/>
          </w:tcPr>
          <w:p>
            <w:pPr>
              <w:pStyle w:val="TableContents"/>
              <w:bidi w:val="0"/>
              <w:spacing w:before="0" w:after="283"/>
              <w:ind w:left="0" w:right="0" w:firstLine="2160"/>
              <w:jc w:val="left"/>
              <w:rPr>
                <w:sz w:val="4"/>
                <w:szCs w:val="4"/>
              </w:rPr>
            </w:pPr>
            <w:r>
              <w:rPr>
                <w:sz w:val="4"/>
                <w:szCs w:val="4"/>
              </w:rPr>
            </w:r>
          </w:p>
        </w:tc>
        <w:tc>
          <w:tcPr>
            <w:tcW w:w="5150" w:type="dxa"/>
            <w:tcBorders/>
          </w:tcPr>
          <w:p>
            <w:pPr>
              <w:pStyle w:val="TableContents"/>
              <w:pBdr/>
              <w:bidi w:val="0"/>
              <w:spacing w:before="0" w:after="240"/>
              <w:ind w:left="0" w:right="0" w:firstLine="2160"/>
              <w:jc w:val="both"/>
              <w:rPr>
                <w:rFonts w:ascii="Times New Roman" w:hAnsi="Times New Roman"/>
                <w:color w:val="000000"/>
                <w:sz w:val="24"/>
              </w:rPr>
            </w:pPr>
            <w:r>
              <w:rPr>
                <w:rFonts w:ascii="Times New Roman" w:hAnsi="Times New Roman"/>
                <w:strike w:val="false"/>
                <w:dstrike w:val="false"/>
                <w:color w:val="000000"/>
                <w:sz w:val="24"/>
                <w:u w:val="none"/>
                <w:effect w:val="none"/>
              </w:rPr>
              <w:t>(a)</w:t>
            </w:r>
            <w:r>
              <w:rPr>
                <w:rFonts w:ascii="Times New Roman" w:hAnsi="Times New Roman"/>
                <w:color w:val="000000"/>
                <w:sz w:val="24"/>
              </w:rPr>
              <w:t xml:space="preserve"> The Company agrees to pay all of the Administrative Agent’s reasonable and documented out</w:t>
              <w:noBreakHyphen/>
              <w:t>of</w:t>
              <w:noBreakHyphen/>
              <w:t>pocket fees and expenses incurred in connection with this Agreement and the transactions contemplated hereby, including, without limitation, the reasonable and documented fees and expenses of counsel to the Administrative Agent.</w:t>
            </w:r>
          </w:p>
        </w:tc>
      </w:tr>
    </w:tbl>
    <w:tbl>
      <w:tblPr>
        <w:tblW w:w="7325" w:type="dxa"/>
        <w:jc w:val="left"/>
        <w:tblInd w:w="1440" w:type="dxa"/>
        <w:tblLayout w:type="fixed"/>
        <w:tblCellMar>
          <w:top w:w="0" w:type="dxa"/>
          <w:left w:w="0" w:type="dxa"/>
          <w:bottom w:w="0" w:type="dxa"/>
          <w:right w:w="0" w:type="dxa"/>
        </w:tblCellMar>
      </w:tblPr>
      <w:tblGrid>
        <w:gridCol w:w="2175"/>
        <w:gridCol w:w="5150"/>
      </w:tblGrid>
      <w:tr>
        <w:trPr/>
        <w:tc>
          <w:tcPr>
            <w:tcW w:w="2175" w:type="dxa"/>
            <w:tcBorders/>
            <w:vAlign w:val="center"/>
          </w:tcPr>
          <w:p>
            <w:pPr>
              <w:pStyle w:val="TableContents"/>
              <w:bidi w:val="0"/>
              <w:spacing w:before="0" w:after="283"/>
              <w:ind w:left="0" w:right="0" w:firstLine="2160"/>
              <w:jc w:val="left"/>
              <w:rPr>
                <w:sz w:val="4"/>
                <w:szCs w:val="4"/>
              </w:rPr>
            </w:pPr>
            <w:r>
              <w:rPr>
                <w:sz w:val="4"/>
                <w:szCs w:val="4"/>
              </w:rPr>
            </w:r>
          </w:p>
        </w:tc>
        <w:tc>
          <w:tcPr>
            <w:tcW w:w="5150" w:type="dxa"/>
            <w:tcBorders/>
          </w:tcPr>
          <w:p>
            <w:pPr>
              <w:pStyle w:val="TableContents"/>
              <w:pBdr/>
              <w:bidi w:val="0"/>
              <w:spacing w:before="0" w:after="240"/>
              <w:ind w:left="0" w:right="0" w:firstLine="2160"/>
              <w:jc w:val="both"/>
              <w:rPr>
                <w:rFonts w:ascii="Times New Roman" w:hAnsi="Times New Roman"/>
                <w:color w:val="000000"/>
                <w:sz w:val="24"/>
              </w:rPr>
            </w:pPr>
            <w:r>
              <w:rPr>
                <w:rFonts w:ascii="Times New Roman" w:hAnsi="Times New Roman"/>
                <w:strike w:val="false"/>
                <w:dstrike w:val="false"/>
                <w:color w:val="000000"/>
                <w:sz w:val="24"/>
                <w:u w:val="none"/>
                <w:effect w:val="none"/>
              </w:rPr>
              <w:t>(b)</w:t>
            </w:r>
            <w:r>
              <w:rPr>
                <w:rFonts w:ascii="Times New Roman" w:hAnsi="Times New Roman"/>
                <w:color w:val="000000"/>
                <w:sz w:val="24"/>
              </w:rPr>
              <w:t xml:space="preserve"> All terms, conditions, provisions and covenants in the Loan Documents and all other documents delivered to the Administrative Agent and the Lenders in connection therewith shall remain unaltered and in full force and effect except as expressly modified or amended hereby.  To the extent that any term or provision of this Agreement is or may be deemed expressly inconsistent with any term or provision in any Loan Document or any other document executed in connection therewith, the terms and provisions hereof shall control.</w:t>
            </w:r>
          </w:p>
        </w:tc>
      </w:tr>
    </w:tbl>
    <w:tbl>
      <w:tblPr>
        <w:tblW w:w="7325" w:type="dxa"/>
        <w:jc w:val="left"/>
        <w:tblInd w:w="1440" w:type="dxa"/>
        <w:tblLayout w:type="fixed"/>
        <w:tblCellMar>
          <w:top w:w="0" w:type="dxa"/>
          <w:left w:w="0" w:type="dxa"/>
          <w:bottom w:w="0" w:type="dxa"/>
          <w:right w:w="0" w:type="dxa"/>
        </w:tblCellMar>
      </w:tblPr>
      <w:tblGrid>
        <w:gridCol w:w="2175"/>
        <w:gridCol w:w="5150"/>
      </w:tblGrid>
      <w:tr>
        <w:trPr/>
        <w:tc>
          <w:tcPr>
            <w:tcW w:w="2175" w:type="dxa"/>
            <w:tcBorders/>
            <w:vAlign w:val="center"/>
          </w:tcPr>
          <w:p>
            <w:pPr>
              <w:pStyle w:val="TableContents"/>
              <w:bidi w:val="0"/>
              <w:spacing w:before="0" w:after="283"/>
              <w:ind w:left="0" w:right="0" w:firstLine="2160"/>
              <w:jc w:val="left"/>
              <w:rPr>
                <w:sz w:val="4"/>
                <w:szCs w:val="4"/>
              </w:rPr>
            </w:pPr>
            <w:r>
              <w:rPr>
                <w:sz w:val="4"/>
                <w:szCs w:val="4"/>
              </w:rPr>
            </w:r>
          </w:p>
        </w:tc>
        <w:tc>
          <w:tcPr>
            <w:tcW w:w="5150" w:type="dxa"/>
            <w:tcBorders/>
          </w:tcPr>
          <w:p>
            <w:pPr>
              <w:pStyle w:val="TableContents"/>
              <w:pBdr/>
              <w:bidi w:val="0"/>
              <w:spacing w:before="0" w:after="240"/>
              <w:ind w:left="0" w:right="0" w:firstLine="2160"/>
              <w:jc w:val="both"/>
              <w:rPr>
                <w:rFonts w:ascii="Times New Roman" w:hAnsi="Times New Roman"/>
                <w:color w:val="000000"/>
                <w:sz w:val="24"/>
              </w:rPr>
            </w:pPr>
            <w:r>
              <w:rPr>
                <w:rFonts w:ascii="Times New Roman" w:hAnsi="Times New Roman"/>
                <w:strike w:val="false"/>
                <w:dstrike w:val="false"/>
                <w:color w:val="000000"/>
                <w:sz w:val="24"/>
                <w:u w:val="none"/>
                <w:effect w:val="none"/>
              </w:rPr>
              <w:t>(c)</w:t>
            </w:r>
            <w:r>
              <w:rPr>
                <w:rFonts w:ascii="Times New Roman" w:hAnsi="Times New Roman"/>
                <w:color w:val="000000"/>
                <w:sz w:val="24"/>
              </w:rPr>
              <w:t xml:space="preserve"> Except as expressly provided herein, the execution, delivery and effectiveness of this Agreement shall neither operate as a waiver of any right, power or remedy of the Administrative Agent or the Lenders under any of the Loan Documents nor constitute a waiver of any Default or Event of Default thereunder.</w:t>
            </w:r>
          </w:p>
        </w:tc>
      </w:tr>
    </w:tbl>
    <w:tbl>
      <w:tblPr>
        <w:tblW w:w="7325" w:type="dxa"/>
        <w:jc w:val="left"/>
        <w:tblInd w:w="1440" w:type="dxa"/>
        <w:tblLayout w:type="fixed"/>
        <w:tblCellMar>
          <w:top w:w="0" w:type="dxa"/>
          <w:left w:w="0" w:type="dxa"/>
          <w:bottom w:w="0" w:type="dxa"/>
          <w:right w:w="0" w:type="dxa"/>
        </w:tblCellMar>
      </w:tblPr>
      <w:tblGrid>
        <w:gridCol w:w="2175"/>
        <w:gridCol w:w="5150"/>
      </w:tblGrid>
      <w:tr>
        <w:trPr/>
        <w:tc>
          <w:tcPr>
            <w:tcW w:w="2175" w:type="dxa"/>
            <w:tcBorders/>
            <w:vAlign w:val="center"/>
          </w:tcPr>
          <w:p>
            <w:pPr>
              <w:pStyle w:val="TableContents"/>
              <w:bidi w:val="0"/>
              <w:spacing w:before="0" w:after="283"/>
              <w:ind w:left="0" w:right="0" w:firstLine="2160"/>
              <w:jc w:val="left"/>
              <w:rPr>
                <w:sz w:val="4"/>
                <w:szCs w:val="4"/>
              </w:rPr>
            </w:pPr>
            <w:r>
              <w:rPr>
                <w:sz w:val="4"/>
                <w:szCs w:val="4"/>
              </w:rPr>
            </w:r>
          </w:p>
        </w:tc>
        <w:tc>
          <w:tcPr>
            <w:tcW w:w="5150" w:type="dxa"/>
            <w:tcBorders/>
          </w:tcPr>
          <w:p>
            <w:pPr>
              <w:pStyle w:val="TableContents"/>
              <w:pBdr/>
              <w:bidi w:val="0"/>
              <w:spacing w:before="0" w:after="240"/>
              <w:ind w:left="0" w:right="0" w:firstLine="2160"/>
              <w:jc w:val="both"/>
              <w:rPr>
                <w:rFonts w:ascii="Times New Roman" w:hAnsi="Times New Roman"/>
                <w:color w:val="000000"/>
                <w:sz w:val="24"/>
              </w:rPr>
            </w:pPr>
            <w:r>
              <w:rPr>
                <w:rFonts w:ascii="Times New Roman" w:hAnsi="Times New Roman"/>
                <w:strike w:val="false"/>
                <w:dstrike w:val="false"/>
                <w:color w:val="000000"/>
                <w:sz w:val="24"/>
                <w:u w:val="none"/>
                <w:effect w:val="none"/>
              </w:rPr>
              <w:t>(d)</w:t>
            </w:r>
            <w:r>
              <w:rPr>
                <w:rFonts w:ascii="Times New Roman" w:hAnsi="Times New Roman"/>
                <w:color w:val="000000"/>
                <w:sz w:val="24"/>
              </w:rPr>
              <w:t xml:space="preserve"> In consideration of the Administrative Agent’s and the Lenders’ agreement to amend the existing revolving credit facility on the terms hereof, the Company hereby waives and releases the Administrative Agent and the Lenders and their respective officers, attorneys, agents and employees from any liability, suit, damage, claim, loss or expense of any kind or failure whatsoever and howsoever arising that it ever had up until, or has as of, the date of this Agreement.</w:t>
            </w:r>
          </w:p>
        </w:tc>
      </w:tr>
    </w:tbl>
    <w:p>
      <w:pPr>
        <w:pStyle w:val="TextBody"/>
        <w:bidi w:val="0"/>
        <w:spacing w:before="0" w:after="0"/>
        <w:ind w:left="1440" w:right="1440" w:hanging="0"/>
        <w:jc w:val="left"/>
        <w:rPr/>
      </w:pPr>
      <w:r>
        <w:rPr/>
        <w:t xml:space="preserve">  </w:t>
      </w:r>
    </w:p>
    <w:p>
      <w:pPr>
        <w:pStyle w:val="TextBody"/>
        <w:bidi w:val="0"/>
        <w:spacing w:before="0" w:after="0"/>
        <w:ind w:left="1440" w:right="1440" w:hanging="0"/>
        <w:jc w:val="center"/>
        <w:rPr>
          <w:rFonts w:ascii="Times New Roman" w:hAnsi="Times New Roman"/>
          <w:sz w:val="24"/>
        </w:rPr>
      </w:pPr>
      <w:r>
        <w:rPr>
          <w:rFonts w:ascii="Times New Roman" w:hAnsi="Times New Roman"/>
          <w:sz w:val="24"/>
        </w:rPr>
        <w:t xml:space="preserve">4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tbl>
      <w:tblPr>
        <w:tblW w:w="7325" w:type="dxa"/>
        <w:jc w:val="left"/>
        <w:tblInd w:w="1440" w:type="dxa"/>
        <w:tblLayout w:type="fixed"/>
        <w:tblCellMar>
          <w:top w:w="0" w:type="dxa"/>
          <w:left w:w="0" w:type="dxa"/>
          <w:bottom w:w="0" w:type="dxa"/>
          <w:right w:w="0" w:type="dxa"/>
        </w:tblCellMar>
      </w:tblPr>
      <w:tblGrid>
        <w:gridCol w:w="2175"/>
        <w:gridCol w:w="5150"/>
      </w:tblGrid>
      <w:tr>
        <w:trPr/>
        <w:tc>
          <w:tcPr>
            <w:tcW w:w="2175" w:type="dxa"/>
            <w:tcBorders/>
            <w:vAlign w:val="center"/>
          </w:tcPr>
          <w:p>
            <w:pPr>
              <w:pStyle w:val="TableContents"/>
              <w:bidi w:val="0"/>
              <w:spacing w:before="0" w:after="283"/>
              <w:ind w:left="0" w:right="0" w:firstLine="2160"/>
              <w:jc w:val="left"/>
              <w:rPr>
                <w:sz w:val="4"/>
                <w:szCs w:val="4"/>
              </w:rPr>
            </w:pPr>
            <w:r>
              <w:rPr>
                <w:sz w:val="4"/>
                <w:szCs w:val="4"/>
              </w:rPr>
            </w:r>
          </w:p>
        </w:tc>
        <w:tc>
          <w:tcPr>
            <w:tcW w:w="5150" w:type="dxa"/>
            <w:tcBorders/>
          </w:tcPr>
          <w:p>
            <w:pPr>
              <w:pStyle w:val="TableContents"/>
              <w:pBdr/>
              <w:bidi w:val="0"/>
              <w:spacing w:before="0" w:after="240"/>
              <w:ind w:left="0" w:right="0" w:firstLine="2160"/>
              <w:jc w:val="both"/>
              <w:rPr>
                <w:rFonts w:ascii="Times New Roman" w:hAnsi="Times New Roman"/>
                <w:color w:val="000000"/>
                <w:sz w:val="24"/>
              </w:rPr>
            </w:pPr>
            <w:r>
              <w:rPr>
                <w:rFonts w:ascii="Times New Roman" w:hAnsi="Times New Roman"/>
                <w:strike w:val="false"/>
                <w:dstrike w:val="false"/>
                <w:color w:val="000000"/>
                <w:sz w:val="24"/>
                <w:u w:val="none"/>
                <w:effect w:val="none"/>
              </w:rPr>
              <w:t>(e)</w:t>
            </w:r>
            <w:r>
              <w:rPr>
                <w:rFonts w:ascii="Times New Roman" w:hAnsi="Times New Roman"/>
                <w:color w:val="000000"/>
                <w:sz w:val="24"/>
              </w:rPr>
              <w:t xml:space="preserve"> This Agreement shall be governed by and construed according to the laws of the State of New York.</w:t>
            </w:r>
          </w:p>
        </w:tc>
      </w:tr>
    </w:tbl>
    <w:tbl>
      <w:tblPr>
        <w:tblW w:w="7325" w:type="dxa"/>
        <w:jc w:val="left"/>
        <w:tblInd w:w="1440" w:type="dxa"/>
        <w:tblLayout w:type="fixed"/>
        <w:tblCellMar>
          <w:top w:w="0" w:type="dxa"/>
          <w:left w:w="0" w:type="dxa"/>
          <w:bottom w:w="0" w:type="dxa"/>
          <w:right w:w="0" w:type="dxa"/>
        </w:tblCellMar>
      </w:tblPr>
      <w:tblGrid>
        <w:gridCol w:w="2175"/>
        <w:gridCol w:w="5150"/>
      </w:tblGrid>
      <w:tr>
        <w:trPr/>
        <w:tc>
          <w:tcPr>
            <w:tcW w:w="2175" w:type="dxa"/>
            <w:tcBorders/>
            <w:vAlign w:val="center"/>
          </w:tcPr>
          <w:p>
            <w:pPr>
              <w:pStyle w:val="TableContents"/>
              <w:bidi w:val="0"/>
              <w:spacing w:before="0" w:after="283"/>
              <w:ind w:left="0" w:right="0" w:firstLine="2160"/>
              <w:jc w:val="left"/>
              <w:rPr>
                <w:sz w:val="4"/>
                <w:szCs w:val="4"/>
              </w:rPr>
            </w:pPr>
            <w:r>
              <w:rPr>
                <w:sz w:val="4"/>
                <w:szCs w:val="4"/>
              </w:rPr>
            </w:r>
          </w:p>
        </w:tc>
        <w:tc>
          <w:tcPr>
            <w:tcW w:w="5150" w:type="dxa"/>
            <w:tcBorders/>
          </w:tcPr>
          <w:p>
            <w:pPr>
              <w:pStyle w:val="TableContents"/>
              <w:pBdr/>
              <w:bidi w:val="0"/>
              <w:spacing w:before="0" w:after="240"/>
              <w:ind w:left="0" w:right="0" w:firstLine="2160"/>
              <w:jc w:val="both"/>
              <w:rPr>
                <w:rFonts w:ascii="Times New Roman" w:hAnsi="Times New Roman"/>
                <w:color w:val="000000"/>
                <w:sz w:val="24"/>
              </w:rPr>
            </w:pPr>
            <w:r>
              <w:rPr>
                <w:rFonts w:ascii="Times New Roman" w:hAnsi="Times New Roman"/>
                <w:strike w:val="false"/>
                <w:dstrike w:val="false"/>
                <w:color w:val="000000"/>
                <w:sz w:val="24"/>
                <w:u w:val="none"/>
                <w:effect w:val="none"/>
              </w:rPr>
              <w:t>(f)</w:t>
            </w:r>
            <w:r>
              <w:rPr>
                <w:rFonts w:ascii="Times New Roman" w:hAnsi="Times New Roman"/>
                <w:color w:val="000000"/>
                <w:sz w:val="24"/>
              </w:rPr>
              <w:t xml:space="preserve"> This Agreement shall inure to the benefit of, and be binding upon, the parties hereto and their respective successors and assigns.</w:t>
            </w:r>
          </w:p>
        </w:tc>
      </w:tr>
    </w:tbl>
    <w:tbl>
      <w:tblPr>
        <w:tblW w:w="7325" w:type="dxa"/>
        <w:jc w:val="left"/>
        <w:tblInd w:w="1440" w:type="dxa"/>
        <w:tblLayout w:type="fixed"/>
        <w:tblCellMar>
          <w:top w:w="0" w:type="dxa"/>
          <w:left w:w="0" w:type="dxa"/>
          <w:bottom w:w="0" w:type="dxa"/>
          <w:right w:w="0" w:type="dxa"/>
        </w:tblCellMar>
      </w:tblPr>
      <w:tblGrid>
        <w:gridCol w:w="2175"/>
        <w:gridCol w:w="5150"/>
      </w:tblGrid>
      <w:tr>
        <w:trPr/>
        <w:tc>
          <w:tcPr>
            <w:tcW w:w="2175" w:type="dxa"/>
            <w:tcBorders/>
            <w:vAlign w:val="center"/>
          </w:tcPr>
          <w:p>
            <w:pPr>
              <w:pStyle w:val="TableContents"/>
              <w:bidi w:val="0"/>
              <w:spacing w:before="0" w:after="283"/>
              <w:ind w:left="0" w:right="0" w:firstLine="2160"/>
              <w:jc w:val="left"/>
              <w:rPr>
                <w:sz w:val="4"/>
                <w:szCs w:val="4"/>
              </w:rPr>
            </w:pPr>
            <w:r>
              <w:rPr>
                <w:sz w:val="4"/>
                <w:szCs w:val="4"/>
              </w:rPr>
            </w:r>
          </w:p>
        </w:tc>
        <w:tc>
          <w:tcPr>
            <w:tcW w:w="5150" w:type="dxa"/>
            <w:tcBorders/>
          </w:tcPr>
          <w:p>
            <w:pPr>
              <w:pStyle w:val="TableContents"/>
              <w:pBdr/>
              <w:bidi w:val="0"/>
              <w:spacing w:before="0" w:after="240"/>
              <w:ind w:left="0" w:right="0" w:firstLine="2160"/>
              <w:jc w:val="both"/>
              <w:rPr>
                <w:rFonts w:ascii="Times New Roman" w:hAnsi="Times New Roman"/>
                <w:color w:val="000000"/>
                <w:sz w:val="24"/>
              </w:rPr>
            </w:pPr>
            <w:r>
              <w:rPr>
                <w:rFonts w:ascii="Times New Roman" w:hAnsi="Times New Roman"/>
                <w:strike w:val="false"/>
                <w:dstrike w:val="false"/>
                <w:color w:val="000000"/>
                <w:sz w:val="24"/>
                <w:u w:val="none"/>
                <w:effect w:val="none"/>
              </w:rPr>
              <w:t>(g)</w:t>
            </w:r>
            <w:r>
              <w:rPr>
                <w:rFonts w:ascii="Times New Roman" w:hAnsi="Times New Roman"/>
                <w:color w:val="000000"/>
                <w:sz w:val="24"/>
              </w:rPr>
              <w:t xml:space="preserve"> The headings used in this Agreement are for convenience of reference only, do not form a part of this Agreement and shall not affect in any way the meaning or interpretation of this Agreement.</w:t>
            </w:r>
          </w:p>
        </w:tc>
      </w:tr>
    </w:tbl>
    <w:tbl>
      <w:tblPr>
        <w:tblW w:w="7325" w:type="dxa"/>
        <w:jc w:val="left"/>
        <w:tblInd w:w="1440" w:type="dxa"/>
        <w:tblLayout w:type="fixed"/>
        <w:tblCellMar>
          <w:top w:w="0" w:type="dxa"/>
          <w:left w:w="0" w:type="dxa"/>
          <w:bottom w:w="0" w:type="dxa"/>
          <w:right w:w="0" w:type="dxa"/>
        </w:tblCellMar>
      </w:tblPr>
      <w:tblGrid>
        <w:gridCol w:w="2175"/>
        <w:gridCol w:w="5150"/>
      </w:tblGrid>
      <w:tr>
        <w:trPr/>
        <w:tc>
          <w:tcPr>
            <w:tcW w:w="2175" w:type="dxa"/>
            <w:tcBorders/>
            <w:vAlign w:val="center"/>
          </w:tcPr>
          <w:p>
            <w:pPr>
              <w:pStyle w:val="TableContents"/>
              <w:bidi w:val="0"/>
              <w:spacing w:before="0" w:after="283"/>
              <w:ind w:left="0" w:right="0" w:firstLine="2160"/>
              <w:jc w:val="left"/>
              <w:rPr>
                <w:sz w:val="4"/>
                <w:szCs w:val="4"/>
              </w:rPr>
            </w:pPr>
            <w:r>
              <w:rPr>
                <w:sz w:val="4"/>
                <w:szCs w:val="4"/>
              </w:rPr>
            </w:r>
          </w:p>
        </w:tc>
        <w:tc>
          <w:tcPr>
            <w:tcW w:w="5150" w:type="dxa"/>
            <w:tcBorders/>
          </w:tcPr>
          <w:p>
            <w:pPr>
              <w:pStyle w:val="TableContents"/>
              <w:pBdr/>
              <w:bidi w:val="0"/>
              <w:spacing w:before="0" w:after="240"/>
              <w:ind w:left="0" w:right="0" w:firstLine="2160"/>
              <w:jc w:val="both"/>
              <w:rPr>
                <w:rFonts w:ascii="Times New Roman" w:hAnsi="Times New Roman"/>
                <w:color w:val="000000"/>
                <w:sz w:val="24"/>
              </w:rPr>
            </w:pPr>
            <w:r>
              <w:rPr>
                <w:rFonts w:ascii="Times New Roman" w:hAnsi="Times New Roman"/>
                <w:strike w:val="false"/>
                <w:dstrike w:val="false"/>
                <w:color w:val="000000"/>
                <w:sz w:val="24"/>
                <w:u w:val="none"/>
                <w:effect w:val="none"/>
              </w:rPr>
              <w:t>(h)</w:t>
            </w:r>
            <w:r>
              <w:rPr>
                <w:rFonts w:ascii="Times New Roman" w:hAnsi="Times New Roman"/>
                <w:color w:val="000000"/>
                <w:sz w:val="24"/>
              </w:rPr>
              <w:t xml:space="preserve"> This Agreement may be executed in one or more counterparts, each of which counterparts when executed and delivered shall be deemed to be an original, and all of which shall constitute one and the same instrument.  Delivery of an executed counterpart of a signature page to this Agreement by facsimile or other electronic transmission will be effective as delivery of a manually executed counterpart hereof.</w:t>
            </w:r>
          </w:p>
        </w:tc>
      </w:tr>
    </w:tbl>
    <w:p>
      <w:pPr>
        <w:pStyle w:val="TextBody"/>
        <w:bidi w:val="0"/>
        <w:spacing w:before="0" w:after="240"/>
        <w:ind w:left="1440" w:right="1440" w:hanging="0"/>
        <w:jc w:val="center"/>
        <w:rPr>
          <w:rFonts w:ascii="Times New Roman" w:hAnsi="Times New Roman"/>
          <w:sz w:val="24"/>
        </w:rPr>
      </w:pPr>
      <w:r>
        <w:rPr>
          <w:rFonts w:ascii="Times New Roman" w:hAnsi="Times New Roman"/>
          <w:color w:val="000000"/>
          <w:sz w:val="24"/>
        </w:rPr>
        <w:t>[Signature Pages Continued on Next Page]</w:t>
      </w:r>
      <w:r>
        <w:rPr>
          <w:rFonts w:ascii="Times New Roman" w:hAnsi="Times New Roman"/>
          <w:sz w:val="24"/>
        </w:rPr>
        <w:t xml:space="preserve"> </w:t>
      </w:r>
    </w:p>
    <w:p>
      <w:pPr>
        <w:pStyle w:val="TextBody"/>
        <w:bidi w:val="0"/>
        <w:spacing w:before="0" w:after="0"/>
        <w:ind w:left="1440" w:right="1440" w:hanging="0"/>
        <w:jc w:val="center"/>
        <w:rPr/>
      </w:pPr>
      <w:r>
        <w:rPr/>
        <w:t xml:space="preserve">  </w:t>
      </w:r>
    </w:p>
    <w:p>
      <w:pPr>
        <w:pStyle w:val="TextBody"/>
        <w:bidi w:val="0"/>
        <w:spacing w:before="0" w:after="0"/>
        <w:ind w:left="1440" w:right="1440" w:hanging="0"/>
        <w:jc w:val="left"/>
        <w:rPr/>
      </w:pPr>
      <w:r>
        <w:rPr/>
        <w:t xml:space="preserve">  </w:t>
      </w:r>
    </w:p>
    <w:p>
      <w:pPr>
        <w:pStyle w:val="TextBody"/>
        <w:bidi w:val="0"/>
        <w:spacing w:before="0" w:after="0"/>
        <w:ind w:left="1440" w:right="1440" w:hanging="0"/>
        <w:jc w:val="center"/>
        <w:rPr>
          <w:rFonts w:ascii="Times New Roman" w:hAnsi="Times New Roman"/>
          <w:sz w:val="24"/>
        </w:rPr>
      </w:pPr>
      <w:r>
        <w:rPr>
          <w:rFonts w:ascii="Times New Roman" w:hAnsi="Times New Roman"/>
          <w:sz w:val="24"/>
        </w:rPr>
        <w:t xml:space="preserve">5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before="0" w:after="0"/>
        <w:ind w:left="1440" w:right="1440" w:hanging="0"/>
        <w:jc w:val="left"/>
        <w:rPr/>
      </w:pPr>
      <w:r>
        <w:rPr/>
        <w:t xml:space="preserve">  </w:t>
      </w:r>
    </w:p>
    <w:p>
      <w:pPr>
        <w:pStyle w:val="TextBody"/>
        <w:bidi w:val="0"/>
        <w:spacing w:before="0" w:after="240"/>
        <w:ind w:left="1440" w:right="1440" w:firstLine="1440"/>
        <w:jc w:val="both"/>
        <w:rPr>
          <w:rFonts w:ascii="Times New Roman" w:hAnsi="Times New Roman"/>
          <w:sz w:val="24"/>
        </w:rPr>
      </w:pPr>
      <w:r>
        <w:rPr>
          <w:rFonts w:ascii="Times New Roman" w:hAnsi="Times New Roman"/>
          <w:sz w:val="24"/>
        </w:rPr>
        <w:t xml:space="preserve">IN WITNESS WHEREOF, the Company, the Administrative Agent and the Lenders have caused this Agreement to be executed by their duly authorized officers as of the date first above written. </w:t>
      </w:r>
    </w:p>
    <w:tbl>
      <w:tblPr>
        <w:tblW w:w="3935" w:type="dxa"/>
        <w:jc w:val="left"/>
        <w:tblInd w:w="1440" w:type="dxa"/>
        <w:tblLayout w:type="fixed"/>
        <w:tblCellMar>
          <w:top w:w="0" w:type="dxa"/>
          <w:left w:w="0" w:type="dxa"/>
          <w:bottom w:w="0" w:type="dxa"/>
          <w:right w:w="0" w:type="dxa"/>
        </w:tblCellMar>
      </w:tblPr>
      <w:tblGrid>
        <w:gridCol w:w="3935"/>
      </w:tblGrid>
      <w:tr>
        <w:trPr/>
        <w:tc>
          <w:tcPr>
            <w:tcW w:w="3935" w:type="dxa"/>
            <w:tcBorders/>
          </w:tcPr>
          <w:p>
            <w:pPr>
              <w:pStyle w:val="TableContents"/>
              <w:bidi w:val="0"/>
              <w:spacing w:before="0" w:after="0"/>
              <w:ind w:left="0" w:right="0" w:hanging="0"/>
              <w:jc w:val="both"/>
              <w:rPr/>
            </w:pPr>
            <w:r>
              <w:rPr/>
              <w:t> </w:t>
            </w:r>
          </w:p>
          <w:p>
            <w:pPr>
              <w:pStyle w:val="TableContents"/>
              <w:bidi w:val="0"/>
              <w:spacing w:before="0" w:after="480"/>
              <w:ind w:left="0" w:right="0" w:hanging="0"/>
              <w:jc w:val="both"/>
              <w:rPr/>
            </w:pPr>
            <w:r>
              <w:rPr/>
              <w:t> </w:t>
            </w:r>
          </w:p>
          <w:p>
            <w:pPr>
              <w:pStyle w:val="TableContents"/>
              <w:bidi w:val="0"/>
              <w:spacing w:before="0" w:after="0"/>
              <w:ind w:left="0" w:right="0" w:hanging="0"/>
              <w:jc w:val="left"/>
              <w:rPr/>
            </w:pPr>
            <w:r>
              <w:rPr/>
              <w:t> </w:t>
            </w:r>
          </w:p>
        </w:tc>
      </w:tr>
      <w:tr>
        <w:trPr/>
        <w:tc>
          <w:tcPr>
            <w:tcW w:w="3935" w:type="dxa"/>
            <w:tcBorders/>
          </w:tcPr>
          <w:p>
            <w:pPr>
              <w:pStyle w:val="TableContents"/>
              <w:bidi w:val="0"/>
              <w:spacing w:before="0" w:after="0"/>
              <w:ind w:left="0" w:right="0" w:hanging="0"/>
              <w:jc w:val="left"/>
              <w:rPr>
                <w:rFonts w:ascii="Times New Roman" w:hAnsi="Times New Roman"/>
                <w:color w:val="000000"/>
                <w:sz w:val="24"/>
              </w:rPr>
            </w:pPr>
            <w:r>
              <w:rPr>
                <w:rFonts w:ascii="Times New Roman" w:hAnsi="Times New Roman"/>
                <w:color w:val="000000"/>
                <w:sz w:val="24"/>
              </w:rPr>
              <w:t>ESSENTIAL UTILITIES, INC.</w:t>
            </w:r>
          </w:p>
          <w:p>
            <w:pPr>
              <w:pStyle w:val="TableContents"/>
              <w:bidi w:val="0"/>
              <w:spacing w:before="0" w:after="0"/>
              <w:ind w:left="0" w:right="0" w:hanging="0"/>
              <w:jc w:val="both"/>
              <w:rPr>
                <w:rFonts w:ascii="Times New Roman" w:hAnsi="Times New Roman"/>
                <w:sz w:val="24"/>
              </w:rPr>
            </w:pPr>
            <w:r>
              <w:rPr>
                <w:rFonts w:ascii="Times New Roman" w:hAnsi="Times New Roman"/>
                <w:sz w:val="24"/>
              </w:rPr>
              <w:t>By: </w:t>
            </w:r>
            <w:r>
              <w:rPr>
                <w:rFonts w:ascii="Times New Roman" w:hAnsi="Times New Roman"/>
                <w:sz w:val="24"/>
                <w:u w:val="single"/>
              </w:rPr>
              <w:t>/s/ Daniel J. Schuller</w:t>
            </w:r>
          </w:p>
          <w:p>
            <w:pPr>
              <w:pStyle w:val="TableContents"/>
              <w:bidi w:val="0"/>
              <w:spacing w:before="0" w:after="0"/>
              <w:ind w:left="0" w:right="0" w:hanging="0"/>
              <w:jc w:val="both"/>
              <w:rPr>
                <w:rFonts w:ascii="Times New Roman" w:hAnsi="Times New Roman"/>
                <w:sz w:val="24"/>
              </w:rPr>
            </w:pPr>
            <w:r>
              <w:rPr>
                <w:rFonts w:ascii="Times New Roman" w:hAnsi="Times New Roman"/>
                <w:sz w:val="24"/>
              </w:rPr>
              <w:t>Name: Daniel J. Schuller</w:t>
            </w:r>
          </w:p>
          <w:p>
            <w:pPr>
              <w:pStyle w:val="TableContents"/>
              <w:bidi w:val="0"/>
              <w:spacing w:before="0" w:after="480"/>
              <w:ind w:left="0" w:right="0" w:hanging="0"/>
              <w:jc w:val="both"/>
              <w:rPr>
                <w:rFonts w:ascii="Times New Roman" w:hAnsi="Times New Roman"/>
                <w:sz w:val="24"/>
              </w:rPr>
            </w:pPr>
            <w:r>
              <w:rPr>
                <w:rFonts w:ascii="Times New Roman" w:hAnsi="Times New Roman"/>
                <w:sz w:val="24"/>
              </w:rPr>
              <w:t>Title: Executive Vice President and CFO</w:t>
            </w:r>
          </w:p>
        </w:tc>
      </w:tr>
      <w:tr>
        <w:trPr/>
        <w:tc>
          <w:tcPr>
            <w:tcW w:w="3935" w:type="dxa"/>
            <w:tcBorders/>
          </w:tcPr>
          <w:p>
            <w:pPr>
              <w:pStyle w:val="TableContents"/>
              <w:bidi w:val="0"/>
              <w:spacing w:before="0" w:after="0"/>
              <w:ind w:left="0" w:right="0" w:hanging="0"/>
              <w:jc w:val="both"/>
              <w:rPr/>
            </w:pPr>
            <w:r>
              <w:rPr/>
              <w:t> </w:t>
            </w:r>
          </w:p>
        </w:tc>
      </w:tr>
    </w:tbl>
    <w:p>
      <w:pPr>
        <w:pStyle w:val="TextBody"/>
        <w:bidi w:val="0"/>
        <w:spacing w:before="0" w:after="0"/>
        <w:ind w:left="1440" w:right="1440" w:hanging="0"/>
        <w:jc w:val="left"/>
        <w:rPr>
          <w:rFonts w:cs="Times New Roman"/>
          <w:szCs w:val="24"/>
        </w:rPr>
      </w:pPr>
      <w:r>
        <w:rPr>
          <w:rFonts w:cs="Times New Roman"/>
          <w:szCs w:val="24"/>
        </w:rPr>
        <w:t xml:space="preserve">﻿ </w:t>
      </w:r>
    </w:p>
    <w:p>
      <w:pPr>
        <w:pStyle w:val="TextBody"/>
        <w:bidi w:val="0"/>
        <w:spacing w:before="0" w:after="0"/>
        <w:ind w:left="1440" w:right="1440" w:hanging="0"/>
        <w:jc w:val="left"/>
        <w:rPr/>
      </w:pPr>
      <w:r>
        <w:rPr/>
        <w:t xml:space="preserve">  </w:t>
      </w:r>
    </w:p>
    <w:p>
      <w:pPr>
        <w:pStyle w:val="TextBody"/>
        <w:bidi w:val="0"/>
        <w:spacing w:before="0" w:after="0"/>
        <w:ind w:left="1440" w:right="1440" w:hanging="0"/>
        <w:jc w:val="left"/>
        <w:rPr>
          <w:rFonts w:ascii="Times New Roman" w:hAnsi="Times New Roman"/>
          <w:sz w:val="16"/>
        </w:rPr>
      </w:pPr>
      <w:r>
        <w:rPr>
          <w:rFonts w:ascii="Arial" w:hAnsi="Arial"/>
          <w:sz w:val="16"/>
        </w:rPr>
        <w:t>#4903-6700-2546</w:t>
      </w:r>
      <w:r>
        <w:rPr>
          <w:rFonts w:ascii="Times New Roman" w:hAnsi="Times New Roman"/>
          <w:sz w:val="16"/>
        </w:rPr>
        <w:t xml:space="preserve">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before="0" w:after="0"/>
        <w:ind w:left="1440" w:right="1440" w:hanging="0"/>
        <w:jc w:val="left"/>
        <w:rPr/>
      </w:pPr>
      <w:r>
        <w:rPr/>
        <w:t xml:space="preserve">  </w:t>
      </w:r>
    </w:p>
    <w:p>
      <w:pPr>
        <w:pStyle w:val="TextBody"/>
        <w:bidi w:val="0"/>
        <w:spacing w:before="0" w:after="0"/>
        <w:ind w:left="1440" w:right="1440" w:hanging="0"/>
        <w:jc w:val="left"/>
        <w:rPr>
          <w:rFonts w:cs="Times New Roman"/>
          <w:szCs w:val="24"/>
        </w:rPr>
      </w:pPr>
      <w:r>
        <w:rPr>
          <w:rFonts w:cs="Times New Roman"/>
          <w:szCs w:val="24"/>
        </w:rPr>
        <w:t xml:space="preserve">﻿ </w:t>
      </w:r>
    </w:p>
    <w:tbl>
      <w:tblPr>
        <w:tblW w:w="5635" w:type="dxa"/>
        <w:jc w:val="left"/>
        <w:tblInd w:w="1440" w:type="dxa"/>
        <w:tblLayout w:type="fixed"/>
        <w:tblCellMar>
          <w:top w:w="0" w:type="dxa"/>
          <w:left w:w="0" w:type="dxa"/>
          <w:bottom w:w="0" w:type="dxa"/>
          <w:right w:w="0" w:type="dxa"/>
        </w:tblCellMar>
      </w:tblPr>
      <w:tblGrid>
        <w:gridCol w:w="1205"/>
        <w:gridCol w:w="4430"/>
      </w:tblGrid>
      <w:tr>
        <w:trPr/>
        <w:tc>
          <w:tcPr>
            <w:tcW w:w="1205" w:type="dxa"/>
            <w:tcBorders/>
          </w:tcPr>
          <w:p>
            <w:pPr>
              <w:pStyle w:val="TableContents"/>
              <w:bidi w:val="0"/>
              <w:spacing w:before="0" w:after="0"/>
              <w:ind w:left="0" w:right="0" w:hanging="0"/>
              <w:jc w:val="left"/>
              <w:rPr>
                <w:rFonts w:cs="Times New Roman"/>
                <w:szCs w:val="2"/>
              </w:rPr>
            </w:pPr>
            <w:r>
              <w:rPr>
                <w:rFonts w:cs="Times New Roman"/>
                <w:szCs w:val="2"/>
              </w:rPr>
              <w:t>﻿</w:t>
            </w:r>
          </w:p>
        </w:tc>
        <w:tc>
          <w:tcPr>
            <w:tcW w:w="4430" w:type="dxa"/>
            <w:tcBorders/>
          </w:tcPr>
          <w:p>
            <w:pPr>
              <w:pStyle w:val="TableContents"/>
              <w:bidi w:val="0"/>
              <w:spacing w:before="0" w:after="0"/>
              <w:ind w:left="0" w:right="0" w:hanging="0"/>
              <w:jc w:val="left"/>
              <w:rPr/>
            </w:pPr>
            <w:r>
              <w:rPr/>
              <w:t> </w:t>
            </w:r>
          </w:p>
          <w:p>
            <w:pPr>
              <w:pStyle w:val="TableContents"/>
              <w:bidi w:val="0"/>
              <w:spacing w:before="0" w:after="480"/>
              <w:ind w:left="0" w:right="0" w:hanging="0"/>
              <w:jc w:val="left"/>
              <w:rPr/>
            </w:pPr>
            <w:r>
              <w:rPr/>
              <w:t> </w:t>
            </w:r>
          </w:p>
          <w:p>
            <w:pPr>
              <w:pStyle w:val="TableContents"/>
              <w:bidi w:val="0"/>
              <w:spacing w:before="0" w:after="0"/>
              <w:ind w:left="0" w:right="0" w:hanging="0"/>
              <w:jc w:val="left"/>
              <w:rPr/>
            </w:pPr>
            <w:r>
              <w:rPr/>
              <w:t> </w:t>
            </w:r>
          </w:p>
        </w:tc>
      </w:tr>
      <w:tr>
        <w:trPr/>
        <w:tc>
          <w:tcPr>
            <w:tcW w:w="1205" w:type="dxa"/>
            <w:tcBorders/>
          </w:tcPr>
          <w:p>
            <w:pPr>
              <w:pStyle w:val="TableContents"/>
              <w:bidi w:val="0"/>
              <w:spacing w:before="0" w:after="0"/>
              <w:ind w:left="0" w:right="0" w:hanging="0"/>
              <w:jc w:val="left"/>
              <w:rPr>
                <w:rFonts w:ascii="Times New Roman" w:hAnsi="Times New Roman"/>
                <w:sz w:val="24"/>
              </w:rPr>
            </w:pPr>
            <w:r>
              <w:rPr>
                <w:rFonts w:ascii="Times New Roman" w:hAnsi="Times New Roman"/>
                <w:sz w:val="24"/>
              </w:rPr>
              <w:t>LENDERS:</w:t>
            </w:r>
          </w:p>
        </w:tc>
        <w:tc>
          <w:tcPr>
            <w:tcW w:w="4430" w:type="dxa"/>
            <w:tcBorders/>
          </w:tcPr>
          <w:p>
            <w:pPr>
              <w:pStyle w:val="TableContents"/>
              <w:bidi w:val="0"/>
              <w:spacing w:before="0" w:after="0"/>
              <w:ind w:left="0" w:right="0" w:hanging="0"/>
              <w:jc w:val="left"/>
              <w:rPr>
                <w:rFonts w:ascii="Times New Roman" w:hAnsi="Times New Roman"/>
                <w:sz w:val="24"/>
              </w:rPr>
            </w:pPr>
            <w:r>
              <w:rPr>
                <w:rFonts w:ascii="Times New Roman" w:hAnsi="Times New Roman"/>
                <w:sz w:val="24"/>
              </w:rPr>
              <w:t>PNC BANK, NATIONAL ASSOCIATION,</w:t>
              <w:br/>
              <w:t>as the Administrative Agent, a Swingline</w:t>
            </w:r>
          </w:p>
          <w:p>
            <w:pPr>
              <w:pStyle w:val="TableContents"/>
              <w:bidi w:val="0"/>
              <w:spacing w:before="0" w:after="0"/>
              <w:ind w:left="0" w:right="0" w:hanging="0"/>
              <w:jc w:val="left"/>
              <w:rPr>
                <w:rFonts w:ascii="Times New Roman" w:hAnsi="Times New Roman"/>
                <w:sz w:val="24"/>
              </w:rPr>
            </w:pPr>
            <w:r>
              <w:rPr>
                <w:rFonts w:ascii="Times New Roman" w:hAnsi="Times New Roman"/>
                <w:sz w:val="24"/>
              </w:rPr>
              <w:t>Lender, a Lender and an Issuing Bank,</w:t>
            </w:r>
          </w:p>
          <w:p>
            <w:pPr>
              <w:pStyle w:val="TableContents"/>
              <w:bidi w:val="0"/>
              <w:spacing w:before="0" w:after="480"/>
              <w:ind w:left="0" w:right="0" w:hanging="0"/>
              <w:jc w:val="left"/>
              <w:rPr/>
            </w:pPr>
            <w:r>
              <w:rPr/>
              <w:t> </w:t>
            </w:r>
          </w:p>
          <w:p>
            <w:pPr>
              <w:pStyle w:val="TableContents"/>
              <w:bidi w:val="0"/>
              <w:spacing w:before="0" w:after="0"/>
              <w:ind w:left="0" w:right="0" w:hanging="0"/>
              <w:jc w:val="left"/>
              <w:rPr>
                <w:rFonts w:ascii="Times New Roman" w:hAnsi="Times New Roman"/>
                <w:sz w:val="24"/>
              </w:rPr>
            </w:pPr>
            <w:r>
              <w:rPr>
                <w:rFonts w:ascii="Times New Roman" w:hAnsi="Times New Roman"/>
                <w:sz w:val="24"/>
              </w:rPr>
              <w:t>By: </w:t>
            </w:r>
            <w:r>
              <w:rPr>
                <w:rFonts w:ascii="Times New Roman" w:hAnsi="Times New Roman"/>
                <w:sz w:val="24"/>
                <w:u w:val="single"/>
              </w:rPr>
              <w:t>/s/ Meredith L. Jermann</w:t>
            </w:r>
          </w:p>
          <w:p>
            <w:pPr>
              <w:pStyle w:val="TableContents"/>
              <w:bidi w:val="0"/>
              <w:spacing w:before="0" w:after="0"/>
              <w:ind w:left="0" w:right="0" w:hanging="0"/>
              <w:jc w:val="left"/>
              <w:rPr>
                <w:rFonts w:ascii="Times New Roman" w:hAnsi="Times New Roman"/>
                <w:sz w:val="24"/>
              </w:rPr>
            </w:pPr>
            <w:r>
              <w:rPr>
                <w:rFonts w:ascii="Times New Roman" w:hAnsi="Times New Roman"/>
                <w:sz w:val="24"/>
              </w:rPr>
              <w:t>Name: Meredith L. Jermann</w:t>
            </w:r>
          </w:p>
          <w:p>
            <w:pPr>
              <w:pStyle w:val="TableContents"/>
              <w:bidi w:val="0"/>
              <w:spacing w:before="0" w:after="480"/>
              <w:ind w:left="0" w:right="0" w:hanging="0"/>
              <w:jc w:val="left"/>
              <w:rPr>
                <w:rFonts w:ascii="Times New Roman" w:hAnsi="Times New Roman"/>
                <w:sz w:val="24"/>
              </w:rPr>
            </w:pPr>
            <w:r>
              <w:rPr>
                <w:rFonts w:ascii="Times New Roman" w:hAnsi="Times New Roman"/>
                <w:sz w:val="24"/>
              </w:rPr>
              <w:t>Title: Vice President</w:t>
            </w:r>
          </w:p>
        </w:tc>
      </w:tr>
    </w:tbl>
    <w:p>
      <w:pPr>
        <w:pStyle w:val="TextBody"/>
        <w:bidi w:val="0"/>
        <w:spacing w:before="0" w:after="0"/>
        <w:ind w:left="1440" w:right="1440" w:hanging="0"/>
        <w:jc w:val="left"/>
        <w:rPr>
          <w:rFonts w:cs="Times New Roman"/>
          <w:szCs w:val="24"/>
        </w:rPr>
      </w:pPr>
      <w:r>
        <w:rPr>
          <w:rFonts w:cs="Times New Roman"/>
          <w:szCs w:val="24"/>
        </w:rPr>
        <w:t xml:space="preserve">﻿ </w:t>
      </w:r>
    </w:p>
    <w:p>
      <w:pPr>
        <w:pStyle w:val="TextBody"/>
        <w:bidi w:val="0"/>
        <w:spacing w:before="0" w:after="0"/>
        <w:ind w:left="1440" w:right="1440" w:hanging="0"/>
        <w:jc w:val="left"/>
        <w:rPr>
          <w:rFonts w:ascii="Times New Roman" w:hAnsi="Times New Roman"/>
          <w:sz w:val="16"/>
        </w:rPr>
      </w:pPr>
      <w:r>
        <w:rPr>
          <w:rFonts w:ascii="Arial" w:hAnsi="Arial"/>
          <w:sz w:val="16"/>
        </w:rPr>
        <w:t>#4903-6700-2546</w:t>
      </w:r>
      <w:r>
        <w:rPr>
          <w:rFonts w:ascii="Times New Roman" w:hAnsi="Times New Roman"/>
          <w:sz w:val="16"/>
        </w:rPr>
        <w:t xml:space="preserve">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before="0" w:after="0"/>
        <w:ind w:left="1440" w:right="1440" w:hanging="0"/>
        <w:jc w:val="left"/>
        <w:rPr/>
      </w:pPr>
      <w:r>
        <w:rPr/>
        <w:t xml:space="preserve">  </w:t>
      </w:r>
    </w:p>
    <w:tbl>
      <w:tblPr>
        <w:tblW w:w="3433" w:type="dxa"/>
        <w:jc w:val="left"/>
        <w:tblInd w:w="1440" w:type="dxa"/>
        <w:tblLayout w:type="fixed"/>
        <w:tblCellMar>
          <w:top w:w="0" w:type="dxa"/>
          <w:left w:w="0" w:type="dxa"/>
          <w:bottom w:w="0" w:type="dxa"/>
          <w:right w:w="0" w:type="dxa"/>
        </w:tblCellMar>
      </w:tblPr>
      <w:tblGrid>
        <w:gridCol w:w="38"/>
        <w:gridCol w:w="3395"/>
      </w:tblGrid>
      <w:tr>
        <w:trPr/>
        <w:tc>
          <w:tcPr>
            <w:tcW w:w="38" w:type="dxa"/>
            <w:tcBorders/>
          </w:tcPr>
          <w:p>
            <w:pPr>
              <w:pStyle w:val="TableContents"/>
              <w:bidi w:val="0"/>
              <w:spacing w:before="0" w:after="0"/>
              <w:ind w:left="0" w:right="0" w:hanging="0"/>
              <w:jc w:val="left"/>
              <w:rPr>
                <w:rFonts w:ascii="Times New Roman" w:hAnsi="Times New Roman"/>
                <w:sz w:val="2"/>
              </w:rPr>
            </w:pPr>
            <w:r>
              <w:rPr>
                <w:rFonts w:ascii="Times New Roman" w:hAnsi="Times New Roman"/>
                <w:sz w:val="2"/>
              </w:rPr>
              <w:t>/s/</w:t>
            </w:r>
          </w:p>
        </w:tc>
        <w:tc>
          <w:tcPr>
            <w:tcW w:w="3395" w:type="dxa"/>
            <w:tcBorders/>
          </w:tcPr>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343" w:right="0" w:hanging="0"/>
              <w:jc w:val="left"/>
              <w:rPr/>
            </w:pPr>
            <w:r>
              <w:rPr/>
              <w:t> </w:t>
            </w:r>
          </w:p>
          <w:p>
            <w:pPr>
              <w:pStyle w:val="TableContents"/>
              <w:bidi w:val="0"/>
              <w:spacing w:before="0" w:after="0"/>
              <w:ind w:left="343" w:right="0" w:hanging="0"/>
              <w:jc w:val="left"/>
              <w:rPr/>
            </w:pPr>
            <w:r>
              <w:rPr/>
              <w:t> </w:t>
            </w:r>
          </w:p>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Times New Roman"/>
                <w:szCs w:val="24"/>
              </w:rPr>
            </w:pPr>
            <w:r>
              <w:rPr>
                <w:rFonts w:cs="Times New Roman"/>
                <w:szCs w:val="24"/>
              </w:rPr>
              <w:t>﻿</w:t>
            </w:r>
          </w:p>
        </w:tc>
        <w:tc>
          <w:tcPr>
            <w:tcW w:w="3395" w:type="dxa"/>
            <w:tcBorders/>
          </w:tcPr>
          <w:p>
            <w:pPr>
              <w:pStyle w:val="TableContents"/>
              <w:bidi w:val="0"/>
              <w:spacing w:before="0" w:after="0"/>
              <w:ind w:left="0" w:right="0" w:hanging="0"/>
              <w:jc w:val="left"/>
              <w:rPr>
                <w:rFonts w:ascii="Times New Roman" w:hAnsi="Times New Roman"/>
                <w:sz w:val="24"/>
              </w:rPr>
            </w:pPr>
            <w:r>
              <w:rPr>
                <w:rFonts w:ascii="Times New Roman" w:hAnsi="Times New Roman"/>
                <w:sz w:val="24"/>
              </w:rPr>
              <w:t>CoBANK, ACB, as Lender:</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 w:hAnsi="Times New Roman"/>
                <w:sz w:val="24"/>
              </w:rPr>
            </w:pPr>
            <w:r>
              <w:rPr>
                <w:rFonts w:ascii="Times New Roman" w:hAnsi="Times New Roman"/>
                <w:sz w:val="24"/>
              </w:rPr>
              <w:t xml:space="preserve">by  </w:t>
            </w:r>
            <w:r>
              <w:rPr>
                <w:rFonts w:ascii="Times New Roman" w:hAnsi="Times New Roman"/>
                <w:sz w:val="24"/>
                <w:u w:val="single"/>
              </w:rPr>
              <w:t>/s/ Jared Greene</w:t>
            </w:r>
          </w:p>
          <w:p>
            <w:pPr>
              <w:pStyle w:val="TableContents"/>
              <w:bidi w:val="0"/>
              <w:spacing w:before="0" w:after="0"/>
              <w:ind w:left="343" w:right="0" w:hanging="0"/>
              <w:jc w:val="left"/>
              <w:rPr>
                <w:rFonts w:ascii="Times New Roman" w:hAnsi="Times New Roman"/>
                <w:sz w:val="24"/>
              </w:rPr>
            </w:pPr>
            <w:r>
              <w:rPr>
                <w:rFonts w:ascii="Times New Roman" w:hAnsi="Times New Roman"/>
                <w:sz w:val="24"/>
              </w:rPr>
              <w:t>Name: Jared Greene</w:t>
            </w:r>
          </w:p>
          <w:p>
            <w:pPr>
              <w:pStyle w:val="TableContents"/>
              <w:bidi w:val="0"/>
              <w:spacing w:before="0" w:after="0"/>
              <w:ind w:left="343" w:right="0" w:hanging="0"/>
              <w:jc w:val="left"/>
              <w:rPr>
                <w:rFonts w:ascii="Times New Roman" w:hAnsi="Times New Roman"/>
                <w:sz w:val="24"/>
              </w:rPr>
            </w:pPr>
            <w:r>
              <w:rPr>
                <w:rFonts w:ascii="Times New Roman" w:hAnsi="Times New Roman"/>
                <w:sz w:val="24"/>
              </w:rPr>
              <w:t>Title: Assistant Corporate Secretary</w:t>
            </w:r>
          </w:p>
        </w:tc>
      </w:tr>
      <w:tr>
        <w:trPr/>
        <w:tc>
          <w:tcPr>
            <w:tcW w:w="38" w:type="dxa"/>
            <w:tcBorders/>
          </w:tcPr>
          <w:p>
            <w:pPr>
              <w:pStyle w:val="TableContents"/>
              <w:bidi w:val="0"/>
              <w:spacing w:before="0" w:after="240"/>
              <w:ind w:left="0" w:right="0" w:hanging="0"/>
              <w:jc w:val="left"/>
              <w:rPr>
                <w:rFonts w:cs="Times New Roman"/>
                <w:szCs w:val="24"/>
              </w:rPr>
            </w:pPr>
            <w:r>
              <w:rPr>
                <w:rFonts w:cs="Times New Roman"/>
                <w:szCs w:val="24"/>
              </w:rPr>
              <w:t>﻿</w:t>
            </w:r>
          </w:p>
        </w:tc>
        <w:tc>
          <w:tcPr>
            <w:tcW w:w="3395" w:type="dxa"/>
            <w:tcBorders/>
          </w:tcPr>
          <w:p>
            <w:pPr>
              <w:pStyle w:val="TableContents"/>
              <w:bidi w:val="0"/>
              <w:spacing w:before="0" w:after="240"/>
              <w:ind w:left="0" w:right="0" w:hanging="0"/>
              <w:jc w:val="left"/>
              <w:rPr/>
            </w:pPr>
            <w:r>
              <w:rPr/>
              <w:t> </w:t>
            </w:r>
          </w:p>
        </w:tc>
      </w:tr>
    </w:tbl>
    <w:p>
      <w:pPr>
        <w:pStyle w:val="TextBody"/>
        <w:bidi w:val="0"/>
        <w:spacing w:before="0" w:after="0"/>
        <w:ind w:left="1440" w:right="1440" w:hanging="0"/>
        <w:jc w:val="left"/>
        <w:rPr>
          <w:rFonts w:cs="Times New Roman"/>
          <w:szCs w:val="24"/>
        </w:rPr>
      </w:pPr>
      <w:r>
        <w:rPr>
          <w:rFonts w:cs="Times New Roman"/>
          <w:szCs w:val="24"/>
        </w:rPr>
        <w:t xml:space="preserve">﻿ </w:t>
      </w:r>
    </w:p>
    <w:p>
      <w:pPr>
        <w:pStyle w:val="TextBody"/>
        <w:bidi w:val="0"/>
        <w:spacing w:before="0" w:after="0"/>
        <w:ind w:left="1440" w:right="1440" w:hanging="0"/>
        <w:jc w:val="left"/>
        <w:rPr>
          <w:rFonts w:ascii="Times New Roman" w:hAnsi="Times New Roman"/>
          <w:sz w:val="16"/>
        </w:rPr>
      </w:pPr>
      <w:r>
        <w:rPr>
          <w:rFonts w:ascii="Arial" w:hAnsi="Arial"/>
          <w:sz w:val="16"/>
        </w:rPr>
        <w:t>#4903-6700-2546</w:t>
      </w:r>
      <w:r>
        <w:rPr>
          <w:rFonts w:ascii="Times New Roman" w:hAnsi="Times New Roman"/>
          <w:sz w:val="16"/>
        </w:rPr>
        <w:t xml:space="preserve">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before="0" w:after="0"/>
        <w:ind w:left="1440" w:right="1440" w:hanging="0"/>
        <w:jc w:val="left"/>
        <w:rPr/>
      </w:pPr>
      <w:r>
        <w:rPr/>
        <w:t xml:space="preserve">  </w:t>
      </w:r>
    </w:p>
    <w:tbl>
      <w:tblPr>
        <w:tblW w:w="4048" w:type="dxa"/>
        <w:jc w:val="left"/>
        <w:tblInd w:w="1440" w:type="dxa"/>
        <w:tblLayout w:type="fixed"/>
        <w:tblCellMar>
          <w:top w:w="0" w:type="dxa"/>
          <w:left w:w="0" w:type="dxa"/>
          <w:bottom w:w="0" w:type="dxa"/>
          <w:right w:w="0" w:type="dxa"/>
        </w:tblCellMar>
      </w:tblPr>
      <w:tblGrid>
        <w:gridCol w:w="38"/>
        <w:gridCol w:w="4010"/>
      </w:tblGrid>
      <w:tr>
        <w:trPr/>
        <w:tc>
          <w:tcPr>
            <w:tcW w:w="38" w:type="dxa"/>
            <w:tcBorders/>
          </w:tcPr>
          <w:p>
            <w:pPr>
              <w:pStyle w:val="TableContents"/>
              <w:bidi w:val="0"/>
              <w:spacing w:before="0" w:after="0"/>
              <w:ind w:left="0" w:right="0" w:hanging="0"/>
              <w:jc w:val="left"/>
              <w:rPr>
                <w:rFonts w:ascii="Times New Roman" w:hAnsi="Times New Roman"/>
                <w:sz w:val="2"/>
              </w:rPr>
            </w:pPr>
            <w:r>
              <w:rPr>
                <w:rFonts w:ascii="Times New Roman" w:hAnsi="Times New Roman"/>
                <w:sz w:val="2"/>
              </w:rPr>
              <w:t>/s</w:t>
            </w:r>
          </w:p>
        </w:tc>
        <w:tc>
          <w:tcPr>
            <w:tcW w:w="4010" w:type="dxa"/>
            <w:tcBorders/>
          </w:tcPr>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343" w:right="0" w:hanging="0"/>
              <w:jc w:val="left"/>
              <w:rPr/>
            </w:pPr>
            <w:r>
              <w:rPr/>
              <w:t> </w:t>
            </w:r>
          </w:p>
          <w:p>
            <w:pPr>
              <w:pStyle w:val="TableContents"/>
              <w:bidi w:val="0"/>
              <w:spacing w:before="0" w:after="0"/>
              <w:ind w:left="343" w:right="0" w:hanging="0"/>
              <w:jc w:val="left"/>
              <w:rPr/>
            </w:pPr>
            <w:r>
              <w:rPr/>
              <w:t> </w:t>
            </w:r>
          </w:p>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Times New Roman"/>
                <w:szCs w:val="24"/>
              </w:rPr>
            </w:pPr>
            <w:r>
              <w:rPr>
                <w:rFonts w:cs="Times New Roman"/>
                <w:szCs w:val="24"/>
              </w:rPr>
              <w:t>﻿</w:t>
            </w:r>
          </w:p>
        </w:tc>
        <w:tc>
          <w:tcPr>
            <w:tcW w:w="4010" w:type="dxa"/>
            <w:tcBorders/>
          </w:tcPr>
          <w:p>
            <w:pPr>
              <w:pStyle w:val="TableContents"/>
              <w:bidi w:val="0"/>
              <w:spacing w:before="0" w:after="0"/>
              <w:ind w:left="0" w:right="0" w:hanging="0"/>
              <w:jc w:val="left"/>
              <w:rPr>
                <w:rFonts w:ascii="Times New Roman" w:hAnsi="Times New Roman"/>
                <w:sz w:val="24"/>
              </w:rPr>
            </w:pPr>
            <w:r>
              <w:rPr>
                <w:rFonts w:ascii="Times New Roman" w:hAnsi="Times New Roman"/>
                <w:sz w:val="24"/>
              </w:rPr>
              <w:t>BANK OF AMERICA, N.A., as Lender:</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 w:hAnsi="Times New Roman"/>
                <w:sz w:val="24"/>
              </w:rPr>
            </w:pPr>
            <w:r>
              <w:rPr>
                <w:rFonts w:ascii="Times New Roman" w:hAnsi="Times New Roman"/>
                <w:sz w:val="24"/>
              </w:rPr>
              <w:t xml:space="preserve">by  </w:t>
            </w:r>
            <w:r>
              <w:rPr>
                <w:rFonts w:ascii="Times New Roman" w:hAnsi="Times New Roman"/>
                <w:sz w:val="24"/>
                <w:u w:val="single"/>
              </w:rPr>
              <w:t>/s/ Richard R. Powell</w:t>
            </w:r>
          </w:p>
          <w:p>
            <w:pPr>
              <w:pStyle w:val="TableContents"/>
              <w:bidi w:val="0"/>
              <w:spacing w:before="0" w:after="0"/>
              <w:ind w:left="343" w:right="0" w:hanging="0"/>
              <w:jc w:val="left"/>
              <w:rPr>
                <w:rFonts w:ascii="Times New Roman" w:hAnsi="Times New Roman"/>
                <w:sz w:val="24"/>
              </w:rPr>
            </w:pPr>
            <w:r>
              <w:rPr>
                <w:rFonts w:ascii="Times New Roman" w:hAnsi="Times New Roman"/>
                <w:sz w:val="24"/>
              </w:rPr>
              <w:t>Name: Richard R. Powell</w:t>
            </w:r>
          </w:p>
          <w:p>
            <w:pPr>
              <w:pStyle w:val="TableContents"/>
              <w:bidi w:val="0"/>
              <w:spacing w:before="0" w:after="0"/>
              <w:ind w:left="343" w:right="0" w:hanging="0"/>
              <w:jc w:val="left"/>
              <w:rPr>
                <w:rFonts w:ascii="Times New Roman" w:hAnsi="Times New Roman"/>
                <w:sz w:val="24"/>
              </w:rPr>
            </w:pPr>
            <w:r>
              <w:rPr>
                <w:rFonts w:ascii="Times New Roman" w:hAnsi="Times New Roman"/>
                <w:sz w:val="24"/>
              </w:rPr>
              <w:t>Title: Senior Vice President</w:t>
            </w:r>
          </w:p>
        </w:tc>
      </w:tr>
      <w:tr>
        <w:trPr/>
        <w:tc>
          <w:tcPr>
            <w:tcW w:w="38" w:type="dxa"/>
            <w:tcBorders/>
          </w:tcPr>
          <w:p>
            <w:pPr>
              <w:pStyle w:val="TableContents"/>
              <w:bidi w:val="0"/>
              <w:spacing w:before="0" w:after="240"/>
              <w:ind w:left="0" w:right="0" w:hanging="0"/>
              <w:jc w:val="left"/>
              <w:rPr>
                <w:rFonts w:cs="Times New Roman"/>
                <w:szCs w:val="24"/>
              </w:rPr>
            </w:pPr>
            <w:r>
              <w:rPr>
                <w:rFonts w:cs="Times New Roman"/>
                <w:szCs w:val="24"/>
              </w:rPr>
              <w:t>﻿</w:t>
            </w:r>
          </w:p>
        </w:tc>
        <w:tc>
          <w:tcPr>
            <w:tcW w:w="4010" w:type="dxa"/>
            <w:tcBorders/>
          </w:tcPr>
          <w:p>
            <w:pPr>
              <w:pStyle w:val="TableContents"/>
              <w:bidi w:val="0"/>
              <w:spacing w:before="0" w:after="240"/>
              <w:ind w:left="0" w:right="0" w:hanging="0"/>
              <w:jc w:val="left"/>
              <w:rPr/>
            </w:pPr>
            <w:r>
              <w:rPr/>
              <w:t> </w:t>
            </w:r>
          </w:p>
        </w:tc>
      </w:tr>
    </w:tbl>
    <w:p>
      <w:pPr>
        <w:pStyle w:val="TextBody"/>
        <w:bidi w:val="0"/>
        <w:spacing w:before="0" w:after="0"/>
        <w:ind w:left="1440" w:right="1440" w:hanging="0"/>
        <w:jc w:val="left"/>
        <w:rPr>
          <w:rFonts w:cs="Times New Roman"/>
          <w:szCs w:val="24"/>
        </w:rPr>
      </w:pPr>
      <w:r>
        <w:rPr>
          <w:rFonts w:cs="Times New Roman"/>
          <w:szCs w:val="24"/>
        </w:rPr>
        <w:t xml:space="preserve">﻿ </w:t>
      </w:r>
    </w:p>
    <w:p>
      <w:pPr>
        <w:pStyle w:val="TextBody"/>
        <w:bidi w:val="0"/>
        <w:spacing w:before="0" w:after="0"/>
        <w:ind w:left="1440" w:right="1440" w:hanging="0"/>
        <w:jc w:val="left"/>
        <w:rPr>
          <w:rFonts w:ascii="Times New Roman" w:hAnsi="Times New Roman"/>
          <w:sz w:val="16"/>
        </w:rPr>
      </w:pPr>
      <w:r>
        <w:rPr>
          <w:rFonts w:ascii="Arial" w:hAnsi="Arial"/>
          <w:sz w:val="16"/>
        </w:rPr>
        <w:t>#4903-6700-2546</w:t>
      </w:r>
      <w:r>
        <w:rPr>
          <w:rFonts w:ascii="Times New Roman" w:hAnsi="Times New Roman"/>
          <w:sz w:val="16"/>
        </w:rPr>
        <w:t xml:space="preserve">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before="0" w:after="0"/>
        <w:ind w:left="1440" w:right="1440" w:hanging="0"/>
        <w:jc w:val="left"/>
        <w:rPr/>
      </w:pPr>
      <w:r>
        <w:rPr/>
        <w:t xml:space="preserve">  </w:t>
      </w:r>
    </w:p>
    <w:tbl>
      <w:tblPr>
        <w:tblW w:w="4303" w:type="dxa"/>
        <w:jc w:val="left"/>
        <w:tblInd w:w="1440" w:type="dxa"/>
        <w:tblLayout w:type="fixed"/>
        <w:tblCellMar>
          <w:top w:w="0" w:type="dxa"/>
          <w:left w:w="0" w:type="dxa"/>
          <w:bottom w:w="0" w:type="dxa"/>
          <w:right w:w="0" w:type="dxa"/>
        </w:tblCellMar>
      </w:tblPr>
      <w:tblGrid>
        <w:gridCol w:w="38"/>
        <w:gridCol w:w="4265"/>
      </w:tblGrid>
      <w:tr>
        <w:trPr/>
        <w:tc>
          <w:tcPr>
            <w:tcW w:w="38" w:type="dxa"/>
            <w:tcBorders/>
          </w:tcPr>
          <w:p>
            <w:pPr>
              <w:pStyle w:val="TableContents"/>
              <w:bidi w:val="0"/>
              <w:spacing w:before="0" w:after="0"/>
              <w:ind w:left="0" w:right="0" w:hanging="0"/>
              <w:jc w:val="left"/>
              <w:rPr>
                <w:rFonts w:cs="Times New Roman"/>
                <w:szCs w:val="2"/>
              </w:rPr>
            </w:pPr>
            <w:r>
              <w:rPr>
                <w:rFonts w:cs="Times New Roman"/>
                <w:szCs w:val="2"/>
              </w:rPr>
              <w:t>﻿</w:t>
            </w:r>
          </w:p>
        </w:tc>
        <w:tc>
          <w:tcPr>
            <w:tcW w:w="4265" w:type="dxa"/>
            <w:tcBorders/>
          </w:tcPr>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343" w:right="0" w:hanging="0"/>
              <w:jc w:val="left"/>
              <w:rPr/>
            </w:pPr>
            <w:r>
              <w:rPr/>
              <w:t> </w:t>
            </w:r>
          </w:p>
          <w:p>
            <w:pPr>
              <w:pStyle w:val="TableContents"/>
              <w:bidi w:val="0"/>
              <w:spacing w:before="0" w:after="0"/>
              <w:ind w:left="343" w:right="0" w:hanging="0"/>
              <w:jc w:val="left"/>
              <w:rPr/>
            </w:pPr>
            <w:r>
              <w:rPr/>
              <w:t> </w:t>
            </w:r>
          </w:p>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Times New Roman"/>
                <w:szCs w:val="24"/>
              </w:rPr>
            </w:pPr>
            <w:r>
              <w:rPr>
                <w:rFonts w:cs="Times New Roman"/>
                <w:szCs w:val="24"/>
              </w:rPr>
              <w:t>﻿</w:t>
            </w:r>
          </w:p>
        </w:tc>
        <w:tc>
          <w:tcPr>
            <w:tcW w:w="4265" w:type="dxa"/>
            <w:tcBorders/>
          </w:tcPr>
          <w:p>
            <w:pPr>
              <w:pStyle w:val="TableContents"/>
              <w:bidi w:val="0"/>
              <w:spacing w:before="0" w:after="0"/>
              <w:ind w:left="0" w:right="0" w:hanging="0"/>
              <w:jc w:val="left"/>
              <w:rPr>
                <w:rFonts w:ascii="Times New Roman" w:hAnsi="Times New Roman"/>
                <w:sz w:val="24"/>
              </w:rPr>
            </w:pPr>
            <w:r>
              <w:rPr>
                <w:rFonts w:ascii="Times New Roman" w:hAnsi="Times New Roman"/>
                <w:sz w:val="24"/>
              </w:rPr>
              <w:t>ROYAL BANK OF CANADA, as Lender:</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 w:hAnsi="Times New Roman"/>
                <w:sz w:val="24"/>
              </w:rPr>
            </w:pPr>
            <w:r>
              <w:rPr>
                <w:rFonts w:ascii="Times New Roman" w:hAnsi="Times New Roman"/>
                <w:sz w:val="24"/>
              </w:rPr>
              <w:t xml:space="preserve">by  </w:t>
            </w:r>
            <w:r>
              <w:rPr>
                <w:rFonts w:ascii="Times New Roman" w:hAnsi="Times New Roman"/>
                <w:sz w:val="24"/>
                <w:u w:val="single"/>
              </w:rPr>
              <w:t>/s/ Meg Donnelly</w:t>
            </w:r>
          </w:p>
          <w:p>
            <w:pPr>
              <w:pStyle w:val="TableContents"/>
              <w:bidi w:val="0"/>
              <w:spacing w:before="0" w:after="0"/>
              <w:ind w:left="343" w:right="0" w:hanging="0"/>
              <w:jc w:val="left"/>
              <w:rPr>
                <w:rFonts w:ascii="Times New Roman" w:hAnsi="Times New Roman"/>
                <w:sz w:val="24"/>
              </w:rPr>
            </w:pPr>
            <w:r>
              <w:rPr>
                <w:rFonts w:ascii="Times New Roman" w:hAnsi="Times New Roman"/>
                <w:sz w:val="24"/>
              </w:rPr>
              <w:t>Name: Meg Donnelly</w:t>
            </w:r>
          </w:p>
          <w:p>
            <w:pPr>
              <w:pStyle w:val="TableContents"/>
              <w:bidi w:val="0"/>
              <w:spacing w:before="0" w:after="0"/>
              <w:ind w:left="343" w:right="0" w:hanging="0"/>
              <w:jc w:val="left"/>
              <w:rPr>
                <w:rFonts w:ascii="Times New Roman" w:hAnsi="Times New Roman"/>
                <w:sz w:val="24"/>
              </w:rPr>
            </w:pPr>
            <w:r>
              <w:rPr>
                <w:rFonts w:ascii="Times New Roman" w:hAnsi="Times New Roman"/>
                <w:sz w:val="24"/>
              </w:rPr>
              <w:t>Title: Authorized Signatory</w:t>
            </w:r>
          </w:p>
        </w:tc>
      </w:tr>
      <w:tr>
        <w:trPr/>
        <w:tc>
          <w:tcPr>
            <w:tcW w:w="38" w:type="dxa"/>
            <w:tcBorders/>
          </w:tcPr>
          <w:p>
            <w:pPr>
              <w:pStyle w:val="TableContents"/>
              <w:bidi w:val="0"/>
              <w:spacing w:before="0" w:after="240"/>
              <w:ind w:left="0" w:right="0" w:hanging="0"/>
              <w:jc w:val="left"/>
              <w:rPr>
                <w:rFonts w:cs="Times New Roman"/>
                <w:szCs w:val="24"/>
              </w:rPr>
            </w:pPr>
            <w:r>
              <w:rPr>
                <w:rFonts w:cs="Times New Roman"/>
                <w:szCs w:val="24"/>
              </w:rPr>
              <w:t>﻿</w:t>
            </w:r>
          </w:p>
        </w:tc>
        <w:tc>
          <w:tcPr>
            <w:tcW w:w="4265" w:type="dxa"/>
            <w:tcBorders/>
          </w:tcPr>
          <w:p>
            <w:pPr>
              <w:pStyle w:val="TableContents"/>
              <w:bidi w:val="0"/>
              <w:spacing w:before="0" w:after="240"/>
              <w:ind w:left="0" w:right="0" w:hanging="0"/>
              <w:jc w:val="left"/>
              <w:rPr/>
            </w:pPr>
            <w:r>
              <w:rPr/>
              <w:t> </w:t>
            </w:r>
          </w:p>
        </w:tc>
      </w:tr>
    </w:tbl>
    <w:p>
      <w:pPr>
        <w:pStyle w:val="TextBody"/>
        <w:bidi w:val="0"/>
        <w:spacing w:before="0" w:after="0"/>
        <w:ind w:left="1440" w:right="1440" w:hanging="0"/>
        <w:jc w:val="left"/>
        <w:rPr>
          <w:rFonts w:cs="Times New Roman"/>
          <w:szCs w:val="24"/>
        </w:rPr>
      </w:pPr>
      <w:r>
        <w:rPr>
          <w:rFonts w:cs="Times New Roman"/>
          <w:szCs w:val="24"/>
        </w:rPr>
        <w:t xml:space="preserve">﻿ </w:t>
      </w:r>
    </w:p>
    <w:p>
      <w:pPr>
        <w:pStyle w:val="TextBody"/>
        <w:bidi w:val="0"/>
        <w:spacing w:before="0" w:after="0"/>
        <w:ind w:left="1440" w:right="1440" w:hanging="0"/>
        <w:jc w:val="left"/>
        <w:rPr>
          <w:rFonts w:ascii="Times New Roman" w:hAnsi="Times New Roman"/>
          <w:sz w:val="16"/>
        </w:rPr>
      </w:pPr>
      <w:r>
        <w:rPr>
          <w:rFonts w:ascii="Arial" w:hAnsi="Arial"/>
          <w:sz w:val="16"/>
        </w:rPr>
        <w:t>#4903-6700-2546</w:t>
      </w:r>
      <w:r>
        <w:rPr>
          <w:rFonts w:ascii="Times New Roman" w:hAnsi="Times New Roman"/>
          <w:sz w:val="16"/>
        </w:rPr>
        <w:t xml:space="preserve">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before="0" w:after="0"/>
        <w:ind w:left="1440" w:right="1440" w:hanging="0"/>
        <w:jc w:val="left"/>
        <w:rPr/>
      </w:pPr>
      <w:r>
        <w:rPr/>
        <w:t xml:space="preserve">  </w:t>
      </w:r>
    </w:p>
    <w:tbl>
      <w:tblPr>
        <w:tblW w:w="5458" w:type="dxa"/>
        <w:jc w:val="left"/>
        <w:tblInd w:w="1440" w:type="dxa"/>
        <w:tblLayout w:type="fixed"/>
        <w:tblCellMar>
          <w:top w:w="0" w:type="dxa"/>
          <w:left w:w="0" w:type="dxa"/>
          <w:bottom w:w="0" w:type="dxa"/>
          <w:right w:w="0" w:type="dxa"/>
        </w:tblCellMar>
      </w:tblPr>
      <w:tblGrid>
        <w:gridCol w:w="38"/>
        <w:gridCol w:w="5420"/>
      </w:tblGrid>
      <w:tr>
        <w:trPr/>
        <w:tc>
          <w:tcPr>
            <w:tcW w:w="38" w:type="dxa"/>
            <w:tcBorders/>
          </w:tcPr>
          <w:p>
            <w:pPr>
              <w:pStyle w:val="TableContents"/>
              <w:bidi w:val="0"/>
              <w:spacing w:before="0" w:after="0"/>
              <w:ind w:left="0" w:right="0" w:hanging="0"/>
              <w:jc w:val="left"/>
              <w:rPr>
                <w:rFonts w:ascii="Times New Roman" w:hAnsi="Times New Roman"/>
                <w:sz w:val="2"/>
              </w:rPr>
            </w:pPr>
            <w:r>
              <w:rPr>
                <w:rFonts w:ascii="Times New Roman" w:hAnsi="Times New Roman"/>
                <w:sz w:val="2"/>
              </w:rPr>
              <w:t>/s/</w:t>
            </w:r>
          </w:p>
        </w:tc>
        <w:tc>
          <w:tcPr>
            <w:tcW w:w="5420" w:type="dxa"/>
            <w:tcBorders/>
          </w:tcPr>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343" w:right="0" w:hanging="0"/>
              <w:jc w:val="left"/>
              <w:rPr/>
            </w:pPr>
            <w:r>
              <w:rPr/>
              <w:t> </w:t>
            </w:r>
          </w:p>
          <w:p>
            <w:pPr>
              <w:pStyle w:val="TableContents"/>
              <w:bidi w:val="0"/>
              <w:spacing w:before="0" w:after="0"/>
              <w:ind w:left="343" w:right="0" w:hanging="0"/>
              <w:jc w:val="left"/>
              <w:rPr/>
            </w:pPr>
            <w:r>
              <w:rPr/>
              <w:t> </w:t>
            </w:r>
          </w:p>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Times New Roman"/>
                <w:szCs w:val="24"/>
              </w:rPr>
            </w:pPr>
            <w:r>
              <w:rPr>
                <w:rFonts w:cs="Times New Roman"/>
                <w:szCs w:val="24"/>
              </w:rPr>
              <w:t>﻿</w:t>
            </w:r>
          </w:p>
        </w:tc>
        <w:tc>
          <w:tcPr>
            <w:tcW w:w="5420" w:type="dxa"/>
            <w:tcBorders/>
          </w:tcPr>
          <w:p>
            <w:pPr>
              <w:pStyle w:val="TableContents"/>
              <w:bidi w:val="0"/>
              <w:spacing w:before="0" w:after="0"/>
              <w:ind w:left="0" w:right="0" w:hanging="0"/>
              <w:jc w:val="left"/>
              <w:rPr>
                <w:rFonts w:ascii="Times New Roman" w:hAnsi="Times New Roman"/>
                <w:sz w:val="24"/>
              </w:rPr>
            </w:pPr>
            <w:r>
              <w:rPr>
                <w:rFonts w:ascii="Times New Roman" w:hAnsi="Times New Roman"/>
                <w:sz w:val="24"/>
              </w:rPr>
              <w:t>THE HUNTINGTON NATIONAL BANK, as Lender:</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 w:hAnsi="Times New Roman"/>
                <w:sz w:val="24"/>
              </w:rPr>
            </w:pPr>
            <w:r>
              <w:rPr>
                <w:rFonts w:ascii="Times New Roman" w:hAnsi="Times New Roman"/>
                <w:sz w:val="24"/>
              </w:rPr>
              <w:t xml:space="preserve">by  </w:t>
            </w:r>
            <w:r>
              <w:rPr>
                <w:rFonts w:ascii="Times New Roman" w:hAnsi="Times New Roman"/>
                <w:sz w:val="24"/>
                <w:u w:val="single"/>
              </w:rPr>
              <w:t>/s/ Ryan T. Hamilton</w:t>
            </w:r>
          </w:p>
          <w:p>
            <w:pPr>
              <w:pStyle w:val="TableContents"/>
              <w:bidi w:val="0"/>
              <w:spacing w:before="0" w:after="0"/>
              <w:ind w:left="343" w:right="0" w:hanging="0"/>
              <w:jc w:val="left"/>
              <w:rPr>
                <w:rFonts w:ascii="Times New Roman" w:hAnsi="Times New Roman"/>
                <w:sz w:val="24"/>
              </w:rPr>
            </w:pPr>
            <w:r>
              <w:rPr>
                <w:rFonts w:ascii="Times New Roman" w:hAnsi="Times New Roman"/>
                <w:sz w:val="24"/>
              </w:rPr>
              <w:t>Name: Ryan T. Hamilton</w:t>
            </w:r>
          </w:p>
          <w:p>
            <w:pPr>
              <w:pStyle w:val="TableContents"/>
              <w:bidi w:val="0"/>
              <w:spacing w:before="0" w:after="0"/>
              <w:ind w:left="343" w:right="0" w:hanging="0"/>
              <w:jc w:val="left"/>
              <w:rPr>
                <w:rFonts w:ascii="Times New Roman" w:hAnsi="Times New Roman"/>
                <w:sz w:val="24"/>
              </w:rPr>
            </w:pPr>
            <w:r>
              <w:rPr>
                <w:rFonts w:ascii="Times New Roman" w:hAnsi="Times New Roman"/>
                <w:sz w:val="24"/>
              </w:rPr>
              <w:t>Title: Senior Vice President</w:t>
            </w:r>
          </w:p>
        </w:tc>
      </w:tr>
      <w:tr>
        <w:trPr/>
        <w:tc>
          <w:tcPr>
            <w:tcW w:w="38" w:type="dxa"/>
            <w:tcBorders/>
          </w:tcPr>
          <w:p>
            <w:pPr>
              <w:pStyle w:val="TableContents"/>
              <w:bidi w:val="0"/>
              <w:spacing w:before="0" w:after="240"/>
              <w:ind w:left="0" w:right="0" w:hanging="0"/>
              <w:jc w:val="left"/>
              <w:rPr>
                <w:rFonts w:cs="Times New Roman"/>
                <w:szCs w:val="24"/>
              </w:rPr>
            </w:pPr>
            <w:r>
              <w:rPr>
                <w:rFonts w:cs="Times New Roman"/>
                <w:szCs w:val="24"/>
              </w:rPr>
              <w:t>﻿</w:t>
            </w:r>
          </w:p>
        </w:tc>
        <w:tc>
          <w:tcPr>
            <w:tcW w:w="5420" w:type="dxa"/>
            <w:tcBorders/>
          </w:tcPr>
          <w:p>
            <w:pPr>
              <w:pStyle w:val="TableContents"/>
              <w:bidi w:val="0"/>
              <w:spacing w:before="0" w:after="240"/>
              <w:ind w:left="0" w:right="0" w:hanging="0"/>
              <w:jc w:val="left"/>
              <w:rPr/>
            </w:pPr>
            <w:r>
              <w:rPr/>
              <w:t> </w:t>
            </w:r>
          </w:p>
        </w:tc>
      </w:tr>
    </w:tbl>
    <w:p>
      <w:pPr>
        <w:pStyle w:val="TextBody"/>
        <w:bidi w:val="0"/>
        <w:spacing w:before="0" w:after="0"/>
        <w:ind w:left="1440" w:right="1440" w:hanging="0"/>
        <w:jc w:val="left"/>
        <w:rPr>
          <w:rFonts w:cs="Times New Roman"/>
          <w:szCs w:val="24"/>
        </w:rPr>
      </w:pPr>
      <w:r>
        <w:rPr>
          <w:rFonts w:cs="Times New Roman"/>
          <w:szCs w:val="24"/>
        </w:rPr>
        <w:t xml:space="preserve">﻿ </w:t>
      </w:r>
    </w:p>
    <w:p>
      <w:pPr>
        <w:pStyle w:val="TextBody"/>
        <w:bidi w:val="0"/>
        <w:spacing w:before="0" w:after="0"/>
        <w:ind w:left="1440" w:right="1440" w:hanging="0"/>
        <w:jc w:val="left"/>
        <w:rPr>
          <w:rFonts w:ascii="Times New Roman" w:hAnsi="Times New Roman"/>
          <w:sz w:val="16"/>
        </w:rPr>
      </w:pPr>
      <w:r>
        <w:rPr>
          <w:rFonts w:ascii="Arial" w:hAnsi="Arial"/>
          <w:sz w:val="16"/>
        </w:rPr>
        <w:t>#4903-6700-2546</w:t>
      </w:r>
      <w:r>
        <w:rPr>
          <w:rFonts w:ascii="Times New Roman" w:hAnsi="Times New Roman"/>
          <w:sz w:val="16"/>
        </w:rPr>
        <w:t xml:space="preserve">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before="0" w:after="0"/>
        <w:ind w:left="1440" w:right="1440" w:hanging="0"/>
        <w:jc w:val="left"/>
        <w:rPr/>
      </w:pPr>
      <w:r>
        <w:rPr/>
        <w:t xml:space="preserve">  </w:t>
      </w:r>
    </w:p>
    <w:tbl>
      <w:tblPr>
        <w:tblW w:w="3778" w:type="dxa"/>
        <w:jc w:val="left"/>
        <w:tblInd w:w="1440" w:type="dxa"/>
        <w:tblLayout w:type="fixed"/>
        <w:tblCellMar>
          <w:top w:w="0" w:type="dxa"/>
          <w:left w:w="0" w:type="dxa"/>
          <w:bottom w:w="0" w:type="dxa"/>
          <w:right w:w="0" w:type="dxa"/>
        </w:tblCellMar>
      </w:tblPr>
      <w:tblGrid>
        <w:gridCol w:w="38"/>
        <w:gridCol w:w="3740"/>
      </w:tblGrid>
      <w:tr>
        <w:trPr/>
        <w:tc>
          <w:tcPr>
            <w:tcW w:w="38" w:type="dxa"/>
            <w:tcBorders/>
          </w:tcPr>
          <w:p>
            <w:pPr>
              <w:pStyle w:val="TableContents"/>
              <w:bidi w:val="0"/>
              <w:spacing w:before="0" w:after="0"/>
              <w:ind w:left="0" w:right="0" w:hanging="0"/>
              <w:jc w:val="left"/>
              <w:rPr>
                <w:rFonts w:cs="Times New Roman"/>
                <w:szCs w:val="2"/>
              </w:rPr>
            </w:pPr>
            <w:r>
              <w:rPr>
                <w:rFonts w:cs="Times New Roman"/>
                <w:szCs w:val="2"/>
              </w:rPr>
              <w:t>﻿</w:t>
            </w:r>
          </w:p>
        </w:tc>
        <w:tc>
          <w:tcPr>
            <w:tcW w:w="3740" w:type="dxa"/>
            <w:tcBorders/>
          </w:tcPr>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 w:hAnsi="Times New Roman"/>
                <w:sz w:val="24"/>
              </w:rPr>
            </w:pPr>
            <w:r>
              <w:rPr>
                <w:rFonts w:ascii="Times New Roman" w:hAnsi="Times New Roman"/>
                <w:sz w:val="24"/>
              </w:rPr>
              <w:t>ARCLAYS BANK PLC, as Lender:</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343" w:right="0" w:hanging="0"/>
              <w:jc w:val="left"/>
              <w:rPr/>
            </w:pPr>
            <w:r>
              <w:rPr/>
              <w:t> </w:t>
            </w:r>
          </w:p>
          <w:p>
            <w:pPr>
              <w:pStyle w:val="TableContents"/>
              <w:bidi w:val="0"/>
              <w:spacing w:before="0" w:after="0"/>
              <w:ind w:left="343" w:right="0" w:hanging="0"/>
              <w:jc w:val="left"/>
              <w:rPr/>
            </w:pPr>
            <w:r>
              <w:rPr/>
              <w:t> </w:t>
            </w:r>
          </w:p>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Times New Roman"/>
                <w:szCs w:val="24"/>
              </w:rPr>
            </w:pPr>
            <w:r>
              <w:rPr>
                <w:rFonts w:cs="Times New Roman"/>
                <w:szCs w:val="24"/>
              </w:rPr>
              <w:t>﻿</w:t>
            </w:r>
          </w:p>
        </w:tc>
        <w:tc>
          <w:tcPr>
            <w:tcW w:w="3740" w:type="dxa"/>
            <w:tcBorders/>
          </w:tcPr>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 w:hAnsi="Times New Roman"/>
                <w:sz w:val="24"/>
              </w:rPr>
            </w:pPr>
            <w:r>
              <w:rPr>
                <w:rFonts w:ascii="Times New Roman" w:hAnsi="Times New Roman"/>
                <w:sz w:val="24"/>
              </w:rPr>
              <w:t>BARCLAYS BANK PLC, as Lender:</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 w:hAnsi="Times New Roman"/>
                <w:sz w:val="24"/>
              </w:rPr>
            </w:pPr>
            <w:r>
              <w:rPr>
                <w:rFonts w:ascii="Times New Roman" w:hAnsi="Times New Roman"/>
                <w:sz w:val="24"/>
              </w:rPr>
              <w:t xml:space="preserve">by  </w:t>
            </w:r>
            <w:r>
              <w:rPr>
                <w:rFonts w:ascii="Times New Roman" w:hAnsi="Times New Roman"/>
                <w:sz w:val="24"/>
                <w:u w:val="single"/>
              </w:rPr>
              <w:t>/s/ Sydney G. Dennis</w:t>
            </w:r>
          </w:p>
          <w:p>
            <w:pPr>
              <w:pStyle w:val="TableContents"/>
              <w:bidi w:val="0"/>
              <w:spacing w:before="0" w:after="0"/>
              <w:ind w:left="343" w:right="0" w:hanging="0"/>
              <w:jc w:val="left"/>
              <w:rPr>
                <w:rFonts w:ascii="Times New Roman" w:hAnsi="Times New Roman"/>
                <w:sz w:val="24"/>
              </w:rPr>
            </w:pPr>
            <w:r>
              <w:rPr>
                <w:rFonts w:ascii="Times New Roman" w:hAnsi="Times New Roman"/>
                <w:sz w:val="24"/>
              </w:rPr>
              <w:t>Name: Sydney G. Dennis</w:t>
            </w:r>
          </w:p>
          <w:p>
            <w:pPr>
              <w:pStyle w:val="TableContents"/>
              <w:bidi w:val="0"/>
              <w:spacing w:before="0" w:after="0"/>
              <w:ind w:left="343" w:right="0" w:hanging="0"/>
              <w:jc w:val="left"/>
              <w:rPr>
                <w:rFonts w:ascii="Times New Roman" w:hAnsi="Times New Roman"/>
                <w:sz w:val="24"/>
              </w:rPr>
            </w:pPr>
            <w:r>
              <w:rPr>
                <w:rFonts w:ascii="Times New Roman" w:hAnsi="Times New Roman"/>
                <w:sz w:val="24"/>
              </w:rPr>
              <w:t>Title: Director</w:t>
            </w:r>
          </w:p>
        </w:tc>
      </w:tr>
      <w:tr>
        <w:trPr/>
        <w:tc>
          <w:tcPr>
            <w:tcW w:w="38" w:type="dxa"/>
            <w:tcBorders/>
          </w:tcPr>
          <w:p>
            <w:pPr>
              <w:pStyle w:val="TableContents"/>
              <w:bidi w:val="0"/>
              <w:spacing w:before="0" w:after="0"/>
              <w:ind w:left="0" w:right="0" w:hanging="0"/>
              <w:jc w:val="left"/>
              <w:rPr>
                <w:rFonts w:cs="Times New Roman"/>
                <w:szCs w:val="24"/>
              </w:rPr>
            </w:pPr>
            <w:r>
              <w:rPr>
                <w:rFonts w:cs="Times New Roman"/>
                <w:szCs w:val="24"/>
              </w:rPr>
              <w:t>﻿</w:t>
            </w:r>
          </w:p>
        </w:tc>
        <w:tc>
          <w:tcPr>
            <w:tcW w:w="3740" w:type="dxa"/>
            <w:tcBorders/>
          </w:tcPr>
          <w:p>
            <w:pPr>
              <w:pStyle w:val="TableContents"/>
              <w:bidi w:val="0"/>
              <w:spacing w:before="0" w:after="0"/>
              <w:ind w:left="0" w:right="0" w:hanging="0"/>
              <w:jc w:val="left"/>
              <w:rPr/>
            </w:pPr>
            <w:r>
              <w:rPr/>
              <w:t> </w:t>
            </w:r>
          </w:p>
        </w:tc>
      </w:tr>
    </w:tbl>
    <w:p>
      <w:pPr>
        <w:pStyle w:val="TextBody"/>
        <w:bidi w:val="0"/>
        <w:spacing w:before="0" w:after="0"/>
        <w:ind w:left="1440" w:right="1440" w:hanging="0"/>
        <w:jc w:val="left"/>
        <w:rPr>
          <w:rFonts w:cs="Times New Roman"/>
          <w:szCs w:val="24"/>
        </w:rPr>
      </w:pPr>
      <w:r>
        <w:rPr>
          <w:rFonts w:cs="Times New Roman"/>
          <w:szCs w:val="24"/>
        </w:rPr>
        <w:t xml:space="preserve">﻿ </w:t>
      </w:r>
    </w:p>
    <w:p>
      <w:pPr>
        <w:pStyle w:val="TextBody"/>
        <w:bidi w:val="0"/>
        <w:spacing w:before="0" w:after="0"/>
        <w:ind w:left="1440" w:right="1440" w:hanging="0"/>
        <w:jc w:val="left"/>
        <w:rPr>
          <w:rFonts w:ascii="Times New Roman" w:hAnsi="Times New Roman"/>
          <w:sz w:val="16"/>
        </w:rPr>
      </w:pPr>
      <w:r>
        <w:rPr>
          <w:rFonts w:ascii="Arial" w:hAnsi="Arial"/>
          <w:sz w:val="16"/>
        </w:rPr>
        <w:t>#4903-6700-2546</w:t>
      </w:r>
      <w:r>
        <w:rPr>
          <w:rFonts w:ascii="Times New Roman" w:hAnsi="Times New Roman"/>
          <w:sz w:val="16"/>
        </w:rPr>
        <w:t xml:space="preserve">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before="0" w:after="0"/>
        <w:ind w:left="1440" w:right="1440" w:hanging="0"/>
        <w:jc w:val="left"/>
        <w:rPr/>
      </w:pPr>
      <w:r>
        <w:rPr/>
        <w:t xml:space="preserve">  </w:t>
      </w:r>
    </w:p>
    <w:tbl>
      <w:tblPr>
        <w:tblW w:w="3628" w:type="dxa"/>
        <w:jc w:val="left"/>
        <w:tblInd w:w="1440" w:type="dxa"/>
        <w:tblLayout w:type="fixed"/>
        <w:tblCellMar>
          <w:top w:w="0" w:type="dxa"/>
          <w:left w:w="0" w:type="dxa"/>
          <w:bottom w:w="0" w:type="dxa"/>
          <w:right w:w="0" w:type="dxa"/>
        </w:tblCellMar>
      </w:tblPr>
      <w:tblGrid>
        <w:gridCol w:w="38"/>
        <w:gridCol w:w="3590"/>
      </w:tblGrid>
      <w:tr>
        <w:trPr/>
        <w:tc>
          <w:tcPr>
            <w:tcW w:w="38" w:type="dxa"/>
            <w:tcBorders/>
          </w:tcPr>
          <w:p>
            <w:pPr>
              <w:pStyle w:val="TableContents"/>
              <w:bidi w:val="0"/>
              <w:spacing w:before="0" w:after="0"/>
              <w:ind w:left="0" w:right="0" w:hanging="0"/>
              <w:jc w:val="left"/>
              <w:rPr>
                <w:rFonts w:cs="Times New Roman"/>
                <w:szCs w:val="2"/>
              </w:rPr>
            </w:pPr>
            <w:r>
              <w:rPr>
                <w:rFonts w:cs="Times New Roman"/>
                <w:szCs w:val="2"/>
              </w:rPr>
              <w:t>﻿</w:t>
            </w:r>
          </w:p>
        </w:tc>
        <w:tc>
          <w:tcPr>
            <w:tcW w:w="3590" w:type="dxa"/>
            <w:tcBorders/>
          </w:tcPr>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343" w:right="0" w:hanging="0"/>
              <w:jc w:val="left"/>
              <w:rPr/>
            </w:pPr>
            <w:r>
              <w:rPr/>
              <w:t> </w:t>
            </w:r>
          </w:p>
          <w:p>
            <w:pPr>
              <w:pStyle w:val="TableContents"/>
              <w:bidi w:val="0"/>
              <w:spacing w:before="0" w:after="0"/>
              <w:ind w:left="343" w:right="0" w:hanging="0"/>
              <w:jc w:val="left"/>
              <w:rPr/>
            </w:pPr>
            <w:r>
              <w:rPr/>
              <w:t> </w:t>
            </w:r>
          </w:p>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Times New Roman"/>
                <w:szCs w:val="24"/>
              </w:rPr>
            </w:pPr>
            <w:r>
              <w:rPr>
                <w:rFonts w:cs="Times New Roman"/>
                <w:szCs w:val="24"/>
              </w:rPr>
              <w:t>﻿</w:t>
            </w:r>
          </w:p>
        </w:tc>
        <w:tc>
          <w:tcPr>
            <w:tcW w:w="3590" w:type="dxa"/>
            <w:tcBorders/>
          </w:tcPr>
          <w:p>
            <w:pPr>
              <w:pStyle w:val="TableContents"/>
              <w:bidi w:val="0"/>
              <w:spacing w:before="0" w:after="0"/>
              <w:ind w:left="0" w:right="0" w:hanging="0"/>
              <w:jc w:val="left"/>
              <w:rPr>
                <w:rFonts w:ascii="Times New Roman" w:hAnsi="Times New Roman"/>
                <w:sz w:val="24"/>
              </w:rPr>
            </w:pPr>
            <w:r>
              <w:rPr>
                <w:rFonts w:ascii="Times New Roman" w:hAnsi="Times New Roman"/>
                <w:sz w:val="24"/>
              </w:rPr>
              <w:t>CITIZENS BANK, N.A., as Lender:</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 w:hAnsi="Times New Roman"/>
                <w:sz w:val="24"/>
              </w:rPr>
            </w:pPr>
            <w:r>
              <w:rPr>
                <w:rFonts w:ascii="Times New Roman" w:hAnsi="Times New Roman"/>
                <w:sz w:val="24"/>
              </w:rPr>
              <w:t xml:space="preserve">by  </w:t>
            </w:r>
            <w:r>
              <w:rPr>
                <w:rFonts w:ascii="Times New Roman" w:hAnsi="Times New Roman"/>
                <w:sz w:val="24"/>
                <w:u w:val="single"/>
              </w:rPr>
              <w:t>/s/ Walter Pickell</w:t>
            </w:r>
          </w:p>
          <w:p>
            <w:pPr>
              <w:pStyle w:val="TableContents"/>
              <w:bidi w:val="0"/>
              <w:spacing w:before="0" w:after="0"/>
              <w:ind w:left="343" w:right="0" w:hanging="0"/>
              <w:jc w:val="left"/>
              <w:rPr>
                <w:rFonts w:ascii="Times New Roman" w:hAnsi="Times New Roman"/>
                <w:sz w:val="24"/>
              </w:rPr>
            </w:pPr>
            <w:r>
              <w:rPr>
                <w:rFonts w:ascii="Times New Roman" w:hAnsi="Times New Roman"/>
                <w:sz w:val="24"/>
              </w:rPr>
              <w:t>Name: Walter Pickell</w:t>
            </w:r>
          </w:p>
          <w:p>
            <w:pPr>
              <w:pStyle w:val="TableContents"/>
              <w:bidi w:val="0"/>
              <w:spacing w:before="0" w:after="0"/>
              <w:ind w:left="343" w:right="0" w:hanging="0"/>
              <w:jc w:val="left"/>
              <w:rPr>
                <w:rFonts w:ascii="Times New Roman" w:hAnsi="Times New Roman"/>
                <w:sz w:val="24"/>
              </w:rPr>
            </w:pPr>
            <w:r>
              <w:rPr>
                <w:rFonts w:ascii="Times New Roman" w:hAnsi="Times New Roman"/>
                <w:sz w:val="24"/>
              </w:rPr>
              <w:t>Title: Managing Director</w:t>
            </w:r>
          </w:p>
        </w:tc>
      </w:tr>
      <w:tr>
        <w:trPr/>
        <w:tc>
          <w:tcPr>
            <w:tcW w:w="38" w:type="dxa"/>
            <w:tcBorders/>
          </w:tcPr>
          <w:p>
            <w:pPr>
              <w:pStyle w:val="TableContents"/>
              <w:bidi w:val="0"/>
              <w:spacing w:before="0" w:after="240"/>
              <w:ind w:left="0" w:right="0" w:hanging="0"/>
              <w:jc w:val="left"/>
              <w:rPr>
                <w:rFonts w:cs="Times New Roman"/>
                <w:szCs w:val="24"/>
              </w:rPr>
            </w:pPr>
            <w:r>
              <w:rPr>
                <w:rFonts w:cs="Times New Roman"/>
                <w:szCs w:val="24"/>
              </w:rPr>
              <w:t>﻿</w:t>
            </w:r>
          </w:p>
        </w:tc>
        <w:tc>
          <w:tcPr>
            <w:tcW w:w="3590" w:type="dxa"/>
            <w:tcBorders/>
          </w:tcPr>
          <w:p>
            <w:pPr>
              <w:pStyle w:val="TableContents"/>
              <w:bidi w:val="0"/>
              <w:spacing w:before="0" w:after="240"/>
              <w:ind w:left="0" w:right="0" w:hanging="0"/>
              <w:jc w:val="left"/>
              <w:rPr/>
            </w:pPr>
            <w:r>
              <w:rPr/>
              <w:t> </w:t>
            </w:r>
          </w:p>
        </w:tc>
      </w:tr>
    </w:tbl>
    <w:p>
      <w:pPr>
        <w:pStyle w:val="TextBody"/>
        <w:bidi w:val="0"/>
        <w:spacing w:before="0" w:after="0"/>
        <w:ind w:left="1440" w:right="1440" w:hanging="0"/>
        <w:jc w:val="left"/>
        <w:rPr>
          <w:rFonts w:cs="Times New Roman"/>
          <w:szCs w:val="24"/>
        </w:rPr>
      </w:pPr>
      <w:r>
        <w:rPr>
          <w:rFonts w:cs="Times New Roman"/>
          <w:szCs w:val="24"/>
        </w:rPr>
        <w:t xml:space="preserve">﻿ </w:t>
      </w:r>
    </w:p>
    <w:p>
      <w:pPr>
        <w:pStyle w:val="TextBody"/>
        <w:bidi w:val="0"/>
        <w:spacing w:before="0" w:after="0"/>
        <w:ind w:left="1440" w:right="1440" w:hanging="0"/>
        <w:jc w:val="left"/>
        <w:rPr>
          <w:rFonts w:ascii="Times New Roman" w:hAnsi="Times New Roman"/>
          <w:sz w:val="16"/>
        </w:rPr>
      </w:pPr>
      <w:r>
        <w:rPr>
          <w:rFonts w:ascii="Arial" w:hAnsi="Arial"/>
          <w:sz w:val="16"/>
        </w:rPr>
        <w:t>#4903-6700-2546</w:t>
      </w:r>
      <w:r>
        <w:rPr>
          <w:rFonts w:ascii="Times New Roman" w:hAnsi="Times New Roman"/>
          <w:sz w:val="16"/>
        </w:rPr>
        <w:t xml:space="preserve">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before="0" w:after="0"/>
        <w:ind w:left="1440" w:right="1440" w:hanging="0"/>
        <w:jc w:val="left"/>
        <w:rPr/>
      </w:pPr>
      <w:r>
        <w:rPr/>
        <w:t xml:space="preserve">  </w:t>
      </w:r>
    </w:p>
    <w:tbl>
      <w:tblPr>
        <w:tblW w:w="5008" w:type="dxa"/>
        <w:jc w:val="left"/>
        <w:tblInd w:w="1440" w:type="dxa"/>
        <w:tblLayout w:type="fixed"/>
        <w:tblCellMar>
          <w:top w:w="0" w:type="dxa"/>
          <w:left w:w="0" w:type="dxa"/>
          <w:bottom w:w="0" w:type="dxa"/>
          <w:right w:w="0" w:type="dxa"/>
        </w:tblCellMar>
      </w:tblPr>
      <w:tblGrid>
        <w:gridCol w:w="38"/>
        <w:gridCol w:w="4970"/>
      </w:tblGrid>
      <w:tr>
        <w:trPr/>
        <w:tc>
          <w:tcPr>
            <w:tcW w:w="38" w:type="dxa"/>
            <w:tcBorders/>
          </w:tcPr>
          <w:p>
            <w:pPr>
              <w:pStyle w:val="TableContents"/>
              <w:bidi w:val="0"/>
              <w:spacing w:before="0" w:after="0"/>
              <w:ind w:left="0" w:right="0" w:hanging="0"/>
              <w:jc w:val="left"/>
              <w:rPr>
                <w:rFonts w:cs="Times New Roman"/>
                <w:szCs w:val="2"/>
              </w:rPr>
            </w:pPr>
            <w:r>
              <w:rPr>
                <w:rFonts w:cs="Times New Roman"/>
                <w:szCs w:val="2"/>
              </w:rPr>
              <w:t>﻿</w:t>
            </w:r>
          </w:p>
        </w:tc>
        <w:tc>
          <w:tcPr>
            <w:tcW w:w="4970" w:type="dxa"/>
            <w:tcBorders/>
          </w:tcPr>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343" w:right="0" w:hanging="0"/>
              <w:jc w:val="left"/>
              <w:rPr/>
            </w:pPr>
            <w:r>
              <w:rPr/>
              <w:t> </w:t>
            </w:r>
          </w:p>
          <w:p>
            <w:pPr>
              <w:pStyle w:val="TableContents"/>
              <w:bidi w:val="0"/>
              <w:spacing w:before="0" w:after="0"/>
              <w:ind w:left="343" w:right="0" w:hanging="0"/>
              <w:jc w:val="left"/>
              <w:rPr/>
            </w:pPr>
            <w:r>
              <w:rPr/>
              <w:t> </w:t>
            </w:r>
          </w:p>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Times New Roman"/>
                <w:szCs w:val="24"/>
              </w:rPr>
            </w:pPr>
            <w:r>
              <w:rPr>
                <w:rFonts w:cs="Times New Roman"/>
                <w:szCs w:val="24"/>
              </w:rPr>
              <w:t>﻿</w:t>
            </w:r>
          </w:p>
        </w:tc>
        <w:tc>
          <w:tcPr>
            <w:tcW w:w="4970" w:type="dxa"/>
            <w:tcBorders/>
          </w:tcPr>
          <w:p>
            <w:pPr>
              <w:pStyle w:val="TableContents"/>
              <w:bidi w:val="0"/>
              <w:spacing w:before="0" w:after="0"/>
              <w:ind w:left="0" w:right="0" w:hanging="0"/>
              <w:jc w:val="left"/>
              <w:rPr>
                <w:rFonts w:ascii="Times New Roman" w:hAnsi="Times New Roman"/>
                <w:sz w:val="24"/>
              </w:rPr>
            </w:pPr>
            <w:r>
              <w:rPr>
                <w:rFonts w:ascii="Times New Roman" w:hAnsi="Times New Roman"/>
                <w:sz w:val="24"/>
              </w:rPr>
              <w:t>THE TORONTO-DOMINION BANK, as Lender:</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 w:hAnsi="Times New Roman"/>
                <w:sz w:val="24"/>
              </w:rPr>
            </w:pPr>
            <w:r>
              <w:rPr>
                <w:rFonts w:ascii="Times New Roman" w:hAnsi="Times New Roman"/>
                <w:sz w:val="24"/>
              </w:rPr>
              <w:t xml:space="preserve">by  </w:t>
            </w:r>
            <w:r>
              <w:rPr>
                <w:rFonts w:ascii="Times New Roman" w:hAnsi="Times New Roman"/>
                <w:sz w:val="24"/>
                <w:u w:val="single"/>
              </w:rPr>
              <w:t>/s/ Betty Chang</w:t>
            </w:r>
          </w:p>
          <w:p>
            <w:pPr>
              <w:pStyle w:val="TableContents"/>
              <w:bidi w:val="0"/>
              <w:spacing w:before="0" w:after="0"/>
              <w:ind w:left="343" w:right="0" w:hanging="0"/>
              <w:jc w:val="left"/>
              <w:rPr>
                <w:rFonts w:ascii="Times New Roman" w:hAnsi="Times New Roman"/>
                <w:sz w:val="24"/>
              </w:rPr>
            </w:pPr>
            <w:r>
              <w:rPr>
                <w:rFonts w:ascii="Times New Roman" w:hAnsi="Times New Roman"/>
                <w:sz w:val="24"/>
              </w:rPr>
              <w:t>Name: Betty Chang</w:t>
            </w:r>
          </w:p>
          <w:p>
            <w:pPr>
              <w:pStyle w:val="TableContents"/>
              <w:bidi w:val="0"/>
              <w:spacing w:before="0" w:after="0"/>
              <w:ind w:left="343" w:right="0" w:hanging="0"/>
              <w:jc w:val="left"/>
              <w:rPr>
                <w:rFonts w:ascii="Times New Roman" w:hAnsi="Times New Roman"/>
                <w:sz w:val="24"/>
              </w:rPr>
            </w:pPr>
            <w:r>
              <w:rPr>
                <w:rFonts w:ascii="Times New Roman" w:hAnsi="Times New Roman"/>
                <w:sz w:val="24"/>
              </w:rPr>
              <w:t>Title: Authorized Signatory</w:t>
            </w:r>
          </w:p>
        </w:tc>
      </w:tr>
      <w:tr>
        <w:trPr/>
        <w:tc>
          <w:tcPr>
            <w:tcW w:w="38" w:type="dxa"/>
            <w:tcBorders/>
          </w:tcPr>
          <w:p>
            <w:pPr>
              <w:pStyle w:val="TableContents"/>
              <w:bidi w:val="0"/>
              <w:spacing w:before="0" w:after="240"/>
              <w:ind w:left="0" w:right="0" w:hanging="0"/>
              <w:jc w:val="left"/>
              <w:rPr>
                <w:rFonts w:cs="Times New Roman"/>
                <w:szCs w:val="24"/>
              </w:rPr>
            </w:pPr>
            <w:r>
              <w:rPr>
                <w:rFonts w:cs="Times New Roman"/>
                <w:szCs w:val="24"/>
              </w:rPr>
              <w:t>﻿</w:t>
            </w:r>
          </w:p>
        </w:tc>
        <w:tc>
          <w:tcPr>
            <w:tcW w:w="4970" w:type="dxa"/>
            <w:tcBorders/>
          </w:tcPr>
          <w:p>
            <w:pPr>
              <w:pStyle w:val="TableContents"/>
              <w:bidi w:val="0"/>
              <w:spacing w:before="0" w:after="240"/>
              <w:ind w:left="0" w:right="0" w:hanging="0"/>
              <w:jc w:val="left"/>
              <w:rPr/>
            </w:pPr>
            <w:r>
              <w:rPr/>
              <w:t> </w:t>
            </w:r>
          </w:p>
        </w:tc>
      </w:tr>
    </w:tbl>
    <w:p>
      <w:pPr>
        <w:pStyle w:val="TextBody"/>
        <w:bidi w:val="0"/>
        <w:spacing w:before="0" w:after="0"/>
        <w:ind w:left="1440" w:right="1440" w:hanging="0"/>
        <w:jc w:val="left"/>
        <w:rPr>
          <w:rFonts w:cs="Times New Roman"/>
          <w:szCs w:val="24"/>
        </w:rPr>
      </w:pPr>
      <w:r>
        <w:rPr>
          <w:rFonts w:cs="Times New Roman"/>
          <w:szCs w:val="24"/>
        </w:rPr>
        <w:t xml:space="preserve">﻿ </w:t>
      </w:r>
    </w:p>
    <w:p>
      <w:pPr>
        <w:pStyle w:val="TextBody"/>
        <w:bidi w:val="0"/>
        <w:spacing w:before="0" w:after="0"/>
        <w:ind w:left="1440" w:right="1440" w:hanging="0"/>
        <w:jc w:val="left"/>
        <w:rPr>
          <w:rFonts w:ascii="Times New Roman" w:hAnsi="Times New Roman"/>
          <w:sz w:val="16"/>
        </w:rPr>
      </w:pPr>
      <w:r>
        <w:rPr>
          <w:rFonts w:ascii="Arial" w:hAnsi="Arial"/>
          <w:sz w:val="16"/>
        </w:rPr>
        <w:t>#4903-6700-2546</w:t>
      </w:r>
      <w:r>
        <w:rPr>
          <w:rFonts w:ascii="Times New Roman" w:hAnsi="Times New Roman"/>
          <w:sz w:val="16"/>
        </w:rPr>
        <w:t xml:space="preserve">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before="0" w:after="0"/>
        <w:ind w:left="1440" w:right="1440" w:hanging="0"/>
        <w:jc w:val="left"/>
        <w:rPr/>
      </w:pPr>
      <w:r>
        <w:rPr/>
        <w:t xml:space="preserve">  </w:t>
      </w:r>
    </w:p>
    <w:tbl>
      <w:tblPr>
        <w:tblW w:w="4258" w:type="dxa"/>
        <w:jc w:val="left"/>
        <w:tblInd w:w="1440" w:type="dxa"/>
        <w:tblLayout w:type="fixed"/>
        <w:tblCellMar>
          <w:top w:w="0" w:type="dxa"/>
          <w:left w:w="0" w:type="dxa"/>
          <w:bottom w:w="0" w:type="dxa"/>
          <w:right w:w="0" w:type="dxa"/>
        </w:tblCellMar>
      </w:tblPr>
      <w:tblGrid>
        <w:gridCol w:w="38"/>
        <w:gridCol w:w="4220"/>
      </w:tblGrid>
      <w:tr>
        <w:trPr/>
        <w:tc>
          <w:tcPr>
            <w:tcW w:w="38" w:type="dxa"/>
            <w:tcBorders/>
          </w:tcPr>
          <w:p>
            <w:pPr>
              <w:pStyle w:val="TableContents"/>
              <w:bidi w:val="0"/>
              <w:spacing w:before="0" w:after="0"/>
              <w:ind w:left="0" w:right="0" w:hanging="0"/>
              <w:jc w:val="left"/>
              <w:rPr>
                <w:rFonts w:cs="Times New Roman"/>
                <w:szCs w:val="2"/>
              </w:rPr>
            </w:pPr>
            <w:r>
              <w:rPr>
                <w:rFonts w:cs="Times New Roman"/>
                <w:szCs w:val="2"/>
              </w:rPr>
              <w:t>﻿</w:t>
            </w:r>
          </w:p>
        </w:tc>
        <w:tc>
          <w:tcPr>
            <w:tcW w:w="4220" w:type="dxa"/>
            <w:tcBorders/>
          </w:tcPr>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343" w:right="0" w:hanging="0"/>
              <w:jc w:val="left"/>
              <w:rPr/>
            </w:pPr>
            <w:r>
              <w:rPr/>
              <w:t> </w:t>
            </w:r>
          </w:p>
          <w:p>
            <w:pPr>
              <w:pStyle w:val="TableContents"/>
              <w:bidi w:val="0"/>
              <w:spacing w:before="0" w:after="0"/>
              <w:ind w:left="343" w:right="0" w:hanging="0"/>
              <w:jc w:val="left"/>
              <w:rPr/>
            </w:pPr>
            <w:r>
              <w:rPr/>
              <w:t> </w:t>
            </w:r>
          </w:p>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Times New Roman"/>
                <w:szCs w:val="24"/>
              </w:rPr>
            </w:pPr>
            <w:r>
              <w:rPr>
                <w:rFonts w:cs="Times New Roman"/>
                <w:szCs w:val="24"/>
              </w:rPr>
              <w:t>﻿</w:t>
            </w:r>
          </w:p>
        </w:tc>
        <w:tc>
          <w:tcPr>
            <w:tcW w:w="4220" w:type="dxa"/>
            <w:tcBorders/>
          </w:tcPr>
          <w:p>
            <w:pPr>
              <w:pStyle w:val="TableContents"/>
              <w:bidi w:val="0"/>
              <w:spacing w:before="0" w:after="0"/>
              <w:ind w:left="0" w:right="0" w:hanging="0"/>
              <w:jc w:val="left"/>
              <w:rPr>
                <w:rFonts w:ascii="Times New Roman" w:hAnsi="Times New Roman"/>
                <w:sz w:val="24"/>
              </w:rPr>
            </w:pPr>
            <w:r>
              <w:rPr>
                <w:rFonts w:ascii="Times New Roman" w:hAnsi="Times New Roman"/>
                <w:sz w:val="24"/>
              </w:rPr>
              <w:t>WELLS FARGO BANK, N.A., as Lender:</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 w:hAnsi="Times New Roman"/>
                <w:sz w:val="24"/>
              </w:rPr>
            </w:pPr>
            <w:r>
              <w:rPr>
                <w:rFonts w:ascii="Times New Roman" w:hAnsi="Times New Roman"/>
                <w:sz w:val="24"/>
              </w:rPr>
              <w:t xml:space="preserve">by  </w:t>
            </w:r>
            <w:r>
              <w:rPr>
                <w:rFonts w:ascii="Times New Roman" w:hAnsi="Times New Roman"/>
                <w:sz w:val="24"/>
                <w:u w:val="single"/>
              </w:rPr>
              <w:t>/s/ Mylissa Bringgold</w:t>
            </w:r>
          </w:p>
          <w:p>
            <w:pPr>
              <w:pStyle w:val="TableContents"/>
              <w:bidi w:val="0"/>
              <w:spacing w:before="0" w:after="0"/>
              <w:ind w:left="343" w:right="0" w:hanging="0"/>
              <w:jc w:val="left"/>
              <w:rPr>
                <w:rFonts w:ascii="Times New Roman" w:hAnsi="Times New Roman"/>
                <w:sz w:val="24"/>
              </w:rPr>
            </w:pPr>
            <w:r>
              <w:rPr>
                <w:rFonts w:ascii="Times New Roman" w:hAnsi="Times New Roman"/>
                <w:sz w:val="24"/>
              </w:rPr>
              <w:t>Name: Mylissa Bringgold</w:t>
            </w:r>
          </w:p>
          <w:p>
            <w:pPr>
              <w:pStyle w:val="TableContents"/>
              <w:bidi w:val="0"/>
              <w:spacing w:before="0" w:after="0"/>
              <w:ind w:left="343" w:right="0" w:hanging="0"/>
              <w:jc w:val="left"/>
              <w:rPr>
                <w:rFonts w:ascii="Times New Roman" w:hAnsi="Times New Roman"/>
                <w:sz w:val="24"/>
              </w:rPr>
            </w:pPr>
            <w:r>
              <w:rPr>
                <w:rFonts w:ascii="Times New Roman" w:hAnsi="Times New Roman"/>
                <w:sz w:val="24"/>
              </w:rPr>
              <w:t>Title: Vice President</w:t>
            </w:r>
          </w:p>
        </w:tc>
      </w:tr>
    </w:tbl>
    <w:p>
      <w:pPr>
        <w:pStyle w:val="TextBody"/>
        <w:bidi w:val="0"/>
        <w:spacing w:before="0" w:after="0"/>
        <w:ind w:left="1440" w:right="1440" w:hanging="0"/>
        <w:jc w:val="left"/>
        <w:rPr>
          <w:rFonts w:cs="Times New Roman"/>
          <w:szCs w:val="24"/>
        </w:rPr>
      </w:pPr>
      <w:r>
        <w:rPr>
          <w:rFonts w:cs="Times New Roman"/>
          <w:szCs w:val="24"/>
        </w:rPr>
        <w:t xml:space="preserve">﻿ </w:t>
      </w:r>
    </w:p>
    <w:p>
      <w:pPr>
        <w:pStyle w:val="TextBody"/>
        <w:bidi w:val="0"/>
        <w:spacing w:before="0" w:after="0"/>
        <w:ind w:left="1440" w:right="1440" w:hanging="0"/>
        <w:jc w:val="left"/>
        <w:rPr>
          <w:rFonts w:cs="Times New Roman"/>
          <w:szCs w:val="24"/>
        </w:rPr>
      </w:pPr>
      <w:r>
        <w:rPr>
          <w:rFonts w:cs="Times New Roman"/>
          <w:szCs w:val="24"/>
        </w:rPr>
        <w:t xml:space="preserve">﻿ </w:t>
      </w:r>
    </w:p>
    <w:p>
      <w:pPr>
        <w:pStyle w:val="TextBody"/>
        <w:bidi w:val="0"/>
        <w:spacing w:before="0" w:after="0"/>
        <w:ind w:left="1440" w:right="1440" w:hanging="0"/>
        <w:jc w:val="left"/>
        <w:rPr>
          <w:rFonts w:cs="Times New Roman"/>
          <w:szCs w:val="24"/>
        </w:rPr>
      </w:pPr>
      <w:r>
        <w:rPr>
          <w:rFonts w:cs="Times New Roman"/>
          <w:szCs w:val="24"/>
        </w:rPr>
        <w:t xml:space="preserve">﻿ </w:t>
      </w:r>
    </w:p>
    <w:p>
      <w:pPr>
        <w:pStyle w:val="TextBody"/>
        <w:bidi w:val="0"/>
        <w:spacing w:before="0" w:after="0"/>
        <w:ind w:left="1440" w:right="1440" w:hanging="0"/>
        <w:jc w:val="left"/>
        <w:rPr>
          <w:rFonts w:ascii="Times New Roman" w:hAnsi="Times New Roman"/>
          <w:sz w:val="16"/>
        </w:rPr>
      </w:pPr>
      <w:r>
        <w:rPr>
          <w:rFonts w:ascii="Arial" w:hAnsi="Arial"/>
          <w:sz w:val="16"/>
        </w:rPr>
        <w:t>#4903-6700-2546</w:t>
      </w:r>
      <w:r>
        <w:rPr>
          <w:rFonts w:ascii="Times New Roman" w:hAnsi="Times New Roman"/>
          <w:sz w:val="16"/>
        </w:rPr>
        <w:t xml:space="preserve"> </w:t>
      </w:r>
    </w:p>
    <w:p>
      <w:pPr>
        <w:pStyle w:val="HorizontalLine"/>
        <w:pBdr>
          <w:bottom w:val="double" w:sz="6" w:space="0" w:color="808080"/>
        </w:pBdr>
        <w:bidi w:val="0"/>
        <w:ind w:left="1440" w:right="1440" w:hanging="0"/>
        <w:jc w:val="left"/>
        <w:rPr/>
      </w:pPr>
      <w:r>
        <w:rPr/>
      </w:r>
    </w:p>
    <w:p>
      <w:pPr>
        <w:pStyle w:val="TextBody"/>
        <w:bidi w:val="0"/>
        <w:spacing w:before="0" w:after="0"/>
        <w:ind w:left="1440" w:right="1440" w:hanging="0"/>
        <w:jc w:val="right"/>
        <w:rPr>
          <w:rFonts w:ascii="Times New Roman" w:hAnsi="Times New Roman"/>
          <w:sz w:val="24"/>
        </w:rPr>
      </w:pPr>
      <w:bookmarkStart w:id="42" w:name="wtrg-20260630xex10_2.htm"/>
      <w:bookmarkStart w:id="43" w:name="kswtrg20260630xex10_2"/>
      <w:bookmarkEnd w:id="42"/>
      <w:bookmarkEnd w:id="43"/>
      <w:r>
        <w:rPr>
          <w:rFonts w:ascii="Times New Roman" w:hAnsi="Times New Roman"/>
          <w:sz w:val="24"/>
        </w:rPr>
        <w:t xml:space="preserve">Exhibit 10.2 </w:t>
      </w:r>
      <w:r>
        <w:br w:type="page"/>
      </w:r>
    </w:p>
    <w:p>
      <w:pPr>
        <w:pStyle w:val="TextBody"/>
        <w:bidi w:val="0"/>
        <w:spacing w:before="0" w:after="480"/>
        <w:ind w:left="1440" w:right="1440" w:hanging="0"/>
        <w:jc w:val="center"/>
        <w:rPr>
          <w:rFonts w:ascii="Times New Roman" w:hAnsi="Times New Roman"/>
          <w:b/>
          <w:strike w:val="false"/>
          <w:dstrike w:val="false"/>
          <w:sz w:val="24"/>
          <w:u w:val="none"/>
          <w:effect w:val="none"/>
        </w:rPr>
      </w:pPr>
      <w:r>
        <w:rPr>
          <w:rFonts w:ascii="Times New Roman" w:hAnsi="Times New Roman"/>
          <w:b/>
          <w:strike w:val="false"/>
          <w:dstrike w:val="false"/>
          <w:sz w:val="24"/>
          <w:u w:val="none"/>
          <w:effect w:val="none"/>
        </w:rPr>
        <w:t xml:space="preserve">FIRST AMENDMENT TO AMENDED AND RESTATED CREDIT AGREEMENT </w:t>
      </w:r>
    </w:p>
    <w:p>
      <w:pPr>
        <w:pStyle w:val="TextBody"/>
        <w:bidi w:val="0"/>
        <w:spacing w:before="0" w:after="240"/>
        <w:ind w:left="1440" w:right="1440" w:firstLine="1440"/>
        <w:jc w:val="both"/>
        <w:rPr>
          <w:rFonts w:ascii="Times New Roman" w:hAnsi="Times New Roman"/>
          <w:sz w:val="24"/>
        </w:rPr>
      </w:pPr>
      <w:r>
        <w:rPr>
          <w:rFonts w:ascii="Times New Roman" w:hAnsi="Times New Roman"/>
          <w:sz w:val="24"/>
        </w:rPr>
        <w:t>THIS FIRST AMENDMENT TO AMENDED AND RESTATED CREDIT AGREEMENT (this “</w:t>
      </w:r>
      <w:r>
        <w:rPr>
          <w:rFonts w:ascii="Times New Roman" w:hAnsi="Times New Roman"/>
          <w:sz w:val="24"/>
          <w:u w:val="single"/>
        </w:rPr>
        <w:t>Agreement</w:t>
      </w:r>
      <w:r>
        <w:rPr>
          <w:rFonts w:ascii="Times New Roman" w:hAnsi="Times New Roman"/>
          <w:sz w:val="24"/>
        </w:rPr>
        <w:t>”) is made as of this 1st day of May 2026 (the “</w:t>
      </w:r>
      <w:r>
        <w:rPr>
          <w:rFonts w:ascii="Times New Roman" w:hAnsi="Times New Roman"/>
          <w:sz w:val="24"/>
          <w:u w:val="single"/>
        </w:rPr>
        <w:t>First Amendment Effective Date</w:t>
      </w:r>
      <w:r>
        <w:rPr>
          <w:rFonts w:ascii="Times New Roman" w:hAnsi="Times New Roman"/>
          <w:sz w:val="24"/>
        </w:rPr>
        <w:t>”), by and among (i) PNG COMPANIES LLC, a Delaware limited liability company (“</w:t>
      </w:r>
      <w:r>
        <w:rPr>
          <w:rFonts w:ascii="Times New Roman" w:hAnsi="Times New Roman"/>
          <w:sz w:val="24"/>
          <w:u w:val="single"/>
        </w:rPr>
        <w:t>Borrower</w:t>
      </w:r>
      <w:r>
        <w:rPr>
          <w:rFonts w:ascii="Times New Roman" w:hAnsi="Times New Roman"/>
          <w:sz w:val="24"/>
        </w:rPr>
        <w:t>”), (ii) the several banks and other financial institutions or entities parties on the date hereof to the Existing Credit Agreement (as defined below) (each a “</w:t>
      </w:r>
      <w:r>
        <w:rPr>
          <w:rFonts w:ascii="Times New Roman" w:hAnsi="Times New Roman"/>
          <w:sz w:val="24"/>
          <w:u w:val="single"/>
        </w:rPr>
        <w:t>Lender</w:t>
      </w:r>
      <w:r>
        <w:rPr>
          <w:rFonts w:ascii="Times New Roman" w:hAnsi="Times New Roman"/>
          <w:sz w:val="24"/>
        </w:rPr>
        <w:t>” and, collectively, the “</w:t>
      </w:r>
      <w:r>
        <w:rPr>
          <w:rFonts w:ascii="Times New Roman" w:hAnsi="Times New Roman"/>
          <w:sz w:val="24"/>
          <w:u w:val="single"/>
        </w:rPr>
        <w:t>Lenders</w:t>
      </w:r>
      <w:r>
        <w:rPr>
          <w:rFonts w:ascii="Times New Roman" w:hAnsi="Times New Roman"/>
          <w:sz w:val="24"/>
        </w:rPr>
        <w:t>”), and (iii) PNC BANK, NATIONAL ASSOCIATION in its capacity as administrative agent for the Lenders (in such capacity, the “</w:t>
      </w:r>
      <w:r>
        <w:rPr>
          <w:rFonts w:ascii="Times New Roman" w:hAnsi="Times New Roman"/>
          <w:sz w:val="24"/>
          <w:u w:val="single"/>
        </w:rPr>
        <w:t>Administrative Agent</w:t>
      </w:r>
      <w:r>
        <w:rPr>
          <w:rFonts w:ascii="Times New Roman" w:hAnsi="Times New Roman"/>
          <w:sz w:val="24"/>
        </w:rPr>
        <w:t xml:space="preserve">”).  </w:t>
      </w:r>
    </w:p>
    <w:p>
      <w:pPr>
        <w:pStyle w:val="TextBody"/>
        <w:bidi w:val="0"/>
        <w:spacing w:before="0" w:after="240"/>
        <w:ind w:left="1440" w:right="1440" w:hanging="0"/>
        <w:jc w:val="center"/>
        <w:rPr>
          <w:rFonts w:ascii="Times New Roman" w:hAnsi="Times New Roman"/>
          <w:sz w:val="24"/>
        </w:rPr>
      </w:pPr>
      <w:r>
        <w:rPr>
          <w:rFonts w:ascii="Times New Roman" w:hAnsi="Times New Roman"/>
          <w:sz w:val="24"/>
          <w:u w:val="single"/>
        </w:rPr>
        <w:t>BACKGROUND</w:t>
      </w:r>
      <w:r>
        <w:rPr>
          <w:rFonts w:ascii="Times New Roman" w:hAnsi="Times New Roman"/>
          <w:sz w:val="24"/>
        </w:rPr>
        <w:t xml:space="preserve"> </w:t>
      </w:r>
    </w:p>
    <w:tbl>
      <w:tblPr>
        <w:tblW w:w="7325" w:type="dxa"/>
        <w:jc w:val="left"/>
        <w:tblInd w:w="1440" w:type="dxa"/>
        <w:tblLayout w:type="fixed"/>
        <w:tblCellMar>
          <w:top w:w="0" w:type="dxa"/>
          <w:left w:w="0" w:type="dxa"/>
          <w:bottom w:w="0" w:type="dxa"/>
          <w:right w:w="0" w:type="dxa"/>
        </w:tblCellMar>
      </w:tblPr>
      <w:tblGrid>
        <w:gridCol w:w="735"/>
        <w:gridCol w:w="659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590" w:type="dxa"/>
            <w:tcBorders/>
          </w:tcPr>
          <w:p>
            <w:pPr>
              <w:pStyle w:val="TableContents"/>
              <w:pBdr/>
              <w:bidi w:val="0"/>
              <w:spacing w:before="0" w:after="240"/>
              <w:ind w:left="0" w:right="0" w:firstLine="720"/>
              <w:jc w:val="both"/>
              <w:rPr>
                <w:rFonts w:ascii="Times New Roman" w:hAnsi="Times New Roman"/>
                <w:sz w:val="24"/>
              </w:rPr>
            </w:pPr>
            <w:r>
              <w:rPr>
                <w:rFonts w:ascii="Times New Roman" w:hAnsi="Times New Roman"/>
                <w:sz w:val="24"/>
              </w:rPr>
              <w:t>A.</w:t>
            </w:r>
            <w:r>
              <w:rPr>
                <w:rFonts w:ascii="Times New Roman" w:hAnsi="Times New Roman"/>
                <w:sz w:val="24"/>
              </w:rPr>
              <w:t xml:space="preserve"> </w:t>
            </w:r>
            <w:r>
              <w:rPr>
                <w:rFonts w:ascii="Times New Roman" w:hAnsi="Times New Roman"/>
                <w:color w:val="000000"/>
                <w:sz w:val="24"/>
              </w:rPr>
              <w:t>The Borrower, the Administrative Agent and the Lenders are parties to an Amended and Restated Credit Agreement, dated as of June 3, 2025 (as heretofore amended, supplemented, modified, or restated, the “</w:t>
            </w:r>
            <w:r>
              <w:rPr>
                <w:rFonts w:ascii="Times New Roman" w:hAnsi="Times New Roman"/>
                <w:color w:val="000000"/>
                <w:sz w:val="24"/>
                <w:u w:val="single"/>
              </w:rPr>
              <w:t>Existing Credit Agreement</w:t>
            </w:r>
            <w:r>
              <w:rPr>
                <w:rFonts w:ascii="Times New Roman" w:hAnsi="Times New Roman"/>
                <w:color w:val="000000"/>
                <w:sz w:val="24"/>
              </w:rPr>
              <w:t>”; the Existing Credit Agreement, as amended by this Agreement and as may be further amended, supplemented, modified or restated from time to time, the “</w:t>
            </w:r>
            <w:r>
              <w:rPr>
                <w:rFonts w:ascii="Times New Roman" w:hAnsi="Times New Roman"/>
                <w:color w:val="000000"/>
                <w:sz w:val="24"/>
                <w:u w:val="single"/>
              </w:rPr>
              <w:t>Amended Credit Agreement</w:t>
            </w:r>
            <w:r>
              <w:rPr>
                <w:rFonts w:ascii="Times New Roman" w:hAnsi="Times New Roman"/>
                <w:color w:val="000000"/>
                <w:sz w:val="24"/>
              </w:rPr>
              <w:t>”), pursuant to which the Lenders have made available to the Borrower a revolving credit facility in an aggregate amount of $300,000,000 (the “</w:t>
            </w:r>
            <w:r>
              <w:rPr>
                <w:rFonts w:ascii="Times New Roman" w:hAnsi="Times New Roman"/>
                <w:color w:val="000000"/>
                <w:sz w:val="24"/>
                <w:u w:val="single"/>
              </w:rPr>
              <w:t>Facility</w:t>
            </w:r>
            <w:r>
              <w:rPr>
                <w:rFonts w:ascii="Times New Roman" w:hAnsi="Times New Roman"/>
                <w:color w:val="000000"/>
                <w:sz w:val="24"/>
              </w:rPr>
              <w:t>”).  The loans under the Facility are evidenced by the Notes issued in favor of the Lenders in the aggregate principal amount of $300,000,000.</w:t>
            </w:r>
          </w:p>
        </w:tc>
      </w:tr>
    </w:tbl>
    <w:tbl>
      <w:tblPr>
        <w:tblW w:w="7325" w:type="dxa"/>
        <w:jc w:val="left"/>
        <w:tblInd w:w="1440" w:type="dxa"/>
        <w:tblLayout w:type="fixed"/>
        <w:tblCellMar>
          <w:top w:w="0" w:type="dxa"/>
          <w:left w:w="0" w:type="dxa"/>
          <w:bottom w:w="0" w:type="dxa"/>
          <w:right w:w="0" w:type="dxa"/>
        </w:tblCellMar>
      </w:tblPr>
      <w:tblGrid>
        <w:gridCol w:w="735"/>
        <w:gridCol w:w="659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590" w:type="dxa"/>
            <w:tcBorders/>
          </w:tcPr>
          <w:p>
            <w:pPr>
              <w:pStyle w:val="TableContents"/>
              <w:pBdr/>
              <w:bidi w:val="0"/>
              <w:spacing w:before="0" w:after="240"/>
              <w:ind w:left="0" w:right="0" w:firstLine="720"/>
              <w:jc w:val="both"/>
              <w:rPr>
                <w:rFonts w:ascii="Times New Roman" w:hAnsi="Times New Roman"/>
                <w:sz w:val="24"/>
              </w:rPr>
            </w:pPr>
            <w:r>
              <w:rPr>
                <w:rFonts w:ascii="Times New Roman" w:hAnsi="Times New Roman"/>
                <w:sz w:val="24"/>
              </w:rPr>
              <w:t>B.</w:t>
            </w:r>
            <w:r>
              <w:rPr>
                <w:rFonts w:ascii="Times New Roman" w:hAnsi="Times New Roman"/>
                <w:sz w:val="24"/>
              </w:rPr>
              <w:t xml:space="preserve"> </w:t>
            </w:r>
            <w:r>
              <w:rPr>
                <w:rFonts w:ascii="Times New Roman" w:hAnsi="Times New Roman"/>
                <w:color w:val="000000"/>
                <w:sz w:val="24"/>
              </w:rPr>
              <w:t>The Borrower, the Administrative Agent and the Lenders desire to extend the Revolving Commitment  Termination Date on the terms and subject to the conditions herein set forth.</w:t>
            </w:r>
          </w:p>
        </w:tc>
      </w:tr>
    </w:tbl>
    <w:p>
      <w:pPr>
        <w:pStyle w:val="TextBody"/>
        <w:bidi w:val="0"/>
        <w:spacing w:before="0" w:after="240"/>
        <w:ind w:left="1440" w:right="1440" w:firstLine="1440"/>
        <w:jc w:val="both"/>
        <w:rPr>
          <w:rFonts w:ascii="Times New Roman" w:hAnsi="Times New Roman"/>
          <w:sz w:val="24"/>
        </w:rPr>
      </w:pPr>
      <w:r>
        <w:rPr>
          <w:rFonts w:ascii="Times New Roman" w:hAnsi="Times New Roman"/>
          <w:color w:val="000000"/>
          <w:sz w:val="24"/>
        </w:rPr>
        <w:t>NOW THEREFORE, the parties hereto, intending to be legally bound hereby, agree as follows:</w:t>
      </w:r>
      <w:r>
        <w:rPr>
          <w:rFonts w:ascii="Times New Roman" w:hAnsi="Times New Roman"/>
          <w:sz w:val="24"/>
        </w:rPr>
        <w:t xml:space="preserve"> </w:t>
      </w:r>
    </w:p>
    <w:p>
      <w:pPr>
        <w:pStyle w:val="TextBody"/>
        <w:bidi w:val="0"/>
        <w:spacing w:before="0" w:after="240"/>
        <w:ind w:left="1440" w:right="1440" w:hanging="0"/>
        <w:jc w:val="center"/>
        <w:rPr>
          <w:rFonts w:ascii="Times New Roman" w:hAnsi="Times New Roman"/>
          <w:sz w:val="24"/>
        </w:rPr>
      </w:pPr>
      <w:r>
        <w:rPr>
          <w:rFonts w:ascii="Times New Roman" w:hAnsi="Times New Roman"/>
          <w:color w:val="000000"/>
          <w:sz w:val="24"/>
          <w:u w:val="single"/>
        </w:rPr>
        <w:t>AGREEMENT</w:t>
      </w:r>
      <w:r>
        <w:rPr>
          <w:rFonts w:ascii="Times New Roman" w:hAnsi="Times New Roman"/>
          <w:sz w:val="24"/>
        </w:rPr>
        <w:t xml:space="preserve"> </w:t>
      </w:r>
    </w:p>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color w:val="000000"/>
                <w:sz w:val="24"/>
              </w:rPr>
            </w:pPr>
            <w:r>
              <w:rPr>
                <w:rFonts w:ascii="Times New Roman" w:hAnsi="Times New Roman"/>
                <w:strike w:val="false"/>
                <w:dstrike w:val="false"/>
                <w:color w:val="000000"/>
                <w:sz w:val="24"/>
                <w:u w:val="none"/>
                <w:effect w:val="none"/>
              </w:rPr>
              <w:t>1.</w:t>
            </w:r>
            <w:r>
              <w:rPr>
                <w:rFonts w:ascii="Times New Roman" w:hAnsi="Times New Roman"/>
                <w:color w:val="000000"/>
                <w:sz w:val="24"/>
              </w:rPr>
              <w:t xml:space="preserve"> </w:t>
            </w:r>
            <w:r>
              <w:rPr>
                <w:rFonts w:ascii="Times New Roman" w:hAnsi="Times New Roman"/>
                <w:color w:val="000000"/>
                <w:sz w:val="24"/>
                <w:u w:val="single"/>
              </w:rPr>
              <w:t>Terms</w:t>
            </w:r>
            <w:r>
              <w:rPr>
                <w:rFonts w:ascii="Times New Roman" w:hAnsi="Times New Roman"/>
                <w:color w:val="000000"/>
                <w:sz w:val="24"/>
              </w:rPr>
              <w:t>.  Capitalized terms used herein and not otherwise defined herein shall have the meanings given to such terms in the Amended Credit Agreement.</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color w:val="000000"/>
                <w:sz w:val="24"/>
              </w:rPr>
            </w:pPr>
            <w:r>
              <w:rPr>
                <w:rFonts w:ascii="Times New Roman" w:hAnsi="Times New Roman"/>
                <w:strike w:val="false"/>
                <w:dstrike w:val="false"/>
                <w:color w:val="000000"/>
                <w:sz w:val="24"/>
                <w:u w:val="none"/>
                <w:effect w:val="none"/>
              </w:rPr>
              <w:t>2.</w:t>
            </w:r>
            <w:r>
              <w:rPr>
                <w:rFonts w:ascii="Times New Roman" w:hAnsi="Times New Roman"/>
                <w:color w:val="000000"/>
                <w:sz w:val="24"/>
              </w:rPr>
              <w:t xml:space="preserve"> </w:t>
            </w:r>
            <w:r>
              <w:rPr>
                <w:rFonts w:ascii="Times New Roman" w:hAnsi="Times New Roman"/>
                <w:color w:val="000000"/>
                <w:sz w:val="24"/>
                <w:u w:val="single"/>
              </w:rPr>
              <w:t>Amendments to Existing Credit Agreement</w:t>
            </w:r>
            <w:r>
              <w:rPr>
                <w:rFonts w:ascii="Times New Roman" w:hAnsi="Times New Roman"/>
                <w:color w:val="000000"/>
                <w:sz w:val="24"/>
              </w:rPr>
              <w:t>.  Effective on the First Amendment Effective Date, the definition of term “Revolving Commitment Termination Date” in Section 1.1 of the Existing Credit Agreement shall be amended as follows:</w:t>
            </w:r>
          </w:p>
        </w:tc>
      </w:tr>
    </w:tbl>
    <w:p>
      <w:pPr>
        <w:pStyle w:val="TextBody"/>
        <w:bidi w:val="0"/>
        <w:spacing w:before="0" w:after="240"/>
        <w:ind w:left="2880" w:right="2880" w:hanging="0"/>
        <w:jc w:val="left"/>
        <w:rPr/>
      </w:pPr>
      <w:r>
        <w:rPr>
          <w:color w:val="000000"/>
        </w:rPr>
        <w:t>“</w:t>
      </w:r>
      <w:r>
        <w:rPr>
          <w:rFonts w:ascii="Times New Roman" w:hAnsi="Times New Roman"/>
          <w:color w:val="000000"/>
          <w:sz w:val="24"/>
          <w:u w:val="single"/>
        </w:rPr>
        <w:t>Revolving Commitment Termination Date</w:t>
      </w:r>
      <w:r>
        <w:rPr>
          <w:rFonts w:ascii="Times New Roman" w:hAnsi="Times New Roman"/>
          <w:color w:val="000000"/>
          <w:sz w:val="24"/>
        </w:rPr>
        <w:t>”: April 29, 2027.  </w:t>
      </w:r>
      <w:r>
        <w:rPr>
          <w:rFonts w:ascii="Times New Roman" w:hAnsi="Times New Roman"/>
          <w:sz w:val="24"/>
        </w:rPr>
        <w:t xml:space="preserve"> </w:t>
      </w:r>
    </w:p>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color w:val="000000"/>
                <w:sz w:val="24"/>
              </w:rPr>
            </w:pPr>
            <w:r>
              <w:rPr>
                <w:rFonts w:ascii="Times New Roman" w:hAnsi="Times New Roman"/>
                <w:strike w:val="false"/>
                <w:dstrike w:val="false"/>
                <w:color w:val="000000"/>
                <w:sz w:val="24"/>
                <w:u w:val="none"/>
                <w:effect w:val="none"/>
              </w:rPr>
              <w:t>3.</w:t>
            </w:r>
            <w:r>
              <w:rPr>
                <w:rFonts w:ascii="Times New Roman" w:hAnsi="Times New Roman"/>
                <w:color w:val="000000"/>
                <w:sz w:val="24"/>
              </w:rPr>
              <w:t xml:space="preserve"> </w:t>
            </w:r>
            <w:r>
              <w:rPr>
                <w:rFonts w:ascii="Times New Roman" w:hAnsi="Times New Roman"/>
                <w:color w:val="000000"/>
                <w:sz w:val="24"/>
                <w:u w:val="single"/>
              </w:rPr>
              <w:t>Borrower’s Ratification</w:t>
            </w:r>
            <w:r>
              <w:rPr>
                <w:rFonts w:ascii="Times New Roman" w:hAnsi="Times New Roman"/>
                <w:color w:val="000000"/>
                <w:sz w:val="24"/>
              </w:rPr>
              <w:t xml:space="preserve">.  The Borrower agrees that it has no defenses, set-offs, counterclaims or challenges against the Lenders or the Administrative Agent or their respective officers, directors, employees, agents or attorneys, with respect to the Loan Documents, all of which are in full force and effect, and that all of the terms and conditions of the Loan Documents not inconsistent herewith shall remain in full force and effect unless and until modified or amended in writing in accordance with their terms.  The Borrower hereby ratifies and confirms </w:t>
            </w:r>
          </w:p>
          <w:p>
            <w:pPr>
              <w:pStyle w:val="TableContents"/>
              <w:bidi w:val="0"/>
              <w:spacing w:before="0" w:after="0"/>
              <w:ind w:left="0" w:right="0" w:firstLine="1440"/>
              <w:jc w:val="left"/>
              <w:rPr/>
            </w:pPr>
            <w:r>
              <w:rPr/>
              <w:t xml:space="preserve">  </w:t>
            </w:r>
          </w:p>
        </w:tc>
      </w:tr>
    </w:tbl>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tbl>
      <w:tblPr>
        <w:tblW w:w="7325" w:type="dxa"/>
        <w:jc w:val="left"/>
        <w:tblInd w:w="1440" w:type="dxa"/>
        <w:tblLayout w:type="fixed"/>
        <w:tblCellMar>
          <w:top w:w="0" w:type="dxa"/>
          <w:left w:w="0" w:type="dxa"/>
          <w:bottom w:w="0" w:type="dxa"/>
          <w:right w:w="0" w:type="dxa"/>
        </w:tblCellMar>
      </w:tblPr>
      <w:tblGrid>
        <w:gridCol w:w="7325"/>
      </w:tblGrid>
      <w:tr>
        <w:trPr/>
        <w:tc>
          <w:tcPr>
            <w:tcW w:w="7325" w:type="dxa"/>
            <w:tcBorders/>
            <w:vAlign w:val="center"/>
          </w:tcPr>
          <w:p>
            <w:pPr>
              <w:pStyle w:val="TableContents"/>
              <w:pBdr/>
              <w:bidi w:val="0"/>
              <w:spacing w:before="0" w:after="240"/>
              <w:ind w:left="0" w:right="0" w:hanging="0"/>
              <w:jc w:val="both"/>
              <w:rPr>
                <w:rFonts w:ascii="Times New Roman" w:hAnsi="Times New Roman"/>
                <w:color w:val="000000"/>
                <w:sz w:val="24"/>
              </w:rPr>
            </w:pPr>
            <w:r>
              <w:rPr>
                <w:rFonts w:ascii="Times New Roman" w:hAnsi="Times New Roman"/>
                <w:color w:val="000000"/>
                <w:sz w:val="24"/>
              </w:rPr>
              <w:t>its obligations under the Loan Documents as amended hereby and agrees that the execution and delivery of this Agreement does not in any way diminish or invalidate any of its obligations thereunder.</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color w:val="000000"/>
                <w:sz w:val="24"/>
              </w:rPr>
            </w:pPr>
            <w:r>
              <w:rPr>
                <w:rFonts w:ascii="Times New Roman" w:hAnsi="Times New Roman"/>
                <w:strike w:val="false"/>
                <w:dstrike w:val="false"/>
                <w:color w:val="000000"/>
                <w:sz w:val="24"/>
                <w:u w:val="none"/>
                <w:effect w:val="none"/>
              </w:rPr>
              <w:t>4.</w:t>
            </w:r>
            <w:r>
              <w:rPr>
                <w:rFonts w:ascii="Times New Roman" w:hAnsi="Times New Roman"/>
                <w:color w:val="000000"/>
                <w:sz w:val="24"/>
              </w:rPr>
              <w:t xml:space="preserve"> </w:t>
            </w:r>
            <w:r>
              <w:rPr>
                <w:rFonts w:ascii="Times New Roman" w:hAnsi="Times New Roman"/>
                <w:color w:val="000000"/>
                <w:sz w:val="24"/>
                <w:u w:val="single"/>
              </w:rPr>
              <w:t>Representations and Warranties</w:t>
            </w:r>
            <w:r>
              <w:rPr>
                <w:rFonts w:ascii="Times New Roman" w:hAnsi="Times New Roman"/>
                <w:color w:val="000000"/>
                <w:sz w:val="24"/>
              </w:rPr>
              <w:t>.  The Borrower hereby represents and warrants to the Administrative Agent and the Lenders that:</w:t>
            </w:r>
          </w:p>
        </w:tc>
      </w:tr>
    </w:tbl>
    <w:tbl>
      <w:tblPr>
        <w:tblW w:w="7325" w:type="dxa"/>
        <w:jc w:val="left"/>
        <w:tblInd w:w="1440" w:type="dxa"/>
        <w:tblLayout w:type="fixed"/>
        <w:tblCellMar>
          <w:top w:w="0" w:type="dxa"/>
          <w:left w:w="0" w:type="dxa"/>
          <w:bottom w:w="0" w:type="dxa"/>
          <w:right w:w="0" w:type="dxa"/>
        </w:tblCellMar>
      </w:tblPr>
      <w:tblGrid>
        <w:gridCol w:w="2175"/>
        <w:gridCol w:w="5150"/>
      </w:tblGrid>
      <w:tr>
        <w:trPr/>
        <w:tc>
          <w:tcPr>
            <w:tcW w:w="2175" w:type="dxa"/>
            <w:tcBorders/>
            <w:vAlign w:val="center"/>
          </w:tcPr>
          <w:p>
            <w:pPr>
              <w:pStyle w:val="TableContents"/>
              <w:bidi w:val="0"/>
              <w:spacing w:before="0" w:after="283"/>
              <w:ind w:left="0" w:right="0" w:firstLine="2160"/>
              <w:jc w:val="left"/>
              <w:rPr>
                <w:sz w:val="4"/>
                <w:szCs w:val="4"/>
              </w:rPr>
            </w:pPr>
            <w:r>
              <w:rPr>
                <w:sz w:val="4"/>
                <w:szCs w:val="4"/>
              </w:rPr>
            </w:r>
          </w:p>
        </w:tc>
        <w:tc>
          <w:tcPr>
            <w:tcW w:w="5150" w:type="dxa"/>
            <w:tcBorders/>
          </w:tcPr>
          <w:p>
            <w:pPr>
              <w:pStyle w:val="TableContents"/>
              <w:pBdr/>
              <w:bidi w:val="0"/>
              <w:spacing w:before="0" w:after="240"/>
              <w:ind w:left="0" w:right="0" w:firstLine="2160"/>
              <w:jc w:val="both"/>
              <w:rPr>
                <w:rFonts w:ascii="Times New Roman" w:hAnsi="Times New Roman"/>
                <w:color w:val="000000"/>
                <w:sz w:val="24"/>
              </w:rPr>
            </w:pPr>
            <w:r>
              <w:rPr>
                <w:rFonts w:ascii="Times New Roman" w:hAnsi="Times New Roman"/>
                <w:strike w:val="false"/>
                <w:dstrike w:val="false"/>
                <w:color w:val="000000"/>
                <w:sz w:val="24"/>
                <w:u w:val="none"/>
                <w:effect w:val="none"/>
              </w:rPr>
              <w:t>(a)</w:t>
            </w:r>
            <w:r>
              <w:rPr>
                <w:rFonts w:ascii="Times New Roman" w:hAnsi="Times New Roman"/>
                <w:color w:val="000000"/>
                <w:sz w:val="24"/>
              </w:rPr>
              <w:t xml:space="preserve"> Immediately before giving effect to this Agreement, the representations and warranties of the Borrower set forth in the Existing Credit Agreement, and immediately after giving effect to this Agreement, the representations and warranties of the Borrower set forth in the Amended Credit Agreement and the other Loan Documents, are in each case true and correct in all material respects (it being understood that the materiality qualifier shall not be applicable with respect to any clause of any representation or warranty which itself contains a materiality qualification) as of the First Amendment Effective Date (except representations and warranties which relate solely to an earlier date or time, which representations and warranties shall be true and correct in all material respects (or all respects, as applicable) on and as of the specific dates or times referred to therein);</w:t>
            </w:r>
          </w:p>
        </w:tc>
      </w:tr>
    </w:tbl>
    <w:tbl>
      <w:tblPr>
        <w:tblW w:w="7325" w:type="dxa"/>
        <w:jc w:val="left"/>
        <w:tblInd w:w="1440" w:type="dxa"/>
        <w:tblLayout w:type="fixed"/>
        <w:tblCellMar>
          <w:top w:w="0" w:type="dxa"/>
          <w:left w:w="0" w:type="dxa"/>
          <w:bottom w:w="0" w:type="dxa"/>
          <w:right w:w="0" w:type="dxa"/>
        </w:tblCellMar>
      </w:tblPr>
      <w:tblGrid>
        <w:gridCol w:w="2175"/>
        <w:gridCol w:w="5150"/>
      </w:tblGrid>
      <w:tr>
        <w:trPr/>
        <w:tc>
          <w:tcPr>
            <w:tcW w:w="2175" w:type="dxa"/>
            <w:tcBorders/>
            <w:vAlign w:val="center"/>
          </w:tcPr>
          <w:p>
            <w:pPr>
              <w:pStyle w:val="TableContents"/>
              <w:bidi w:val="0"/>
              <w:spacing w:before="0" w:after="283"/>
              <w:ind w:left="0" w:right="0" w:firstLine="2160"/>
              <w:jc w:val="left"/>
              <w:rPr>
                <w:sz w:val="4"/>
                <w:szCs w:val="4"/>
              </w:rPr>
            </w:pPr>
            <w:r>
              <w:rPr>
                <w:sz w:val="4"/>
                <w:szCs w:val="4"/>
              </w:rPr>
            </w:r>
          </w:p>
        </w:tc>
        <w:tc>
          <w:tcPr>
            <w:tcW w:w="5150" w:type="dxa"/>
            <w:tcBorders/>
          </w:tcPr>
          <w:p>
            <w:pPr>
              <w:pStyle w:val="TableContents"/>
              <w:pBdr/>
              <w:bidi w:val="0"/>
              <w:spacing w:before="0" w:after="240"/>
              <w:ind w:left="0" w:right="0" w:firstLine="2160"/>
              <w:jc w:val="both"/>
              <w:rPr>
                <w:rFonts w:ascii="Times New Roman" w:hAnsi="Times New Roman"/>
                <w:color w:val="000000"/>
                <w:sz w:val="24"/>
              </w:rPr>
            </w:pPr>
            <w:r>
              <w:rPr>
                <w:rFonts w:ascii="Times New Roman" w:hAnsi="Times New Roman"/>
                <w:strike w:val="false"/>
                <w:dstrike w:val="false"/>
                <w:color w:val="000000"/>
                <w:sz w:val="24"/>
                <w:u w:val="none"/>
                <w:effect w:val="none"/>
              </w:rPr>
              <w:t>(b)</w:t>
            </w:r>
            <w:r>
              <w:rPr>
                <w:rFonts w:ascii="Times New Roman" w:hAnsi="Times New Roman"/>
                <w:color w:val="000000"/>
                <w:sz w:val="24"/>
              </w:rPr>
              <w:t xml:space="preserve"> Immediately before giving effect to this Agreement, there exists no Default or Event of Default under the Existing Credit Agreement, and immediately after giving effect to this Agreement, there exists no Default or Event of Default under the Amended Credit Agreement;</w:t>
            </w:r>
          </w:p>
        </w:tc>
      </w:tr>
    </w:tbl>
    <w:tbl>
      <w:tblPr>
        <w:tblW w:w="7325" w:type="dxa"/>
        <w:jc w:val="left"/>
        <w:tblInd w:w="1440" w:type="dxa"/>
        <w:tblLayout w:type="fixed"/>
        <w:tblCellMar>
          <w:top w:w="0" w:type="dxa"/>
          <w:left w:w="0" w:type="dxa"/>
          <w:bottom w:w="0" w:type="dxa"/>
          <w:right w:w="0" w:type="dxa"/>
        </w:tblCellMar>
      </w:tblPr>
      <w:tblGrid>
        <w:gridCol w:w="2175"/>
        <w:gridCol w:w="5150"/>
      </w:tblGrid>
      <w:tr>
        <w:trPr/>
        <w:tc>
          <w:tcPr>
            <w:tcW w:w="2175" w:type="dxa"/>
            <w:tcBorders/>
            <w:vAlign w:val="center"/>
          </w:tcPr>
          <w:p>
            <w:pPr>
              <w:pStyle w:val="TableContents"/>
              <w:bidi w:val="0"/>
              <w:spacing w:before="0" w:after="283"/>
              <w:ind w:left="0" w:right="0" w:firstLine="2160"/>
              <w:jc w:val="left"/>
              <w:rPr>
                <w:sz w:val="4"/>
                <w:szCs w:val="4"/>
              </w:rPr>
            </w:pPr>
            <w:r>
              <w:rPr>
                <w:sz w:val="4"/>
                <w:szCs w:val="4"/>
              </w:rPr>
            </w:r>
          </w:p>
        </w:tc>
        <w:tc>
          <w:tcPr>
            <w:tcW w:w="5150" w:type="dxa"/>
            <w:tcBorders/>
          </w:tcPr>
          <w:p>
            <w:pPr>
              <w:pStyle w:val="TableContents"/>
              <w:pBdr/>
              <w:bidi w:val="0"/>
              <w:spacing w:before="0" w:after="240"/>
              <w:ind w:left="0" w:right="0" w:firstLine="2160"/>
              <w:jc w:val="both"/>
              <w:rPr>
                <w:rFonts w:ascii="Times New Roman" w:hAnsi="Times New Roman"/>
                <w:color w:val="000000"/>
                <w:sz w:val="24"/>
              </w:rPr>
            </w:pPr>
            <w:r>
              <w:rPr>
                <w:rFonts w:ascii="Times New Roman" w:hAnsi="Times New Roman"/>
                <w:strike w:val="false"/>
                <w:dstrike w:val="false"/>
                <w:color w:val="000000"/>
                <w:sz w:val="24"/>
                <w:u w:val="none"/>
                <w:effect w:val="none"/>
              </w:rPr>
              <w:t>(c)</w:t>
            </w:r>
            <w:r>
              <w:rPr>
                <w:rFonts w:ascii="Times New Roman" w:hAnsi="Times New Roman"/>
                <w:color w:val="000000"/>
                <w:sz w:val="24"/>
              </w:rPr>
              <w:t xml:space="preserve"> This Agreement has been duly authorized, executed and delivered by the Borrower and each of this Agreement and the Amended Credit Agreement constitutes the legal, valid and binding obligation of the Borrower, enforceable in accordance with its terms; and </w:t>
            </w:r>
          </w:p>
        </w:tc>
      </w:tr>
    </w:tbl>
    <w:tbl>
      <w:tblPr>
        <w:tblW w:w="7325" w:type="dxa"/>
        <w:jc w:val="left"/>
        <w:tblInd w:w="1440" w:type="dxa"/>
        <w:tblLayout w:type="fixed"/>
        <w:tblCellMar>
          <w:top w:w="0" w:type="dxa"/>
          <w:left w:w="0" w:type="dxa"/>
          <w:bottom w:w="0" w:type="dxa"/>
          <w:right w:w="0" w:type="dxa"/>
        </w:tblCellMar>
      </w:tblPr>
      <w:tblGrid>
        <w:gridCol w:w="2175"/>
        <w:gridCol w:w="5150"/>
      </w:tblGrid>
      <w:tr>
        <w:trPr/>
        <w:tc>
          <w:tcPr>
            <w:tcW w:w="2175" w:type="dxa"/>
            <w:tcBorders/>
            <w:vAlign w:val="center"/>
          </w:tcPr>
          <w:p>
            <w:pPr>
              <w:pStyle w:val="TableContents"/>
              <w:bidi w:val="0"/>
              <w:spacing w:before="0" w:after="283"/>
              <w:ind w:left="0" w:right="0" w:firstLine="2160"/>
              <w:jc w:val="left"/>
              <w:rPr>
                <w:sz w:val="4"/>
                <w:szCs w:val="4"/>
              </w:rPr>
            </w:pPr>
            <w:r>
              <w:rPr>
                <w:sz w:val="4"/>
                <w:szCs w:val="4"/>
              </w:rPr>
            </w:r>
          </w:p>
        </w:tc>
        <w:tc>
          <w:tcPr>
            <w:tcW w:w="5150" w:type="dxa"/>
            <w:tcBorders/>
          </w:tcPr>
          <w:p>
            <w:pPr>
              <w:pStyle w:val="TableContents"/>
              <w:pBdr/>
              <w:bidi w:val="0"/>
              <w:spacing w:before="0" w:after="240"/>
              <w:ind w:left="0" w:right="0" w:firstLine="2160"/>
              <w:jc w:val="both"/>
              <w:rPr>
                <w:rFonts w:ascii="Times New Roman" w:hAnsi="Times New Roman"/>
                <w:color w:val="000000"/>
                <w:sz w:val="24"/>
              </w:rPr>
            </w:pPr>
            <w:r>
              <w:rPr>
                <w:rFonts w:ascii="Times New Roman" w:hAnsi="Times New Roman"/>
                <w:strike w:val="false"/>
                <w:dstrike w:val="false"/>
                <w:color w:val="000000"/>
                <w:sz w:val="24"/>
                <w:u w:val="none"/>
                <w:effect w:val="none"/>
              </w:rPr>
              <w:t>(d)</w:t>
            </w:r>
            <w:r>
              <w:rPr>
                <w:rFonts w:ascii="Times New Roman" w:hAnsi="Times New Roman"/>
                <w:color w:val="000000"/>
                <w:sz w:val="24"/>
              </w:rPr>
              <w:t xml:space="preserve"> No consent, approval or authorization of, filing, registration or recording with, notice to or other act by or in respect of, any Governmental Authority or any other Person is required in connection with the execution, delivery or performance by the Borrower of this Agreement or performance by the Borrower of the Amended Credit Agreement (except for those which have been obtained on or prior to the date hereof).</w:t>
            </w:r>
          </w:p>
        </w:tc>
      </w:tr>
    </w:tbl>
    <w:p>
      <w:pPr>
        <w:pStyle w:val="TextBody"/>
        <w:bidi w:val="0"/>
        <w:spacing w:before="0" w:after="240"/>
        <w:ind w:left="1440" w:right="1440" w:firstLine="1440"/>
        <w:jc w:val="both"/>
        <w:rPr>
          <w:rFonts w:ascii="Times New Roman" w:hAnsi="Times New Roman"/>
          <w:sz w:val="24"/>
        </w:rPr>
      </w:pPr>
      <w:r>
        <w:rPr>
          <w:rFonts w:ascii="Times New Roman" w:hAnsi="Times New Roman"/>
          <w:color w:val="000000"/>
          <w:sz w:val="24"/>
        </w:rPr>
        <w:t>All of the above representations and warranties shall survive the making of this Agreement.</w:t>
      </w:r>
      <w:r>
        <w:rPr>
          <w:rFonts w:ascii="Times New Roman" w:hAnsi="Times New Roman"/>
          <w:sz w:val="24"/>
        </w:rPr>
        <w:t xml:space="preserve"> </w:t>
      </w:r>
    </w:p>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bidi w:val="0"/>
              <w:spacing w:before="0" w:after="240"/>
              <w:ind w:left="0" w:right="0" w:firstLine="1440"/>
              <w:jc w:val="both"/>
              <w:rPr>
                <w:rFonts w:ascii="Times New Roman" w:hAnsi="Times New Roman"/>
                <w:color w:val="000000"/>
                <w:sz w:val="24"/>
              </w:rPr>
            </w:pPr>
            <w:r>
              <w:rPr>
                <w:rFonts w:ascii="Times New Roman" w:hAnsi="Times New Roman"/>
                <w:strike w:val="false"/>
                <w:dstrike w:val="false"/>
                <w:color w:val="000000"/>
                <w:sz w:val="24"/>
                <w:u w:val="none"/>
                <w:effect w:val="none"/>
              </w:rPr>
              <w:t>5.</w:t>
            </w:r>
            <w:r>
              <w:rPr>
                <w:rFonts w:ascii="Times New Roman" w:hAnsi="Times New Roman"/>
                <w:color w:val="000000"/>
                <w:sz w:val="24"/>
              </w:rPr>
              <w:t xml:space="preserve"> </w:t>
            </w:r>
            <w:r>
              <w:rPr>
                <w:rFonts w:ascii="Times New Roman" w:hAnsi="Times New Roman"/>
                <w:color w:val="000000"/>
                <w:sz w:val="24"/>
                <w:u w:val="single"/>
              </w:rPr>
              <w:t>Conditions Precedent</w:t>
            </w:r>
            <w:r>
              <w:rPr>
                <w:rFonts w:ascii="Times New Roman" w:hAnsi="Times New Roman"/>
                <w:color w:val="000000"/>
                <w:sz w:val="24"/>
              </w:rPr>
              <w:t>.  The effectiveness of the amendments set forth herein is subject to the fulfillment, to the satisfaction of the Administrative Agent and its counsel, of the following conditions precedent on or before the First Amendment Effective Date:</w:t>
            </w:r>
          </w:p>
        </w:tc>
      </w:tr>
    </w:tbl>
    <w:tbl>
      <w:tblPr>
        <w:tblW w:w="7325" w:type="dxa"/>
        <w:jc w:val="left"/>
        <w:tblInd w:w="1440" w:type="dxa"/>
        <w:tblLayout w:type="fixed"/>
        <w:tblCellMar>
          <w:top w:w="0" w:type="dxa"/>
          <w:left w:w="0" w:type="dxa"/>
          <w:bottom w:w="0" w:type="dxa"/>
          <w:right w:w="0" w:type="dxa"/>
        </w:tblCellMar>
      </w:tblPr>
      <w:tblGrid>
        <w:gridCol w:w="2175"/>
        <w:gridCol w:w="5150"/>
      </w:tblGrid>
      <w:tr>
        <w:trPr/>
        <w:tc>
          <w:tcPr>
            <w:tcW w:w="2175" w:type="dxa"/>
            <w:tcBorders/>
            <w:vAlign w:val="center"/>
          </w:tcPr>
          <w:p>
            <w:pPr>
              <w:pStyle w:val="TableContents"/>
              <w:bidi w:val="0"/>
              <w:spacing w:before="0" w:after="283"/>
              <w:ind w:left="0" w:right="0" w:firstLine="2160"/>
              <w:jc w:val="left"/>
              <w:rPr>
                <w:sz w:val="4"/>
                <w:szCs w:val="4"/>
              </w:rPr>
            </w:pPr>
            <w:r>
              <w:rPr>
                <w:sz w:val="4"/>
                <w:szCs w:val="4"/>
              </w:rPr>
            </w:r>
          </w:p>
        </w:tc>
        <w:tc>
          <w:tcPr>
            <w:tcW w:w="5150" w:type="dxa"/>
            <w:tcBorders/>
          </w:tcPr>
          <w:p>
            <w:pPr>
              <w:pStyle w:val="TableContents"/>
              <w:bidi w:val="0"/>
              <w:spacing w:before="0" w:after="240"/>
              <w:ind w:left="0" w:right="0" w:firstLine="2160"/>
              <w:jc w:val="both"/>
              <w:rPr>
                <w:rFonts w:ascii="Times New Roman" w:hAnsi="Times New Roman"/>
                <w:color w:val="000000"/>
                <w:sz w:val="24"/>
              </w:rPr>
            </w:pPr>
            <w:r>
              <w:rPr>
                <w:rFonts w:ascii="Times New Roman" w:hAnsi="Times New Roman"/>
                <w:strike w:val="false"/>
                <w:dstrike w:val="false"/>
                <w:color w:val="000000"/>
                <w:sz w:val="24"/>
                <w:u w:val="none"/>
                <w:effect w:val="none"/>
              </w:rPr>
              <w:t>(a)</w:t>
            </w:r>
            <w:r>
              <w:rPr>
                <w:rFonts w:ascii="Times New Roman" w:hAnsi="Times New Roman"/>
                <w:color w:val="000000"/>
                <w:sz w:val="24"/>
              </w:rPr>
              <w:t xml:space="preserve"> The Administrative Agent shall have received the following, all of which shall be in form and substance satisfactory to the Administrative Agent and shall be duly completed and executed by the Borrower, the Administrative Agent and the Lenders, as applicable:</w:t>
            </w:r>
          </w:p>
        </w:tc>
      </w:tr>
    </w:tbl>
    <w:tbl>
      <w:tblPr>
        <w:tblW w:w="2036" w:type="dxa"/>
        <w:jc w:val="left"/>
        <w:tblInd w:w="1440" w:type="dxa"/>
        <w:tblLayout w:type="fixed"/>
        <w:tblCellMar>
          <w:top w:w="0" w:type="dxa"/>
          <w:left w:w="0" w:type="dxa"/>
          <w:bottom w:w="0" w:type="dxa"/>
          <w:right w:w="0" w:type="dxa"/>
        </w:tblCellMar>
      </w:tblPr>
      <w:tblGrid>
        <w:gridCol w:w="38"/>
        <w:gridCol w:w="290"/>
        <w:gridCol w:w="23"/>
        <w:gridCol w:w="168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tcPr>
          <w:p>
            <w:pPr>
              <w:pStyle w:val="TableContents"/>
              <w:pBdr/>
              <w:bidi w:val="0"/>
              <w:spacing w:before="0" w:after="240"/>
              <w:ind w:left="0" w:right="0" w:hanging="0"/>
              <w:jc w:val="both"/>
              <w:rPr>
                <w:rFonts w:ascii="Times New Roman" w:hAnsi="Times New Roman"/>
                <w:color w:val="000000"/>
                <w:sz w:val="24"/>
              </w:rPr>
            </w:pPr>
            <w:r>
              <w:rPr>
                <w:rFonts w:ascii="Times New Roman" w:hAnsi="Times New Roman"/>
                <w:strike w:val="false"/>
                <w:dstrike w:val="false"/>
                <w:color w:val="000000"/>
                <w:sz w:val="24"/>
                <w:u w:val="none"/>
                <w:effect w:val="none"/>
              </w:rPr>
              <w:t>(i)</w:t>
            </w:r>
            <w:r>
              <w:rPr>
                <w:rFonts w:ascii="Times New Roman" w:hAnsi="Times New Roman"/>
                <w:color w:val="000000"/>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685" w:type="dxa"/>
            <w:tcBorders/>
          </w:tcPr>
          <w:p>
            <w:pPr>
              <w:pStyle w:val="TableContents"/>
              <w:pBdr/>
              <w:bidi w:val="0"/>
              <w:spacing w:before="0" w:after="240"/>
              <w:ind w:left="0" w:right="0" w:hanging="0"/>
              <w:jc w:val="both"/>
              <w:rPr>
                <w:rFonts w:ascii="Times New Roman" w:hAnsi="Times New Roman"/>
                <w:color w:val="000000"/>
                <w:sz w:val="24"/>
              </w:rPr>
            </w:pPr>
            <w:r>
              <w:rPr>
                <w:rFonts w:ascii="Times New Roman" w:hAnsi="Times New Roman"/>
                <w:color w:val="000000"/>
                <w:sz w:val="24"/>
              </w:rPr>
              <w:t xml:space="preserve">This Agreement; </w:t>
            </w:r>
          </w:p>
        </w:tc>
      </w:tr>
    </w:tbl>
    <w:p>
      <w:pPr>
        <w:pStyle w:val="TextBody"/>
        <w:bidi w:val="0"/>
        <w:spacing w:before="0" w:after="0"/>
        <w:ind w:left="1440" w:right="1440" w:hanging="0"/>
        <w:jc w:val="center"/>
        <w:rPr>
          <w:rFonts w:ascii="Times New Roman" w:hAnsi="Times New Roman"/>
          <w:sz w:val="24"/>
        </w:rPr>
      </w:pPr>
      <w:r>
        <w:rPr>
          <w:rFonts w:ascii="Times New Roman" w:hAnsi="Times New Roman"/>
          <w:sz w:val="24"/>
        </w:rPr>
        <w:t xml:space="preserve">2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tbl>
      <w:tblPr>
        <w:tblW w:w="7325" w:type="dxa"/>
        <w:jc w:val="left"/>
        <w:tblInd w:w="1440" w:type="dxa"/>
        <w:tblLayout w:type="fixed"/>
        <w:tblCellMar>
          <w:top w:w="0" w:type="dxa"/>
          <w:left w:w="0" w:type="dxa"/>
          <w:bottom w:w="0" w:type="dxa"/>
          <w:right w:w="0" w:type="dxa"/>
        </w:tblCellMar>
      </w:tblPr>
      <w:tblGrid>
        <w:gridCol w:w="38"/>
        <w:gridCol w:w="240"/>
        <w:gridCol w:w="23"/>
        <w:gridCol w:w="7024"/>
      </w:tblGrid>
      <w:tr>
        <w:trPr/>
        <w:tc>
          <w:tcPr>
            <w:tcW w:w="38" w:type="dxa"/>
            <w:tcBorders/>
            <w:vAlign w:val="center"/>
          </w:tcPr>
          <w:p>
            <w:pPr>
              <w:pStyle w:val="TableContents"/>
              <w:bidi w:val="0"/>
              <w:spacing w:before="0" w:after="283"/>
              <w:jc w:val="left"/>
              <w:rPr>
                <w:sz w:val="4"/>
                <w:szCs w:val="4"/>
              </w:rPr>
            </w:pPr>
            <w:r>
              <w:rPr>
                <w:sz w:val="4"/>
                <w:szCs w:val="4"/>
              </w:rPr>
            </w:r>
          </w:p>
        </w:tc>
        <w:tc>
          <w:tcPr>
            <w:tcW w:w="240" w:type="dxa"/>
            <w:tcBorders/>
          </w:tcPr>
          <w:p>
            <w:pPr>
              <w:pStyle w:val="TableContents"/>
              <w:pBdr/>
              <w:bidi w:val="0"/>
              <w:spacing w:before="0" w:after="240"/>
              <w:ind w:left="0" w:right="0" w:hanging="0"/>
              <w:jc w:val="both"/>
              <w:rPr>
                <w:rFonts w:ascii="Times New Roman" w:hAnsi="Times New Roman"/>
                <w:color w:val="000000"/>
                <w:sz w:val="24"/>
              </w:rPr>
            </w:pPr>
            <w:r>
              <w:rPr>
                <w:rFonts w:ascii="Times New Roman" w:hAnsi="Times New Roman"/>
                <w:strike w:val="false"/>
                <w:dstrike w:val="false"/>
                <w:color w:val="000000"/>
                <w:sz w:val="24"/>
                <w:u w:val="none"/>
                <w:effect w:val="none"/>
              </w:rPr>
              <w:t>(ii)</w:t>
            </w:r>
            <w:r>
              <w:rPr>
                <w:rFonts w:ascii="Times New Roman" w:hAnsi="Times New Roman"/>
                <w:color w:val="000000"/>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24" w:type="dxa"/>
            <w:tcBorders/>
          </w:tcPr>
          <w:p>
            <w:pPr>
              <w:pStyle w:val="TableContents"/>
              <w:pBdr/>
              <w:bidi w:val="0"/>
              <w:spacing w:before="0" w:after="240"/>
              <w:ind w:left="0" w:right="0" w:hanging="0"/>
              <w:jc w:val="both"/>
              <w:rPr>
                <w:rFonts w:ascii="Times New Roman" w:hAnsi="Times New Roman"/>
                <w:color w:val="000000"/>
                <w:sz w:val="24"/>
              </w:rPr>
            </w:pPr>
            <w:r>
              <w:rPr>
                <w:rFonts w:ascii="Times New Roman" w:hAnsi="Times New Roman"/>
                <w:color w:val="000000"/>
                <w:sz w:val="24"/>
              </w:rPr>
              <w:t>Copies, certified by an officer of the Borrower as of a recent date, of resolutions of the board of directors of the Borrower in effect on the date hereof authorizing the execution, delivery and performance of this Agreement and the transactions contemplated hereby and the performance of the Amended Credit Agreement;  </w:t>
            </w:r>
          </w:p>
        </w:tc>
      </w:tr>
    </w:tbl>
    <w:tbl>
      <w:tblPr>
        <w:tblW w:w="7325" w:type="dxa"/>
        <w:jc w:val="left"/>
        <w:tblInd w:w="1440" w:type="dxa"/>
        <w:tblLayout w:type="fixed"/>
        <w:tblCellMar>
          <w:top w:w="0" w:type="dxa"/>
          <w:left w:w="0" w:type="dxa"/>
          <w:bottom w:w="0" w:type="dxa"/>
          <w:right w:w="0" w:type="dxa"/>
        </w:tblCellMar>
      </w:tblPr>
      <w:tblGrid>
        <w:gridCol w:w="38"/>
        <w:gridCol w:w="296"/>
        <w:gridCol w:w="23"/>
        <w:gridCol w:w="6968"/>
      </w:tblGrid>
      <w:tr>
        <w:trPr/>
        <w:tc>
          <w:tcPr>
            <w:tcW w:w="38" w:type="dxa"/>
            <w:tcBorders/>
            <w:vAlign w:val="center"/>
          </w:tcPr>
          <w:p>
            <w:pPr>
              <w:pStyle w:val="TableContents"/>
              <w:bidi w:val="0"/>
              <w:spacing w:before="0" w:after="283"/>
              <w:jc w:val="left"/>
              <w:rPr>
                <w:sz w:val="4"/>
                <w:szCs w:val="4"/>
              </w:rPr>
            </w:pPr>
            <w:r>
              <w:rPr>
                <w:sz w:val="4"/>
                <w:szCs w:val="4"/>
              </w:rPr>
            </w:r>
          </w:p>
        </w:tc>
        <w:tc>
          <w:tcPr>
            <w:tcW w:w="296" w:type="dxa"/>
            <w:tcBorders/>
          </w:tcPr>
          <w:p>
            <w:pPr>
              <w:pStyle w:val="TableContents"/>
              <w:pBdr/>
              <w:bidi w:val="0"/>
              <w:spacing w:before="0" w:after="240"/>
              <w:ind w:left="0" w:right="0" w:hanging="0"/>
              <w:jc w:val="both"/>
              <w:rPr>
                <w:rFonts w:ascii="Times New Roman" w:hAnsi="Times New Roman"/>
                <w:color w:val="000000"/>
                <w:sz w:val="24"/>
              </w:rPr>
            </w:pPr>
            <w:r>
              <w:rPr>
                <w:rFonts w:ascii="Times New Roman" w:hAnsi="Times New Roman"/>
                <w:strike w:val="false"/>
                <w:dstrike w:val="false"/>
                <w:color w:val="000000"/>
                <w:sz w:val="24"/>
                <w:u w:val="none"/>
                <w:effect w:val="none"/>
              </w:rPr>
              <w:t>(iii)</w:t>
            </w:r>
            <w:r>
              <w:rPr>
                <w:rFonts w:ascii="Times New Roman" w:hAnsi="Times New Roman"/>
                <w:color w:val="000000"/>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968" w:type="dxa"/>
            <w:tcBorders/>
          </w:tcPr>
          <w:p>
            <w:pPr>
              <w:pStyle w:val="TableContents"/>
              <w:pBdr/>
              <w:bidi w:val="0"/>
              <w:spacing w:before="0" w:after="240"/>
              <w:ind w:left="0" w:right="0" w:hanging="0"/>
              <w:jc w:val="both"/>
              <w:rPr>
                <w:rFonts w:ascii="Times New Roman" w:hAnsi="Times New Roman"/>
                <w:color w:val="000000"/>
                <w:sz w:val="24"/>
              </w:rPr>
            </w:pPr>
            <w:r>
              <w:rPr>
                <w:rFonts w:ascii="Times New Roman" w:hAnsi="Times New Roman"/>
                <w:color w:val="000000"/>
                <w:sz w:val="24"/>
              </w:rPr>
              <w:t>Copies, certified by an officer of the Borrower as of a recent date, of the certificate of formation and limited liability company agreement of the Borrower as in effect on the First Amendment Effective Date, or a certificate stating that there have been no changes to any such documents since the most recent date true and correct copies thereof were delivered to the Administrative Agent;</w:t>
            </w:r>
          </w:p>
        </w:tc>
      </w:tr>
    </w:tbl>
    <w:tbl>
      <w:tblPr>
        <w:tblW w:w="7325" w:type="dxa"/>
        <w:jc w:val="left"/>
        <w:tblInd w:w="1440" w:type="dxa"/>
        <w:tblLayout w:type="fixed"/>
        <w:tblCellMar>
          <w:top w:w="0" w:type="dxa"/>
          <w:left w:w="0" w:type="dxa"/>
          <w:bottom w:w="0" w:type="dxa"/>
          <w:right w:w="0" w:type="dxa"/>
        </w:tblCellMar>
      </w:tblPr>
      <w:tblGrid>
        <w:gridCol w:w="38"/>
        <w:gridCol w:w="200"/>
        <w:gridCol w:w="23"/>
        <w:gridCol w:w="7064"/>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tcPr>
          <w:p>
            <w:pPr>
              <w:pStyle w:val="TableContents"/>
              <w:pBdr/>
              <w:bidi w:val="0"/>
              <w:spacing w:before="0" w:after="240"/>
              <w:ind w:left="0" w:right="0" w:hanging="0"/>
              <w:jc w:val="both"/>
              <w:rPr>
                <w:rFonts w:ascii="Times New Roman" w:hAnsi="Times New Roman"/>
                <w:color w:val="000000"/>
                <w:sz w:val="24"/>
              </w:rPr>
            </w:pPr>
            <w:r>
              <w:rPr>
                <w:rFonts w:ascii="Times New Roman" w:hAnsi="Times New Roman"/>
                <w:strike w:val="false"/>
                <w:dstrike w:val="false"/>
                <w:color w:val="000000"/>
                <w:sz w:val="24"/>
                <w:u w:val="none"/>
                <w:effect w:val="none"/>
              </w:rPr>
              <w:t>(i)</w:t>
            </w:r>
            <w:r>
              <w:rPr>
                <w:rFonts w:ascii="Times New Roman" w:hAnsi="Times New Roman"/>
                <w:color w:val="000000"/>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64" w:type="dxa"/>
            <w:tcBorders/>
          </w:tcPr>
          <w:p>
            <w:pPr>
              <w:pStyle w:val="TableContents"/>
              <w:pBdr/>
              <w:bidi w:val="0"/>
              <w:spacing w:before="0" w:after="240"/>
              <w:ind w:left="0" w:right="0" w:hanging="0"/>
              <w:jc w:val="both"/>
              <w:rPr>
                <w:rFonts w:ascii="Times New Roman" w:hAnsi="Times New Roman"/>
                <w:color w:val="000000"/>
                <w:sz w:val="24"/>
              </w:rPr>
            </w:pPr>
            <w:r>
              <w:rPr>
                <w:rFonts w:ascii="Times New Roman" w:hAnsi="Times New Roman"/>
                <w:color w:val="000000"/>
                <w:sz w:val="24"/>
              </w:rPr>
              <w:t>A written certificate dated the First Amendment Effective Date by an officer of the Borrower as to the names and signatures of authorized officers of the Borrower authorized to sign this Agreement;</w:t>
            </w:r>
          </w:p>
        </w:tc>
      </w:tr>
    </w:tbl>
    <w:tbl>
      <w:tblPr>
        <w:tblW w:w="7325" w:type="dxa"/>
        <w:jc w:val="left"/>
        <w:tblInd w:w="1440" w:type="dxa"/>
        <w:tblLayout w:type="fixed"/>
        <w:tblCellMar>
          <w:top w:w="0" w:type="dxa"/>
          <w:left w:w="0" w:type="dxa"/>
          <w:bottom w:w="0" w:type="dxa"/>
          <w:right w:w="0" w:type="dxa"/>
        </w:tblCellMar>
      </w:tblPr>
      <w:tblGrid>
        <w:gridCol w:w="38"/>
        <w:gridCol w:w="312"/>
        <w:gridCol w:w="23"/>
        <w:gridCol w:w="6952"/>
      </w:tblGrid>
      <w:tr>
        <w:trPr/>
        <w:tc>
          <w:tcPr>
            <w:tcW w:w="38" w:type="dxa"/>
            <w:tcBorders/>
            <w:vAlign w:val="center"/>
          </w:tcPr>
          <w:p>
            <w:pPr>
              <w:pStyle w:val="TableContents"/>
              <w:bidi w:val="0"/>
              <w:spacing w:before="0" w:after="283"/>
              <w:jc w:val="left"/>
              <w:rPr>
                <w:sz w:val="4"/>
                <w:szCs w:val="4"/>
              </w:rPr>
            </w:pPr>
            <w:r>
              <w:rPr>
                <w:sz w:val="4"/>
                <w:szCs w:val="4"/>
              </w:rPr>
            </w:r>
          </w:p>
        </w:tc>
        <w:tc>
          <w:tcPr>
            <w:tcW w:w="312" w:type="dxa"/>
            <w:tcBorders/>
          </w:tcPr>
          <w:p>
            <w:pPr>
              <w:pStyle w:val="TableContents"/>
              <w:pBdr/>
              <w:bidi w:val="0"/>
              <w:spacing w:before="0" w:after="240"/>
              <w:ind w:left="0" w:right="0" w:hanging="0"/>
              <w:jc w:val="both"/>
              <w:rPr>
                <w:rFonts w:ascii="Times New Roman" w:hAnsi="Times New Roman"/>
                <w:color w:val="000000"/>
                <w:sz w:val="24"/>
              </w:rPr>
            </w:pPr>
            <w:r>
              <w:rPr>
                <w:rFonts w:ascii="Times New Roman" w:hAnsi="Times New Roman"/>
                <w:strike w:val="false"/>
                <w:dstrike w:val="false"/>
                <w:color w:val="000000"/>
                <w:sz w:val="24"/>
                <w:u w:val="none"/>
                <w:effect w:val="none"/>
              </w:rPr>
              <w:t>(ii)</w:t>
            </w:r>
            <w:r>
              <w:rPr>
                <w:rFonts w:ascii="Times New Roman" w:hAnsi="Times New Roman"/>
                <w:color w:val="000000"/>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952" w:type="dxa"/>
            <w:tcBorders/>
          </w:tcPr>
          <w:p>
            <w:pPr>
              <w:pStyle w:val="TableContents"/>
              <w:pBdr/>
              <w:bidi w:val="0"/>
              <w:spacing w:before="0" w:after="240"/>
              <w:ind w:left="0" w:right="0" w:hanging="0"/>
              <w:jc w:val="both"/>
              <w:rPr>
                <w:rFonts w:ascii="Times New Roman" w:hAnsi="Times New Roman"/>
                <w:color w:val="000000"/>
                <w:sz w:val="24"/>
              </w:rPr>
            </w:pPr>
            <w:r>
              <w:rPr>
                <w:rFonts w:ascii="Times New Roman" w:hAnsi="Times New Roman"/>
                <w:color w:val="000000"/>
                <w:sz w:val="24"/>
              </w:rPr>
              <w:t>A good standing certificate for the Borrower in the State of its formation dated as of a recent date;</w:t>
            </w:r>
          </w:p>
        </w:tc>
      </w:tr>
    </w:tbl>
    <w:tbl>
      <w:tblPr>
        <w:tblW w:w="7325" w:type="dxa"/>
        <w:jc w:val="left"/>
        <w:tblInd w:w="1440" w:type="dxa"/>
        <w:tblLayout w:type="fixed"/>
        <w:tblCellMar>
          <w:top w:w="0" w:type="dxa"/>
          <w:left w:w="0" w:type="dxa"/>
          <w:bottom w:w="0" w:type="dxa"/>
          <w:right w:w="0" w:type="dxa"/>
        </w:tblCellMar>
      </w:tblPr>
      <w:tblGrid>
        <w:gridCol w:w="38"/>
        <w:gridCol w:w="395"/>
        <w:gridCol w:w="23"/>
        <w:gridCol w:w="6869"/>
      </w:tblGrid>
      <w:tr>
        <w:trPr/>
        <w:tc>
          <w:tcPr>
            <w:tcW w:w="38" w:type="dxa"/>
            <w:tcBorders/>
            <w:vAlign w:val="center"/>
          </w:tcPr>
          <w:p>
            <w:pPr>
              <w:pStyle w:val="TableContents"/>
              <w:bidi w:val="0"/>
              <w:spacing w:before="0" w:after="283"/>
              <w:jc w:val="left"/>
              <w:rPr>
                <w:sz w:val="4"/>
                <w:szCs w:val="4"/>
              </w:rPr>
            </w:pPr>
            <w:r>
              <w:rPr>
                <w:sz w:val="4"/>
                <w:szCs w:val="4"/>
              </w:rPr>
            </w:r>
          </w:p>
        </w:tc>
        <w:tc>
          <w:tcPr>
            <w:tcW w:w="395" w:type="dxa"/>
            <w:tcBorders/>
          </w:tcPr>
          <w:p>
            <w:pPr>
              <w:pStyle w:val="TableContents"/>
              <w:pBdr/>
              <w:bidi w:val="0"/>
              <w:spacing w:before="0" w:after="240"/>
              <w:ind w:left="0" w:right="0" w:hanging="0"/>
              <w:jc w:val="both"/>
              <w:rPr>
                <w:rFonts w:ascii="Times New Roman" w:hAnsi="Times New Roman"/>
                <w:color w:val="000000"/>
                <w:sz w:val="24"/>
              </w:rPr>
            </w:pPr>
            <w:r>
              <w:rPr>
                <w:rFonts w:ascii="Times New Roman" w:hAnsi="Times New Roman"/>
                <w:strike w:val="false"/>
                <w:dstrike w:val="false"/>
                <w:color w:val="000000"/>
                <w:sz w:val="24"/>
                <w:u w:val="none"/>
                <w:effect w:val="none"/>
              </w:rPr>
              <w:t>(iii)</w:t>
            </w:r>
            <w:r>
              <w:rPr>
                <w:rFonts w:ascii="Times New Roman" w:hAnsi="Times New Roman"/>
                <w:color w:val="000000"/>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869" w:type="dxa"/>
            <w:tcBorders/>
          </w:tcPr>
          <w:p>
            <w:pPr>
              <w:pStyle w:val="TableContents"/>
              <w:pBdr/>
              <w:bidi w:val="0"/>
              <w:spacing w:before="0" w:after="240"/>
              <w:ind w:left="0" w:right="0" w:hanging="0"/>
              <w:jc w:val="both"/>
              <w:rPr>
                <w:rFonts w:ascii="Times New Roman" w:hAnsi="Times New Roman"/>
                <w:color w:val="000000"/>
                <w:sz w:val="24"/>
              </w:rPr>
            </w:pPr>
            <w:r>
              <w:rPr>
                <w:rFonts w:ascii="Times New Roman" w:hAnsi="Times New Roman"/>
                <w:color w:val="000000"/>
                <w:sz w:val="24"/>
              </w:rPr>
              <w:t>Copies of the evidence of insurance required by the Existing Credit Agreement;</w:t>
            </w:r>
          </w:p>
        </w:tc>
      </w:tr>
    </w:tbl>
    <w:tbl>
      <w:tblPr>
        <w:tblW w:w="7325" w:type="dxa"/>
        <w:jc w:val="left"/>
        <w:tblInd w:w="1440" w:type="dxa"/>
        <w:tblLayout w:type="fixed"/>
        <w:tblCellMar>
          <w:top w:w="0" w:type="dxa"/>
          <w:left w:w="0" w:type="dxa"/>
          <w:bottom w:w="0" w:type="dxa"/>
          <w:right w:w="0" w:type="dxa"/>
        </w:tblCellMar>
      </w:tblPr>
      <w:tblGrid>
        <w:gridCol w:w="38"/>
        <w:gridCol w:w="322"/>
        <w:gridCol w:w="23"/>
        <w:gridCol w:w="6942"/>
      </w:tblGrid>
      <w:tr>
        <w:trPr/>
        <w:tc>
          <w:tcPr>
            <w:tcW w:w="38" w:type="dxa"/>
            <w:tcBorders/>
            <w:vAlign w:val="center"/>
          </w:tcPr>
          <w:p>
            <w:pPr>
              <w:pStyle w:val="TableContents"/>
              <w:bidi w:val="0"/>
              <w:spacing w:before="0" w:after="283"/>
              <w:jc w:val="left"/>
              <w:rPr>
                <w:sz w:val="4"/>
                <w:szCs w:val="4"/>
              </w:rPr>
            </w:pPr>
            <w:r>
              <w:rPr>
                <w:sz w:val="4"/>
                <w:szCs w:val="4"/>
              </w:rPr>
            </w:r>
          </w:p>
        </w:tc>
        <w:tc>
          <w:tcPr>
            <w:tcW w:w="322" w:type="dxa"/>
            <w:tcBorders/>
          </w:tcPr>
          <w:p>
            <w:pPr>
              <w:pStyle w:val="TableContents"/>
              <w:pBdr/>
              <w:bidi w:val="0"/>
              <w:spacing w:before="0" w:after="240"/>
              <w:ind w:left="0" w:right="0" w:hanging="0"/>
              <w:jc w:val="both"/>
              <w:rPr>
                <w:rFonts w:ascii="Times New Roman" w:hAnsi="Times New Roman"/>
                <w:color w:val="000000"/>
                <w:sz w:val="24"/>
              </w:rPr>
            </w:pPr>
            <w:r>
              <w:rPr>
                <w:rFonts w:ascii="Times New Roman" w:hAnsi="Times New Roman"/>
                <w:strike w:val="false"/>
                <w:dstrike w:val="false"/>
                <w:color w:val="000000"/>
                <w:sz w:val="24"/>
                <w:u w:val="none"/>
                <w:effect w:val="none"/>
              </w:rPr>
              <w:t>(iv)</w:t>
            </w:r>
            <w:r>
              <w:rPr>
                <w:rFonts w:ascii="Times New Roman" w:hAnsi="Times New Roman"/>
                <w:color w:val="000000"/>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942" w:type="dxa"/>
            <w:tcBorders/>
          </w:tcPr>
          <w:p>
            <w:pPr>
              <w:pStyle w:val="TableContents"/>
              <w:pBdr/>
              <w:bidi w:val="0"/>
              <w:spacing w:before="0" w:after="240"/>
              <w:ind w:left="0" w:right="0" w:hanging="0"/>
              <w:jc w:val="both"/>
              <w:rPr>
                <w:rFonts w:ascii="Times New Roman" w:hAnsi="Times New Roman"/>
                <w:color w:val="000000"/>
                <w:sz w:val="24"/>
              </w:rPr>
            </w:pPr>
            <w:r>
              <w:rPr>
                <w:rFonts w:ascii="Times New Roman" w:hAnsi="Times New Roman"/>
                <w:color w:val="000000"/>
                <w:sz w:val="24"/>
              </w:rPr>
              <w:t>State-level Uniform Commercial Code lien searches with respect to the Borrower in its jurisdiction of organization and with results reasonably acceptable to the Administrative Agent;</w:t>
            </w:r>
          </w:p>
        </w:tc>
      </w:tr>
    </w:tbl>
    <w:tbl>
      <w:tblPr>
        <w:tblW w:w="7325" w:type="dxa"/>
        <w:jc w:val="left"/>
        <w:tblInd w:w="1440" w:type="dxa"/>
        <w:tblLayout w:type="fixed"/>
        <w:tblCellMar>
          <w:top w:w="0" w:type="dxa"/>
          <w:left w:w="0" w:type="dxa"/>
          <w:bottom w:w="0" w:type="dxa"/>
          <w:right w:w="0" w:type="dxa"/>
        </w:tblCellMar>
      </w:tblPr>
      <w:tblGrid>
        <w:gridCol w:w="38"/>
        <w:gridCol w:w="294"/>
        <w:gridCol w:w="23"/>
        <w:gridCol w:w="6970"/>
      </w:tblGrid>
      <w:tr>
        <w:trPr/>
        <w:tc>
          <w:tcPr>
            <w:tcW w:w="38" w:type="dxa"/>
            <w:tcBorders/>
            <w:vAlign w:val="center"/>
          </w:tcPr>
          <w:p>
            <w:pPr>
              <w:pStyle w:val="TableContents"/>
              <w:bidi w:val="0"/>
              <w:spacing w:before="0" w:after="283"/>
              <w:jc w:val="left"/>
              <w:rPr>
                <w:sz w:val="4"/>
                <w:szCs w:val="4"/>
              </w:rPr>
            </w:pPr>
            <w:r>
              <w:rPr>
                <w:sz w:val="4"/>
                <w:szCs w:val="4"/>
              </w:rPr>
            </w:r>
          </w:p>
        </w:tc>
        <w:tc>
          <w:tcPr>
            <w:tcW w:w="294" w:type="dxa"/>
            <w:tcBorders/>
          </w:tcPr>
          <w:p>
            <w:pPr>
              <w:pStyle w:val="TableContents"/>
              <w:pBdr/>
              <w:bidi w:val="0"/>
              <w:spacing w:before="0" w:after="240"/>
              <w:ind w:left="0" w:right="0" w:hanging="0"/>
              <w:jc w:val="both"/>
              <w:rPr>
                <w:rFonts w:ascii="Times New Roman" w:hAnsi="Times New Roman"/>
                <w:color w:val="000000"/>
                <w:sz w:val="24"/>
              </w:rPr>
            </w:pPr>
            <w:r>
              <w:rPr>
                <w:rFonts w:ascii="Times New Roman" w:hAnsi="Times New Roman"/>
                <w:strike w:val="false"/>
                <w:dstrike w:val="false"/>
                <w:color w:val="000000"/>
                <w:sz w:val="24"/>
                <w:u w:val="none"/>
                <w:effect w:val="none"/>
              </w:rPr>
              <w:t>(iv)</w:t>
            </w:r>
            <w:r>
              <w:rPr>
                <w:rFonts w:ascii="Times New Roman" w:hAnsi="Times New Roman"/>
                <w:color w:val="000000"/>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970" w:type="dxa"/>
            <w:tcBorders/>
          </w:tcPr>
          <w:p>
            <w:pPr>
              <w:pStyle w:val="TableContents"/>
              <w:pBdr/>
              <w:bidi w:val="0"/>
              <w:spacing w:before="0" w:after="240"/>
              <w:ind w:left="0" w:right="0" w:hanging="0"/>
              <w:jc w:val="both"/>
              <w:rPr>
                <w:rFonts w:ascii="Times New Roman" w:hAnsi="Times New Roman"/>
                <w:color w:val="000000"/>
                <w:sz w:val="24"/>
              </w:rPr>
            </w:pPr>
            <w:r>
              <w:rPr>
                <w:rFonts w:ascii="Times New Roman" w:hAnsi="Times New Roman"/>
                <w:color w:val="000000"/>
                <w:sz w:val="24"/>
              </w:rPr>
              <w:t>If the Borrower qualifies as a legal entity customer under the Beneficial Ownership Regulations, an executed Certificate of Beneficial Ownership for the Borrower and, in any case, such other documentation and other information requested by the Administrative Agent and the Lenders in connection with applicable “know your customer” and anti-money laundering rules and regulations, including the USA Patriot Act; and</w:t>
            </w:r>
          </w:p>
        </w:tc>
      </w:tr>
    </w:tbl>
    <w:tbl>
      <w:tblPr>
        <w:tblW w:w="7325" w:type="dxa"/>
        <w:jc w:val="left"/>
        <w:tblInd w:w="1440" w:type="dxa"/>
        <w:tblLayout w:type="fixed"/>
        <w:tblCellMar>
          <w:top w:w="0" w:type="dxa"/>
          <w:left w:w="0" w:type="dxa"/>
          <w:bottom w:w="0" w:type="dxa"/>
          <w:right w:w="0" w:type="dxa"/>
        </w:tblCellMar>
      </w:tblPr>
      <w:tblGrid>
        <w:gridCol w:w="38"/>
        <w:gridCol w:w="265"/>
        <w:gridCol w:w="23"/>
        <w:gridCol w:w="6999"/>
      </w:tblGrid>
      <w:tr>
        <w:trPr/>
        <w:tc>
          <w:tcPr>
            <w:tcW w:w="38" w:type="dxa"/>
            <w:tcBorders/>
            <w:vAlign w:val="center"/>
          </w:tcPr>
          <w:p>
            <w:pPr>
              <w:pStyle w:val="TableContents"/>
              <w:bidi w:val="0"/>
              <w:spacing w:before="0" w:after="283"/>
              <w:jc w:val="left"/>
              <w:rPr>
                <w:sz w:val="4"/>
                <w:szCs w:val="4"/>
              </w:rPr>
            </w:pPr>
            <w:r>
              <w:rPr>
                <w:sz w:val="4"/>
                <w:szCs w:val="4"/>
              </w:rPr>
            </w:r>
          </w:p>
        </w:tc>
        <w:tc>
          <w:tcPr>
            <w:tcW w:w="265" w:type="dxa"/>
            <w:tcBorders/>
          </w:tcPr>
          <w:p>
            <w:pPr>
              <w:pStyle w:val="TableContents"/>
              <w:pBdr/>
              <w:bidi w:val="0"/>
              <w:spacing w:before="0" w:after="240"/>
              <w:ind w:left="0" w:right="0" w:hanging="0"/>
              <w:jc w:val="both"/>
              <w:rPr>
                <w:rFonts w:ascii="Times New Roman" w:hAnsi="Times New Roman"/>
                <w:color w:val="000000"/>
                <w:sz w:val="24"/>
              </w:rPr>
            </w:pPr>
            <w:r>
              <w:rPr>
                <w:rFonts w:ascii="Times New Roman" w:hAnsi="Times New Roman"/>
                <w:strike w:val="false"/>
                <w:dstrike w:val="false"/>
                <w:color w:val="000000"/>
                <w:sz w:val="24"/>
                <w:u w:val="none"/>
                <w:effect w:val="none"/>
              </w:rPr>
              <w:t>(v)</w:t>
            </w:r>
            <w:r>
              <w:rPr>
                <w:rFonts w:ascii="Times New Roman" w:hAnsi="Times New Roman"/>
                <w:color w:val="000000"/>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999" w:type="dxa"/>
            <w:tcBorders/>
          </w:tcPr>
          <w:p>
            <w:pPr>
              <w:pStyle w:val="TableContents"/>
              <w:pBdr/>
              <w:bidi w:val="0"/>
              <w:spacing w:before="0" w:after="240"/>
              <w:ind w:left="0" w:right="0" w:hanging="0"/>
              <w:jc w:val="both"/>
              <w:rPr>
                <w:rFonts w:ascii="Times New Roman" w:hAnsi="Times New Roman"/>
                <w:color w:val="000000"/>
                <w:sz w:val="24"/>
              </w:rPr>
            </w:pPr>
            <w:r>
              <w:rPr>
                <w:rFonts w:ascii="Times New Roman" w:hAnsi="Times New Roman"/>
                <w:color w:val="000000"/>
                <w:sz w:val="24"/>
              </w:rPr>
              <w:t>Such additional documents, certificates and information as the Administrative Agent or the Lenders may require pursuant to the terms hereof or otherwise reasonably request.</w:t>
            </w:r>
          </w:p>
        </w:tc>
      </w:tr>
    </w:tbl>
    <w:p>
      <w:pPr>
        <w:pStyle w:val="TextBody"/>
        <w:bidi w:val="0"/>
        <w:spacing w:before="0" w:after="0"/>
        <w:ind w:left="1440" w:right="1440" w:hanging="0"/>
        <w:jc w:val="center"/>
        <w:rPr>
          <w:rFonts w:ascii="Times New Roman" w:hAnsi="Times New Roman"/>
          <w:sz w:val="24"/>
        </w:rPr>
      </w:pPr>
      <w:r>
        <w:rPr>
          <w:rFonts w:ascii="Times New Roman" w:hAnsi="Times New Roman"/>
          <w:sz w:val="24"/>
        </w:rPr>
        <w:t xml:space="preserve">3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tbl>
      <w:tblPr>
        <w:tblW w:w="7325" w:type="dxa"/>
        <w:jc w:val="left"/>
        <w:tblInd w:w="1440" w:type="dxa"/>
        <w:tblLayout w:type="fixed"/>
        <w:tblCellMar>
          <w:top w:w="0" w:type="dxa"/>
          <w:left w:w="0" w:type="dxa"/>
          <w:bottom w:w="0" w:type="dxa"/>
          <w:right w:w="0" w:type="dxa"/>
        </w:tblCellMar>
      </w:tblPr>
      <w:tblGrid>
        <w:gridCol w:w="2175"/>
        <w:gridCol w:w="5150"/>
      </w:tblGrid>
      <w:tr>
        <w:trPr/>
        <w:tc>
          <w:tcPr>
            <w:tcW w:w="2175" w:type="dxa"/>
            <w:tcBorders/>
            <w:vAlign w:val="center"/>
          </w:tcPr>
          <w:p>
            <w:pPr>
              <w:pStyle w:val="TableContents"/>
              <w:bidi w:val="0"/>
              <w:spacing w:before="0" w:after="283"/>
              <w:ind w:left="0" w:right="0" w:firstLine="2160"/>
              <w:jc w:val="left"/>
              <w:rPr>
                <w:sz w:val="4"/>
                <w:szCs w:val="4"/>
              </w:rPr>
            </w:pPr>
            <w:r>
              <w:rPr>
                <w:sz w:val="4"/>
                <w:szCs w:val="4"/>
              </w:rPr>
            </w:r>
          </w:p>
        </w:tc>
        <w:tc>
          <w:tcPr>
            <w:tcW w:w="5150" w:type="dxa"/>
            <w:tcBorders/>
          </w:tcPr>
          <w:p>
            <w:pPr>
              <w:pStyle w:val="TableContents"/>
              <w:pBdr/>
              <w:bidi w:val="0"/>
              <w:spacing w:before="0" w:after="240"/>
              <w:ind w:left="0" w:right="0" w:firstLine="2160"/>
              <w:jc w:val="both"/>
              <w:rPr>
                <w:rFonts w:ascii="Times New Roman" w:hAnsi="Times New Roman"/>
                <w:color w:val="000000"/>
                <w:sz w:val="24"/>
              </w:rPr>
            </w:pPr>
            <w:r>
              <w:rPr>
                <w:rFonts w:ascii="Times New Roman" w:hAnsi="Times New Roman"/>
                <w:strike w:val="false"/>
                <w:dstrike w:val="false"/>
                <w:color w:val="000000"/>
                <w:sz w:val="24"/>
                <w:u w:val="none"/>
                <w:effect w:val="none"/>
              </w:rPr>
              <w:t>(b)</w:t>
            </w:r>
            <w:r>
              <w:rPr>
                <w:rFonts w:ascii="Times New Roman" w:hAnsi="Times New Roman"/>
                <w:color w:val="000000"/>
                <w:sz w:val="24"/>
              </w:rPr>
              <w:t xml:space="preserve"> The Administrative Agent shall have received such fees as shall have been agreed.</w:t>
            </w:r>
          </w:p>
        </w:tc>
      </w:tr>
    </w:tbl>
    <w:tbl>
      <w:tblPr>
        <w:tblW w:w="7325" w:type="dxa"/>
        <w:jc w:val="left"/>
        <w:tblInd w:w="1440" w:type="dxa"/>
        <w:tblLayout w:type="fixed"/>
        <w:tblCellMar>
          <w:top w:w="0" w:type="dxa"/>
          <w:left w:w="0" w:type="dxa"/>
          <w:bottom w:w="0" w:type="dxa"/>
          <w:right w:w="0" w:type="dxa"/>
        </w:tblCellMar>
      </w:tblPr>
      <w:tblGrid>
        <w:gridCol w:w="2175"/>
        <w:gridCol w:w="5150"/>
      </w:tblGrid>
      <w:tr>
        <w:trPr/>
        <w:tc>
          <w:tcPr>
            <w:tcW w:w="2175" w:type="dxa"/>
            <w:tcBorders/>
            <w:vAlign w:val="center"/>
          </w:tcPr>
          <w:p>
            <w:pPr>
              <w:pStyle w:val="TableContents"/>
              <w:bidi w:val="0"/>
              <w:spacing w:before="0" w:after="283"/>
              <w:ind w:left="0" w:right="0" w:firstLine="2160"/>
              <w:jc w:val="left"/>
              <w:rPr>
                <w:sz w:val="4"/>
                <w:szCs w:val="4"/>
              </w:rPr>
            </w:pPr>
            <w:r>
              <w:rPr>
                <w:sz w:val="4"/>
                <w:szCs w:val="4"/>
              </w:rPr>
            </w:r>
          </w:p>
        </w:tc>
        <w:tc>
          <w:tcPr>
            <w:tcW w:w="5150" w:type="dxa"/>
            <w:tcBorders/>
          </w:tcPr>
          <w:p>
            <w:pPr>
              <w:pStyle w:val="TableContents"/>
              <w:pBdr/>
              <w:bidi w:val="0"/>
              <w:spacing w:before="0" w:after="240"/>
              <w:ind w:left="0" w:right="0" w:firstLine="2160"/>
              <w:jc w:val="both"/>
              <w:rPr>
                <w:rFonts w:ascii="Times New Roman" w:hAnsi="Times New Roman"/>
                <w:color w:val="000000"/>
                <w:sz w:val="24"/>
              </w:rPr>
            </w:pPr>
            <w:r>
              <w:rPr>
                <w:rFonts w:ascii="Times New Roman" w:hAnsi="Times New Roman"/>
                <w:strike w:val="false"/>
                <w:dstrike w:val="false"/>
                <w:color w:val="000000"/>
                <w:sz w:val="24"/>
                <w:u w:val="none"/>
                <w:effect w:val="none"/>
              </w:rPr>
              <w:t>(c)</w:t>
            </w:r>
            <w:r>
              <w:rPr>
                <w:rFonts w:ascii="Times New Roman" w:hAnsi="Times New Roman"/>
                <w:color w:val="000000"/>
                <w:sz w:val="24"/>
              </w:rPr>
              <w:t xml:space="preserve"> The Administrative Agent shall have received, to the extent invoiced at least one Business Day prior to the First Amendment Effective Date, reimbursement of all reasonable and documented fees and expenses of counsel to the Administrative Agent required to be paid or reimbursed by the Borrower hereunder.</w:t>
            </w:r>
          </w:p>
        </w:tc>
      </w:tr>
    </w:tbl>
    <w:p>
      <w:pPr>
        <w:pStyle w:val="TextBody"/>
        <w:bidi w:val="0"/>
        <w:spacing w:before="0" w:after="240"/>
        <w:ind w:left="1440" w:right="1440" w:hanging="0"/>
        <w:jc w:val="both"/>
        <w:rPr>
          <w:rFonts w:ascii="Times New Roman" w:hAnsi="Times New Roman"/>
          <w:sz w:val="24"/>
        </w:rPr>
      </w:pPr>
      <w:r>
        <w:rPr>
          <w:rFonts w:ascii="Times New Roman" w:hAnsi="Times New Roman"/>
          <w:color w:val="000000"/>
          <w:sz w:val="24"/>
        </w:rPr>
        <w:t>All of the foregoing fees shall be in all respects, fully earned, due and payable on the First Amendment Effective Date and non-refundable and non-creditable thereafter.</w:t>
      </w:r>
      <w:r>
        <w:rPr>
          <w:rFonts w:ascii="Times New Roman" w:hAnsi="Times New Roman"/>
          <w:sz w:val="24"/>
        </w:rPr>
        <w:t xml:space="preserve"> </w:t>
      </w:r>
    </w:p>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color w:val="000000"/>
                <w:sz w:val="24"/>
              </w:rPr>
            </w:pPr>
            <w:r>
              <w:rPr>
                <w:rFonts w:ascii="Times New Roman" w:hAnsi="Times New Roman"/>
                <w:strike w:val="false"/>
                <w:dstrike w:val="false"/>
                <w:color w:val="000000"/>
                <w:sz w:val="24"/>
                <w:u w:val="none"/>
                <w:effect w:val="none"/>
              </w:rPr>
              <w:t>2.</w:t>
            </w:r>
            <w:r>
              <w:rPr>
                <w:rFonts w:ascii="Times New Roman" w:hAnsi="Times New Roman"/>
                <w:color w:val="000000"/>
                <w:sz w:val="24"/>
              </w:rPr>
              <w:t xml:space="preserve"> </w:t>
            </w:r>
            <w:r>
              <w:rPr>
                <w:rFonts w:ascii="Times New Roman" w:hAnsi="Times New Roman"/>
                <w:color w:val="000000"/>
                <w:sz w:val="24"/>
                <w:u w:val="single"/>
              </w:rPr>
              <w:t>Integration</w:t>
            </w:r>
            <w:r>
              <w:rPr>
                <w:rFonts w:ascii="Times New Roman" w:hAnsi="Times New Roman"/>
                <w:color w:val="000000"/>
                <w:sz w:val="24"/>
              </w:rPr>
              <w:t xml:space="preserve">.  This Agreement constitutes the sole agreement of the parties hereto with respect to the transactions contemplated hereby and shall supersede all oral negotiations and the terms of prior writings with respect thereto.  From and after the First Amendment Effective Date, all references in the Amended Credit Agreement and each of the other Loan Documents to the Credit Agreement or the other Loan Documents modified hereby shall be deemed to be references to the Amended Credit Agreement and such other Loan Documents as modified hereby.  This Agreement shall constitute a Loan Document for all purposes under the Amended Credit Agreement and each of the other Loan Documents. </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color w:val="000000"/>
                <w:sz w:val="24"/>
              </w:rPr>
            </w:pPr>
            <w:r>
              <w:rPr>
                <w:rFonts w:ascii="Times New Roman" w:hAnsi="Times New Roman"/>
                <w:strike w:val="false"/>
                <w:dstrike w:val="false"/>
                <w:color w:val="000000"/>
                <w:sz w:val="24"/>
                <w:u w:val="none"/>
                <w:effect w:val="none"/>
              </w:rPr>
              <w:t>3.</w:t>
            </w:r>
            <w:r>
              <w:rPr>
                <w:rFonts w:ascii="Times New Roman" w:hAnsi="Times New Roman"/>
                <w:color w:val="000000"/>
                <w:sz w:val="24"/>
              </w:rPr>
              <w:t xml:space="preserve"> </w:t>
            </w:r>
            <w:r>
              <w:rPr>
                <w:rFonts w:ascii="Times New Roman" w:hAnsi="Times New Roman"/>
                <w:color w:val="000000"/>
                <w:sz w:val="24"/>
                <w:u w:val="single"/>
              </w:rPr>
              <w:t>Severability</w:t>
            </w:r>
            <w:r>
              <w:rPr>
                <w:rFonts w:ascii="Times New Roman" w:hAnsi="Times New Roman"/>
                <w:color w:val="000000"/>
                <w:sz w:val="24"/>
              </w:rPr>
              <w:t>.  Any provision of this Agreement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tc>
      </w:tr>
    </w:tbl>
    <w:tbl>
      <w:tblPr>
        <w:tblW w:w="4580" w:type="dxa"/>
        <w:jc w:val="left"/>
        <w:tblInd w:w="1440" w:type="dxa"/>
        <w:tblLayout w:type="fixed"/>
        <w:tblCellMar>
          <w:top w:w="0" w:type="dxa"/>
          <w:left w:w="0" w:type="dxa"/>
          <w:bottom w:w="0" w:type="dxa"/>
          <w:right w:w="0" w:type="dxa"/>
        </w:tblCellMar>
      </w:tblPr>
      <w:tblGrid>
        <w:gridCol w:w="1455"/>
        <w:gridCol w:w="3125"/>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3125" w:type="dxa"/>
            <w:tcBorders/>
          </w:tcPr>
          <w:p>
            <w:pPr>
              <w:pStyle w:val="TableContents"/>
              <w:pBdr/>
              <w:bidi w:val="0"/>
              <w:spacing w:before="0" w:after="240"/>
              <w:ind w:left="0" w:right="0" w:firstLine="1440"/>
              <w:jc w:val="both"/>
              <w:rPr>
                <w:rFonts w:ascii="Times New Roman" w:hAnsi="Times New Roman"/>
                <w:color w:val="000000"/>
                <w:sz w:val="24"/>
              </w:rPr>
            </w:pPr>
            <w:r>
              <w:rPr>
                <w:rFonts w:ascii="Times New Roman" w:hAnsi="Times New Roman"/>
                <w:strike w:val="false"/>
                <w:dstrike w:val="false"/>
                <w:color w:val="000000"/>
                <w:sz w:val="24"/>
                <w:u w:val="none"/>
                <w:effect w:val="none"/>
              </w:rPr>
              <w:t>6.</w:t>
            </w:r>
            <w:r>
              <w:rPr>
                <w:rFonts w:ascii="Times New Roman" w:hAnsi="Times New Roman"/>
                <w:color w:val="000000"/>
                <w:sz w:val="24"/>
              </w:rPr>
              <w:t xml:space="preserve"> </w:t>
            </w:r>
            <w:r>
              <w:rPr>
                <w:rFonts w:ascii="Times New Roman" w:hAnsi="Times New Roman"/>
                <w:color w:val="000000"/>
                <w:sz w:val="24"/>
                <w:u w:val="single"/>
              </w:rPr>
              <w:t>Miscellaneous</w:t>
            </w:r>
            <w:r>
              <w:rPr>
                <w:rFonts w:ascii="Times New Roman" w:hAnsi="Times New Roman"/>
                <w:color w:val="000000"/>
                <w:sz w:val="24"/>
              </w:rPr>
              <w:t>.</w:t>
            </w:r>
          </w:p>
        </w:tc>
      </w:tr>
    </w:tbl>
    <w:tbl>
      <w:tblPr>
        <w:tblW w:w="7325" w:type="dxa"/>
        <w:jc w:val="left"/>
        <w:tblInd w:w="1440" w:type="dxa"/>
        <w:tblLayout w:type="fixed"/>
        <w:tblCellMar>
          <w:top w:w="0" w:type="dxa"/>
          <w:left w:w="0" w:type="dxa"/>
          <w:bottom w:w="0" w:type="dxa"/>
          <w:right w:w="0" w:type="dxa"/>
        </w:tblCellMar>
      </w:tblPr>
      <w:tblGrid>
        <w:gridCol w:w="2175"/>
        <w:gridCol w:w="5150"/>
      </w:tblGrid>
      <w:tr>
        <w:trPr/>
        <w:tc>
          <w:tcPr>
            <w:tcW w:w="2175" w:type="dxa"/>
            <w:tcBorders/>
            <w:vAlign w:val="center"/>
          </w:tcPr>
          <w:p>
            <w:pPr>
              <w:pStyle w:val="TableContents"/>
              <w:bidi w:val="0"/>
              <w:spacing w:before="0" w:after="283"/>
              <w:ind w:left="0" w:right="0" w:firstLine="2160"/>
              <w:jc w:val="left"/>
              <w:rPr>
                <w:sz w:val="4"/>
                <w:szCs w:val="4"/>
              </w:rPr>
            </w:pPr>
            <w:r>
              <w:rPr>
                <w:sz w:val="4"/>
                <w:szCs w:val="4"/>
              </w:rPr>
            </w:r>
          </w:p>
        </w:tc>
        <w:tc>
          <w:tcPr>
            <w:tcW w:w="5150" w:type="dxa"/>
            <w:tcBorders/>
          </w:tcPr>
          <w:p>
            <w:pPr>
              <w:pStyle w:val="TableContents"/>
              <w:pBdr/>
              <w:bidi w:val="0"/>
              <w:spacing w:before="0" w:after="240"/>
              <w:ind w:left="0" w:right="0" w:firstLine="2160"/>
              <w:jc w:val="both"/>
              <w:rPr>
                <w:rFonts w:ascii="Times New Roman" w:hAnsi="Times New Roman"/>
                <w:color w:val="000000"/>
                <w:sz w:val="24"/>
              </w:rPr>
            </w:pPr>
            <w:r>
              <w:rPr>
                <w:rFonts w:ascii="Times New Roman" w:hAnsi="Times New Roman"/>
                <w:strike w:val="false"/>
                <w:dstrike w:val="false"/>
                <w:color w:val="000000"/>
                <w:sz w:val="24"/>
                <w:u w:val="none"/>
                <w:effect w:val="none"/>
              </w:rPr>
              <w:t>(a)</w:t>
            </w:r>
            <w:r>
              <w:rPr>
                <w:rFonts w:ascii="Times New Roman" w:hAnsi="Times New Roman"/>
                <w:color w:val="000000"/>
                <w:sz w:val="24"/>
              </w:rPr>
              <w:t xml:space="preserve"> The Borrower agrees to pay all of the Administrative Agent’s reasonable out-of-pocket fees and expenses incurred in connection with this Agreement and the transactions contemplated hereby, including, without limitation, the reasonable fees and expenses of counsel to the Administrative Agent.</w:t>
            </w:r>
          </w:p>
        </w:tc>
      </w:tr>
    </w:tbl>
    <w:tbl>
      <w:tblPr>
        <w:tblW w:w="7325" w:type="dxa"/>
        <w:jc w:val="left"/>
        <w:tblInd w:w="1440" w:type="dxa"/>
        <w:tblLayout w:type="fixed"/>
        <w:tblCellMar>
          <w:top w:w="0" w:type="dxa"/>
          <w:left w:w="0" w:type="dxa"/>
          <w:bottom w:w="0" w:type="dxa"/>
          <w:right w:w="0" w:type="dxa"/>
        </w:tblCellMar>
      </w:tblPr>
      <w:tblGrid>
        <w:gridCol w:w="2175"/>
        <w:gridCol w:w="5150"/>
      </w:tblGrid>
      <w:tr>
        <w:trPr/>
        <w:tc>
          <w:tcPr>
            <w:tcW w:w="2175" w:type="dxa"/>
            <w:tcBorders/>
            <w:vAlign w:val="center"/>
          </w:tcPr>
          <w:p>
            <w:pPr>
              <w:pStyle w:val="TableContents"/>
              <w:bidi w:val="0"/>
              <w:spacing w:before="0" w:after="283"/>
              <w:ind w:left="0" w:right="0" w:firstLine="2160"/>
              <w:jc w:val="left"/>
              <w:rPr>
                <w:sz w:val="4"/>
                <w:szCs w:val="4"/>
              </w:rPr>
            </w:pPr>
            <w:r>
              <w:rPr>
                <w:sz w:val="4"/>
                <w:szCs w:val="4"/>
              </w:rPr>
            </w:r>
          </w:p>
        </w:tc>
        <w:tc>
          <w:tcPr>
            <w:tcW w:w="5150" w:type="dxa"/>
            <w:tcBorders/>
          </w:tcPr>
          <w:p>
            <w:pPr>
              <w:pStyle w:val="TableContents"/>
              <w:pBdr/>
              <w:bidi w:val="0"/>
              <w:spacing w:before="0" w:after="240"/>
              <w:ind w:left="0" w:right="0" w:firstLine="2160"/>
              <w:jc w:val="both"/>
              <w:rPr>
                <w:rFonts w:ascii="Times New Roman" w:hAnsi="Times New Roman"/>
                <w:color w:val="000000"/>
                <w:sz w:val="24"/>
              </w:rPr>
            </w:pPr>
            <w:r>
              <w:rPr>
                <w:rFonts w:ascii="Times New Roman" w:hAnsi="Times New Roman"/>
                <w:strike w:val="false"/>
                <w:dstrike w:val="false"/>
                <w:color w:val="000000"/>
                <w:sz w:val="24"/>
                <w:u w:val="none"/>
                <w:effect w:val="none"/>
              </w:rPr>
              <w:t>(b)</w:t>
            </w:r>
            <w:r>
              <w:rPr>
                <w:rFonts w:ascii="Times New Roman" w:hAnsi="Times New Roman"/>
                <w:color w:val="000000"/>
                <w:sz w:val="24"/>
              </w:rPr>
              <w:t xml:space="preserve"> All terms, conditions, provisions and covenants in the Loan Documents and all other documents delivered to the Administrative Agent and the Lenders in connection therewith shall remain unaltered and in full force and effect except as expressly modified or amended hereby.  To the extent that any term or provision of this Agreement is or may be deemed expressly inconsistent with any term or provision in any Loan Document or any other document executed in connection therewith, the terms and provisions hereof shall control.</w:t>
            </w:r>
          </w:p>
        </w:tc>
      </w:tr>
    </w:tbl>
    <w:tbl>
      <w:tblPr>
        <w:tblW w:w="7325" w:type="dxa"/>
        <w:jc w:val="left"/>
        <w:tblInd w:w="1440" w:type="dxa"/>
        <w:tblLayout w:type="fixed"/>
        <w:tblCellMar>
          <w:top w:w="0" w:type="dxa"/>
          <w:left w:w="0" w:type="dxa"/>
          <w:bottom w:w="0" w:type="dxa"/>
          <w:right w:w="0" w:type="dxa"/>
        </w:tblCellMar>
      </w:tblPr>
      <w:tblGrid>
        <w:gridCol w:w="2175"/>
        <w:gridCol w:w="5150"/>
      </w:tblGrid>
      <w:tr>
        <w:trPr/>
        <w:tc>
          <w:tcPr>
            <w:tcW w:w="2175" w:type="dxa"/>
            <w:tcBorders/>
            <w:vAlign w:val="center"/>
          </w:tcPr>
          <w:p>
            <w:pPr>
              <w:pStyle w:val="TableContents"/>
              <w:bidi w:val="0"/>
              <w:spacing w:before="0" w:after="283"/>
              <w:ind w:left="0" w:right="0" w:firstLine="2160"/>
              <w:jc w:val="left"/>
              <w:rPr>
                <w:sz w:val="4"/>
                <w:szCs w:val="4"/>
              </w:rPr>
            </w:pPr>
            <w:r>
              <w:rPr>
                <w:sz w:val="4"/>
                <w:szCs w:val="4"/>
              </w:rPr>
            </w:r>
          </w:p>
        </w:tc>
        <w:tc>
          <w:tcPr>
            <w:tcW w:w="5150" w:type="dxa"/>
            <w:tcBorders/>
          </w:tcPr>
          <w:p>
            <w:pPr>
              <w:pStyle w:val="TableContents"/>
              <w:pBdr/>
              <w:bidi w:val="0"/>
              <w:spacing w:before="0" w:after="240"/>
              <w:ind w:left="0" w:right="0" w:firstLine="2160"/>
              <w:jc w:val="both"/>
              <w:rPr>
                <w:rFonts w:ascii="Times New Roman" w:hAnsi="Times New Roman"/>
                <w:color w:val="000000"/>
                <w:sz w:val="24"/>
              </w:rPr>
            </w:pPr>
            <w:r>
              <w:rPr>
                <w:rFonts w:ascii="Times New Roman" w:hAnsi="Times New Roman"/>
                <w:strike w:val="false"/>
                <w:dstrike w:val="false"/>
                <w:color w:val="000000"/>
                <w:sz w:val="24"/>
                <w:u w:val="none"/>
                <w:effect w:val="none"/>
              </w:rPr>
              <w:t>(c)</w:t>
            </w:r>
            <w:r>
              <w:rPr>
                <w:rFonts w:ascii="Times New Roman" w:hAnsi="Times New Roman"/>
                <w:color w:val="000000"/>
                <w:sz w:val="24"/>
              </w:rPr>
              <w:t xml:space="preserve"> The execution, delivery and effectiveness of this Agreement shall neither operate as a waiver of any right, power or remedy of the Administrative Agent or the Lenders under any of the Loan Documents nor constitute a waiver of any Default or Event of Default thereunder.</w:t>
            </w:r>
          </w:p>
        </w:tc>
      </w:tr>
    </w:tbl>
    <w:p>
      <w:pPr>
        <w:pStyle w:val="TextBody"/>
        <w:bidi w:val="0"/>
        <w:spacing w:before="0" w:after="0"/>
        <w:ind w:left="1440" w:right="1440" w:hanging="0"/>
        <w:jc w:val="center"/>
        <w:rPr>
          <w:rFonts w:ascii="Times New Roman" w:hAnsi="Times New Roman"/>
          <w:sz w:val="24"/>
        </w:rPr>
      </w:pPr>
      <w:r>
        <w:rPr>
          <w:rFonts w:ascii="Times New Roman" w:hAnsi="Times New Roman"/>
          <w:sz w:val="24"/>
        </w:rPr>
        <w:t xml:space="preserve">4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tbl>
      <w:tblPr>
        <w:tblW w:w="7325" w:type="dxa"/>
        <w:jc w:val="left"/>
        <w:tblInd w:w="1440" w:type="dxa"/>
        <w:tblLayout w:type="fixed"/>
        <w:tblCellMar>
          <w:top w:w="0" w:type="dxa"/>
          <w:left w:w="0" w:type="dxa"/>
          <w:bottom w:w="0" w:type="dxa"/>
          <w:right w:w="0" w:type="dxa"/>
        </w:tblCellMar>
      </w:tblPr>
      <w:tblGrid>
        <w:gridCol w:w="2175"/>
        <w:gridCol w:w="5150"/>
      </w:tblGrid>
      <w:tr>
        <w:trPr/>
        <w:tc>
          <w:tcPr>
            <w:tcW w:w="2175" w:type="dxa"/>
            <w:tcBorders/>
            <w:vAlign w:val="center"/>
          </w:tcPr>
          <w:p>
            <w:pPr>
              <w:pStyle w:val="TableContents"/>
              <w:bidi w:val="0"/>
              <w:spacing w:before="0" w:after="283"/>
              <w:ind w:left="0" w:right="0" w:firstLine="2160"/>
              <w:jc w:val="left"/>
              <w:rPr>
                <w:sz w:val="4"/>
                <w:szCs w:val="4"/>
              </w:rPr>
            </w:pPr>
            <w:r>
              <w:rPr>
                <w:sz w:val="4"/>
                <w:szCs w:val="4"/>
              </w:rPr>
            </w:r>
          </w:p>
        </w:tc>
        <w:tc>
          <w:tcPr>
            <w:tcW w:w="5150" w:type="dxa"/>
            <w:tcBorders/>
          </w:tcPr>
          <w:p>
            <w:pPr>
              <w:pStyle w:val="TableContents"/>
              <w:pBdr/>
              <w:bidi w:val="0"/>
              <w:spacing w:before="0" w:after="240"/>
              <w:ind w:left="0" w:right="0" w:firstLine="2160"/>
              <w:jc w:val="both"/>
              <w:rPr>
                <w:rFonts w:ascii="Times New Roman" w:hAnsi="Times New Roman"/>
                <w:color w:val="000000"/>
                <w:sz w:val="24"/>
              </w:rPr>
            </w:pPr>
            <w:r>
              <w:rPr>
                <w:rFonts w:ascii="Times New Roman" w:hAnsi="Times New Roman"/>
                <w:strike w:val="false"/>
                <w:dstrike w:val="false"/>
                <w:color w:val="000000"/>
                <w:sz w:val="24"/>
                <w:u w:val="none"/>
                <w:effect w:val="none"/>
              </w:rPr>
              <w:t>(d)</w:t>
            </w:r>
            <w:r>
              <w:rPr>
                <w:rFonts w:ascii="Times New Roman" w:hAnsi="Times New Roman"/>
                <w:color w:val="000000"/>
                <w:sz w:val="24"/>
              </w:rPr>
              <w:t xml:space="preserve"> In consideration of the Administrative Agent’s and the Lenders’ agreement to amend the existing revolving credit facility on the terms hereof, the Borrower hereby waives and releases the Administrative Agent and the Lenders and their respective officers, attorneys, agents and employees from any liability, suit, damage, claim, loss or expense of any kind or failure whatsoever and howsoever arising that it ever had up until, or has as of, the date of this Agreement.</w:t>
            </w:r>
          </w:p>
        </w:tc>
      </w:tr>
    </w:tbl>
    <w:tbl>
      <w:tblPr>
        <w:tblW w:w="7325" w:type="dxa"/>
        <w:jc w:val="left"/>
        <w:tblInd w:w="1440" w:type="dxa"/>
        <w:tblLayout w:type="fixed"/>
        <w:tblCellMar>
          <w:top w:w="0" w:type="dxa"/>
          <w:left w:w="0" w:type="dxa"/>
          <w:bottom w:w="0" w:type="dxa"/>
          <w:right w:w="0" w:type="dxa"/>
        </w:tblCellMar>
      </w:tblPr>
      <w:tblGrid>
        <w:gridCol w:w="2175"/>
        <w:gridCol w:w="5150"/>
      </w:tblGrid>
      <w:tr>
        <w:trPr/>
        <w:tc>
          <w:tcPr>
            <w:tcW w:w="2175" w:type="dxa"/>
            <w:tcBorders/>
            <w:vAlign w:val="center"/>
          </w:tcPr>
          <w:p>
            <w:pPr>
              <w:pStyle w:val="TableContents"/>
              <w:bidi w:val="0"/>
              <w:spacing w:before="0" w:after="283"/>
              <w:ind w:left="0" w:right="0" w:firstLine="2160"/>
              <w:jc w:val="left"/>
              <w:rPr>
                <w:sz w:val="4"/>
                <w:szCs w:val="4"/>
              </w:rPr>
            </w:pPr>
            <w:r>
              <w:rPr>
                <w:sz w:val="4"/>
                <w:szCs w:val="4"/>
              </w:rPr>
            </w:r>
          </w:p>
        </w:tc>
        <w:tc>
          <w:tcPr>
            <w:tcW w:w="5150" w:type="dxa"/>
            <w:tcBorders/>
          </w:tcPr>
          <w:p>
            <w:pPr>
              <w:pStyle w:val="TableContents"/>
              <w:pBdr/>
              <w:bidi w:val="0"/>
              <w:spacing w:before="0" w:after="240"/>
              <w:ind w:left="0" w:right="0" w:firstLine="2160"/>
              <w:jc w:val="both"/>
              <w:rPr>
                <w:rFonts w:ascii="Times New Roman" w:hAnsi="Times New Roman"/>
                <w:color w:val="000000"/>
                <w:sz w:val="24"/>
              </w:rPr>
            </w:pPr>
            <w:r>
              <w:rPr>
                <w:rFonts w:ascii="Times New Roman" w:hAnsi="Times New Roman"/>
                <w:strike w:val="false"/>
                <w:dstrike w:val="false"/>
                <w:color w:val="000000"/>
                <w:sz w:val="24"/>
                <w:u w:val="none"/>
                <w:effect w:val="none"/>
              </w:rPr>
              <w:t>(e)</w:t>
            </w:r>
            <w:r>
              <w:rPr>
                <w:rFonts w:ascii="Times New Roman" w:hAnsi="Times New Roman"/>
                <w:color w:val="000000"/>
                <w:sz w:val="24"/>
              </w:rPr>
              <w:t xml:space="preserve"> This Agreement constitutes the entire agreement of the parties with respect to the subject matter hereof and supersedes all prior and contemporaneous understandings and agreements.</w:t>
            </w:r>
          </w:p>
        </w:tc>
      </w:tr>
    </w:tbl>
    <w:tbl>
      <w:tblPr>
        <w:tblW w:w="7325" w:type="dxa"/>
        <w:jc w:val="left"/>
        <w:tblInd w:w="1440" w:type="dxa"/>
        <w:tblLayout w:type="fixed"/>
        <w:tblCellMar>
          <w:top w:w="0" w:type="dxa"/>
          <w:left w:w="0" w:type="dxa"/>
          <w:bottom w:w="0" w:type="dxa"/>
          <w:right w:w="0" w:type="dxa"/>
        </w:tblCellMar>
      </w:tblPr>
      <w:tblGrid>
        <w:gridCol w:w="2175"/>
        <w:gridCol w:w="5150"/>
      </w:tblGrid>
      <w:tr>
        <w:trPr/>
        <w:tc>
          <w:tcPr>
            <w:tcW w:w="2175" w:type="dxa"/>
            <w:tcBorders/>
            <w:vAlign w:val="center"/>
          </w:tcPr>
          <w:p>
            <w:pPr>
              <w:pStyle w:val="TableContents"/>
              <w:bidi w:val="0"/>
              <w:spacing w:before="0" w:after="283"/>
              <w:ind w:left="0" w:right="0" w:firstLine="2160"/>
              <w:jc w:val="left"/>
              <w:rPr>
                <w:sz w:val="4"/>
                <w:szCs w:val="4"/>
              </w:rPr>
            </w:pPr>
            <w:r>
              <w:rPr>
                <w:sz w:val="4"/>
                <w:szCs w:val="4"/>
              </w:rPr>
            </w:r>
          </w:p>
        </w:tc>
        <w:tc>
          <w:tcPr>
            <w:tcW w:w="5150" w:type="dxa"/>
            <w:tcBorders/>
          </w:tcPr>
          <w:p>
            <w:pPr>
              <w:pStyle w:val="TableContents"/>
              <w:pBdr/>
              <w:bidi w:val="0"/>
              <w:spacing w:before="0" w:after="240"/>
              <w:ind w:left="0" w:right="0" w:firstLine="2160"/>
              <w:jc w:val="both"/>
              <w:rPr>
                <w:rFonts w:ascii="Times New Roman" w:hAnsi="Times New Roman"/>
                <w:color w:val="000000"/>
                <w:sz w:val="24"/>
              </w:rPr>
            </w:pPr>
            <w:r>
              <w:rPr>
                <w:rFonts w:ascii="Times New Roman" w:hAnsi="Times New Roman"/>
                <w:strike w:val="false"/>
                <w:dstrike w:val="false"/>
                <w:color w:val="000000"/>
                <w:sz w:val="24"/>
                <w:u w:val="none"/>
                <w:effect w:val="none"/>
              </w:rPr>
              <w:t>(f)</w:t>
            </w:r>
            <w:r>
              <w:rPr>
                <w:rFonts w:ascii="Times New Roman" w:hAnsi="Times New Roman"/>
                <w:color w:val="000000"/>
                <w:sz w:val="24"/>
              </w:rPr>
              <w:t xml:space="preserve"> This Agreement shall be governed by and construed according to the laws of the State of New York.</w:t>
            </w:r>
          </w:p>
        </w:tc>
      </w:tr>
    </w:tbl>
    <w:tbl>
      <w:tblPr>
        <w:tblW w:w="7325" w:type="dxa"/>
        <w:jc w:val="left"/>
        <w:tblInd w:w="1440" w:type="dxa"/>
        <w:tblLayout w:type="fixed"/>
        <w:tblCellMar>
          <w:top w:w="0" w:type="dxa"/>
          <w:left w:w="0" w:type="dxa"/>
          <w:bottom w:w="0" w:type="dxa"/>
          <w:right w:w="0" w:type="dxa"/>
        </w:tblCellMar>
      </w:tblPr>
      <w:tblGrid>
        <w:gridCol w:w="2175"/>
        <w:gridCol w:w="5150"/>
      </w:tblGrid>
      <w:tr>
        <w:trPr/>
        <w:tc>
          <w:tcPr>
            <w:tcW w:w="2175" w:type="dxa"/>
            <w:tcBorders/>
            <w:vAlign w:val="center"/>
          </w:tcPr>
          <w:p>
            <w:pPr>
              <w:pStyle w:val="TableContents"/>
              <w:bidi w:val="0"/>
              <w:spacing w:before="0" w:after="283"/>
              <w:ind w:left="0" w:right="0" w:firstLine="2160"/>
              <w:jc w:val="left"/>
              <w:rPr>
                <w:sz w:val="4"/>
                <w:szCs w:val="4"/>
              </w:rPr>
            </w:pPr>
            <w:r>
              <w:rPr>
                <w:sz w:val="4"/>
                <w:szCs w:val="4"/>
              </w:rPr>
            </w:r>
          </w:p>
        </w:tc>
        <w:tc>
          <w:tcPr>
            <w:tcW w:w="5150" w:type="dxa"/>
            <w:tcBorders/>
          </w:tcPr>
          <w:p>
            <w:pPr>
              <w:pStyle w:val="TableContents"/>
              <w:pBdr/>
              <w:bidi w:val="0"/>
              <w:spacing w:before="0" w:after="240"/>
              <w:ind w:left="0" w:right="0" w:firstLine="2160"/>
              <w:jc w:val="both"/>
              <w:rPr>
                <w:rFonts w:ascii="Times New Roman" w:hAnsi="Times New Roman"/>
                <w:color w:val="000000"/>
                <w:sz w:val="24"/>
              </w:rPr>
            </w:pPr>
            <w:r>
              <w:rPr>
                <w:rFonts w:ascii="Times New Roman" w:hAnsi="Times New Roman"/>
                <w:strike w:val="false"/>
                <w:dstrike w:val="false"/>
                <w:color w:val="000000"/>
                <w:sz w:val="24"/>
                <w:u w:val="none"/>
                <w:effect w:val="none"/>
              </w:rPr>
              <w:t>(g)</w:t>
            </w:r>
            <w:r>
              <w:rPr>
                <w:rFonts w:ascii="Times New Roman" w:hAnsi="Times New Roman"/>
                <w:color w:val="000000"/>
                <w:sz w:val="24"/>
              </w:rPr>
              <w:t xml:space="preserve"> This Agreement shall inure to the benefit of, and be binding upon, the parties hereto and their respective successors and assigns.</w:t>
            </w:r>
          </w:p>
        </w:tc>
      </w:tr>
    </w:tbl>
    <w:tbl>
      <w:tblPr>
        <w:tblW w:w="7325" w:type="dxa"/>
        <w:jc w:val="left"/>
        <w:tblInd w:w="1440" w:type="dxa"/>
        <w:tblLayout w:type="fixed"/>
        <w:tblCellMar>
          <w:top w:w="0" w:type="dxa"/>
          <w:left w:w="0" w:type="dxa"/>
          <w:bottom w:w="0" w:type="dxa"/>
          <w:right w:w="0" w:type="dxa"/>
        </w:tblCellMar>
      </w:tblPr>
      <w:tblGrid>
        <w:gridCol w:w="2175"/>
        <w:gridCol w:w="5150"/>
      </w:tblGrid>
      <w:tr>
        <w:trPr/>
        <w:tc>
          <w:tcPr>
            <w:tcW w:w="2175" w:type="dxa"/>
            <w:tcBorders/>
            <w:vAlign w:val="center"/>
          </w:tcPr>
          <w:p>
            <w:pPr>
              <w:pStyle w:val="TableContents"/>
              <w:bidi w:val="0"/>
              <w:spacing w:before="0" w:after="283"/>
              <w:ind w:left="0" w:right="0" w:firstLine="2160"/>
              <w:jc w:val="left"/>
              <w:rPr>
                <w:sz w:val="4"/>
                <w:szCs w:val="4"/>
              </w:rPr>
            </w:pPr>
            <w:r>
              <w:rPr>
                <w:sz w:val="4"/>
                <w:szCs w:val="4"/>
              </w:rPr>
            </w:r>
          </w:p>
        </w:tc>
        <w:tc>
          <w:tcPr>
            <w:tcW w:w="5150" w:type="dxa"/>
            <w:tcBorders/>
          </w:tcPr>
          <w:p>
            <w:pPr>
              <w:pStyle w:val="TableContents"/>
              <w:pBdr/>
              <w:bidi w:val="0"/>
              <w:spacing w:before="0" w:after="240"/>
              <w:ind w:left="0" w:right="0" w:firstLine="2160"/>
              <w:jc w:val="both"/>
              <w:rPr>
                <w:rFonts w:ascii="Times New Roman" w:hAnsi="Times New Roman"/>
                <w:color w:val="000000"/>
                <w:sz w:val="24"/>
              </w:rPr>
            </w:pPr>
            <w:r>
              <w:rPr>
                <w:rFonts w:ascii="Times New Roman" w:hAnsi="Times New Roman"/>
                <w:strike w:val="false"/>
                <w:dstrike w:val="false"/>
                <w:color w:val="000000"/>
                <w:sz w:val="24"/>
                <w:u w:val="none"/>
                <w:effect w:val="none"/>
              </w:rPr>
              <w:t>(h)</w:t>
            </w:r>
            <w:r>
              <w:rPr>
                <w:rFonts w:ascii="Times New Roman" w:hAnsi="Times New Roman"/>
                <w:color w:val="000000"/>
                <w:sz w:val="24"/>
              </w:rPr>
              <w:t xml:space="preserve"> The headings used in this Agreement are for convenience of reference only, do not form a part of this Agreement and shall not affect in any way the meaning or interpretation of this Agreement.</w:t>
            </w:r>
          </w:p>
        </w:tc>
      </w:tr>
    </w:tbl>
    <w:tbl>
      <w:tblPr>
        <w:tblW w:w="7325" w:type="dxa"/>
        <w:jc w:val="left"/>
        <w:tblInd w:w="1440" w:type="dxa"/>
        <w:tblLayout w:type="fixed"/>
        <w:tblCellMar>
          <w:top w:w="0" w:type="dxa"/>
          <w:left w:w="0" w:type="dxa"/>
          <w:bottom w:w="0" w:type="dxa"/>
          <w:right w:w="0" w:type="dxa"/>
        </w:tblCellMar>
      </w:tblPr>
      <w:tblGrid>
        <w:gridCol w:w="2175"/>
        <w:gridCol w:w="5150"/>
      </w:tblGrid>
      <w:tr>
        <w:trPr/>
        <w:tc>
          <w:tcPr>
            <w:tcW w:w="2175" w:type="dxa"/>
            <w:tcBorders/>
            <w:vAlign w:val="center"/>
          </w:tcPr>
          <w:p>
            <w:pPr>
              <w:pStyle w:val="TableContents"/>
              <w:bidi w:val="0"/>
              <w:spacing w:before="0" w:after="283"/>
              <w:ind w:left="0" w:right="0" w:firstLine="2160"/>
              <w:jc w:val="left"/>
              <w:rPr>
                <w:sz w:val="4"/>
                <w:szCs w:val="4"/>
              </w:rPr>
            </w:pPr>
            <w:r>
              <w:rPr>
                <w:sz w:val="4"/>
                <w:szCs w:val="4"/>
              </w:rPr>
            </w:r>
          </w:p>
        </w:tc>
        <w:tc>
          <w:tcPr>
            <w:tcW w:w="5150" w:type="dxa"/>
            <w:tcBorders/>
          </w:tcPr>
          <w:p>
            <w:pPr>
              <w:pStyle w:val="TableContents"/>
              <w:pBdr/>
              <w:bidi w:val="0"/>
              <w:spacing w:before="0" w:after="240"/>
              <w:ind w:left="0" w:right="0" w:firstLine="2160"/>
              <w:jc w:val="both"/>
              <w:rPr>
                <w:rFonts w:ascii="Times New Roman" w:hAnsi="Times New Roman"/>
                <w:color w:val="000000"/>
                <w:sz w:val="24"/>
              </w:rPr>
            </w:pPr>
            <w:r>
              <w:rPr>
                <w:rFonts w:ascii="Times New Roman" w:hAnsi="Times New Roman"/>
                <w:strike w:val="false"/>
                <w:dstrike w:val="false"/>
                <w:color w:val="000000"/>
                <w:sz w:val="24"/>
                <w:u w:val="none"/>
                <w:effect w:val="none"/>
              </w:rPr>
              <w:t>(i)</w:t>
            </w:r>
            <w:r>
              <w:rPr>
                <w:rFonts w:ascii="Times New Roman" w:hAnsi="Times New Roman"/>
                <w:color w:val="000000"/>
                <w:sz w:val="24"/>
              </w:rPr>
              <w:t xml:space="preserve"> This Agreement may be executed in one or more counterparts, each of which counterparts when executed and delivered shall be deemed to be an original, and all of which shall constitute one and the same instrument.  Delivery of an executed counterpart of a signature page to this Agreement by facsimile or other electronic transmission will be effective as delivery of a manually executed counterpart hereof.</w:t>
            </w:r>
          </w:p>
        </w:tc>
      </w:tr>
    </w:tbl>
    <w:tbl>
      <w:tblPr>
        <w:tblW w:w="7325" w:type="dxa"/>
        <w:jc w:val="left"/>
        <w:tblInd w:w="1440" w:type="dxa"/>
        <w:tblLayout w:type="fixed"/>
        <w:tblCellMar>
          <w:top w:w="0" w:type="dxa"/>
          <w:left w:w="0" w:type="dxa"/>
          <w:bottom w:w="0" w:type="dxa"/>
          <w:right w:w="0" w:type="dxa"/>
        </w:tblCellMar>
      </w:tblPr>
      <w:tblGrid>
        <w:gridCol w:w="2175"/>
        <w:gridCol w:w="5150"/>
      </w:tblGrid>
      <w:tr>
        <w:trPr/>
        <w:tc>
          <w:tcPr>
            <w:tcW w:w="2175" w:type="dxa"/>
            <w:tcBorders/>
            <w:vAlign w:val="center"/>
          </w:tcPr>
          <w:p>
            <w:pPr>
              <w:pStyle w:val="TableContents"/>
              <w:bidi w:val="0"/>
              <w:spacing w:before="0" w:after="283"/>
              <w:ind w:left="0" w:right="0" w:firstLine="2160"/>
              <w:jc w:val="left"/>
              <w:rPr>
                <w:sz w:val="4"/>
                <w:szCs w:val="4"/>
              </w:rPr>
            </w:pPr>
            <w:r>
              <w:rPr>
                <w:sz w:val="4"/>
                <w:szCs w:val="4"/>
              </w:rPr>
            </w:r>
          </w:p>
        </w:tc>
        <w:tc>
          <w:tcPr>
            <w:tcW w:w="5150" w:type="dxa"/>
            <w:tcBorders/>
          </w:tcPr>
          <w:p>
            <w:pPr>
              <w:pStyle w:val="TableContents"/>
              <w:pBdr/>
              <w:bidi w:val="0"/>
              <w:spacing w:before="0" w:after="240"/>
              <w:ind w:left="0" w:right="0" w:firstLine="2160"/>
              <w:jc w:val="both"/>
              <w:rPr>
                <w:rFonts w:ascii="Times New Roman" w:hAnsi="Times New Roman"/>
                <w:color w:val="000000"/>
                <w:sz w:val="24"/>
              </w:rPr>
            </w:pPr>
            <w:r>
              <w:rPr>
                <w:rFonts w:ascii="Times New Roman" w:hAnsi="Times New Roman"/>
                <w:strike w:val="false"/>
                <w:dstrike w:val="false"/>
                <w:color w:val="000000"/>
                <w:sz w:val="24"/>
                <w:u w:val="none"/>
                <w:effect w:val="none"/>
              </w:rPr>
              <w:t>(a)</w:t>
            </w:r>
            <w:r>
              <w:rPr>
                <w:rFonts w:ascii="Times New Roman" w:hAnsi="Times New Roman"/>
                <w:color w:val="000000"/>
                <w:sz w:val="24"/>
              </w:rPr>
              <w:t xml:space="preserve"> No modification hereof or any agreement referred to herein shall be binding or enforceable unless in writing and signed on behalf of the party against whom enforcement is sought.</w:t>
            </w:r>
          </w:p>
        </w:tc>
      </w:tr>
    </w:tbl>
    <w:p>
      <w:pPr>
        <w:pStyle w:val="TextBody"/>
        <w:bidi w:val="0"/>
        <w:spacing w:before="0" w:after="240"/>
        <w:ind w:left="1440" w:right="1440" w:hanging="0"/>
        <w:jc w:val="center"/>
        <w:rPr>
          <w:rFonts w:ascii="Times New Roman" w:hAnsi="Times New Roman"/>
          <w:sz w:val="24"/>
        </w:rPr>
      </w:pPr>
      <w:r>
        <w:rPr>
          <w:rFonts w:ascii="Times New Roman" w:hAnsi="Times New Roman"/>
          <w:color w:val="000000"/>
          <w:sz w:val="24"/>
        </w:rPr>
        <w:t>[Signature Pages Continued on Next Page]</w:t>
      </w:r>
      <w:r>
        <w:rPr>
          <w:rFonts w:ascii="Times New Roman" w:hAnsi="Times New Roman"/>
          <w:sz w:val="24"/>
        </w:rPr>
        <w:t xml:space="preserve"> </w:t>
      </w:r>
    </w:p>
    <w:p>
      <w:pPr>
        <w:pStyle w:val="TextBody"/>
        <w:bidi w:val="0"/>
        <w:spacing w:before="0" w:after="0"/>
        <w:ind w:left="1440" w:right="1440" w:hanging="0"/>
        <w:jc w:val="center"/>
        <w:rPr/>
      </w:pPr>
      <w:r>
        <w:rPr/>
        <w:t xml:space="preserve">  </w:t>
      </w:r>
    </w:p>
    <w:p>
      <w:pPr>
        <w:pStyle w:val="TextBody"/>
        <w:bidi w:val="0"/>
        <w:spacing w:before="0" w:after="0"/>
        <w:ind w:left="1440" w:right="1440" w:hanging="0"/>
        <w:jc w:val="center"/>
        <w:rPr>
          <w:rFonts w:ascii="Times New Roman" w:hAnsi="Times New Roman"/>
          <w:sz w:val="24"/>
        </w:rPr>
      </w:pPr>
      <w:r>
        <w:rPr>
          <w:rFonts w:ascii="Times New Roman" w:hAnsi="Times New Roman"/>
          <w:sz w:val="24"/>
        </w:rPr>
        <w:t xml:space="preserve">5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before="0" w:after="0"/>
        <w:ind w:left="1440" w:right="1440" w:hanging="0"/>
        <w:jc w:val="left"/>
        <w:rPr/>
      </w:pPr>
      <w:r>
        <w:rPr/>
        <w:t xml:space="preserve">  </w:t>
      </w:r>
    </w:p>
    <w:p>
      <w:pPr>
        <w:pStyle w:val="TextBody"/>
        <w:bidi w:val="0"/>
        <w:spacing w:before="0" w:after="240"/>
        <w:ind w:left="1440" w:right="1440" w:firstLine="1440"/>
        <w:jc w:val="both"/>
        <w:rPr>
          <w:rFonts w:ascii="Times New Roman" w:hAnsi="Times New Roman"/>
          <w:sz w:val="24"/>
        </w:rPr>
      </w:pPr>
      <w:r>
        <w:rPr>
          <w:rFonts w:ascii="Times New Roman" w:hAnsi="Times New Roman"/>
          <w:sz w:val="24"/>
        </w:rPr>
        <w:t xml:space="preserve">IN WITNESS WHEREOF, the Borrower, the Administrative Agent and the Lenders have caused this Agreement to be executed by their duly authorized officers as of the date first above written. </w:t>
      </w:r>
    </w:p>
    <w:tbl>
      <w:tblPr>
        <w:tblW w:w="6800" w:type="dxa"/>
        <w:jc w:val="left"/>
        <w:tblInd w:w="1440" w:type="dxa"/>
        <w:tblLayout w:type="fixed"/>
        <w:tblCellMar>
          <w:top w:w="0" w:type="dxa"/>
          <w:left w:w="0" w:type="dxa"/>
          <w:bottom w:w="0" w:type="dxa"/>
          <w:right w:w="0" w:type="dxa"/>
        </w:tblCellMar>
      </w:tblPr>
      <w:tblGrid>
        <w:gridCol w:w="6800"/>
      </w:tblGrid>
      <w:tr>
        <w:trPr/>
        <w:tc>
          <w:tcPr>
            <w:tcW w:w="6800" w:type="dxa"/>
            <w:tcBorders/>
          </w:tcPr>
          <w:p>
            <w:pPr>
              <w:pStyle w:val="TableContents"/>
              <w:bidi w:val="0"/>
              <w:spacing w:before="0" w:after="0"/>
              <w:ind w:left="0" w:right="0" w:hanging="0"/>
              <w:jc w:val="both"/>
              <w:rPr/>
            </w:pPr>
            <w:r>
              <w:rPr/>
              <w:t> </w:t>
            </w:r>
          </w:p>
          <w:p>
            <w:pPr>
              <w:pStyle w:val="TableContents"/>
              <w:bidi w:val="0"/>
              <w:spacing w:before="0" w:after="480"/>
              <w:ind w:left="0" w:right="0" w:hanging="0"/>
              <w:jc w:val="both"/>
              <w:rPr/>
            </w:pPr>
            <w:r>
              <w:rPr/>
              <w:t> </w:t>
            </w:r>
          </w:p>
          <w:p>
            <w:pPr>
              <w:pStyle w:val="TableContents"/>
              <w:bidi w:val="0"/>
              <w:spacing w:before="0" w:after="0"/>
              <w:ind w:left="0" w:right="0" w:hanging="0"/>
              <w:jc w:val="left"/>
              <w:rPr/>
            </w:pPr>
            <w:r>
              <w:rPr/>
              <w:t> </w:t>
            </w:r>
          </w:p>
        </w:tc>
      </w:tr>
      <w:tr>
        <w:trPr/>
        <w:tc>
          <w:tcPr>
            <w:tcW w:w="6800" w:type="dxa"/>
            <w:tcBorders/>
          </w:tcPr>
          <w:p>
            <w:pPr>
              <w:pStyle w:val="TableContents"/>
              <w:bidi w:val="0"/>
              <w:spacing w:before="0" w:after="480"/>
              <w:ind w:left="0" w:right="0" w:hanging="0"/>
              <w:jc w:val="left"/>
              <w:rPr>
                <w:rFonts w:ascii="Times New Roman" w:hAnsi="Times New Roman"/>
                <w:sz w:val="24"/>
              </w:rPr>
            </w:pPr>
            <w:r>
              <w:rPr>
                <w:rFonts w:ascii="Times New Roman" w:hAnsi="Times New Roman"/>
                <w:sz w:val="24"/>
              </w:rPr>
              <w:t>PNG COMPANIES LLC</w:t>
            </w:r>
          </w:p>
          <w:p>
            <w:pPr>
              <w:pStyle w:val="TableContents"/>
              <w:bidi w:val="0"/>
              <w:spacing w:before="0" w:after="0"/>
              <w:ind w:left="0" w:right="0" w:hanging="0"/>
              <w:jc w:val="both"/>
              <w:rPr>
                <w:rFonts w:ascii="Times New Roman" w:hAnsi="Times New Roman"/>
                <w:sz w:val="24"/>
              </w:rPr>
            </w:pPr>
            <w:r>
              <w:rPr>
                <w:rFonts w:ascii="Times New Roman" w:hAnsi="Times New Roman"/>
                <w:sz w:val="24"/>
              </w:rPr>
              <w:t>By:</w:t>
            </w:r>
            <w:r>
              <w:rPr>
                <w:rFonts w:ascii="Times New Roman" w:hAnsi="Times New Roman"/>
                <w:sz w:val="24"/>
                <w:u w:val="single"/>
              </w:rPr>
              <w:t>/s/ Brian Dingerdissen</w:t>
            </w:r>
          </w:p>
          <w:p>
            <w:pPr>
              <w:pStyle w:val="TableContents"/>
              <w:bidi w:val="0"/>
              <w:spacing w:before="0" w:after="0"/>
              <w:ind w:left="0" w:right="0" w:hanging="0"/>
              <w:jc w:val="both"/>
              <w:rPr>
                <w:rFonts w:ascii="Times New Roman" w:hAnsi="Times New Roman"/>
                <w:sz w:val="24"/>
              </w:rPr>
            </w:pPr>
            <w:r>
              <w:rPr>
                <w:rFonts w:ascii="Times New Roman" w:hAnsi="Times New Roman"/>
                <w:sz w:val="24"/>
              </w:rPr>
              <w:t>Name: Brian Dingerdissen</w:t>
            </w:r>
          </w:p>
          <w:p>
            <w:pPr>
              <w:pStyle w:val="TableContents"/>
              <w:bidi w:val="0"/>
              <w:spacing w:before="0" w:after="480"/>
              <w:ind w:left="0" w:right="0" w:hanging="0"/>
              <w:jc w:val="left"/>
              <w:rPr>
                <w:rFonts w:ascii="Times New Roman" w:hAnsi="Times New Roman"/>
                <w:sz w:val="24"/>
              </w:rPr>
            </w:pPr>
            <w:r>
              <w:rPr>
                <w:rFonts w:ascii="Times New Roman" w:hAnsi="Times New Roman"/>
                <w:sz w:val="24"/>
              </w:rPr>
              <w:t>Title: Vice President Financial Planning &amp; Analysis and Treasurer</w:t>
            </w:r>
          </w:p>
        </w:tc>
      </w:tr>
      <w:tr>
        <w:trPr/>
        <w:tc>
          <w:tcPr>
            <w:tcW w:w="6800" w:type="dxa"/>
            <w:tcBorders/>
          </w:tcPr>
          <w:p>
            <w:pPr>
              <w:pStyle w:val="TableContents"/>
              <w:bidi w:val="0"/>
              <w:spacing w:before="0" w:after="480"/>
              <w:ind w:left="0" w:right="0" w:hanging="0"/>
              <w:jc w:val="left"/>
              <w:rPr>
                <w:rFonts w:ascii="Times New Roman" w:hAnsi="Times New Roman"/>
                <w:sz w:val="24"/>
              </w:rPr>
            </w:pPr>
            <w:r>
              <w:rPr>
                <w:rFonts w:ascii="Times New Roman" w:hAnsi="Times New Roman"/>
                <w:sz w:val="24"/>
              </w:rPr>
              <w:t>PNC BANK, NATIONAL ASSOCIATION, as Administrative Agent</w:t>
            </w:r>
          </w:p>
          <w:p>
            <w:pPr>
              <w:pStyle w:val="TableContents"/>
              <w:bidi w:val="0"/>
              <w:spacing w:before="0" w:after="0"/>
              <w:ind w:left="0" w:right="0" w:hanging="0"/>
              <w:jc w:val="both"/>
              <w:rPr>
                <w:rFonts w:ascii="Times New Roman" w:hAnsi="Times New Roman"/>
                <w:sz w:val="24"/>
              </w:rPr>
            </w:pPr>
            <w:r>
              <w:rPr>
                <w:rFonts w:ascii="Times New Roman" w:hAnsi="Times New Roman"/>
                <w:sz w:val="24"/>
              </w:rPr>
              <w:t>By:</w:t>
            </w:r>
            <w:r>
              <w:rPr>
                <w:rFonts w:ascii="Times New Roman" w:hAnsi="Times New Roman"/>
                <w:sz w:val="24"/>
                <w:u w:val="single"/>
              </w:rPr>
              <w:t>/s/ Kristine Manili</w:t>
            </w:r>
          </w:p>
          <w:p>
            <w:pPr>
              <w:pStyle w:val="TableContents"/>
              <w:bidi w:val="0"/>
              <w:spacing w:before="0" w:after="0"/>
              <w:ind w:left="0" w:right="0" w:hanging="0"/>
              <w:jc w:val="both"/>
              <w:rPr>
                <w:rFonts w:ascii="Times New Roman" w:hAnsi="Times New Roman"/>
                <w:sz w:val="24"/>
              </w:rPr>
            </w:pPr>
            <w:r>
              <w:rPr>
                <w:rFonts w:ascii="Times New Roman" w:hAnsi="Times New Roman"/>
                <w:sz w:val="24"/>
              </w:rPr>
              <w:t>Name:Kristine Manili</w:t>
            </w:r>
          </w:p>
          <w:p>
            <w:pPr>
              <w:pStyle w:val="TableContents"/>
              <w:bidi w:val="0"/>
              <w:spacing w:before="0" w:after="0"/>
              <w:ind w:left="0" w:right="0" w:hanging="0"/>
              <w:jc w:val="both"/>
              <w:rPr>
                <w:rFonts w:ascii="Times New Roman" w:hAnsi="Times New Roman"/>
                <w:sz w:val="24"/>
              </w:rPr>
            </w:pPr>
            <w:r>
              <w:rPr>
                <w:rFonts w:ascii="Times New Roman" w:hAnsi="Times New Roman"/>
                <w:sz w:val="24"/>
              </w:rPr>
              <w:t>Title:Senior Vice President</w:t>
            </w:r>
          </w:p>
        </w:tc>
      </w:tr>
    </w:tbl>
    <w:p>
      <w:pPr>
        <w:pStyle w:val="TextBody"/>
        <w:bidi w:val="0"/>
        <w:spacing w:before="0" w:after="0"/>
        <w:ind w:left="1440" w:right="1440" w:hanging="0"/>
        <w:jc w:val="left"/>
        <w:rPr>
          <w:rFonts w:cs="Times New Roman"/>
          <w:szCs w:val="24"/>
        </w:rPr>
      </w:pPr>
      <w:r>
        <w:rPr>
          <w:rFonts w:cs="Times New Roman"/>
          <w:szCs w:val="24"/>
        </w:rPr>
        <w:t xml:space="preserve">﻿ </w:t>
      </w:r>
    </w:p>
    <w:p>
      <w:pPr>
        <w:pStyle w:val="TextBody"/>
        <w:bidi w:val="0"/>
        <w:spacing w:before="0" w:after="0"/>
        <w:ind w:left="1440" w:right="1440" w:hanging="0"/>
        <w:jc w:val="left"/>
        <w:rPr/>
      </w:pPr>
      <w:r>
        <w:rPr/>
        <w:t xml:space="preserve">  </w:t>
      </w:r>
    </w:p>
    <w:p>
      <w:pPr>
        <w:pStyle w:val="TextBody"/>
        <w:bidi w:val="0"/>
        <w:spacing w:before="0" w:after="0"/>
        <w:ind w:left="1440" w:right="1440" w:hanging="0"/>
        <w:jc w:val="left"/>
        <w:rPr>
          <w:rFonts w:ascii="Times New Roman" w:hAnsi="Times New Roman"/>
          <w:sz w:val="16"/>
        </w:rPr>
      </w:pPr>
      <w:r>
        <w:rPr>
          <w:rFonts w:ascii="Arial" w:hAnsi="Arial"/>
          <w:sz w:val="16"/>
        </w:rPr>
        <w:t>#4903-9762-9597</w:t>
      </w:r>
      <w:r>
        <w:rPr>
          <w:rFonts w:ascii="Times New Roman" w:hAnsi="Times New Roman"/>
          <w:sz w:val="16"/>
        </w:rPr>
        <w:t xml:space="preserve">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before="0" w:after="0"/>
        <w:ind w:left="1440" w:right="1440" w:hanging="0"/>
        <w:jc w:val="left"/>
        <w:rPr/>
      </w:pPr>
      <w:r>
        <w:rPr/>
        <w:t xml:space="preserve">  </w:t>
      </w:r>
    </w:p>
    <w:tbl>
      <w:tblPr>
        <w:tblW w:w="5635" w:type="dxa"/>
        <w:jc w:val="left"/>
        <w:tblInd w:w="1440" w:type="dxa"/>
        <w:tblLayout w:type="fixed"/>
        <w:tblCellMar>
          <w:top w:w="0" w:type="dxa"/>
          <w:left w:w="0" w:type="dxa"/>
          <w:bottom w:w="0" w:type="dxa"/>
          <w:right w:w="0" w:type="dxa"/>
        </w:tblCellMar>
      </w:tblPr>
      <w:tblGrid>
        <w:gridCol w:w="1205"/>
        <w:gridCol w:w="4430"/>
      </w:tblGrid>
      <w:tr>
        <w:trPr/>
        <w:tc>
          <w:tcPr>
            <w:tcW w:w="1205" w:type="dxa"/>
            <w:tcBorders/>
          </w:tcPr>
          <w:p>
            <w:pPr>
              <w:pStyle w:val="TableContents"/>
              <w:bidi w:val="0"/>
              <w:spacing w:before="0" w:after="0"/>
              <w:ind w:left="0" w:right="0" w:hanging="0"/>
              <w:jc w:val="left"/>
              <w:rPr>
                <w:rFonts w:cs="Times New Roman"/>
                <w:szCs w:val="2"/>
              </w:rPr>
            </w:pPr>
            <w:r>
              <w:rPr>
                <w:rFonts w:cs="Times New Roman"/>
                <w:szCs w:val="2"/>
              </w:rPr>
              <w:t>﻿</w:t>
            </w:r>
          </w:p>
        </w:tc>
        <w:tc>
          <w:tcPr>
            <w:tcW w:w="4430" w:type="dxa"/>
            <w:tcBorders/>
          </w:tcPr>
          <w:p>
            <w:pPr>
              <w:pStyle w:val="TableContents"/>
              <w:bidi w:val="0"/>
              <w:spacing w:before="0" w:after="0"/>
              <w:ind w:left="0" w:right="0" w:hanging="0"/>
              <w:jc w:val="left"/>
              <w:rPr>
                <w:rFonts w:ascii="Times New Roman" w:hAnsi="Times New Roman"/>
                <w:sz w:val="24"/>
              </w:rPr>
            </w:pPr>
            <w:r>
              <w:rPr>
                <w:rFonts w:ascii="Times New Roman" w:hAnsi="Times New Roman"/>
                <w:sz w:val="24"/>
              </w:rPr>
              <w:t>Domenic D’Ginto</w:t>
            </w:r>
          </w:p>
          <w:p>
            <w:pPr>
              <w:pStyle w:val="TableContents"/>
              <w:bidi w:val="0"/>
              <w:spacing w:before="0" w:after="480"/>
              <w:ind w:left="0" w:right="0" w:hanging="0"/>
              <w:jc w:val="left"/>
              <w:rPr>
                <w:rFonts w:ascii="Times New Roman" w:hAnsi="Times New Roman"/>
                <w:sz w:val="24"/>
              </w:rPr>
            </w:pPr>
            <w:r>
              <w:rPr>
                <w:rFonts w:ascii="Times New Roman" w:hAnsi="Times New Roman"/>
                <w:sz w:val="24"/>
              </w:rPr>
              <w:t>Managing Director</w:t>
            </w:r>
          </w:p>
          <w:p>
            <w:pPr>
              <w:pStyle w:val="TableContents"/>
              <w:bidi w:val="0"/>
              <w:spacing w:before="0" w:after="0"/>
              <w:ind w:left="0" w:right="0" w:hanging="0"/>
              <w:jc w:val="left"/>
              <w:rPr/>
            </w:pPr>
            <w:r>
              <w:rPr/>
              <w:t> </w:t>
            </w:r>
          </w:p>
        </w:tc>
      </w:tr>
      <w:tr>
        <w:trPr/>
        <w:tc>
          <w:tcPr>
            <w:tcW w:w="1205" w:type="dxa"/>
            <w:tcBorders/>
          </w:tcPr>
          <w:p>
            <w:pPr>
              <w:pStyle w:val="TableContents"/>
              <w:bidi w:val="0"/>
              <w:spacing w:before="0" w:after="0"/>
              <w:ind w:left="0" w:right="0" w:hanging="0"/>
              <w:jc w:val="left"/>
              <w:rPr>
                <w:rFonts w:ascii="Times New Roman" w:hAnsi="Times New Roman"/>
                <w:sz w:val="24"/>
              </w:rPr>
            </w:pPr>
            <w:r>
              <w:rPr>
                <w:rFonts w:ascii="Times New Roman" w:hAnsi="Times New Roman"/>
                <w:sz w:val="24"/>
              </w:rPr>
              <w:t>LENDERS:</w:t>
            </w:r>
          </w:p>
        </w:tc>
        <w:tc>
          <w:tcPr>
            <w:tcW w:w="4430" w:type="dxa"/>
            <w:tcBorders/>
          </w:tcPr>
          <w:p>
            <w:pPr>
              <w:pStyle w:val="TableContents"/>
              <w:bidi w:val="0"/>
              <w:spacing w:before="0" w:after="480"/>
              <w:ind w:left="0" w:right="0" w:hanging="0"/>
              <w:jc w:val="left"/>
              <w:rPr>
                <w:rFonts w:ascii="Times New Roman" w:hAnsi="Times New Roman"/>
                <w:sz w:val="24"/>
              </w:rPr>
            </w:pPr>
            <w:r>
              <w:rPr>
                <w:rFonts w:ascii="Times New Roman" w:hAnsi="Times New Roman"/>
                <w:sz w:val="24"/>
              </w:rPr>
              <w:t>PNC BANK, NATIONAL ASSOCIATION,</w:t>
              <w:br/>
              <w:t>as Swing Line Lender and as a Lender</w:t>
            </w:r>
          </w:p>
          <w:p>
            <w:pPr>
              <w:pStyle w:val="TableContents"/>
              <w:bidi w:val="0"/>
              <w:spacing w:before="0" w:after="0"/>
              <w:ind w:left="0" w:right="0" w:hanging="0"/>
              <w:jc w:val="left"/>
              <w:rPr>
                <w:rFonts w:ascii="Times New Roman" w:hAnsi="Times New Roman"/>
                <w:sz w:val="24"/>
              </w:rPr>
            </w:pPr>
            <w:r>
              <w:rPr>
                <w:rFonts w:ascii="Times New Roman" w:hAnsi="Times New Roman"/>
                <w:sz w:val="24"/>
              </w:rPr>
              <w:t>By: </w:t>
            </w:r>
            <w:r>
              <w:rPr>
                <w:rFonts w:ascii="Times New Roman" w:hAnsi="Times New Roman"/>
                <w:sz w:val="24"/>
                <w:u w:val="single"/>
              </w:rPr>
              <w:t>/s/ Kristine Manili</w:t>
            </w:r>
          </w:p>
          <w:p>
            <w:pPr>
              <w:pStyle w:val="TableContents"/>
              <w:bidi w:val="0"/>
              <w:spacing w:before="0" w:after="0"/>
              <w:ind w:left="0" w:right="0" w:hanging="0"/>
              <w:jc w:val="left"/>
              <w:rPr>
                <w:rFonts w:ascii="Times New Roman" w:hAnsi="Times New Roman"/>
                <w:sz w:val="24"/>
              </w:rPr>
            </w:pPr>
            <w:r>
              <w:rPr>
                <w:rFonts w:ascii="Times New Roman" w:hAnsi="Times New Roman"/>
                <w:sz w:val="24"/>
              </w:rPr>
              <w:t>Name:Kristine Manili</w:t>
            </w:r>
          </w:p>
          <w:p>
            <w:pPr>
              <w:pStyle w:val="TableContents"/>
              <w:bidi w:val="0"/>
              <w:spacing w:before="0" w:after="480"/>
              <w:ind w:left="0" w:right="0" w:hanging="0"/>
              <w:jc w:val="left"/>
              <w:rPr>
                <w:rFonts w:ascii="Times New Roman" w:hAnsi="Times New Roman"/>
                <w:sz w:val="24"/>
              </w:rPr>
            </w:pPr>
            <w:r>
              <w:rPr>
                <w:rFonts w:ascii="Times New Roman" w:hAnsi="Times New Roman"/>
                <w:sz w:val="24"/>
              </w:rPr>
              <w:t>Title:Senior Vice President</w:t>
            </w:r>
          </w:p>
        </w:tc>
      </w:tr>
      <w:tr>
        <w:trPr/>
        <w:tc>
          <w:tcPr>
            <w:tcW w:w="1205" w:type="dxa"/>
            <w:tcBorders/>
          </w:tcPr>
          <w:p>
            <w:pPr>
              <w:pStyle w:val="TableContents"/>
              <w:bidi w:val="0"/>
              <w:spacing w:before="0" w:after="0"/>
              <w:ind w:left="0" w:right="0" w:hanging="0"/>
              <w:jc w:val="left"/>
              <w:rPr>
                <w:rFonts w:cs="Times New Roman"/>
                <w:szCs w:val="24"/>
              </w:rPr>
            </w:pPr>
            <w:r>
              <w:rPr>
                <w:rFonts w:cs="Times New Roman"/>
                <w:szCs w:val="24"/>
              </w:rPr>
              <w:t>﻿</w:t>
            </w:r>
          </w:p>
        </w:tc>
        <w:tc>
          <w:tcPr>
            <w:tcW w:w="4430" w:type="dxa"/>
            <w:tcBorders/>
          </w:tcPr>
          <w:p>
            <w:pPr>
              <w:pStyle w:val="TableContents"/>
              <w:bidi w:val="0"/>
              <w:spacing w:before="0" w:after="480"/>
              <w:ind w:left="0" w:right="0" w:hanging="0"/>
              <w:jc w:val="left"/>
              <w:rPr>
                <w:rFonts w:ascii="Times New Roman" w:hAnsi="Times New Roman"/>
                <w:sz w:val="24"/>
              </w:rPr>
            </w:pPr>
            <w:r>
              <w:rPr>
                <w:rFonts w:ascii="Times New Roman" w:hAnsi="Times New Roman"/>
                <w:sz w:val="24"/>
              </w:rPr>
              <w:t>THE HUNTINGTON NATIONAL BANK</w:t>
            </w:r>
          </w:p>
          <w:p>
            <w:pPr>
              <w:pStyle w:val="TableContents"/>
              <w:bidi w:val="0"/>
              <w:spacing w:before="0" w:after="0"/>
              <w:ind w:left="0" w:right="0" w:hanging="0"/>
              <w:jc w:val="left"/>
              <w:rPr>
                <w:rFonts w:ascii="Times New Roman" w:hAnsi="Times New Roman"/>
                <w:sz w:val="24"/>
              </w:rPr>
            </w:pPr>
            <w:r>
              <w:rPr>
                <w:rFonts w:ascii="Times New Roman" w:hAnsi="Times New Roman"/>
                <w:sz w:val="24"/>
              </w:rPr>
              <w:t>By:</w:t>
            </w:r>
            <w:r>
              <w:rPr>
                <w:rFonts w:ascii="Times New Roman" w:hAnsi="Times New Roman"/>
                <w:sz w:val="24"/>
                <w:u w:val="single"/>
              </w:rPr>
              <w:t>/s/ Nolan Woodbury</w:t>
            </w:r>
          </w:p>
          <w:p>
            <w:pPr>
              <w:pStyle w:val="TableContents"/>
              <w:bidi w:val="0"/>
              <w:spacing w:before="0" w:after="0"/>
              <w:ind w:left="0" w:right="0" w:hanging="0"/>
              <w:jc w:val="left"/>
              <w:rPr>
                <w:rFonts w:ascii="Times New Roman" w:hAnsi="Times New Roman"/>
                <w:sz w:val="24"/>
              </w:rPr>
            </w:pPr>
            <w:r>
              <w:rPr>
                <w:rFonts w:ascii="Times New Roman" w:hAnsi="Times New Roman"/>
                <w:sz w:val="24"/>
              </w:rPr>
              <w:t>Name: Nolan Woodbury</w:t>
            </w:r>
          </w:p>
          <w:p>
            <w:pPr>
              <w:pStyle w:val="TableContents"/>
              <w:bidi w:val="0"/>
              <w:spacing w:before="0" w:after="480"/>
              <w:ind w:left="0" w:right="0" w:hanging="0"/>
              <w:jc w:val="left"/>
              <w:rPr>
                <w:rFonts w:ascii="Times New Roman" w:hAnsi="Times New Roman"/>
                <w:sz w:val="24"/>
              </w:rPr>
            </w:pPr>
            <w:r>
              <w:rPr>
                <w:rFonts w:ascii="Times New Roman" w:hAnsi="Times New Roman"/>
                <w:sz w:val="24"/>
              </w:rPr>
              <w:t>Title: Director</w:t>
            </w:r>
          </w:p>
        </w:tc>
      </w:tr>
      <w:tr>
        <w:trPr/>
        <w:tc>
          <w:tcPr>
            <w:tcW w:w="1205" w:type="dxa"/>
            <w:tcBorders/>
          </w:tcPr>
          <w:p>
            <w:pPr>
              <w:pStyle w:val="TableContents"/>
              <w:bidi w:val="0"/>
              <w:spacing w:before="0" w:after="0"/>
              <w:ind w:left="0" w:right="0" w:hanging="0"/>
              <w:jc w:val="left"/>
              <w:rPr>
                <w:rFonts w:cs="Times New Roman"/>
                <w:bCs/>
                <w:szCs w:val="24"/>
              </w:rPr>
            </w:pPr>
            <w:r>
              <w:rPr>
                <w:rFonts w:cs="Times New Roman"/>
                <w:bCs/>
                <w:szCs w:val="24"/>
              </w:rPr>
              <w:t>﻿</w:t>
            </w:r>
          </w:p>
        </w:tc>
        <w:tc>
          <w:tcPr>
            <w:tcW w:w="4430" w:type="dxa"/>
            <w:tcBorders/>
          </w:tcPr>
          <w:p>
            <w:pPr>
              <w:pStyle w:val="TableContents"/>
              <w:bidi w:val="0"/>
              <w:spacing w:before="0" w:after="480"/>
              <w:ind w:left="0" w:right="0" w:hanging="0"/>
              <w:jc w:val="left"/>
              <w:rPr>
                <w:rFonts w:ascii="Times New Roman" w:hAnsi="Times New Roman"/>
                <w:sz w:val="24"/>
              </w:rPr>
            </w:pPr>
            <w:r>
              <w:rPr>
                <w:rFonts w:ascii="Times New Roman" w:hAnsi="Times New Roman"/>
                <w:sz w:val="24"/>
              </w:rPr>
              <w:t>CITIZENS BANK, N.A.</w:t>
            </w:r>
          </w:p>
          <w:p>
            <w:pPr>
              <w:pStyle w:val="TableContents"/>
              <w:bidi w:val="0"/>
              <w:spacing w:before="0" w:after="0"/>
              <w:ind w:left="0" w:right="0" w:hanging="0"/>
              <w:jc w:val="left"/>
              <w:rPr>
                <w:rFonts w:ascii="Times New Roman" w:hAnsi="Times New Roman"/>
                <w:sz w:val="24"/>
              </w:rPr>
            </w:pPr>
            <w:r>
              <w:rPr>
                <w:rFonts w:ascii="Times New Roman" w:hAnsi="Times New Roman"/>
                <w:sz w:val="24"/>
              </w:rPr>
              <w:t>By:</w:t>
            </w:r>
            <w:r>
              <w:rPr>
                <w:rFonts w:ascii="Times New Roman" w:hAnsi="Times New Roman"/>
                <w:sz w:val="24"/>
                <w:u w:val="single"/>
              </w:rPr>
              <w:t>/s/ He-Young S. Ryu</w:t>
            </w:r>
          </w:p>
          <w:p>
            <w:pPr>
              <w:pStyle w:val="TableContents"/>
              <w:bidi w:val="0"/>
              <w:spacing w:before="0" w:after="0"/>
              <w:ind w:left="0" w:right="0" w:hanging="0"/>
              <w:jc w:val="left"/>
              <w:rPr>
                <w:rFonts w:ascii="Times New Roman" w:hAnsi="Times New Roman"/>
                <w:sz w:val="24"/>
              </w:rPr>
            </w:pPr>
            <w:r>
              <w:rPr>
                <w:rFonts w:ascii="Times New Roman" w:hAnsi="Times New Roman"/>
                <w:sz w:val="24"/>
              </w:rPr>
              <w:t>Name: He-Young S. Ryu</w:t>
            </w:r>
          </w:p>
          <w:p>
            <w:pPr>
              <w:pStyle w:val="TableContents"/>
              <w:bidi w:val="0"/>
              <w:spacing w:before="0" w:after="0"/>
              <w:ind w:left="0" w:right="0" w:hanging="0"/>
              <w:jc w:val="left"/>
              <w:rPr>
                <w:rFonts w:ascii="Times New Roman" w:hAnsi="Times New Roman"/>
                <w:sz w:val="24"/>
              </w:rPr>
            </w:pPr>
            <w:r>
              <w:rPr>
                <w:rFonts w:ascii="Times New Roman" w:hAnsi="Times New Roman"/>
                <w:sz w:val="24"/>
              </w:rPr>
              <w:t>Title: Senior Vice President</w:t>
            </w:r>
          </w:p>
        </w:tc>
      </w:tr>
    </w:tbl>
    <w:p>
      <w:pPr>
        <w:pStyle w:val="TextBody"/>
        <w:bidi w:val="0"/>
        <w:spacing w:before="0" w:after="0"/>
        <w:ind w:left="1440" w:right="1440" w:hanging="0"/>
        <w:jc w:val="left"/>
        <w:rPr>
          <w:rFonts w:cs="Times New Roman"/>
          <w:szCs w:val="24"/>
        </w:rPr>
      </w:pPr>
      <w:r>
        <w:rPr>
          <w:rFonts w:cs="Times New Roman"/>
          <w:szCs w:val="24"/>
        </w:rPr>
        <w:t xml:space="preserve">﻿ </w:t>
      </w:r>
    </w:p>
    <w:p>
      <w:pPr>
        <w:pStyle w:val="TextBody"/>
        <w:bidi w:val="0"/>
        <w:spacing w:before="0" w:after="0"/>
        <w:ind w:left="1440" w:right="1440" w:hanging="0"/>
        <w:jc w:val="left"/>
        <w:rPr>
          <w:rFonts w:ascii="Times New Roman" w:hAnsi="Times New Roman"/>
          <w:sz w:val="16"/>
        </w:rPr>
      </w:pPr>
      <w:r>
        <w:rPr>
          <w:rFonts w:ascii="Arial" w:hAnsi="Arial"/>
          <w:sz w:val="16"/>
        </w:rPr>
        <w:t>#4903-9762-9597</w:t>
      </w:r>
      <w:r>
        <w:rPr>
          <w:rFonts w:ascii="Times New Roman" w:hAnsi="Times New Roman"/>
          <w:sz w:val="16"/>
        </w:rPr>
        <w:t xml:space="preserve"> </w:t>
      </w:r>
    </w:p>
    <w:p>
      <w:pPr>
        <w:pStyle w:val="HorizontalLine"/>
        <w:pBdr>
          <w:bottom w:val="double" w:sz="6" w:space="0" w:color="808080"/>
        </w:pBdr>
        <w:bidi w:val="0"/>
        <w:ind w:left="1440" w:right="1440" w:hanging="0"/>
        <w:jc w:val="left"/>
        <w:rPr/>
      </w:pPr>
      <w:r>
        <w:rPr/>
      </w:r>
    </w:p>
    <w:p>
      <w:pPr>
        <w:pStyle w:val="TextBody"/>
        <w:bidi w:val="0"/>
        <w:spacing w:before="0" w:after="0"/>
        <w:ind w:left="1440" w:right="1440" w:hanging="0"/>
        <w:jc w:val="right"/>
        <w:rPr>
          <w:rFonts w:ascii="Times New Roman" w:hAnsi="Times New Roman"/>
          <w:sz w:val="24"/>
        </w:rPr>
      </w:pPr>
      <w:bookmarkStart w:id="44" w:name="wtrg-20260630xex10_3.htm"/>
      <w:bookmarkStart w:id="45" w:name="kswtrg20260630xex10_3"/>
      <w:bookmarkEnd w:id="44"/>
      <w:bookmarkEnd w:id="45"/>
      <w:r>
        <w:rPr>
          <w:rFonts w:ascii="Times New Roman" w:hAnsi="Times New Roman"/>
          <w:b/>
          <w:sz w:val="24"/>
        </w:rPr>
        <w:t>Exhibit 10.3</w:t>
      </w:r>
      <w:r>
        <w:rPr>
          <w:rFonts w:ascii="Times New Roman" w:hAnsi="Times New Roman"/>
          <w:sz w:val="24"/>
        </w:rPr>
        <w:t xml:space="preserve"> </w:t>
      </w:r>
      <w:r>
        <w:br w:type="page"/>
      </w:r>
    </w:p>
    <w:p>
      <w:pPr>
        <w:pStyle w:val="TextBody"/>
        <w:bidi w:val="0"/>
        <w:spacing w:before="0" w:after="240"/>
        <w:ind w:left="1440" w:right="1440" w:hanging="0"/>
        <w:jc w:val="center"/>
        <w:rPr>
          <w:rFonts w:ascii="Times New Roman" w:hAnsi="Times New Roman"/>
          <w:b/>
          <w:strike w:val="false"/>
          <w:dstrike w:val="false"/>
          <w:sz w:val="24"/>
          <w:u w:val="none"/>
          <w:effect w:val="none"/>
        </w:rPr>
      </w:pPr>
      <w:r>
        <w:rPr>
          <w:rFonts w:ascii="Times New Roman" w:hAnsi="Times New Roman"/>
          <w:b/>
          <w:strike w:val="false"/>
          <w:dstrike w:val="false"/>
          <w:sz w:val="24"/>
          <w:u w:val="none"/>
          <w:effect w:val="none"/>
        </w:rPr>
        <w:t>FIRST AMENDMENT TO SECOND AMENDED AND RESTATED CREDIT AGREEMENT</w:t>
      </w:r>
    </w:p>
    <w:p>
      <w:pPr>
        <w:pStyle w:val="TextBody"/>
        <w:bidi w:val="0"/>
        <w:spacing w:before="0" w:after="240"/>
        <w:ind w:left="1440" w:right="1440" w:firstLine="1440"/>
        <w:jc w:val="both"/>
        <w:rPr>
          <w:rFonts w:ascii="Times New Roman" w:hAnsi="Times New Roman"/>
          <w:sz w:val="24"/>
        </w:rPr>
      </w:pPr>
      <w:r>
        <w:rPr>
          <w:rFonts w:ascii="Times New Roman" w:hAnsi="Times New Roman"/>
          <w:sz w:val="24"/>
        </w:rPr>
        <w:t>THIS FIRST AMENDMENT TO SECOND AMENDED AND RESTATED CREDIT AGREEMENT (this “</w:t>
      </w:r>
      <w:r>
        <w:rPr>
          <w:rFonts w:ascii="Times New Roman" w:hAnsi="Times New Roman"/>
          <w:sz w:val="24"/>
          <w:u w:val="single"/>
        </w:rPr>
        <w:t>Agreement</w:t>
      </w:r>
      <w:r>
        <w:rPr>
          <w:rFonts w:ascii="Times New Roman" w:hAnsi="Times New Roman"/>
          <w:sz w:val="24"/>
        </w:rPr>
        <w:t>”) is made as of May 1, 2026 (the “</w:t>
      </w:r>
      <w:r>
        <w:rPr>
          <w:rFonts w:ascii="Times New Roman" w:hAnsi="Times New Roman"/>
          <w:sz w:val="24"/>
          <w:u w:val="single"/>
        </w:rPr>
        <w:t>Effective Date</w:t>
      </w:r>
      <w:r>
        <w:rPr>
          <w:rFonts w:ascii="Times New Roman" w:hAnsi="Times New Roman"/>
          <w:sz w:val="24"/>
        </w:rPr>
        <w:t>”), by and among AQUA PENNSYLVANIA, INC., a Pennsylvania corporation (the “</w:t>
      </w:r>
      <w:r>
        <w:rPr>
          <w:rFonts w:ascii="Times New Roman" w:hAnsi="Times New Roman"/>
          <w:sz w:val="24"/>
          <w:u w:val="single"/>
        </w:rPr>
        <w:t>Borrower</w:t>
      </w:r>
      <w:r>
        <w:rPr>
          <w:rFonts w:ascii="Times New Roman" w:hAnsi="Times New Roman"/>
          <w:sz w:val="24"/>
        </w:rPr>
        <w:t>”), the several banks and financial institutions which are parties to this Agreement (each a “</w:t>
      </w:r>
      <w:r>
        <w:rPr>
          <w:rFonts w:ascii="Times New Roman" w:hAnsi="Times New Roman"/>
          <w:sz w:val="24"/>
          <w:u w:val="single"/>
        </w:rPr>
        <w:t>Bank</w:t>
      </w:r>
      <w:r>
        <w:rPr>
          <w:rFonts w:ascii="Times New Roman" w:hAnsi="Times New Roman"/>
          <w:sz w:val="24"/>
        </w:rPr>
        <w:t>” and collectively, the “</w:t>
      </w:r>
      <w:r>
        <w:rPr>
          <w:rFonts w:ascii="Times New Roman" w:hAnsi="Times New Roman"/>
          <w:sz w:val="24"/>
          <w:u w:val="single"/>
        </w:rPr>
        <w:t>Banks</w:t>
      </w:r>
      <w:r>
        <w:rPr>
          <w:rFonts w:ascii="Times New Roman" w:hAnsi="Times New Roman"/>
          <w:sz w:val="24"/>
        </w:rPr>
        <w:t>”) and PNC BANK, NATIONAL ASSOCIATION in its capacity as agent for the Banks (in such capacity, the “</w:t>
      </w:r>
      <w:r>
        <w:rPr>
          <w:rFonts w:ascii="Times New Roman" w:hAnsi="Times New Roman"/>
          <w:sz w:val="24"/>
          <w:u w:val="single"/>
        </w:rPr>
        <w:t>Agent</w:t>
      </w:r>
      <w:r>
        <w:rPr>
          <w:rFonts w:ascii="Times New Roman" w:hAnsi="Times New Roman"/>
          <w:sz w:val="24"/>
        </w:rPr>
        <w:t>”)</w:t>
      </w:r>
      <w:bookmarkStart w:id="46" w:name="_9kR3WTr5DA459"/>
      <w:bookmarkEnd w:id="46"/>
      <w:r>
        <w:rPr>
          <w:rFonts w:ascii="Times New Roman" w:hAnsi="Times New Roman"/>
          <w:sz w:val="24"/>
        </w:rPr>
        <w:t xml:space="preserve">.   </w:t>
      </w:r>
    </w:p>
    <w:p>
      <w:pPr>
        <w:pStyle w:val="TextBody"/>
        <w:bidi w:val="0"/>
        <w:spacing w:before="0" w:after="240"/>
        <w:ind w:left="1440" w:right="1440" w:hanging="0"/>
        <w:jc w:val="center"/>
        <w:rPr>
          <w:rFonts w:ascii="Times New Roman" w:hAnsi="Times New Roman"/>
          <w:sz w:val="24"/>
        </w:rPr>
      </w:pPr>
      <w:r>
        <w:rPr>
          <w:rFonts w:ascii="Times New Roman" w:hAnsi="Times New Roman"/>
          <w:sz w:val="24"/>
          <w:u w:val="single"/>
        </w:rPr>
        <w:t>BACKGROUND</w:t>
      </w:r>
      <w:r>
        <w:rPr>
          <w:rFonts w:ascii="Times New Roman" w:hAnsi="Times New Roman"/>
          <w:sz w:val="24"/>
        </w:rPr>
        <w:t xml:space="preserve"> </w:t>
      </w:r>
    </w:p>
    <w:tbl>
      <w:tblPr>
        <w:tblW w:w="7325" w:type="dxa"/>
        <w:jc w:val="left"/>
        <w:tblInd w:w="1440" w:type="dxa"/>
        <w:tblLayout w:type="fixed"/>
        <w:tblCellMar>
          <w:top w:w="0" w:type="dxa"/>
          <w:left w:w="0" w:type="dxa"/>
          <w:bottom w:w="0" w:type="dxa"/>
          <w:right w:w="0" w:type="dxa"/>
        </w:tblCellMar>
      </w:tblPr>
      <w:tblGrid>
        <w:gridCol w:w="735"/>
        <w:gridCol w:w="659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590" w:type="dxa"/>
            <w:tcBorders/>
          </w:tcPr>
          <w:p>
            <w:pPr>
              <w:pStyle w:val="TableContents"/>
              <w:pBdr/>
              <w:bidi w:val="0"/>
              <w:spacing w:before="0" w:after="240"/>
              <w:ind w:left="0" w:right="0" w:firstLine="720"/>
              <w:jc w:val="both"/>
              <w:rPr>
                <w:rFonts w:ascii="Times New Roman" w:hAnsi="Times New Roman"/>
                <w:sz w:val="24"/>
              </w:rPr>
            </w:pPr>
            <w:r>
              <w:rPr>
                <w:rFonts w:ascii="Times New Roman" w:hAnsi="Times New Roman"/>
                <w:sz w:val="24"/>
              </w:rPr>
              <w:t>A.</w:t>
            </w:r>
            <w:r>
              <w:rPr>
                <w:rFonts w:ascii="Times New Roman" w:hAnsi="Times New Roman"/>
                <w:sz w:val="24"/>
              </w:rPr>
              <w:t xml:space="preserve"> </w:t>
            </w:r>
            <w:r>
              <w:rPr>
                <w:rFonts w:ascii="Times New Roman" w:hAnsi="Times New Roman"/>
                <w:color w:val="000000"/>
                <w:sz w:val="24"/>
              </w:rPr>
              <w:t>The Borrower, the Agent and the Banks are parties to the Second Amended and Restated Credit Agreement, dated as of June 3, 2025 (as heretofore amended, supplemented, modified, or restated, the “</w:t>
            </w:r>
            <w:r>
              <w:rPr>
                <w:rFonts w:ascii="Times New Roman" w:hAnsi="Times New Roman"/>
                <w:color w:val="000000"/>
                <w:sz w:val="24"/>
                <w:u w:val="single"/>
              </w:rPr>
              <w:t>Existing Credit Agreement</w:t>
            </w:r>
            <w:r>
              <w:rPr>
                <w:rFonts w:ascii="Times New Roman" w:hAnsi="Times New Roman"/>
                <w:color w:val="000000"/>
                <w:sz w:val="24"/>
              </w:rPr>
              <w:t>”; the Existing Credit Agreement, as amended by this Agreement and as may be further amended, supplemented, modified or restated from time to time, the “</w:t>
            </w:r>
            <w:r>
              <w:rPr>
                <w:rFonts w:ascii="Times New Roman" w:hAnsi="Times New Roman"/>
                <w:color w:val="000000"/>
                <w:sz w:val="24"/>
                <w:u w:val="single"/>
              </w:rPr>
              <w:t>Amended Credit Agreement</w:t>
            </w:r>
            <w:r>
              <w:rPr>
                <w:rFonts w:ascii="Times New Roman" w:hAnsi="Times New Roman"/>
                <w:color w:val="000000"/>
                <w:sz w:val="24"/>
              </w:rPr>
              <w:t>”), pursuant to which the Banks have made available to the Borrower a revolving credit facility in an aggregate amount of $100,000,000 (the “</w:t>
            </w:r>
            <w:r>
              <w:rPr>
                <w:rFonts w:ascii="Times New Roman" w:hAnsi="Times New Roman"/>
                <w:color w:val="000000"/>
                <w:sz w:val="24"/>
                <w:u w:val="single"/>
              </w:rPr>
              <w:t>Facility</w:t>
            </w:r>
            <w:r>
              <w:rPr>
                <w:rFonts w:ascii="Times New Roman" w:hAnsi="Times New Roman"/>
                <w:color w:val="000000"/>
                <w:sz w:val="24"/>
              </w:rPr>
              <w:t>”).  The loans under the Facility are evidenced by the Borrower’s Notes to the Banks in the aggregate principal amount of $100,000,000. </w:t>
            </w:r>
          </w:p>
        </w:tc>
      </w:tr>
    </w:tbl>
    <w:tbl>
      <w:tblPr>
        <w:tblW w:w="7325" w:type="dxa"/>
        <w:jc w:val="left"/>
        <w:tblInd w:w="1440" w:type="dxa"/>
        <w:tblLayout w:type="fixed"/>
        <w:tblCellMar>
          <w:top w:w="0" w:type="dxa"/>
          <w:left w:w="0" w:type="dxa"/>
          <w:bottom w:w="0" w:type="dxa"/>
          <w:right w:w="0" w:type="dxa"/>
        </w:tblCellMar>
      </w:tblPr>
      <w:tblGrid>
        <w:gridCol w:w="735"/>
        <w:gridCol w:w="659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590" w:type="dxa"/>
            <w:tcBorders/>
          </w:tcPr>
          <w:p>
            <w:pPr>
              <w:pStyle w:val="TableContents"/>
              <w:pBdr/>
              <w:bidi w:val="0"/>
              <w:spacing w:before="0" w:after="240"/>
              <w:ind w:left="0" w:right="0" w:firstLine="720"/>
              <w:jc w:val="both"/>
              <w:rPr>
                <w:rFonts w:ascii="Times New Roman" w:hAnsi="Times New Roman"/>
                <w:sz w:val="24"/>
              </w:rPr>
            </w:pPr>
            <w:r>
              <w:rPr>
                <w:rFonts w:ascii="Times New Roman" w:hAnsi="Times New Roman"/>
                <w:sz w:val="24"/>
              </w:rPr>
              <w:t>B.</w:t>
            </w:r>
            <w:r>
              <w:rPr>
                <w:rFonts w:ascii="Times New Roman" w:hAnsi="Times New Roman"/>
                <w:sz w:val="24"/>
              </w:rPr>
              <w:t xml:space="preserve"> </w:t>
            </w:r>
            <w:r>
              <w:rPr>
                <w:rFonts w:ascii="Times New Roman" w:hAnsi="Times New Roman"/>
                <w:color w:val="000000"/>
                <w:sz w:val="24"/>
              </w:rPr>
              <w:t>The Borrower, the Agent and the Banks desire to extend the Termination Date of the Facility on the terms and subject to the conditions herein set forth.</w:t>
            </w:r>
          </w:p>
        </w:tc>
      </w:tr>
    </w:tbl>
    <w:p>
      <w:pPr>
        <w:pStyle w:val="TextBody"/>
        <w:bidi w:val="0"/>
        <w:spacing w:before="0" w:after="240"/>
        <w:ind w:left="1440" w:right="1440" w:firstLine="1440"/>
        <w:jc w:val="both"/>
        <w:rPr>
          <w:rFonts w:ascii="Times New Roman" w:hAnsi="Times New Roman"/>
          <w:sz w:val="24"/>
        </w:rPr>
      </w:pPr>
      <w:r>
        <w:rPr>
          <w:rFonts w:ascii="Times New Roman" w:hAnsi="Times New Roman"/>
          <w:color w:val="000000"/>
          <w:sz w:val="24"/>
        </w:rPr>
        <w:t>NOW THEREFORE, the parties hereto, intending to be legally bound hereby, agree as follows:</w:t>
      </w:r>
      <w:r>
        <w:rPr>
          <w:rFonts w:ascii="Times New Roman" w:hAnsi="Times New Roman"/>
          <w:sz w:val="24"/>
        </w:rPr>
        <w:t xml:space="preserve"> </w:t>
      </w:r>
    </w:p>
    <w:p>
      <w:pPr>
        <w:pStyle w:val="TextBody"/>
        <w:bidi w:val="0"/>
        <w:spacing w:before="0" w:after="240"/>
        <w:ind w:left="1440" w:right="1440" w:hanging="0"/>
        <w:jc w:val="center"/>
        <w:rPr>
          <w:rFonts w:ascii="Times New Roman" w:hAnsi="Times New Roman"/>
          <w:sz w:val="24"/>
        </w:rPr>
      </w:pPr>
      <w:r>
        <w:rPr>
          <w:rFonts w:ascii="Times New Roman" w:hAnsi="Times New Roman"/>
          <w:color w:val="000000"/>
          <w:sz w:val="24"/>
          <w:u w:val="single"/>
        </w:rPr>
        <w:t>AGREEMENT</w:t>
      </w:r>
      <w:r>
        <w:rPr>
          <w:rFonts w:ascii="Times New Roman" w:hAnsi="Times New Roman"/>
          <w:sz w:val="24"/>
        </w:rPr>
        <w:t xml:space="preserve"> </w:t>
      </w:r>
    </w:p>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color w:val="000000"/>
                <w:sz w:val="24"/>
              </w:rPr>
            </w:pPr>
            <w:r>
              <w:rPr>
                <w:rFonts w:ascii="Times New Roman" w:hAnsi="Times New Roman"/>
                <w:strike w:val="false"/>
                <w:dstrike w:val="false"/>
                <w:color w:val="010000"/>
                <w:sz w:val="24"/>
                <w:u w:val="none"/>
                <w:effect w:val="none"/>
              </w:rPr>
              <w:t>1.</w:t>
            </w:r>
            <w:r>
              <w:rPr>
                <w:rFonts w:ascii="Times New Roman" w:hAnsi="Times New Roman"/>
                <w:color w:val="000000"/>
                <w:sz w:val="24"/>
              </w:rPr>
              <w:t xml:space="preserve"> </w:t>
            </w:r>
            <w:r>
              <w:rPr>
                <w:rFonts w:ascii="Times New Roman" w:hAnsi="Times New Roman"/>
                <w:color w:val="000000"/>
                <w:sz w:val="24"/>
                <w:u w:val="single"/>
              </w:rPr>
              <w:t>Terms</w:t>
            </w:r>
            <w:r>
              <w:rPr>
                <w:rFonts w:ascii="Times New Roman" w:hAnsi="Times New Roman"/>
                <w:color w:val="000000"/>
                <w:sz w:val="24"/>
              </w:rPr>
              <w:t>.  Capitalized terms used herein and not otherwise defined herein shall have the meanings given to such terms in the Existing Credit Agreement.</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color w:val="000000"/>
                <w:sz w:val="24"/>
              </w:rPr>
            </w:pPr>
            <w:r>
              <w:rPr>
                <w:rFonts w:ascii="Times New Roman" w:hAnsi="Times New Roman"/>
                <w:strike w:val="false"/>
                <w:dstrike w:val="false"/>
                <w:color w:val="010000"/>
                <w:sz w:val="24"/>
                <w:u w:val="none"/>
                <w:effect w:val="none"/>
              </w:rPr>
              <w:t>2.</w:t>
            </w:r>
            <w:r>
              <w:rPr>
                <w:rFonts w:ascii="Times New Roman" w:hAnsi="Times New Roman"/>
                <w:color w:val="000000"/>
                <w:sz w:val="24"/>
              </w:rPr>
              <w:t xml:space="preserve"> </w:t>
            </w:r>
            <w:r>
              <w:rPr>
                <w:rFonts w:ascii="Times New Roman" w:hAnsi="Times New Roman"/>
                <w:color w:val="000000"/>
                <w:sz w:val="24"/>
                <w:u w:val="single"/>
              </w:rPr>
              <w:t>Amendments to Existing Credit Agreement</w:t>
            </w:r>
            <w:r>
              <w:rPr>
                <w:rFonts w:ascii="Times New Roman" w:hAnsi="Times New Roman"/>
                <w:color w:val="000000"/>
                <w:sz w:val="24"/>
              </w:rPr>
              <w:t>.  Effective on the Effective Date, the Existing Credit Agreement is hereby amended as follows:</w:t>
            </w:r>
          </w:p>
        </w:tc>
      </w:tr>
    </w:tbl>
    <w:tbl>
      <w:tblPr>
        <w:tblW w:w="7325" w:type="dxa"/>
        <w:jc w:val="left"/>
        <w:tblInd w:w="1440" w:type="dxa"/>
        <w:tblLayout w:type="fixed"/>
        <w:tblCellMar>
          <w:top w:w="0" w:type="dxa"/>
          <w:left w:w="0" w:type="dxa"/>
          <w:bottom w:w="0" w:type="dxa"/>
          <w:right w:w="0" w:type="dxa"/>
        </w:tblCellMar>
      </w:tblPr>
      <w:tblGrid>
        <w:gridCol w:w="2175"/>
        <w:gridCol w:w="5150"/>
      </w:tblGrid>
      <w:tr>
        <w:trPr/>
        <w:tc>
          <w:tcPr>
            <w:tcW w:w="2175" w:type="dxa"/>
            <w:tcBorders/>
            <w:vAlign w:val="center"/>
          </w:tcPr>
          <w:p>
            <w:pPr>
              <w:pStyle w:val="TableContents"/>
              <w:bidi w:val="0"/>
              <w:spacing w:before="0" w:after="283"/>
              <w:ind w:left="0" w:right="0" w:firstLine="2160"/>
              <w:jc w:val="left"/>
              <w:rPr>
                <w:sz w:val="4"/>
                <w:szCs w:val="4"/>
              </w:rPr>
            </w:pPr>
            <w:r>
              <w:rPr>
                <w:sz w:val="4"/>
                <w:szCs w:val="4"/>
              </w:rPr>
            </w:r>
          </w:p>
        </w:tc>
        <w:tc>
          <w:tcPr>
            <w:tcW w:w="5150" w:type="dxa"/>
            <w:tcBorders/>
          </w:tcPr>
          <w:p>
            <w:pPr>
              <w:pStyle w:val="TableContents"/>
              <w:bidi w:val="0"/>
              <w:spacing w:before="0" w:after="240"/>
              <w:ind w:left="0" w:right="0" w:firstLine="2160"/>
              <w:jc w:val="both"/>
              <w:rPr>
                <w:rFonts w:ascii="Times New Roman" w:hAnsi="Times New Roman"/>
                <w:color w:val="000000"/>
                <w:sz w:val="24"/>
              </w:rPr>
            </w:pPr>
            <w:r>
              <w:rPr>
                <w:rFonts w:ascii="Times New Roman" w:hAnsi="Times New Roman"/>
                <w:strike w:val="false"/>
                <w:dstrike w:val="false"/>
                <w:color w:val="000000"/>
                <w:sz w:val="24"/>
                <w:u w:val="none"/>
                <w:effect w:val="none"/>
              </w:rPr>
              <w:t>(a)</w:t>
            </w:r>
            <w:r>
              <w:rPr>
                <w:rFonts w:ascii="Times New Roman" w:hAnsi="Times New Roman"/>
                <w:color w:val="000000"/>
                <w:sz w:val="24"/>
              </w:rPr>
              <w:t xml:space="preserve"> The following definition in Section 1.1 shall be amended and restated to read in full as follows:</w:t>
            </w:r>
          </w:p>
        </w:tc>
      </w:tr>
    </w:tbl>
    <w:p>
      <w:pPr>
        <w:pStyle w:val="TextBody"/>
        <w:bidi w:val="0"/>
        <w:spacing w:before="0" w:after="240"/>
        <w:ind w:left="4320" w:right="2160" w:hanging="0"/>
        <w:jc w:val="both"/>
        <w:rPr/>
      </w:pPr>
      <w:r>
        <w:rPr>
          <w:color w:val="000000"/>
        </w:rPr>
        <w:t>“</w:t>
      </w:r>
      <w:r>
        <w:rPr>
          <w:rFonts w:ascii="Times New Roman" w:hAnsi="Times New Roman"/>
          <w:color w:val="000000"/>
          <w:sz w:val="24"/>
          <w:u w:val="single"/>
        </w:rPr>
        <w:t>Termination Date</w:t>
      </w:r>
      <w:r>
        <w:rPr>
          <w:rFonts w:ascii="Times New Roman" w:hAnsi="Times New Roman"/>
          <w:color w:val="000000"/>
          <w:sz w:val="24"/>
        </w:rPr>
        <w:t>”:  the earlier of (a) April 29, 2027 or any later date to which the Termination Date shall have been extended pursuant to subsection 2.8(d) hereof and (b) the date the Commitments are terminated as provided herein.  </w:t>
      </w:r>
      <w:r>
        <w:rPr>
          <w:rFonts w:ascii="Times New Roman" w:hAnsi="Times New Roman"/>
          <w:sz w:val="24"/>
        </w:rPr>
        <w:t xml:space="preserve"> </w:t>
      </w:r>
    </w:p>
    <w:p>
      <w:pPr>
        <w:pStyle w:val="TextBody"/>
        <w:bidi w:val="0"/>
        <w:spacing w:before="0" w:after="0"/>
        <w:ind w:left="1440" w:right="1440" w:hanging="0"/>
        <w:jc w:val="left"/>
        <w:rPr>
          <w:strike w:val="false"/>
          <w:dstrike w:val="false"/>
          <w:u w:val="none"/>
          <w:effect w:val="none"/>
        </w:rPr>
      </w:pPr>
      <w:r>
        <w:rPr>
          <w:strike w:val="false"/>
          <w:dstrike w:val="false"/>
          <w:u w:val="none"/>
          <w:effect w:val="none"/>
        </w:rPr>
        <w:t xml:space="preserve">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color w:val="000000"/>
                <w:sz w:val="24"/>
              </w:rPr>
            </w:pPr>
            <w:r>
              <w:rPr>
                <w:rFonts w:ascii="Times New Roman" w:hAnsi="Times New Roman"/>
                <w:strike w:val="false"/>
                <w:dstrike w:val="false"/>
                <w:color w:val="010000"/>
                <w:sz w:val="24"/>
                <w:u w:val="none"/>
                <w:effect w:val="none"/>
              </w:rPr>
              <w:t>3.</w:t>
            </w:r>
            <w:r>
              <w:rPr>
                <w:rFonts w:ascii="Times New Roman" w:hAnsi="Times New Roman"/>
                <w:color w:val="000000"/>
                <w:sz w:val="24"/>
              </w:rPr>
              <w:t xml:space="preserve"> </w:t>
            </w:r>
            <w:r>
              <w:rPr>
                <w:rFonts w:ascii="Times New Roman" w:hAnsi="Times New Roman"/>
                <w:color w:val="000000"/>
                <w:sz w:val="24"/>
                <w:u w:val="single"/>
              </w:rPr>
              <w:t>Loan Documents</w:t>
            </w:r>
            <w:r>
              <w:rPr>
                <w:rFonts w:ascii="Times New Roman" w:hAnsi="Times New Roman"/>
                <w:color w:val="000000"/>
                <w:sz w:val="24"/>
              </w:rPr>
              <w:t>.  Except where the context clearly requires otherwise, all references to the Credit Agreement in any of the Loan Documents or any other document delivered to the Banks or the Agent in connection therewith shall be to the Amended Credit Agreement.</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color w:val="000000"/>
                <w:sz w:val="24"/>
              </w:rPr>
            </w:pPr>
            <w:r>
              <w:rPr>
                <w:rFonts w:ascii="Times New Roman" w:hAnsi="Times New Roman"/>
                <w:strike w:val="false"/>
                <w:dstrike w:val="false"/>
                <w:color w:val="010000"/>
                <w:sz w:val="24"/>
                <w:u w:val="none"/>
                <w:effect w:val="none"/>
              </w:rPr>
              <w:t>4.</w:t>
            </w:r>
            <w:r>
              <w:rPr>
                <w:rFonts w:ascii="Times New Roman" w:hAnsi="Times New Roman"/>
                <w:color w:val="000000"/>
                <w:sz w:val="24"/>
              </w:rPr>
              <w:t xml:space="preserve"> </w:t>
            </w:r>
            <w:r>
              <w:rPr>
                <w:rFonts w:ascii="Times New Roman" w:hAnsi="Times New Roman"/>
                <w:color w:val="000000"/>
                <w:sz w:val="24"/>
                <w:u w:val="single"/>
              </w:rPr>
              <w:t>Borrower’s Ratification</w:t>
            </w:r>
            <w:r>
              <w:rPr>
                <w:rFonts w:ascii="Times New Roman" w:hAnsi="Times New Roman"/>
                <w:color w:val="000000"/>
                <w:sz w:val="24"/>
              </w:rPr>
              <w:t>.  The Borrower agrees that it has no defenses, set-offs, counterclaims or challenges against the Banks or the Agent or their respective officers, directors, employees, agents or attorneys, with respect to the Loan Documents, all of which are in full force and effect, and that all of the terms and conditions of the Loan Documents not inconsistent herewith shall remain in full force and effect unless and until modified or amended in writing in accordance with their terms.  The Borrower hereby ratifies and confirms its obligations under the Loan Documents as amended hereby and agrees that the execution and delivery of this Agreement does not in any way diminish or invalidate any of its obligations thereunder.</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color w:val="000000"/>
                <w:sz w:val="24"/>
              </w:rPr>
            </w:pPr>
            <w:r>
              <w:rPr>
                <w:rFonts w:ascii="Times New Roman" w:hAnsi="Times New Roman"/>
                <w:strike w:val="false"/>
                <w:dstrike w:val="false"/>
                <w:color w:val="010000"/>
                <w:sz w:val="24"/>
                <w:u w:val="none"/>
                <w:effect w:val="none"/>
              </w:rPr>
              <w:t>5.</w:t>
            </w:r>
            <w:r>
              <w:rPr>
                <w:rFonts w:ascii="Times New Roman" w:hAnsi="Times New Roman"/>
                <w:color w:val="000000"/>
                <w:sz w:val="24"/>
              </w:rPr>
              <w:t xml:space="preserve"> </w:t>
            </w:r>
            <w:r>
              <w:rPr>
                <w:rFonts w:ascii="Times New Roman" w:hAnsi="Times New Roman"/>
                <w:color w:val="000000"/>
                <w:sz w:val="24"/>
                <w:u w:val="single"/>
              </w:rPr>
              <w:t>Representations and Warranties</w:t>
            </w:r>
            <w:r>
              <w:rPr>
                <w:rFonts w:ascii="Times New Roman" w:hAnsi="Times New Roman"/>
                <w:color w:val="000000"/>
                <w:sz w:val="24"/>
              </w:rPr>
              <w:t>.  The Borrower hereby represents and warrants to the Agent and the Banks that:</w:t>
            </w:r>
          </w:p>
        </w:tc>
      </w:tr>
    </w:tbl>
    <w:tbl>
      <w:tblPr>
        <w:tblW w:w="7325" w:type="dxa"/>
        <w:jc w:val="left"/>
        <w:tblInd w:w="1440" w:type="dxa"/>
        <w:tblLayout w:type="fixed"/>
        <w:tblCellMar>
          <w:top w:w="0" w:type="dxa"/>
          <w:left w:w="0" w:type="dxa"/>
          <w:bottom w:w="0" w:type="dxa"/>
          <w:right w:w="0" w:type="dxa"/>
        </w:tblCellMar>
      </w:tblPr>
      <w:tblGrid>
        <w:gridCol w:w="2175"/>
        <w:gridCol w:w="5150"/>
      </w:tblGrid>
      <w:tr>
        <w:trPr/>
        <w:tc>
          <w:tcPr>
            <w:tcW w:w="2175" w:type="dxa"/>
            <w:tcBorders/>
            <w:vAlign w:val="center"/>
          </w:tcPr>
          <w:p>
            <w:pPr>
              <w:pStyle w:val="TableContents"/>
              <w:bidi w:val="0"/>
              <w:spacing w:before="0" w:after="283"/>
              <w:ind w:left="0" w:right="0" w:firstLine="2160"/>
              <w:jc w:val="left"/>
              <w:rPr>
                <w:sz w:val="4"/>
                <w:szCs w:val="4"/>
              </w:rPr>
            </w:pPr>
            <w:r>
              <w:rPr>
                <w:sz w:val="4"/>
                <w:szCs w:val="4"/>
              </w:rPr>
            </w:r>
          </w:p>
        </w:tc>
        <w:tc>
          <w:tcPr>
            <w:tcW w:w="5150" w:type="dxa"/>
            <w:tcBorders/>
          </w:tcPr>
          <w:p>
            <w:pPr>
              <w:pStyle w:val="TableContents"/>
              <w:pBdr/>
              <w:bidi w:val="0"/>
              <w:spacing w:before="0" w:after="240"/>
              <w:ind w:left="0" w:right="0" w:firstLine="2160"/>
              <w:jc w:val="both"/>
              <w:rPr>
                <w:rFonts w:ascii="Times New Roman" w:hAnsi="Times New Roman"/>
                <w:color w:val="000000"/>
                <w:sz w:val="24"/>
              </w:rPr>
            </w:pPr>
            <w:r>
              <w:rPr>
                <w:rFonts w:ascii="Times New Roman" w:hAnsi="Times New Roman"/>
                <w:strike w:val="false"/>
                <w:dstrike w:val="false"/>
                <w:color w:val="000000"/>
                <w:sz w:val="24"/>
                <w:u w:val="none"/>
                <w:effect w:val="none"/>
              </w:rPr>
              <w:t>(a)</w:t>
            </w:r>
            <w:r>
              <w:rPr>
                <w:rFonts w:ascii="Times New Roman" w:hAnsi="Times New Roman"/>
                <w:color w:val="000000"/>
                <w:sz w:val="24"/>
              </w:rPr>
              <w:t xml:space="preserve"> The representations and warranties made in the Existing Credit Agreement are true and correct in all material respects as of the date hereof; provided, however, that for purposes of the representations in Section 3.1 thereof, the annual and quarterly financial information referred to in such Section shall be deemed to be the most recent such information furnished to each Bank;</w:t>
            </w:r>
          </w:p>
        </w:tc>
      </w:tr>
    </w:tbl>
    <w:tbl>
      <w:tblPr>
        <w:tblW w:w="7325" w:type="dxa"/>
        <w:jc w:val="left"/>
        <w:tblInd w:w="1440" w:type="dxa"/>
        <w:tblLayout w:type="fixed"/>
        <w:tblCellMar>
          <w:top w:w="0" w:type="dxa"/>
          <w:left w:w="0" w:type="dxa"/>
          <w:bottom w:w="0" w:type="dxa"/>
          <w:right w:w="0" w:type="dxa"/>
        </w:tblCellMar>
      </w:tblPr>
      <w:tblGrid>
        <w:gridCol w:w="2175"/>
        <w:gridCol w:w="5150"/>
      </w:tblGrid>
      <w:tr>
        <w:trPr/>
        <w:tc>
          <w:tcPr>
            <w:tcW w:w="2175" w:type="dxa"/>
            <w:tcBorders/>
            <w:vAlign w:val="center"/>
          </w:tcPr>
          <w:p>
            <w:pPr>
              <w:pStyle w:val="TableContents"/>
              <w:bidi w:val="0"/>
              <w:spacing w:before="0" w:after="283"/>
              <w:ind w:left="0" w:right="0" w:firstLine="2160"/>
              <w:jc w:val="left"/>
              <w:rPr>
                <w:sz w:val="4"/>
                <w:szCs w:val="4"/>
              </w:rPr>
            </w:pPr>
            <w:r>
              <w:rPr>
                <w:sz w:val="4"/>
                <w:szCs w:val="4"/>
              </w:rPr>
            </w:r>
          </w:p>
        </w:tc>
        <w:tc>
          <w:tcPr>
            <w:tcW w:w="5150" w:type="dxa"/>
            <w:tcBorders/>
          </w:tcPr>
          <w:p>
            <w:pPr>
              <w:pStyle w:val="TableContents"/>
              <w:pBdr/>
              <w:bidi w:val="0"/>
              <w:spacing w:before="0" w:after="240"/>
              <w:ind w:left="0" w:right="0" w:firstLine="2160"/>
              <w:jc w:val="both"/>
              <w:rPr>
                <w:rFonts w:ascii="Times New Roman" w:hAnsi="Times New Roman"/>
                <w:color w:val="000000"/>
                <w:sz w:val="24"/>
              </w:rPr>
            </w:pPr>
            <w:r>
              <w:rPr>
                <w:rFonts w:ascii="Times New Roman" w:hAnsi="Times New Roman"/>
                <w:strike w:val="false"/>
                <w:dstrike w:val="false"/>
                <w:color w:val="000000"/>
                <w:sz w:val="24"/>
                <w:u w:val="none"/>
                <w:effect w:val="none"/>
              </w:rPr>
              <w:t>(b)</w:t>
            </w:r>
            <w:r>
              <w:rPr>
                <w:rFonts w:ascii="Times New Roman" w:hAnsi="Times New Roman"/>
                <w:color w:val="000000"/>
                <w:sz w:val="24"/>
              </w:rPr>
              <w:t xml:space="preserve"> Immediately before giving effect to this Agreement, there exists no Default or Event of Default under the Existing Credit Agreement, and immediately after giving effect to this Agreement there exists no Default or Event of Default under the Amended Credit Agreement;</w:t>
            </w:r>
          </w:p>
        </w:tc>
      </w:tr>
    </w:tbl>
    <w:tbl>
      <w:tblPr>
        <w:tblW w:w="7325" w:type="dxa"/>
        <w:jc w:val="left"/>
        <w:tblInd w:w="1440" w:type="dxa"/>
        <w:tblLayout w:type="fixed"/>
        <w:tblCellMar>
          <w:top w:w="0" w:type="dxa"/>
          <w:left w:w="0" w:type="dxa"/>
          <w:bottom w:w="0" w:type="dxa"/>
          <w:right w:w="0" w:type="dxa"/>
        </w:tblCellMar>
      </w:tblPr>
      <w:tblGrid>
        <w:gridCol w:w="2175"/>
        <w:gridCol w:w="5150"/>
      </w:tblGrid>
      <w:tr>
        <w:trPr/>
        <w:tc>
          <w:tcPr>
            <w:tcW w:w="2175" w:type="dxa"/>
            <w:tcBorders/>
            <w:vAlign w:val="center"/>
          </w:tcPr>
          <w:p>
            <w:pPr>
              <w:pStyle w:val="TableContents"/>
              <w:bidi w:val="0"/>
              <w:spacing w:before="0" w:after="283"/>
              <w:ind w:left="0" w:right="0" w:firstLine="2160"/>
              <w:jc w:val="left"/>
              <w:rPr>
                <w:sz w:val="4"/>
                <w:szCs w:val="4"/>
              </w:rPr>
            </w:pPr>
            <w:r>
              <w:rPr>
                <w:sz w:val="4"/>
                <w:szCs w:val="4"/>
              </w:rPr>
            </w:r>
          </w:p>
        </w:tc>
        <w:tc>
          <w:tcPr>
            <w:tcW w:w="5150" w:type="dxa"/>
            <w:tcBorders/>
          </w:tcPr>
          <w:p>
            <w:pPr>
              <w:pStyle w:val="TableContents"/>
              <w:pBdr/>
              <w:bidi w:val="0"/>
              <w:spacing w:before="0" w:after="240"/>
              <w:ind w:left="0" w:right="0" w:firstLine="2160"/>
              <w:jc w:val="both"/>
              <w:rPr>
                <w:rFonts w:ascii="Times New Roman" w:hAnsi="Times New Roman"/>
                <w:color w:val="000000"/>
                <w:sz w:val="24"/>
              </w:rPr>
            </w:pPr>
            <w:r>
              <w:rPr>
                <w:rFonts w:ascii="Times New Roman" w:hAnsi="Times New Roman"/>
                <w:strike w:val="false"/>
                <w:dstrike w:val="false"/>
                <w:color w:val="000000"/>
                <w:sz w:val="24"/>
                <w:u w:val="none"/>
                <w:effect w:val="none"/>
              </w:rPr>
              <w:t>(c)</w:t>
            </w:r>
            <w:r>
              <w:rPr>
                <w:rFonts w:ascii="Times New Roman" w:hAnsi="Times New Roman"/>
                <w:color w:val="000000"/>
                <w:sz w:val="24"/>
              </w:rPr>
              <w:t xml:space="preserve"> This Agreement has been duly authorized, executed and delivered so as to constitute the legal, valid and binding obligation of the Borrower, enforceable in accordance with its terms; and</w:t>
            </w:r>
          </w:p>
        </w:tc>
      </w:tr>
    </w:tbl>
    <w:tbl>
      <w:tblPr>
        <w:tblW w:w="7325" w:type="dxa"/>
        <w:jc w:val="left"/>
        <w:tblInd w:w="1440" w:type="dxa"/>
        <w:tblLayout w:type="fixed"/>
        <w:tblCellMar>
          <w:top w:w="0" w:type="dxa"/>
          <w:left w:w="0" w:type="dxa"/>
          <w:bottom w:w="0" w:type="dxa"/>
          <w:right w:w="0" w:type="dxa"/>
        </w:tblCellMar>
      </w:tblPr>
      <w:tblGrid>
        <w:gridCol w:w="2175"/>
        <w:gridCol w:w="5150"/>
      </w:tblGrid>
      <w:tr>
        <w:trPr/>
        <w:tc>
          <w:tcPr>
            <w:tcW w:w="2175" w:type="dxa"/>
            <w:tcBorders/>
            <w:vAlign w:val="center"/>
          </w:tcPr>
          <w:p>
            <w:pPr>
              <w:pStyle w:val="TableContents"/>
              <w:bidi w:val="0"/>
              <w:spacing w:before="0" w:after="283"/>
              <w:ind w:left="0" w:right="0" w:firstLine="2160"/>
              <w:jc w:val="left"/>
              <w:rPr>
                <w:sz w:val="4"/>
                <w:szCs w:val="4"/>
              </w:rPr>
            </w:pPr>
            <w:r>
              <w:rPr>
                <w:sz w:val="4"/>
                <w:szCs w:val="4"/>
              </w:rPr>
            </w:r>
          </w:p>
        </w:tc>
        <w:tc>
          <w:tcPr>
            <w:tcW w:w="5150" w:type="dxa"/>
            <w:tcBorders/>
          </w:tcPr>
          <w:p>
            <w:pPr>
              <w:pStyle w:val="TableContents"/>
              <w:pBdr/>
              <w:bidi w:val="0"/>
              <w:spacing w:before="0" w:after="240"/>
              <w:ind w:left="0" w:right="0" w:firstLine="2160"/>
              <w:jc w:val="both"/>
              <w:rPr>
                <w:rFonts w:ascii="Times New Roman" w:hAnsi="Times New Roman"/>
                <w:color w:val="000000"/>
                <w:sz w:val="24"/>
              </w:rPr>
            </w:pPr>
            <w:r>
              <w:rPr>
                <w:rFonts w:ascii="Times New Roman" w:hAnsi="Times New Roman"/>
                <w:strike w:val="false"/>
                <w:dstrike w:val="false"/>
                <w:color w:val="000000"/>
                <w:sz w:val="24"/>
                <w:u w:val="none"/>
                <w:effect w:val="none"/>
              </w:rPr>
              <w:t>(b)</w:t>
            </w:r>
            <w:r>
              <w:rPr>
                <w:rFonts w:ascii="Times New Roman" w:hAnsi="Times New Roman"/>
                <w:color w:val="000000"/>
                <w:sz w:val="24"/>
              </w:rPr>
              <w:t xml:space="preserve"> No consent, approval or authorization of, filing, registration or recording with, notice to or other act by or in respect of, any Governmental Authority or any other Person is required in connection with the execution, delivery or performance by the Borrower of this Agreement (except for those which have been obtained on or prior to the date hereof).</w:t>
            </w:r>
          </w:p>
        </w:tc>
      </w:tr>
    </w:tbl>
    <w:p>
      <w:pPr>
        <w:pStyle w:val="TextBody"/>
        <w:bidi w:val="0"/>
        <w:spacing w:before="0" w:after="240"/>
        <w:ind w:left="1440" w:right="1440" w:firstLine="1440"/>
        <w:jc w:val="both"/>
        <w:rPr>
          <w:rFonts w:ascii="Times New Roman" w:hAnsi="Times New Roman"/>
          <w:sz w:val="24"/>
        </w:rPr>
      </w:pPr>
      <w:r>
        <w:rPr>
          <w:rFonts w:ascii="Times New Roman" w:hAnsi="Times New Roman"/>
          <w:color w:val="000000"/>
          <w:sz w:val="24"/>
        </w:rPr>
        <w:t>All of the above representations and warranties shall survive the making of this Agreement.</w:t>
      </w:r>
      <w:r>
        <w:rPr>
          <w:rFonts w:ascii="Times New Roman" w:hAnsi="Times New Roman"/>
          <w:sz w:val="24"/>
        </w:rPr>
        <w:t xml:space="preserve"> </w:t>
      </w:r>
    </w:p>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bidi w:val="0"/>
              <w:spacing w:before="0" w:after="240"/>
              <w:ind w:left="0" w:right="0" w:firstLine="1440"/>
              <w:jc w:val="both"/>
              <w:rPr>
                <w:rFonts w:ascii="Times New Roman" w:hAnsi="Times New Roman"/>
                <w:color w:val="000000"/>
                <w:sz w:val="24"/>
              </w:rPr>
            </w:pPr>
            <w:r>
              <w:rPr>
                <w:rFonts w:ascii="Times New Roman" w:hAnsi="Times New Roman"/>
                <w:strike w:val="false"/>
                <w:dstrike w:val="false"/>
                <w:color w:val="010000"/>
                <w:sz w:val="24"/>
                <w:u w:val="none"/>
                <w:effect w:val="none"/>
              </w:rPr>
              <w:t>6.</w:t>
            </w:r>
            <w:r>
              <w:rPr>
                <w:rFonts w:ascii="Times New Roman" w:hAnsi="Times New Roman"/>
                <w:color w:val="000000"/>
                <w:sz w:val="24"/>
              </w:rPr>
              <w:t xml:space="preserve"> </w:t>
            </w:r>
            <w:r>
              <w:rPr>
                <w:rFonts w:ascii="Times New Roman" w:hAnsi="Times New Roman"/>
                <w:color w:val="000000"/>
                <w:sz w:val="24"/>
                <w:u w:val="single"/>
              </w:rPr>
              <w:t>Conditions Precedent</w:t>
            </w:r>
            <w:r>
              <w:rPr>
                <w:rFonts w:ascii="Times New Roman" w:hAnsi="Times New Roman"/>
                <w:color w:val="000000"/>
                <w:sz w:val="24"/>
              </w:rPr>
              <w:t>.  The effectiveness of the amendments set forth herein is subject to the fulfillment, to the satisfaction of the Agent and its counsel, of the following conditions precedent on or before the Effective Date:</w:t>
            </w:r>
          </w:p>
        </w:tc>
      </w:tr>
    </w:tbl>
    <w:tbl>
      <w:tblPr>
        <w:tblW w:w="7325" w:type="dxa"/>
        <w:jc w:val="left"/>
        <w:tblInd w:w="1440" w:type="dxa"/>
        <w:tblLayout w:type="fixed"/>
        <w:tblCellMar>
          <w:top w:w="0" w:type="dxa"/>
          <w:left w:w="0" w:type="dxa"/>
          <w:bottom w:w="0" w:type="dxa"/>
          <w:right w:w="0" w:type="dxa"/>
        </w:tblCellMar>
      </w:tblPr>
      <w:tblGrid>
        <w:gridCol w:w="2175"/>
        <w:gridCol w:w="5150"/>
      </w:tblGrid>
      <w:tr>
        <w:trPr/>
        <w:tc>
          <w:tcPr>
            <w:tcW w:w="2175" w:type="dxa"/>
            <w:tcBorders/>
            <w:vAlign w:val="center"/>
          </w:tcPr>
          <w:p>
            <w:pPr>
              <w:pStyle w:val="TableContents"/>
              <w:bidi w:val="0"/>
              <w:spacing w:before="0" w:after="283"/>
              <w:ind w:left="0" w:right="0" w:firstLine="2160"/>
              <w:jc w:val="left"/>
              <w:rPr>
                <w:sz w:val="4"/>
                <w:szCs w:val="4"/>
              </w:rPr>
            </w:pPr>
            <w:r>
              <w:rPr>
                <w:sz w:val="4"/>
                <w:szCs w:val="4"/>
              </w:rPr>
            </w:r>
          </w:p>
        </w:tc>
        <w:tc>
          <w:tcPr>
            <w:tcW w:w="5150" w:type="dxa"/>
            <w:tcBorders/>
          </w:tcPr>
          <w:p>
            <w:pPr>
              <w:pStyle w:val="TableContents"/>
              <w:bidi w:val="0"/>
              <w:spacing w:before="0" w:after="240"/>
              <w:ind w:left="0" w:right="0" w:firstLine="2160"/>
              <w:jc w:val="both"/>
              <w:rPr>
                <w:rFonts w:ascii="Times New Roman" w:hAnsi="Times New Roman"/>
                <w:color w:val="000000"/>
                <w:sz w:val="24"/>
              </w:rPr>
            </w:pPr>
            <w:r>
              <w:rPr>
                <w:rFonts w:ascii="Times New Roman" w:hAnsi="Times New Roman"/>
                <w:strike w:val="false"/>
                <w:dstrike w:val="false"/>
                <w:color w:val="000000"/>
                <w:sz w:val="24"/>
                <w:u w:val="none"/>
                <w:effect w:val="none"/>
              </w:rPr>
              <w:t>(a)</w:t>
            </w:r>
            <w:r>
              <w:rPr>
                <w:rFonts w:ascii="Times New Roman" w:hAnsi="Times New Roman"/>
                <w:color w:val="000000"/>
                <w:sz w:val="24"/>
              </w:rPr>
              <w:t xml:space="preserve"> The Agent shall have received the following, all of which shall be in form and substance satisfactory to the Agent and shall be duly completed and executed by the Borrower, the Guarantor, the Agent and the Banks, as applicable:</w:t>
            </w:r>
          </w:p>
        </w:tc>
      </w:tr>
    </w:tbl>
    <w:p>
      <w:pPr>
        <w:pStyle w:val="TextBody"/>
        <w:bidi w:val="0"/>
        <w:spacing w:before="0" w:after="0"/>
        <w:ind w:left="1440" w:right="1440" w:hanging="0"/>
        <w:jc w:val="center"/>
        <w:rPr>
          <w:rFonts w:ascii="Times New Roman" w:hAnsi="Times New Roman"/>
          <w:sz w:val="24"/>
        </w:rPr>
      </w:pPr>
      <w:r>
        <w:rPr>
          <w:rFonts w:ascii="Times New Roman" w:hAnsi="Times New Roman"/>
          <w:sz w:val="24"/>
        </w:rPr>
        <w:t xml:space="preserve">2 </w:t>
      </w:r>
    </w:p>
    <w:p>
      <w:pPr>
        <w:pStyle w:val="TextBody"/>
        <w:bidi w:val="0"/>
        <w:spacing w:before="0" w:after="0"/>
        <w:ind w:left="1440" w:right="1440" w:hanging="0"/>
        <w:jc w:val="left"/>
        <w:rPr/>
      </w:pPr>
      <w:r>
        <w:rPr/>
        <w:t xml:space="preserve">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tbl>
      <w:tblPr>
        <w:tblW w:w="2096" w:type="dxa"/>
        <w:jc w:val="left"/>
        <w:tblInd w:w="1440" w:type="dxa"/>
        <w:tblLayout w:type="fixed"/>
        <w:tblCellMar>
          <w:top w:w="0" w:type="dxa"/>
          <w:left w:w="0" w:type="dxa"/>
          <w:bottom w:w="0" w:type="dxa"/>
          <w:right w:w="0" w:type="dxa"/>
        </w:tblCellMar>
      </w:tblPr>
      <w:tblGrid>
        <w:gridCol w:w="38"/>
        <w:gridCol w:w="290"/>
        <w:gridCol w:w="23"/>
        <w:gridCol w:w="174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tcPr>
          <w:p>
            <w:pPr>
              <w:pStyle w:val="TableContents"/>
              <w:pBdr/>
              <w:bidi w:val="0"/>
              <w:spacing w:before="0" w:after="240"/>
              <w:ind w:left="0" w:right="0" w:hanging="0"/>
              <w:jc w:val="left"/>
              <w:rPr>
                <w:rFonts w:ascii="Times New Roman" w:hAnsi="Times New Roman"/>
                <w:color w:val="000000"/>
                <w:sz w:val="24"/>
              </w:rPr>
            </w:pPr>
            <w:r>
              <w:rPr>
                <w:rFonts w:ascii="Times New Roman" w:hAnsi="Times New Roman"/>
                <w:strike w:val="false"/>
                <w:dstrike w:val="false"/>
                <w:color w:val="000000"/>
                <w:sz w:val="24"/>
                <w:u w:val="none"/>
                <w:effect w:val="none"/>
              </w:rPr>
              <w:t>(i)</w:t>
            </w:r>
            <w:r>
              <w:rPr>
                <w:rFonts w:ascii="Times New Roman" w:hAnsi="Times New Roman"/>
                <w:color w:val="000000"/>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745" w:type="dxa"/>
            <w:tcBorders/>
          </w:tcPr>
          <w:p>
            <w:pPr>
              <w:pStyle w:val="TableContents"/>
              <w:pBdr/>
              <w:bidi w:val="0"/>
              <w:spacing w:before="0" w:after="240"/>
              <w:ind w:left="0" w:right="0" w:hanging="0"/>
              <w:jc w:val="left"/>
              <w:rPr>
                <w:rFonts w:ascii="Times New Roman" w:hAnsi="Times New Roman"/>
                <w:color w:val="000000"/>
                <w:sz w:val="24"/>
              </w:rPr>
            </w:pPr>
            <w:r>
              <w:rPr>
                <w:rFonts w:ascii="Times New Roman" w:hAnsi="Times New Roman"/>
                <w:color w:val="000000"/>
                <w:sz w:val="24"/>
              </w:rPr>
              <w:t>This Agreement;  </w:t>
            </w:r>
          </w:p>
        </w:tc>
      </w:tr>
    </w:tbl>
    <w:tbl>
      <w:tblPr>
        <w:tblW w:w="4601" w:type="dxa"/>
        <w:jc w:val="left"/>
        <w:tblInd w:w="1440" w:type="dxa"/>
        <w:tblLayout w:type="fixed"/>
        <w:tblCellMar>
          <w:top w:w="0" w:type="dxa"/>
          <w:left w:w="0" w:type="dxa"/>
          <w:bottom w:w="0" w:type="dxa"/>
          <w:right w:w="0" w:type="dxa"/>
        </w:tblCellMar>
      </w:tblPr>
      <w:tblGrid>
        <w:gridCol w:w="38"/>
        <w:gridCol w:w="350"/>
        <w:gridCol w:w="23"/>
        <w:gridCol w:w="419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pBdr/>
              <w:bidi w:val="0"/>
              <w:spacing w:before="0" w:after="240"/>
              <w:ind w:left="0" w:right="0" w:hanging="0"/>
              <w:jc w:val="left"/>
              <w:rPr>
                <w:rFonts w:ascii="Times New Roman" w:hAnsi="Times New Roman"/>
                <w:color w:val="000000"/>
                <w:sz w:val="24"/>
              </w:rPr>
            </w:pPr>
            <w:r>
              <w:rPr>
                <w:rFonts w:ascii="Times New Roman" w:hAnsi="Times New Roman"/>
                <w:strike w:val="false"/>
                <w:dstrike w:val="false"/>
                <w:color w:val="000000"/>
                <w:sz w:val="24"/>
                <w:u w:val="none"/>
                <w:effect w:val="none"/>
              </w:rPr>
              <w:t>(ii)</w:t>
            </w:r>
            <w:r>
              <w:rPr>
                <w:rFonts w:ascii="Times New Roman" w:hAnsi="Times New Roman"/>
                <w:color w:val="000000"/>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190" w:type="dxa"/>
            <w:tcBorders/>
          </w:tcPr>
          <w:p>
            <w:pPr>
              <w:pStyle w:val="TableContents"/>
              <w:pBdr/>
              <w:bidi w:val="0"/>
              <w:spacing w:before="0" w:after="240"/>
              <w:ind w:left="0" w:right="0" w:hanging="0"/>
              <w:jc w:val="left"/>
              <w:rPr>
                <w:rFonts w:ascii="Times New Roman" w:hAnsi="Times New Roman"/>
                <w:color w:val="000000"/>
                <w:sz w:val="24"/>
              </w:rPr>
            </w:pPr>
            <w:r>
              <w:rPr>
                <w:rFonts w:ascii="Times New Roman" w:hAnsi="Times New Roman"/>
                <w:color w:val="000000"/>
                <w:sz w:val="24"/>
              </w:rPr>
              <w:t>The Consent of Guarantor attached hereto;  </w:t>
            </w:r>
          </w:p>
        </w:tc>
      </w:tr>
    </w:tbl>
    <w:tbl>
      <w:tblPr>
        <w:tblW w:w="7325" w:type="dxa"/>
        <w:jc w:val="left"/>
        <w:tblInd w:w="1440" w:type="dxa"/>
        <w:tblLayout w:type="fixed"/>
        <w:tblCellMar>
          <w:top w:w="0" w:type="dxa"/>
          <w:left w:w="0" w:type="dxa"/>
          <w:bottom w:w="0" w:type="dxa"/>
          <w:right w:w="0" w:type="dxa"/>
        </w:tblCellMar>
      </w:tblPr>
      <w:tblGrid>
        <w:gridCol w:w="38"/>
        <w:gridCol w:w="295"/>
        <w:gridCol w:w="23"/>
        <w:gridCol w:w="6969"/>
      </w:tblGrid>
      <w:tr>
        <w:trPr/>
        <w:tc>
          <w:tcPr>
            <w:tcW w:w="38" w:type="dxa"/>
            <w:tcBorders/>
            <w:vAlign w:val="center"/>
          </w:tcPr>
          <w:p>
            <w:pPr>
              <w:pStyle w:val="TableContents"/>
              <w:bidi w:val="0"/>
              <w:spacing w:before="0" w:after="283"/>
              <w:jc w:val="left"/>
              <w:rPr>
                <w:sz w:val="4"/>
                <w:szCs w:val="4"/>
              </w:rPr>
            </w:pPr>
            <w:r>
              <w:rPr>
                <w:sz w:val="4"/>
                <w:szCs w:val="4"/>
              </w:rPr>
            </w:r>
          </w:p>
        </w:tc>
        <w:tc>
          <w:tcPr>
            <w:tcW w:w="295" w:type="dxa"/>
            <w:tcBorders/>
          </w:tcPr>
          <w:p>
            <w:pPr>
              <w:pStyle w:val="TableContents"/>
              <w:pBdr/>
              <w:bidi w:val="0"/>
              <w:spacing w:before="0" w:after="240"/>
              <w:ind w:left="0" w:right="0" w:hanging="0"/>
              <w:jc w:val="left"/>
              <w:rPr>
                <w:rFonts w:ascii="Times New Roman" w:hAnsi="Times New Roman"/>
                <w:color w:val="000000"/>
                <w:sz w:val="24"/>
              </w:rPr>
            </w:pPr>
            <w:r>
              <w:rPr>
                <w:rFonts w:ascii="Times New Roman" w:hAnsi="Times New Roman"/>
                <w:strike w:val="false"/>
                <w:dstrike w:val="false"/>
                <w:color w:val="000000"/>
                <w:sz w:val="24"/>
                <w:u w:val="none"/>
                <w:effect w:val="none"/>
              </w:rPr>
              <w:t>(iii)</w:t>
            </w:r>
            <w:r>
              <w:rPr>
                <w:rFonts w:ascii="Times New Roman" w:hAnsi="Times New Roman"/>
                <w:color w:val="000000"/>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969" w:type="dxa"/>
            <w:tcBorders/>
          </w:tcPr>
          <w:p>
            <w:pPr>
              <w:pStyle w:val="TableContents"/>
              <w:pBdr/>
              <w:bidi w:val="0"/>
              <w:spacing w:before="0" w:after="240"/>
              <w:ind w:left="0" w:right="0" w:hanging="0"/>
              <w:jc w:val="left"/>
              <w:rPr>
                <w:rFonts w:ascii="Times New Roman" w:hAnsi="Times New Roman"/>
                <w:color w:val="000000"/>
                <w:sz w:val="24"/>
              </w:rPr>
            </w:pPr>
            <w:r>
              <w:rPr>
                <w:rFonts w:ascii="Times New Roman" w:hAnsi="Times New Roman"/>
                <w:color w:val="000000"/>
                <w:sz w:val="24"/>
              </w:rPr>
              <w:t xml:space="preserve">Copies, certified by the Secretary or an Assistant Secretary of the Borrower or the Guarantor as applicable as of the Effective Date, of resolutions of the board of directors of the Borrower or the Guarantor as applicable in effect on the date hereof authorizing the execution, delivery and performance of this Agreement, the Consent of Guarantor and the other documents and transactions contemplated hereby; </w:t>
            </w:r>
          </w:p>
        </w:tc>
      </w:tr>
    </w:tbl>
    <w:tbl>
      <w:tblPr>
        <w:tblW w:w="7325" w:type="dxa"/>
        <w:jc w:val="left"/>
        <w:tblInd w:w="1440" w:type="dxa"/>
        <w:tblLayout w:type="fixed"/>
        <w:tblCellMar>
          <w:top w:w="0" w:type="dxa"/>
          <w:left w:w="0" w:type="dxa"/>
          <w:bottom w:w="0" w:type="dxa"/>
          <w:right w:w="0" w:type="dxa"/>
        </w:tblCellMar>
      </w:tblPr>
      <w:tblGrid>
        <w:gridCol w:w="38"/>
        <w:gridCol w:w="291"/>
        <w:gridCol w:w="23"/>
        <w:gridCol w:w="6973"/>
      </w:tblGrid>
      <w:tr>
        <w:trPr/>
        <w:tc>
          <w:tcPr>
            <w:tcW w:w="38" w:type="dxa"/>
            <w:tcBorders/>
            <w:vAlign w:val="center"/>
          </w:tcPr>
          <w:p>
            <w:pPr>
              <w:pStyle w:val="TableContents"/>
              <w:bidi w:val="0"/>
              <w:spacing w:before="0" w:after="283"/>
              <w:jc w:val="left"/>
              <w:rPr>
                <w:sz w:val="4"/>
                <w:szCs w:val="4"/>
              </w:rPr>
            </w:pPr>
            <w:r>
              <w:rPr>
                <w:sz w:val="4"/>
                <w:szCs w:val="4"/>
              </w:rPr>
            </w:r>
          </w:p>
        </w:tc>
        <w:tc>
          <w:tcPr>
            <w:tcW w:w="291" w:type="dxa"/>
            <w:tcBorders/>
          </w:tcPr>
          <w:p>
            <w:pPr>
              <w:pStyle w:val="TableContents"/>
              <w:pBdr/>
              <w:bidi w:val="0"/>
              <w:spacing w:before="0" w:after="240"/>
              <w:ind w:left="0" w:right="0" w:hanging="0"/>
              <w:jc w:val="left"/>
              <w:rPr>
                <w:rFonts w:ascii="Times New Roman" w:hAnsi="Times New Roman"/>
                <w:color w:val="000000"/>
                <w:sz w:val="24"/>
              </w:rPr>
            </w:pPr>
            <w:r>
              <w:rPr>
                <w:rFonts w:ascii="Times New Roman" w:hAnsi="Times New Roman"/>
                <w:strike w:val="false"/>
                <w:dstrike w:val="false"/>
                <w:color w:val="000000"/>
                <w:sz w:val="24"/>
                <w:u w:val="none"/>
                <w:effect w:val="none"/>
              </w:rPr>
              <w:t>(iv)</w:t>
            </w:r>
            <w:r>
              <w:rPr>
                <w:rFonts w:ascii="Times New Roman" w:hAnsi="Times New Roman"/>
                <w:color w:val="000000"/>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973" w:type="dxa"/>
            <w:tcBorders/>
          </w:tcPr>
          <w:p>
            <w:pPr>
              <w:pStyle w:val="TableContents"/>
              <w:pBdr/>
              <w:bidi w:val="0"/>
              <w:spacing w:before="0" w:after="240"/>
              <w:ind w:left="0" w:right="0" w:hanging="0"/>
              <w:jc w:val="left"/>
              <w:rPr>
                <w:rFonts w:ascii="Times New Roman" w:hAnsi="Times New Roman"/>
                <w:color w:val="000000"/>
                <w:sz w:val="24"/>
              </w:rPr>
            </w:pPr>
            <w:r>
              <w:rPr>
                <w:rFonts w:ascii="Times New Roman" w:hAnsi="Times New Roman"/>
                <w:color w:val="000000"/>
                <w:sz w:val="24"/>
              </w:rPr>
              <w:t>Copies, certified by its corporate secretary as of the Effective Date, of the articles of incorporation, certificate of formation, and by-laws of the Borrower or the Guarantor, as applicable, as in effect, or a certificate stating that there have been no changes to any such documents since the most recent date true and correct copies thereof were delivered to the Agent, and an incumbency certificate of authorized officers of the Borrower or the Guarantor executing this Agreement or the Consent of Guarantor as applicable;</w:t>
            </w:r>
          </w:p>
        </w:tc>
      </w:tr>
    </w:tbl>
    <w:tbl>
      <w:tblPr>
        <w:tblW w:w="7325" w:type="dxa"/>
        <w:jc w:val="left"/>
        <w:tblInd w:w="1440" w:type="dxa"/>
        <w:tblLayout w:type="fixed"/>
        <w:tblCellMar>
          <w:top w:w="0" w:type="dxa"/>
          <w:left w:w="0" w:type="dxa"/>
          <w:bottom w:w="0" w:type="dxa"/>
          <w:right w:w="0" w:type="dxa"/>
        </w:tblCellMar>
      </w:tblPr>
      <w:tblGrid>
        <w:gridCol w:w="38"/>
        <w:gridCol w:w="250"/>
        <w:gridCol w:w="23"/>
        <w:gridCol w:w="7014"/>
      </w:tblGrid>
      <w:tr>
        <w:trPr/>
        <w:tc>
          <w:tcPr>
            <w:tcW w:w="38" w:type="dxa"/>
            <w:tcBorders/>
            <w:vAlign w:val="center"/>
          </w:tcPr>
          <w:p>
            <w:pPr>
              <w:pStyle w:val="TableContents"/>
              <w:bidi w:val="0"/>
              <w:spacing w:before="0" w:after="283"/>
              <w:jc w:val="left"/>
              <w:rPr>
                <w:sz w:val="4"/>
                <w:szCs w:val="4"/>
              </w:rPr>
            </w:pPr>
            <w:r>
              <w:rPr>
                <w:sz w:val="4"/>
                <w:szCs w:val="4"/>
              </w:rPr>
            </w:r>
          </w:p>
        </w:tc>
        <w:tc>
          <w:tcPr>
            <w:tcW w:w="250" w:type="dxa"/>
            <w:tcBorders/>
          </w:tcPr>
          <w:p>
            <w:pPr>
              <w:pStyle w:val="TableContents"/>
              <w:pBdr/>
              <w:bidi w:val="0"/>
              <w:spacing w:before="0" w:after="240"/>
              <w:ind w:left="0" w:right="0" w:hanging="0"/>
              <w:jc w:val="left"/>
              <w:rPr>
                <w:rFonts w:ascii="Times New Roman" w:hAnsi="Times New Roman"/>
                <w:color w:val="000000"/>
                <w:sz w:val="24"/>
              </w:rPr>
            </w:pPr>
            <w:r>
              <w:rPr>
                <w:rFonts w:ascii="Times New Roman" w:hAnsi="Times New Roman"/>
                <w:strike w:val="false"/>
                <w:dstrike w:val="false"/>
                <w:color w:val="000000"/>
                <w:sz w:val="24"/>
                <w:u w:val="none"/>
                <w:effect w:val="none"/>
              </w:rPr>
              <w:t>(v)</w:t>
            </w:r>
            <w:r>
              <w:rPr>
                <w:rFonts w:ascii="Times New Roman" w:hAnsi="Times New Roman"/>
                <w:color w:val="000000"/>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14" w:type="dxa"/>
            <w:tcBorders/>
          </w:tcPr>
          <w:p>
            <w:pPr>
              <w:pStyle w:val="TableContents"/>
              <w:pBdr/>
              <w:bidi w:val="0"/>
              <w:spacing w:before="0" w:after="240"/>
              <w:ind w:left="0" w:right="0" w:hanging="0"/>
              <w:jc w:val="left"/>
              <w:rPr>
                <w:rFonts w:ascii="Times New Roman" w:hAnsi="Times New Roman"/>
                <w:color w:val="000000"/>
                <w:sz w:val="24"/>
              </w:rPr>
            </w:pPr>
            <w:r>
              <w:rPr>
                <w:rFonts w:ascii="Times New Roman" w:hAnsi="Times New Roman"/>
                <w:color w:val="000000"/>
                <w:sz w:val="24"/>
              </w:rPr>
              <w:t>A written certificate dated the Effective Date by a Responsible Officer of the Borrower or the Guarantor as applicable as to the names and signatures of the Borrower or the Guarantor authorized to sign this Agreement or the Consent of Guarantor;</w:t>
            </w:r>
          </w:p>
        </w:tc>
      </w:tr>
    </w:tbl>
    <w:tbl>
      <w:tblPr>
        <w:tblW w:w="7325" w:type="dxa"/>
        <w:jc w:val="left"/>
        <w:tblInd w:w="1440" w:type="dxa"/>
        <w:tblLayout w:type="fixed"/>
        <w:tblCellMar>
          <w:top w:w="0" w:type="dxa"/>
          <w:left w:w="0" w:type="dxa"/>
          <w:bottom w:w="0" w:type="dxa"/>
          <w:right w:w="0" w:type="dxa"/>
        </w:tblCellMar>
      </w:tblPr>
      <w:tblGrid>
        <w:gridCol w:w="38"/>
        <w:gridCol w:w="296"/>
        <w:gridCol w:w="23"/>
        <w:gridCol w:w="6968"/>
      </w:tblGrid>
      <w:tr>
        <w:trPr/>
        <w:tc>
          <w:tcPr>
            <w:tcW w:w="38" w:type="dxa"/>
            <w:tcBorders/>
            <w:vAlign w:val="center"/>
          </w:tcPr>
          <w:p>
            <w:pPr>
              <w:pStyle w:val="TableContents"/>
              <w:bidi w:val="0"/>
              <w:spacing w:before="0" w:after="283"/>
              <w:jc w:val="left"/>
              <w:rPr>
                <w:sz w:val="4"/>
                <w:szCs w:val="4"/>
              </w:rPr>
            </w:pPr>
            <w:r>
              <w:rPr>
                <w:sz w:val="4"/>
                <w:szCs w:val="4"/>
              </w:rPr>
            </w:r>
          </w:p>
        </w:tc>
        <w:tc>
          <w:tcPr>
            <w:tcW w:w="296" w:type="dxa"/>
            <w:tcBorders/>
          </w:tcPr>
          <w:p>
            <w:pPr>
              <w:pStyle w:val="TableContents"/>
              <w:pBdr/>
              <w:bidi w:val="0"/>
              <w:spacing w:before="0" w:after="240"/>
              <w:ind w:left="0" w:right="0" w:hanging="0"/>
              <w:jc w:val="left"/>
              <w:rPr>
                <w:rFonts w:ascii="Times New Roman" w:hAnsi="Times New Roman"/>
                <w:color w:val="000000"/>
                <w:sz w:val="24"/>
              </w:rPr>
            </w:pPr>
            <w:r>
              <w:rPr>
                <w:rFonts w:ascii="Times New Roman" w:hAnsi="Times New Roman"/>
                <w:strike w:val="false"/>
                <w:dstrike w:val="false"/>
                <w:color w:val="000000"/>
                <w:sz w:val="24"/>
                <w:u w:val="none"/>
                <w:effect w:val="none"/>
              </w:rPr>
              <w:t>(vi)</w:t>
            </w:r>
            <w:r>
              <w:rPr>
                <w:rFonts w:ascii="Times New Roman" w:hAnsi="Times New Roman"/>
                <w:color w:val="000000"/>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968" w:type="dxa"/>
            <w:tcBorders/>
          </w:tcPr>
          <w:p>
            <w:pPr>
              <w:pStyle w:val="TableContents"/>
              <w:pBdr/>
              <w:bidi w:val="0"/>
              <w:spacing w:before="0" w:after="240"/>
              <w:ind w:left="0" w:right="0" w:hanging="0"/>
              <w:jc w:val="left"/>
              <w:rPr>
                <w:rFonts w:ascii="Times New Roman" w:hAnsi="Times New Roman"/>
                <w:color w:val="000000"/>
                <w:sz w:val="24"/>
              </w:rPr>
            </w:pPr>
            <w:r>
              <w:rPr>
                <w:rFonts w:ascii="Times New Roman" w:hAnsi="Times New Roman"/>
                <w:color w:val="000000"/>
                <w:sz w:val="24"/>
              </w:rPr>
              <w:t xml:space="preserve">If the Borrower qualifies as a legal entity customer under the Beneficial Ownership Regulations, an executed Certificate of Beneficial Ownership for the Borrower and such other documentation and other information requested by the Agent and the Banks in connection with applicable “know your customer” and anti-money laundering rules and regulations, including the USA Patriot Act; </w:t>
            </w:r>
          </w:p>
        </w:tc>
      </w:tr>
    </w:tbl>
    <w:tbl>
      <w:tblPr>
        <w:tblW w:w="7325" w:type="dxa"/>
        <w:jc w:val="left"/>
        <w:tblInd w:w="1440" w:type="dxa"/>
        <w:tblLayout w:type="fixed"/>
        <w:tblCellMar>
          <w:top w:w="0" w:type="dxa"/>
          <w:left w:w="0" w:type="dxa"/>
          <w:bottom w:w="0" w:type="dxa"/>
          <w:right w:w="0" w:type="dxa"/>
        </w:tblCellMar>
      </w:tblPr>
      <w:tblGrid>
        <w:gridCol w:w="38"/>
        <w:gridCol w:w="236"/>
        <w:gridCol w:w="23"/>
        <w:gridCol w:w="7028"/>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tcPr>
          <w:p>
            <w:pPr>
              <w:pStyle w:val="TableContents"/>
              <w:pBdr/>
              <w:bidi w:val="0"/>
              <w:spacing w:before="0" w:after="240"/>
              <w:ind w:left="0" w:right="0" w:hanging="0"/>
              <w:jc w:val="both"/>
              <w:rPr>
                <w:rFonts w:ascii="Times New Roman" w:hAnsi="Times New Roman"/>
                <w:color w:val="000000"/>
                <w:sz w:val="24"/>
              </w:rPr>
            </w:pPr>
            <w:r>
              <w:rPr>
                <w:rFonts w:ascii="Times New Roman" w:hAnsi="Times New Roman"/>
                <w:strike w:val="false"/>
                <w:dstrike w:val="false"/>
                <w:color w:val="000000"/>
                <w:sz w:val="24"/>
                <w:u w:val="none"/>
                <w:effect w:val="none"/>
              </w:rPr>
              <w:t>(i)</w:t>
            </w:r>
            <w:r>
              <w:rPr>
                <w:rFonts w:ascii="Times New Roman" w:hAnsi="Times New Roman"/>
                <w:color w:val="000000"/>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28" w:type="dxa"/>
            <w:tcBorders/>
          </w:tcPr>
          <w:p>
            <w:pPr>
              <w:pStyle w:val="TableContents"/>
              <w:pBdr/>
              <w:bidi w:val="0"/>
              <w:spacing w:before="0" w:after="240"/>
              <w:ind w:left="0" w:right="0" w:hanging="0"/>
              <w:jc w:val="both"/>
              <w:rPr>
                <w:rFonts w:ascii="Times New Roman" w:hAnsi="Times New Roman"/>
                <w:color w:val="000000"/>
                <w:sz w:val="24"/>
              </w:rPr>
            </w:pPr>
            <w:r>
              <w:rPr>
                <w:rFonts w:ascii="Times New Roman" w:hAnsi="Times New Roman"/>
                <w:color w:val="000000"/>
                <w:sz w:val="24"/>
              </w:rPr>
              <w:t>A good standing certificate for the Borrower and the Guarantor in the State of its formation dated as of a recent date;</w:t>
            </w:r>
          </w:p>
        </w:tc>
      </w:tr>
    </w:tbl>
    <w:tbl>
      <w:tblPr>
        <w:tblW w:w="7325" w:type="dxa"/>
        <w:jc w:val="left"/>
        <w:tblInd w:w="1440" w:type="dxa"/>
        <w:tblLayout w:type="fixed"/>
        <w:tblCellMar>
          <w:top w:w="0" w:type="dxa"/>
          <w:left w:w="0" w:type="dxa"/>
          <w:bottom w:w="0" w:type="dxa"/>
          <w:right w:w="0" w:type="dxa"/>
        </w:tblCellMar>
      </w:tblPr>
      <w:tblGrid>
        <w:gridCol w:w="38"/>
        <w:gridCol w:w="422"/>
        <w:gridCol w:w="23"/>
        <w:gridCol w:w="6842"/>
      </w:tblGrid>
      <w:tr>
        <w:trPr/>
        <w:tc>
          <w:tcPr>
            <w:tcW w:w="38" w:type="dxa"/>
            <w:tcBorders/>
            <w:vAlign w:val="center"/>
          </w:tcPr>
          <w:p>
            <w:pPr>
              <w:pStyle w:val="TableContents"/>
              <w:bidi w:val="0"/>
              <w:spacing w:before="0" w:after="283"/>
              <w:jc w:val="left"/>
              <w:rPr>
                <w:sz w:val="4"/>
                <w:szCs w:val="4"/>
              </w:rPr>
            </w:pPr>
            <w:r>
              <w:rPr>
                <w:sz w:val="4"/>
                <w:szCs w:val="4"/>
              </w:rPr>
            </w:r>
          </w:p>
        </w:tc>
        <w:tc>
          <w:tcPr>
            <w:tcW w:w="422" w:type="dxa"/>
            <w:tcBorders/>
          </w:tcPr>
          <w:p>
            <w:pPr>
              <w:pStyle w:val="TableContents"/>
              <w:pBdr/>
              <w:bidi w:val="0"/>
              <w:spacing w:before="0" w:after="240"/>
              <w:ind w:left="0" w:right="0" w:hanging="0"/>
              <w:jc w:val="left"/>
              <w:rPr>
                <w:rFonts w:ascii="Times New Roman" w:hAnsi="Times New Roman"/>
                <w:color w:val="000000"/>
                <w:sz w:val="24"/>
              </w:rPr>
            </w:pPr>
            <w:r>
              <w:rPr>
                <w:rFonts w:ascii="Times New Roman" w:hAnsi="Times New Roman"/>
                <w:strike w:val="false"/>
                <w:dstrike w:val="false"/>
                <w:color w:val="000000"/>
                <w:sz w:val="24"/>
                <w:u w:val="none"/>
                <w:effect w:val="none"/>
              </w:rPr>
              <w:t>(vii)</w:t>
            </w:r>
            <w:r>
              <w:rPr>
                <w:rFonts w:ascii="Times New Roman" w:hAnsi="Times New Roman"/>
                <w:color w:val="000000"/>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842" w:type="dxa"/>
            <w:tcBorders/>
          </w:tcPr>
          <w:p>
            <w:pPr>
              <w:pStyle w:val="TableContents"/>
              <w:pBdr/>
              <w:bidi w:val="0"/>
              <w:spacing w:before="0" w:after="240"/>
              <w:ind w:left="0" w:right="0" w:hanging="0"/>
              <w:jc w:val="left"/>
              <w:rPr>
                <w:rFonts w:ascii="Times New Roman" w:hAnsi="Times New Roman"/>
                <w:color w:val="000000"/>
                <w:sz w:val="24"/>
              </w:rPr>
            </w:pPr>
            <w:r>
              <w:rPr>
                <w:rFonts w:ascii="Times New Roman" w:hAnsi="Times New Roman"/>
                <w:color w:val="000000"/>
                <w:sz w:val="24"/>
              </w:rPr>
              <w:t>Copies of the evidence of insurance required by subsection 5.5(b) of the Existing Credit Agreement; and</w:t>
            </w:r>
          </w:p>
        </w:tc>
      </w:tr>
    </w:tbl>
    <w:p>
      <w:pPr>
        <w:pStyle w:val="TextBody"/>
        <w:bidi w:val="0"/>
        <w:spacing w:before="0" w:after="0"/>
        <w:ind w:left="1440" w:right="1440" w:hanging="0"/>
        <w:jc w:val="center"/>
        <w:rPr>
          <w:rFonts w:ascii="Times New Roman" w:hAnsi="Times New Roman"/>
          <w:sz w:val="24"/>
        </w:rPr>
      </w:pPr>
      <w:r>
        <w:rPr>
          <w:rFonts w:ascii="Times New Roman" w:hAnsi="Times New Roman"/>
          <w:sz w:val="24"/>
        </w:rPr>
        <w:t xml:space="preserve">3 </w:t>
      </w:r>
    </w:p>
    <w:p>
      <w:pPr>
        <w:pStyle w:val="TextBody"/>
        <w:bidi w:val="0"/>
        <w:spacing w:before="0" w:after="0"/>
        <w:ind w:left="1440" w:right="1440" w:hanging="0"/>
        <w:jc w:val="left"/>
        <w:rPr/>
      </w:pPr>
      <w:r>
        <w:rPr/>
        <w:t xml:space="preserve">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tbl>
      <w:tblPr>
        <w:tblW w:w="7325" w:type="dxa"/>
        <w:jc w:val="left"/>
        <w:tblInd w:w="1440" w:type="dxa"/>
        <w:tblLayout w:type="fixed"/>
        <w:tblCellMar>
          <w:top w:w="0" w:type="dxa"/>
          <w:left w:w="0" w:type="dxa"/>
          <w:bottom w:w="0" w:type="dxa"/>
          <w:right w:w="0" w:type="dxa"/>
        </w:tblCellMar>
      </w:tblPr>
      <w:tblGrid>
        <w:gridCol w:w="38"/>
        <w:gridCol w:w="451"/>
        <w:gridCol w:w="23"/>
        <w:gridCol w:w="6813"/>
      </w:tblGrid>
      <w:tr>
        <w:trPr/>
        <w:tc>
          <w:tcPr>
            <w:tcW w:w="38" w:type="dxa"/>
            <w:tcBorders/>
            <w:vAlign w:val="center"/>
          </w:tcPr>
          <w:p>
            <w:pPr>
              <w:pStyle w:val="TableContents"/>
              <w:bidi w:val="0"/>
              <w:spacing w:before="0" w:after="283"/>
              <w:jc w:val="left"/>
              <w:rPr>
                <w:sz w:val="4"/>
                <w:szCs w:val="4"/>
              </w:rPr>
            </w:pPr>
            <w:r>
              <w:rPr>
                <w:sz w:val="4"/>
                <w:szCs w:val="4"/>
              </w:rPr>
            </w:r>
          </w:p>
        </w:tc>
        <w:tc>
          <w:tcPr>
            <w:tcW w:w="451" w:type="dxa"/>
            <w:tcBorders/>
          </w:tcPr>
          <w:p>
            <w:pPr>
              <w:pStyle w:val="TableContents"/>
              <w:pBdr/>
              <w:bidi w:val="0"/>
              <w:spacing w:before="0" w:after="240"/>
              <w:ind w:left="0" w:right="0" w:hanging="0"/>
              <w:jc w:val="left"/>
              <w:rPr>
                <w:rFonts w:ascii="Times New Roman" w:hAnsi="Times New Roman"/>
                <w:color w:val="000000"/>
                <w:sz w:val="24"/>
              </w:rPr>
            </w:pPr>
            <w:r>
              <w:rPr>
                <w:rFonts w:ascii="Times New Roman" w:hAnsi="Times New Roman"/>
                <w:strike w:val="false"/>
                <w:dstrike w:val="false"/>
                <w:color w:val="000000"/>
                <w:sz w:val="24"/>
                <w:u w:val="none"/>
                <w:effect w:val="none"/>
              </w:rPr>
              <w:t>(viii)</w:t>
            </w:r>
            <w:r>
              <w:rPr>
                <w:rFonts w:ascii="Times New Roman" w:hAnsi="Times New Roman"/>
                <w:color w:val="000000"/>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813" w:type="dxa"/>
            <w:tcBorders/>
          </w:tcPr>
          <w:p>
            <w:pPr>
              <w:pStyle w:val="TableContents"/>
              <w:pBdr/>
              <w:bidi w:val="0"/>
              <w:spacing w:before="0" w:after="240"/>
              <w:ind w:left="0" w:right="0" w:hanging="0"/>
              <w:jc w:val="left"/>
              <w:rPr>
                <w:rFonts w:ascii="Times New Roman" w:hAnsi="Times New Roman"/>
                <w:color w:val="000000"/>
                <w:sz w:val="24"/>
              </w:rPr>
            </w:pPr>
            <w:r>
              <w:rPr>
                <w:rFonts w:ascii="Times New Roman" w:hAnsi="Times New Roman"/>
                <w:color w:val="000000"/>
                <w:sz w:val="24"/>
              </w:rPr>
              <w:t>Such additional documents, certificates and information as the Agent or the Banks may require pursuant to the terms hereof or otherwise reasonably request.</w:t>
            </w:r>
          </w:p>
        </w:tc>
      </w:tr>
    </w:tbl>
    <w:tbl>
      <w:tblPr>
        <w:tblW w:w="7325" w:type="dxa"/>
        <w:jc w:val="left"/>
        <w:tblInd w:w="1440" w:type="dxa"/>
        <w:tblLayout w:type="fixed"/>
        <w:tblCellMar>
          <w:top w:w="0" w:type="dxa"/>
          <w:left w:w="0" w:type="dxa"/>
          <w:bottom w:w="0" w:type="dxa"/>
          <w:right w:w="0" w:type="dxa"/>
        </w:tblCellMar>
      </w:tblPr>
      <w:tblGrid>
        <w:gridCol w:w="2175"/>
        <w:gridCol w:w="5150"/>
      </w:tblGrid>
      <w:tr>
        <w:trPr/>
        <w:tc>
          <w:tcPr>
            <w:tcW w:w="2175" w:type="dxa"/>
            <w:tcBorders/>
            <w:vAlign w:val="center"/>
          </w:tcPr>
          <w:p>
            <w:pPr>
              <w:pStyle w:val="TableContents"/>
              <w:bidi w:val="0"/>
              <w:spacing w:before="0" w:after="283"/>
              <w:ind w:left="0" w:right="0" w:firstLine="2160"/>
              <w:jc w:val="left"/>
              <w:rPr>
                <w:sz w:val="4"/>
                <w:szCs w:val="4"/>
              </w:rPr>
            </w:pPr>
            <w:r>
              <w:rPr>
                <w:sz w:val="4"/>
                <w:szCs w:val="4"/>
              </w:rPr>
            </w:r>
          </w:p>
        </w:tc>
        <w:tc>
          <w:tcPr>
            <w:tcW w:w="5150" w:type="dxa"/>
            <w:tcBorders/>
          </w:tcPr>
          <w:p>
            <w:pPr>
              <w:pStyle w:val="TableContents"/>
              <w:pBdr/>
              <w:bidi w:val="0"/>
              <w:spacing w:before="0" w:after="240"/>
              <w:ind w:left="0" w:right="0" w:firstLine="2160"/>
              <w:jc w:val="both"/>
              <w:rPr>
                <w:rFonts w:ascii="Times New Roman" w:hAnsi="Times New Roman"/>
                <w:color w:val="000000"/>
                <w:sz w:val="24"/>
              </w:rPr>
            </w:pPr>
            <w:r>
              <w:rPr>
                <w:rFonts w:ascii="Times New Roman" w:hAnsi="Times New Roman"/>
                <w:strike w:val="false"/>
                <w:dstrike w:val="false"/>
                <w:color w:val="000000"/>
                <w:sz w:val="24"/>
                <w:u w:val="none"/>
                <w:effect w:val="none"/>
              </w:rPr>
              <w:t>(b)</w:t>
            </w:r>
            <w:r>
              <w:rPr>
                <w:rFonts w:ascii="Times New Roman" w:hAnsi="Times New Roman"/>
                <w:color w:val="000000"/>
                <w:sz w:val="24"/>
              </w:rPr>
              <w:t xml:space="preserve"> After giving effect to this Agreement, the representations and warranties set forth in the Amended Credit Agreement shall be true and correct in all material respects on and as of the date hereof; provided, however, that for purposes of the representations in Section 3.1 of the Existing Agreement, the annual and quarterly financial information referred to in such Section shall be deemed to be the most recent such information furnished to each Bank.</w:t>
            </w:r>
          </w:p>
        </w:tc>
      </w:tr>
    </w:tbl>
    <w:tbl>
      <w:tblPr>
        <w:tblW w:w="7325" w:type="dxa"/>
        <w:jc w:val="left"/>
        <w:tblInd w:w="1440" w:type="dxa"/>
        <w:tblLayout w:type="fixed"/>
        <w:tblCellMar>
          <w:top w:w="0" w:type="dxa"/>
          <w:left w:w="0" w:type="dxa"/>
          <w:bottom w:w="0" w:type="dxa"/>
          <w:right w:w="0" w:type="dxa"/>
        </w:tblCellMar>
      </w:tblPr>
      <w:tblGrid>
        <w:gridCol w:w="2175"/>
        <w:gridCol w:w="5150"/>
      </w:tblGrid>
      <w:tr>
        <w:trPr/>
        <w:tc>
          <w:tcPr>
            <w:tcW w:w="2175" w:type="dxa"/>
            <w:tcBorders/>
            <w:vAlign w:val="center"/>
          </w:tcPr>
          <w:p>
            <w:pPr>
              <w:pStyle w:val="TableContents"/>
              <w:bidi w:val="0"/>
              <w:spacing w:before="0" w:after="283"/>
              <w:ind w:left="0" w:right="0" w:firstLine="2160"/>
              <w:jc w:val="left"/>
              <w:rPr>
                <w:sz w:val="4"/>
                <w:szCs w:val="4"/>
              </w:rPr>
            </w:pPr>
            <w:r>
              <w:rPr>
                <w:sz w:val="4"/>
                <w:szCs w:val="4"/>
              </w:rPr>
            </w:r>
          </w:p>
        </w:tc>
        <w:tc>
          <w:tcPr>
            <w:tcW w:w="5150" w:type="dxa"/>
            <w:tcBorders/>
          </w:tcPr>
          <w:p>
            <w:pPr>
              <w:pStyle w:val="TableContents"/>
              <w:pBdr/>
              <w:bidi w:val="0"/>
              <w:spacing w:before="0" w:after="240"/>
              <w:ind w:left="0" w:right="0" w:firstLine="2160"/>
              <w:jc w:val="both"/>
              <w:rPr>
                <w:rFonts w:ascii="Times New Roman" w:hAnsi="Times New Roman"/>
                <w:color w:val="000000"/>
                <w:sz w:val="24"/>
              </w:rPr>
            </w:pPr>
            <w:r>
              <w:rPr>
                <w:rFonts w:ascii="Times New Roman" w:hAnsi="Times New Roman"/>
                <w:strike w:val="false"/>
                <w:dstrike w:val="false"/>
                <w:color w:val="000000"/>
                <w:sz w:val="24"/>
                <w:u w:val="none"/>
                <w:effect w:val="none"/>
              </w:rPr>
              <w:t>(c)</w:t>
            </w:r>
            <w:r>
              <w:rPr>
                <w:rFonts w:ascii="Times New Roman" w:hAnsi="Times New Roman"/>
                <w:color w:val="000000"/>
                <w:sz w:val="24"/>
              </w:rPr>
              <w:t xml:space="preserve"> No Default or Event of Default shall have occurred and be continuing as of the date hereof.</w:t>
            </w:r>
          </w:p>
        </w:tc>
      </w:tr>
    </w:tbl>
    <w:tbl>
      <w:tblPr>
        <w:tblW w:w="7325" w:type="dxa"/>
        <w:jc w:val="left"/>
        <w:tblInd w:w="1440" w:type="dxa"/>
        <w:tblLayout w:type="fixed"/>
        <w:tblCellMar>
          <w:top w:w="0" w:type="dxa"/>
          <w:left w:w="0" w:type="dxa"/>
          <w:bottom w:w="0" w:type="dxa"/>
          <w:right w:w="0" w:type="dxa"/>
        </w:tblCellMar>
      </w:tblPr>
      <w:tblGrid>
        <w:gridCol w:w="2175"/>
        <w:gridCol w:w="5150"/>
      </w:tblGrid>
      <w:tr>
        <w:trPr/>
        <w:tc>
          <w:tcPr>
            <w:tcW w:w="2175" w:type="dxa"/>
            <w:tcBorders/>
            <w:vAlign w:val="center"/>
          </w:tcPr>
          <w:p>
            <w:pPr>
              <w:pStyle w:val="TableContents"/>
              <w:bidi w:val="0"/>
              <w:spacing w:before="0" w:after="283"/>
              <w:ind w:left="0" w:right="0" w:firstLine="2160"/>
              <w:jc w:val="left"/>
              <w:rPr>
                <w:sz w:val="4"/>
                <w:szCs w:val="4"/>
              </w:rPr>
            </w:pPr>
            <w:r>
              <w:rPr>
                <w:sz w:val="4"/>
                <w:szCs w:val="4"/>
              </w:rPr>
            </w:r>
          </w:p>
        </w:tc>
        <w:tc>
          <w:tcPr>
            <w:tcW w:w="5150" w:type="dxa"/>
            <w:tcBorders/>
          </w:tcPr>
          <w:p>
            <w:pPr>
              <w:pStyle w:val="TableContents"/>
              <w:pBdr/>
              <w:bidi w:val="0"/>
              <w:spacing w:before="0" w:after="240"/>
              <w:ind w:left="0" w:right="0" w:firstLine="2160"/>
              <w:jc w:val="both"/>
              <w:rPr>
                <w:rFonts w:ascii="Times New Roman" w:hAnsi="Times New Roman"/>
                <w:color w:val="000000"/>
                <w:sz w:val="24"/>
              </w:rPr>
            </w:pPr>
            <w:r>
              <w:rPr>
                <w:rFonts w:ascii="Times New Roman" w:hAnsi="Times New Roman"/>
                <w:strike w:val="false"/>
                <w:dstrike w:val="false"/>
                <w:color w:val="000000"/>
                <w:sz w:val="24"/>
                <w:u w:val="none"/>
                <w:effect w:val="none"/>
              </w:rPr>
              <w:t>(c)</w:t>
            </w:r>
            <w:r>
              <w:rPr>
                <w:rFonts w:ascii="Times New Roman" w:hAnsi="Times New Roman"/>
                <w:color w:val="000000"/>
                <w:sz w:val="24"/>
              </w:rPr>
              <w:t xml:space="preserve"> The Agent shall have received such fees as shall have been agreed.</w:t>
            </w:r>
          </w:p>
        </w:tc>
      </w:tr>
    </w:tbl>
    <w:tbl>
      <w:tblPr>
        <w:tblW w:w="7325" w:type="dxa"/>
        <w:jc w:val="left"/>
        <w:tblInd w:w="1440" w:type="dxa"/>
        <w:tblLayout w:type="fixed"/>
        <w:tblCellMar>
          <w:top w:w="0" w:type="dxa"/>
          <w:left w:w="0" w:type="dxa"/>
          <w:bottom w:w="0" w:type="dxa"/>
          <w:right w:w="0" w:type="dxa"/>
        </w:tblCellMar>
      </w:tblPr>
      <w:tblGrid>
        <w:gridCol w:w="2175"/>
        <w:gridCol w:w="5150"/>
      </w:tblGrid>
      <w:tr>
        <w:trPr/>
        <w:tc>
          <w:tcPr>
            <w:tcW w:w="2175" w:type="dxa"/>
            <w:tcBorders/>
            <w:vAlign w:val="center"/>
          </w:tcPr>
          <w:p>
            <w:pPr>
              <w:pStyle w:val="TableContents"/>
              <w:bidi w:val="0"/>
              <w:spacing w:before="0" w:after="283"/>
              <w:ind w:left="0" w:right="0" w:firstLine="2160"/>
              <w:jc w:val="left"/>
              <w:rPr>
                <w:sz w:val="4"/>
                <w:szCs w:val="4"/>
              </w:rPr>
            </w:pPr>
            <w:r>
              <w:rPr>
                <w:sz w:val="4"/>
                <w:szCs w:val="4"/>
              </w:rPr>
            </w:r>
          </w:p>
        </w:tc>
        <w:tc>
          <w:tcPr>
            <w:tcW w:w="5150" w:type="dxa"/>
            <w:tcBorders/>
          </w:tcPr>
          <w:p>
            <w:pPr>
              <w:pStyle w:val="TableContents"/>
              <w:pBdr/>
              <w:bidi w:val="0"/>
              <w:spacing w:before="0" w:after="240"/>
              <w:ind w:left="0" w:right="0" w:firstLine="2160"/>
              <w:jc w:val="both"/>
              <w:rPr>
                <w:rFonts w:ascii="Times New Roman" w:hAnsi="Times New Roman"/>
                <w:color w:val="000000"/>
                <w:sz w:val="24"/>
              </w:rPr>
            </w:pPr>
            <w:r>
              <w:rPr>
                <w:rFonts w:ascii="Times New Roman" w:hAnsi="Times New Roman"/>
                <w:strike w:val="false"/>
                <w:dstrike w:val="false"/>
                <w:color w:val="000000"/>
                <w:sz w:val="24"/>
                <w:u w:val="none"/>
                <w:effect w:val="none"/>
              </w:rPr>
              <w:t>(d)</w:t>
            </w:r>
            <w:r>
              <w:rPr>
                <w:rFonts w:ascii="Times New Roman" w:hAnsi="Times New Roman"/>
                <w:color w:val="000000"/>
                <w:sz w:val="24"/>
              </w:rPr>
              <w:t xml:space="preserve"> The Agent shall have received, to the extent invoiced, reimbursement of all fees and expenses of counsel to the Agent required to be paid or reimbursed by the Borrower hereunder.</w:t>
            </w:r>
          </w:p>
        </w:tc>
      </w:tr>
    </w:tbl>
    <w:p>
      <w:pPr>
        <w:pStyle w:val="TextBody"/>
        <w:bidi w:val="0"/>
        <w:spacing w:before="0" w:after="240"/>
        <w:ind w:left="1440" w:right="1440" w:hanging="0"/>
        <w:jc w:val="left"/>
        <w:rPr>
          <w:rFonts w:ascii="Times New Roman" w:hAnsi="Times New Roman"/>
          <w:sz w:val="24"/>
        </w:rPr>
      </w:pPr>
      <w:r>
        <w:rPr>
          <w:rFonts w:ascii="Times New Roman" w:hAnsi="Times New Roman"/>
          <w:color w:val="000000"/>
          <w:sz w:val="24"/>
        </w:rPr>
        <w:t>All of the foregoing fees shall be in all respects, fully earned, due and payable on the Effective Date and non-refundable and non- creditable thereafter.</w:t>
      </w:r>
      <w:r>
        <w:rPr>
          <w:rFonts w:ascii="Times New Roman" w:hAnsi="Times New Roman"/>
          <w:sz w:val="24"/>
        </w:rPr>
        <w:t xml:space="preserve"> </w:t>
      </w:r>
    </w:p>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color w:val="000000"/>
                <w:sz w:val="24"/>
              </w:rPr>
            </w:pPr>
            <w:r>
              <w:rPr>
                <w:rFonts w:ascii="Times New Roman" w:hAnsi="Times New Roman"/>
                <w:strike w:val="false"/>
                <w:dstrike w:val="false"/>
                <w:color w:val="010000"/>
                <w:sz w:val="24"/>
                <w:u w:val="none"/>
                <w:effect w:val="none"/>
              </w:rPr>
              <w:t>2.</w:t>
            </w:r>
            <w:r>
              <w:rPr>
                <w:rFonts w:ascii="Times New Roman" w:hAnsi="Times New Roman"/>
                <w:color w:val="000000"/>
                <w:sz w:val="24"/>
              </w:rPr>
              <w:t xml:space="preserve"> </w:t>
            </w:r>
            <w:r>
              <w:rPr>
                <w:rFonts w:ascii="Times New Roman" w:hAnsi="Times New Roman"/>
                <w:color w:val="000000"/>
                <w:sz w:val="24"/>
                <w:u w:val="single"/>
              </w:rPr>
              <w:t>Integration</w:t>
            </w:r>
            <w:r>
              <w:rPr>
                <w:rFonts w:ascii="Times New Roman" w:hAnsi="Times New Roman"/>
                <w:color w:val="000000"/>
                <w:sz w:val="24"/>
              </w:rPr>
              <w:t xml:space="preserve">.  This Agreement constitutes the sole agreement of the parties hereto with respect to the transactions contemplated hereby and shall supersede all oral negotiations and the terms of prior writings with respect thereto.  From and after the Effective Date, all references in the Amended Credit Agreement and each of the other Loan Documents to the Credit Agreement shall be deemed to be references to the Existing Credit Agreement as modified hereby.  This Agreement shall constitute a Loan Document for all purposes under the Amended Credit Agreement and each of the other Loan Documents. </w:t>
            </w:r>
          </w:p>
        </w:tc>
      </w:tr>
    </w:tbl>
    <w:tbl>
      <w:tblPr>
        <w:tblW w:w="7325" w:type="dxa"/>
        <w:jc w:val="left"/>
        <w:tblInd w:w="1440" w:type="dxa"/>
        <w:tblLayout w:type="fixed"/>
        <w:tblCellMar>
          <w:top w:w="0" w:type="dxa"/>
          <w:left w:w="0" w:type="dxa"/>
          <w:bottom w:w="0" w:type="dxa"/>
          <w:right w:w="0" w:type="dxa"/>
        </w:tblCellMar>
      </w:tblPr>
      <w:tblGrid>
        <w:gridCol w:w="1455"/>
        <w:gridCol w:w="587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5870" w:type="dxa"/>
            <w:tcBorders/>
          </w:tcPr>
          <w:p>
            <w:pPr>
              <w:pStyle w:val="TableContents"/>
              <w:pBdr/>
              <w:bidi w:val="0"/>
              <w:spacing w:before="0" w:after="240"/>
              <w:ind w:left="0" w:right="0" w:firstLine="1440"/>
              <w:jc w:val="both"/>
              <w:rPr>
                <w:rFonts w:ascii="Times New Roman" w:hAnsi="Times New Roman"/>
                <w:color w:val="000000"/>
                <w:sz w:val="24"/>
              </w:rPr>
            </w:pPr>
            <w:r>
              <w:rPr>
                <w:rFonts w:ascii="Times New Roman" w:hAnsi="Times New Roman"/>
                <w:strike w:val="false"/>
                <w:dstrike w:val="false"/>
                <w:color w:val="010000"/>
                <w:sz w:val="24"/>
                <w:u w:val="none"/>
                <w:effect w:val="none"/>
              </w:rPr>
              <w:t>3.</w:t>
            </w:r>
            <w:r>
              <w:rPr>
                <w:rFonts w:ascii="Times New Roman" w:hAnsi="Times New Roman"/>
                <w:color w:val="000000"/>
                <w:sz w:val="24"/>
              </w:rPr>
              <w:t xml:space="preserve"> </w:t>
            </w:r>
            <w:r>
              <w:rPr>
                <w:rFonts w:ascii="Times New Roman" w:hAnsi="Times New Roman"/>
                <w:color w:val="000000"/>
                <w:sz w:val="24"/>
                <w:u w:val="single"/>
              </w:rPr>
              <w:t>Severability</w:t>
            </w:r>
            <w:r>
              <w:rPr>
                <w:rFonts w:ascii="Times New Roman" w:hAnsi="Times New Roman"/>
                <w:color w:val="000000"/>
                <w:sz w:val="24"/>
              </w:rPr>
              <w:t>.  Any provision of this Agreement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tc>
      </w:tr>
    </w:tbl>
    <w:tbl>
      <w:tblPr>
        <w:tblW w:w="4580" w:type="dxa"/>
        <w:jc w:val="left"/>
        <w:tblInd w:w="1440" w:type="dxa"/>
        <w:tblLayout w:type="fixed"/>
        <w:tblCellMar>
          <w:top w:w="0" w:type="dxa"/>
          <w:left w:w="0" w:type="dxa"/>
          <w:bottom w:w="0" w:type="dxa"/>
          <w:right w:w="0" w:type="dxa"/>
        </w:tblCellMar>
      </w:tblPr>
      <w:tblGrid>
        <w:gridCol w:w="1455"/>
        <w:gridCol w:w="3125"/>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3125" w:type="dxa"/>
            <w:tcBorders/>
          </w:tcPr>
          <w:p>
            <w:pPr>
              <w:pStyle w:val="TableContents"/>
              <w:pBdr/>
              <w:bidi w:val="0"/>
              <w:spacing w:before="0" w:after="240"/>
              <w:ind w:left="0" w:right="0" w:firstLine="1440"/>
              <w:jc w:val="both"/>
              <w:rPr>
                <w:rFonts w:ascii="Times New Roman" w:hAnsi="Times New Roman"/>
                <w:color w:val="000000"/>
                <w:sz w:val="24"/>
              </w:rPr>
            </w:pPr>
            <w:r>
              <w:rPr>
                <w:rFonts w:ascii="Times New Roman" w:hAnsi="Times New Roman"/>
                <w:strike w:val="false"/>
                <w:dstrike w:val="false"/>
                <w:color w:val="010000"/>
                <w:sz w:val="24"/>
                <w:u w:val="none"/>
                <w:effect w:val="none"/>
              </w:rPr>
              <w:t>7.</w:t>
            </w:r>
            <w:r>
              <w:rPr>
                <w:rFonts w:ascii="Times New Roman" w:hAnsi="Times New Roman"/>
                <w:color w:val="000000"/>
                <w:sz w:val="24"/>
              </w:rPr>
              <w:t xml:space="preserve"> </w:t>
            </w:r>
            <w:r>
              <w:rPr>
                <w:rFonts w:ascii="Times New Roman" w:hAnsi="Times New Roman"/>
                <w:color w:val="000000"/>
                <w:sz w:val="24"/>
                <w:u w:val="single"/>
              </w:rPr>
              <w:t>Miscellaneous</w:t>
            </w:r>
            <w:r>
              <w:rPr>
                <w:rFonts w:ascii="Times New Roman" w:hAnsi="Times New Roman"/>
                <w:color w:val="000000"/>
                <w:sz w:val="24"/>
              </w:rPr>
              <w:t>.</w:t>
            </w:r>
          </w:p>
        </w:tc>
      </w:tr>
    </w:tbl>
    <w:tbl>
      <w:tblPr>
        <w:tblW w:w="7325" w:type="dxa"/>
        <w:jc w:val="left"/>
        <w:tblInd w:w="1440" w:type="dxa"/>
        <w:tblLayout w:type="fixed"/>
        <w:tblCellMar>
          <w:top w:w="0" w:type="dxa"/>
          <w:left w:w="0" w:type="dxa"/>
          <w:bottom w:w="0" w:type="dxa"/>
          <w:right w:w="0" w:type="dxa"/>
        </w:tblCellMar>
      </w:tblPr>
      <w:tblGrid>
        <w:gridCol w:w="2175"/>
        <w:gridCol w:w="5150"/>
      </w:tblGrid>
      <w:tr>
        <w:trPr/>
        <w:tc>
          <w:tcPr>
            <w:tcW w:w="2175" w:type="dxa"/>
            <w:tcBorders/>
            <w:vAlign w:val="center"/>
          </w:tcPr>
          <w:p>
            <w:pPr>
              <w:pStyle w:val="TableContents"/>
              <w:bidi w:val="0"/>
              <w:spacing w:before="0" w:after="283"/>
              <w:ind w:left="0" w:right="0" w:firstLine="2160"/>
              <w:jc w:val="left"/>
              <w:rPr>
                <w:sz w:val="4"/>
                <w:szCs w:val="4"/>
              </w:rPr>
            </w:pPr>
            <w:r>
              <w:rPr>
                <w:sz w:val="4"/>
                <w:szCs w:val="4"/>
              </w:rPr>
            </w:r>
          </w:p>
        </w:tc>
        <w:tc>
          <w:tcPr>
            <w:tcW w:w="5150" w:type="dxa"/>
            <w:tcBorders/>
          </w:tcPr>
          <w:p>
            <w:pPr>
              <w:pStyle w:val="TableContents"/>
              <w:pBdr/>
              <w:bidi w:val="0"/>
              <w:spacing w:before="0" w:after="240"/>
              <w:ind w:left="0" w:right="0" w:firstLine="2160"/>
              <w:jc w:val="both"/>
              <w:rPr>
                <w:rFonts w:ascii="Times New Roman" w:hAnsi="Times New Roman"/>
                <w:color w:val="000000"/>
                <w:sz w:val="24"/>
              </w:rPr>
            </w:pPr>
            <w:r>
              <w:rPr>
                <w:rFonts w:ascii="Times New Roman" w:hAnsi="Times New Roman"/>
                <w:strike w:val="false"/>
                <w:dstrike w:val="false"/>
                <w:color w:val="000000"/>
                <w:sz w:val="24"/>
                <w:u w:val="none"/>
                <w:effect w:val="none"/>
              </w:rPr>
              <w:t>(a)</w:t>
            </w:r>
            <w:r>
              <w:rPr>
                <w:rFonts w:ascii="Times New Roman" w:hAnsi="Times New Roman"/>
                <w:color w:val="000000"/>
                <w:sz w:val="24"/>
              </w:rPr>
              <w:t xml:space="preserve"> The Borrower agrees to pay all of the Agent’s reasonable out-of-pocket fees and expenses incurred in connection with this Agreement and the transactions contemplated hereby, including, without limitation, the reasonable fees and expenses of counsel to the Agent.</w:t>
            </w:r>
          </w:p>
        </w:tc>
      </w:tr>
    </w:tbl>
    <w:tbl>
      <w:tblPr>
        <w:tblW w:w="7325" w:type="dxa"/>
        <w:jc w:val="left"/>
        <w:tblInd w:w="1440" w:type="dxa"/>
        <w:tblLayout w:type="fixed"/>
        <w:tblCellMar>
          <w:top w:w="0" w:type="dxa"/>
          <w:left w:w="0" w:type="dxa"/>
          <w:bottom w:w="0" w:type="dxa"/>
          <w:right w:w="0" w:type="dxa"/>
        </w:tblCellMar>
      </w:tblPr>
      <w:tblGrid>
        <w:gridCol w:w="2175"/>
        <w:gridCol w:w="5150"/>
      </w:tblGrid>
      <w:tr>
        <w:trPr/>
        <w:tc>
          <w:tcPr>
            <w:tcW w:w="2175" w:type="dxa"/>
            <w:tcBorders/>
            <w:vAlign w:val="center"/>
          </w:tcPr>
          <w:p>
            <w:pPr>
              <w:pStyle w:val="TableContents"/>
              <w:bidi w:val="0"/>
              <w:spacing w:before="0" w:after="283"/>
              <w:ind w:left="0" w:right="0" w:firstLine="2160"/>
              <w:jc w:val="left"/>
              <w:rPr>
                <w:sz w:val="4"/>
                <w:szCs w:val="4"/>
              </w:rPr>
            </w:pPr>
            <w:r>
              <w:rPr>
                <w:sz w:val="4"/>
                <w:szCs w:val="4"/>
              </w:rPr>
            </w:r>
          </w:p>
        </w:tc>
        <w:tc>
          <w:tcPr>
            <w:tcW w:w="5150" w:type="dxa"/>
            <w:tcBorders/>
          </w:tcPr>
          <w:p>
            <w:pPr>
              <w:pStyle w:val="TableContents"/>
              <w:pBdr/>
              <w:bidi w:val="0"/>
              <w:spacing w:before="0" w:after="240"/>
              <w:ind w:left="0" w:right="0" w:firstLine="2160"/>
              <w:jc w:val="both"/>
              <w:rPr>
                <w:rFonts w:ascii="Times New Roman" w:hAnsi="Times New Roman"/>
                <w:color w:val="000000"/>
                <w:sz w:val="24"/>
              </w:rPr>
            </w:pPr>
            <w:r>
              <w:rPr>
                <w:rFonts w:ascii="Times New Roman" w:hAnsi="Times New Roman"/>
                <w:strike w:val="false"/>
                <w:dstrike w:val="false"/>
                <w:color w:val="000000"/>
                <w:sz w:val="24"/>
                <w:u w:val="none"/>
                <w:effect w:val="none"/>
              </w:rPr>
              <w:t>(a)</w:t>
            </w:r>
            <w:r>
              <w:rPr>
                <w:rFonts w:ascii="Times New Roman" w:hAnsi="Times New Roman"/>
                <w:color w:val="000000"/>
                <w:sz w:val="24"/>
              </w:rPr>
              <w:t xml:space="preserve"> All terms, conditions, provisions and covenants in the Loan Documents and all other documents delivered to the Agent and the Banks in connection therewith shall remain unaltered and in full force and effect except as expressly modified or amended hereby.  </w:t>
            </w:r>
          </w:p>
          <w:p>
            <w:pPr>
              <w:pStyle w:val="TableContents"/>
              <w:bidi w:val="0"/>
              <w:spacing w:before="0" w:after="0"/>
              <w:ind w:left="0" w:right="0" w:firstLine="2160"/>
              <w:jc w:val="center"/>
              <w:rPr>
                <w:rFonts w:ascii="Times New Roman" w:hAnsi="Times New Roman"/>
                <w:sz w:val="24"/>
              </w:rPr>
            </w:pPr>
            <w:r>
              <w:rPr>
                <w:rFonts w:ascii="Times New Roman" w:hAnsi="Times New Roman"/>
                <w:sz w:val="24"/>
              </w:rPr>
              <w:t xml:space="preserve">4 </w:t>
            </w:r>
          </w:p>
          <w:p>
            <w:pPr>
              <w:pStyle w:val="TableContents"/>
              <w:bidi w:val="0"/>
              <w:spacing w:before="0" w:after="0"/>
              <w:ind w:left="0" w:right="0" w:firstLine="2160"/>
              <w:jc w:val="left"/>
              <w:rPr/>
            </w:pPr>
            <w:r>
              <w:rPr/>
              <w:t xml:space="preserve">  </w:t>
            </w:r>
          </w:p>
        </w:tc>
      </w:tr>
    </w:tbl>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tbl>
      <w:tblPr>
        <w:tblW w:w="7325" w:type="dxa"/>
        <w:jc w:val="left"/>
        <w:tblInd w:w="1440" w:type="dxa"/>
        <w:tblLayout w:type="fixed"/>
        <w:tblCellMar>
          <w:top w:w="0" w:type="dxa"/>
          <w:left w:w="0" w:type="dxa"/>
          <w:bottom w:w="0" w:type="dxa"/>
          <w:right w:w="0" w:type="dxa"/>
        </w:tblCellMar>
      </w:tblPr>
      <w:tblGrid>
        <w:gridCol w:w="7325"/>
      </w:tblGrid>
      <w:tr>
        <w:trPr/>
        <w:tc>
          <w:tcPr>
            <w:tcW w:w="7325" w:type="dxa"/>
            <w:tcBorders/>
            <w:vAlign w:val="center"/>
          </w:tcPr>
          <w:p>
            <w:pPr>
              <w:pStyle w:val="TableContents"/>
              <w:pBdr/>
              <w:bidi w:val="0"/>
              <w:spacing w:before="0" w:after="240"/>
              <w:ind w:left="0" w:right="0" w:hanging="0"/>
              <w:jc w:val="both"/>
              <w:rPr>
                <w:rFonts w:ascii="Times New Roman" w:hAnsi="Times New Roman"/>
                <w:color w:val="000000"/>
                <w:sz w:val="24"/>
              </w:rPr>
            </w:pPr>
            <w:r>
              <w:rPr>
                <w:rFonts w:ascii="Times New Roman" w:hAnsi="Times New Roman"/>
                <w:color w:val="000000"/>
                <w:sz w:val="24"/>
              </w:rPr>
              <w:t>To the extent that any term or provision of this Agreement is or may be deemed expressly inconsistent with any term or provision in any Loan Document or any other document executed in connection therewith, the terms and provisions hereof shall control.</w:t>
            </w:r>
          </w:p>
        </w:tc>
      </w:tr>
    </w:tbl>
    <w:tbl>
      <w:tblPr>
        <w:tblW w:w="7325" w:type="dxa"/>
        <w:jc w:val="left"/>
        <w:tblInd w:w="1440" w:type="dxa"/>
        <w:tblLayout w:type="fixed"/>
        <w:tblCellMar>
          <w:top w:w="0" w:type="dxa"/>
          <w:left w:w="0" w:type="dxa"/>
          <w:bottom w:w="0" w:type="dxa"/>
          <w:right w:w="0" w:type="dxa"/>
        </w:tblCellMar>
      </w:tblPr>
      <w:tblGrid>
        <w:gridCol w:w="2175"/>
        <w:gridCol w:w="5150"/>
      </w:tblGrid>
      <w:tr>
        <w:trPr/>
        <w:tc>
          <w:tcPr>
            <w:tcW w:w="2175" w:type="dxa"/>
            <w:tcBorders/>
            <w:vAlign w:val="center"/>
          </w:tcPr>
          <w:p>
            <w:pPr>
              <w:pStyle w:val="TableContents"/>
              <w:bidi w:val="0"/>
              <w:spacing w:before="0" w:after="283"/>
              <w:ind w:left="0" w:right="0" w:firstLine="2160"/>
              <w:jc w:val="left"/>
              <w:rPr>
                <w:sz w:val="4"/>
                <w:szCs w:val="4"/>
              </w:rPr>
            </w:pPr>
            <w:r>
              <w:rPr>
                <w:sz w:val="4"/>
                <w:szCs w:val="4"/>
              </w:rPr>
            </w:r>
          </w:p>
        </w:tc>
        <w:tc>
          <w:tcPr>
            <w:tcW w:w="5150" w:type="dxa"/>
            <w:tcBorders/>
          </w:tcPr>
          <w:p>
            <w:pPr>
              <w:pStyle w:val="TableContents"/>
              <w:pBdr/>
              <w:bidi w:val="0"/>
              <w:spacing w:before="0" w:after="240"/>
              <w:ind w:left="0" w:right="0" w:firstLine="2160"/>
              <w:jc w:val="both"/>
              <w:rPr>
                <w:rFonts w:ascii="Times New Roman" w:hAnsi="Times New Roman"/>
                <w:color w:val="000000"/>
                <w:sz w:val="24"/>
              </w:rPr>
            </w:pPr>
            <w:r>
              <w:rPr>
                <w:rFonts w:ascii="Times New Roman" w:hAnsi="Times New Roman"/>
                <w:strike w:val="false"/>
                <w:dstrike w:val="false"/>
                <w:color w:val="000000"/>
                <w:sz w:val="24"/>
                <w:u w:val="none"/>
                <w:effect w:val="none"/>
              </w:rPr>
              <w:t>(b)</w:t>
            </w:r>
            <w:r>
              <w:rPr>
                <w:rFonts w:ascii="Times New Roman" w:hAnsi="Times New Roman"/>
                <w:color w:val="000000"/>
                <w:sz w:val="24"/>
              </w:rPr>
              <w:t xml:space="preserve"> The execution, delivery and effectiveness of this Agreement shall neither operate as a waiver of any right, power or remedy of the Agent or the Banks under any of the Loan Documents nor constitute a waiver of any Default or Event of Default thereunder.</w:t>
            </w:r>
          </w:p>
        </w:tc>
      </w:tr>
    </w:tbl>
    <w:tbl>
      <w:tblPr>
        <w:tblW w:w="7325" w:type="dxa"/>
        <w:jc w:val="left"/>
        <w:tblInd w:w="1440" w:type="dxa"/>
        <w:tblLayout w:type="fixed"/>
        <w:tblCellMar>
          <w:top w:w="0" w:type="dxa"/>
          <w:left w:w="0" w:type="dxa"/>
          <w:bottom w:w="0" w:type="dxa"/>
          <w:right w:w="0" w:type="dxa"/>
        </w:tblCellMar>
      </w:tblPr>
      <w:tblGrid>
        <w:gridCol w:w="2175"/>
        <w:gridCol w:w="5150"/>
      </w:tblGrid>
      <w:tr>
        <w:trPr/>
        <w:tc>
          <w:tcPr>
            <w:tcW w:w="2175" w:type="dxa"/>
            <w:tcBorders/>
            <w:vAlign w:val="center"/>
          </w:tcPr>
          <w:p>
            <w:pPr>
              <w:pStyle w:val="TableContents"/>
              <w:bidi w:val="0"/>
              <w:spacing w:before="0" w:after="283"/>
              <w:ind w:left="0" w:right="0" w:firstLine="2160"/>
              <w:jc w:val="left"/>
              <w:rPr>
                <w:sz w:val="4"/>
                <w:szCs w:val="4"/>
              </w:rPr>
            </w:pPr>
            <w:r>
              <w:rPr>
                <w:sz w:val="4"/>
                <w:szCs w:val="4"/>
              </w:rPr>
            </w:r>
          </w:p>
        </w:tc>
        <w:tc>
          <w:tcPr>
            <w:tcW w:w="5150" w:type="dxa"/>
            <w:tcBorders/>
          </w:tcPr>
          <w:p>
            <w:pPr>
              <w:pStyle w:val="TableContents"/>
              <w:pBdr/>
              <w:bidi w:val="0"/>
              <w:spacing w:before="0" w:after="240"/>
              <w:ind w:left="0" w:right="0" w:firstLine="2160"/>
              <w:jc w:val="both"/>
              <w:rPr>
                <w:rFonts w:ascii="Times New Roman" w:hAnsi="Times New Roman"/>
                <w:color w:val="000000"/>
                <w:sz w:val="24"/>
              </w:rPr>
            </w:pPr>
            <w:r>
              <w:rPr>
                <w:rFonts w:ascii="Times New Roman" w:hAnsi="Times New Roman"/>
                <w:strike w:val="false"/>
                <w:dstrike w:val="false"/>
                <w:color w:val="000000"/>
                <w:sz w:val="24"/>
                <w:u w:val="none"/>
                <w:effect w:val="none"/>
              </w:rPr>
              <w:t>(c)</w:t>
            </w:r>
            <w:r>
              <w:rPr>
                <w:rFonts w:ascii="Times New Roman" w:hAnsi="Times New Roman"/>
                <w:color w:val="000000"/>
                <w:sz w:val="24"/>
              </w:rPr>
              <w:t xml:space="preserve"> In consideration of the Agent’s and the Banks’ agreement to amend the existing revolving credit facility, the Borrower hereby waives and releases the Agent and the Banks and their respective officers, attorneys, agents and employees from any liability, suit, damage, claim, loss or expense of any kind or failure whatsoever and howsoever arising that it ever had up until, or has as of, the date of this Agreement.</w:t>
            </w:r>
          </w:p>
        </w:tc>
      </w:tr>
    </w:tbl>
    <w:tbl>
      <w:tblPr>
        <w:tblW w:w="7325" w:type="dxa"/>
        <w:jc w:val="left"/>
        <w:tblInd w:w="1440" w:type="dxa"/>
        <w:tblLayout w:type="fixed"/>
        <w:tblCellMar>
          <w:top w:w="0" w:type="dxa"/>
          <w:left w:w="0" w:type="dxa"/>
          <w:bottom w:w="0" w:type="dxa"/>
          <w:right w:w="0" w:type="dxa"/>
        </w:tblCellMar>
      </w:tblPr>
      <w:tblGrid>
        <w:gridCol w:w="2175"/>
        <w:gridCol w:w="5150"/>
      </w:tblGrid>
      <w:tr>
        <w:trPr/>
        <w:tc>
          <w:tcPr>
            <w:tcW w:w="2175" w:type="dxa"/>
            <w:tcBorders/>
            <w:vAlign w:val="center"/>
          </w:tcPr>
          <w:p>
            <w:pPr>
              <w:pStyle w:val="TableContents"/>
              <w:bidi w:val="0"/>
              <w:spacing w:before="0" w:after="283"/>
              <w:ind w:left="0" w:right="0" w:firstLine="2160"/>
              <w:jc w:val="left"/>
              <w:rPr>
                <w:sz w:val="4"/>
                <w:szCs w:val="4"/>
              </w:rPr>
            </w:pPr>
            <w:r>
              <w:rPr>
                <w:sz w:val="4"/>
                <w:szCs w:val="4"/>
              </w:rPr>
            </w:r>
          </w:p>
        </w:tc>
        <w:tc>
          <w:tcPr>
            <w:tcW w:w="5150" w:type="dxa"/>
            <w:tcBorders/>
          </w:tcPr>
          <w:p>
            <w:pPr>
              <w:pStyle w:val="TableContents"/>
              <w:pBdr/>
              <w:bidi w:val="0"/>
              <w:spacing w:before="0" w:after="240"/>
              <w:ind w:left="0" w:right="0" w:firstLine="2160"/>
              <w:jc w:val="both"/>
              <w:rPr>
                <w:rFonts w:ascii="Times New Roman" w:hAnsi="Times New Roman"/>
                <w:color w:val="000000"/>
                <w:sz w:val="24"/>
              </w:rPr>
            </w:pPr>
            <w:r>
              <w:rPr>
                <w:rFonts w:ascii="Times New Roman" w:hAnsi="Times New Roman"/>
                <w:strike w:val="false"/>
                <w:dstrike w:val="false"/>
                <w:color w:val="000000"/>
                <w:sz w:val="24"/>
                <w:u w:val="none"/>
                <w:effect w:val="none"/>
              </w:rPr>
              <w:t>(d)</w:t>
            </w:r>
            <w:r>
              <w:rPr>
                <w:rFonts w:ascii="Times New Roman" w:hAnsi="Times New Roman"/>
                <w:color w:val="000000"/>
                <w:sz w:val="24"/>
              </w:rPr>
              <w:t xml:space="preserve"> This Agreement shall be governed by and construed according to the laws of the Commonwealth of Pennsylvania.</w:t>
            </w:r>
          </w:p>
        </w:tc>
      </w:tr>
    </w:tbl>
    <w:tbl>
      <w:tblPr>
        <w:tblW w:w="7325" w:type="dxa"/>
        <w:jc w:val="left"/>
        <w:tblInd w:w="1440" w:type="dxa"/>
        <w:tblLayout w:type="fixed"/>
        <w:tblCellMar>
          <w:top w:w="0" w:type="dxa"/>
          <w:left w:w="0" w:type="dxa"/>
          <w:bottom w:w="0" w:type="dxa"/>
          <w:right w:w="0" w:type="dxa"/>
        </w:tblCellMar>
      </w:tblPr>
      <w:tblGrid>
        <w:gridCol w:w="2175"/>
        <w:gridCol w:w="5150"/>
      </w:tblGrid>
      <w:tr>
        <w:trPr/>
        <w:tc>
          <w:tcPr>
            <w:tcW w:w="2175" w:type="dxa"/>
            <w:tcBorders/>
            <w:vAlign w:val="center"/>
          </w:tcPr>
          <w:p>
            <w:pPr>
              <w:pStyle w:val="TableContents"/>
              <w:bidi w:val="0"/>
              <w:spacing w:before="0" w:after="283"/>
              <w:ind w:left="0" w:right="0" w:firstLine="2160"/>
              <w:jc w:val="left"/>
              <w:rPr>
                <w:sz w:val="4"/>
                <w:szCs w:val="4"/>
              </w:rPr>
            </w:pPr>
            <w:r>
              <w:rPr>
                <w:sz w:val="4"/>
                <w:szCs w:val="4"/>
              </w:rPr>
            </w:r>
          </w:p>
        </w:tc>
        <w:tc>
          <w:tcPr>
            <w:tcW w:w="5150" w:type="dxa"/>
            <w:tcBorders/>
          </w:tcPr>
          <w:p>
            <w:pPr>
              <w:pStyle w:val="TableContents"/>
              <w:pBdr/>
              <w:bidi w:val="0"/>
              <w:spacing w:before="0" w:after="240"/>
              <w:ind w:left="0" w:right="0" w:firstLine="2160"/>
              <w:jc w:val="both"/>
              <w:rPr>
                <w:rFonts w:ascii="Times New Roman" w:hAnsi="Times New Roman"/>
                <w:color w:val="000000"/>
                <w:sz w:val="24"/>
              </w:rPr>
            </w:pPr>
            <w:r>
              <w:rPr>
                <w:rFonts w:ascii="Times New Roman" w:hAnsi="Times New Roman"/>
                <w:strike w:val="false"/>
                <w:dstrike w:val="false"/>
                <w:color w:val="000000"/>
                <w:sz w:val="24"/>
                <w:u w:val="none"/>
                <w:effect w:val="none"/>
              </w:rPr>
              <w:t>(e)</w:t>
            </w:r>
            <w:r>
              <w:rPr>
                <w:rFonts w:ascii="Times New Roman" w:hAnsi="Times New Roman"/>
                <w:color w:val="000000"/>
                <w:sz w:val="24"/>
              </w:rPr>
              <w:t xml:space="preserve"> This Agreement shall inure to the benefit of, and be binding upon, the parties hereto and their respective successors and assigns.</w:t>
            </w:r>
          </w:p>
        </w:tc>
      </w:tr>
    </w:tbl>
    <w:tbl>
      <w:tblPr>
        <w:tblW w:w="7325" w:type="dxa"/>
        <w:jc w:val="left"/>
        <w:tblInd w:w="1440" w:type="dxa"/>
        <w:tblLayout w:type="fixed"/>
        <w:tblCellMar>
          <w:top w:w="0" w:type="dxa"/>
          <w:left w:w="0" w:type="dxa"/>
          <w:bottom w:w="0" w:type="dxa"/>
          <w:right w:w="0" w:type="dxa"/>
        </w:tblCellMar>
      </w:tblPr>
      <w:tblGrid>
        <w:gridCol w:w="2175"/>
        <w:gridCol w:w="5150"/>
      </w:tblGrid>
      <w:tr>
        <w:trPr/>
        <w:tc>
          <w:tcPr>
            <w:tcW w:w="2175" w:type="dxa"/>
            <w:tcBorders/>
            <w:vAlign w:val="center"/>
          </w:tcPr>
          <w:p>
            <w:pPr>
              <w:pStyle w:val="TableContents"/>
              <w:bidi w:val="0"/>
              <w:spacing w:before="0" w:after="283"/>
              <w:ind w:left="0" w:right="0" w:firstLine="2160"/>
              <w:jc w:val="left"/>
              <w:rPr>
                <w:sz w:val="4"/>
                <w:szCs w:val="4"/>
              </w:rPr>
            </w:pPr>
            <w:r>
              <w:rPr>
                <w:sz w:val="4"/>
                <w:szCs w:val="4"/>
              </w:rPr>
            </w:r>
          </w:p>
        </w:tc>
        <w:tc>
          <w:tcPr>
            <w:tcW w:w="5150" w:type="dxa"/>
            <w:tcBorders/>
          </w:tcPr>
          <w:p>
            <w:pPr>
              <w:pStyle w:val="TableContents"/>
              <w:pBdr/>
              <w:bidi w:val="0"/>
              <w:spacing w:before="0" w:after="240"/>
              <w:ind w:left="0" w:right="0" w:firstLine="2160"/>
              <w:jc w:val="both"/>
              <w:rPr>
                <w:rFonts w:ascii="Times New Roman" w:hAnsi="Times New Roman"/>
                <w:color w:val="000000"/>
                <w:sz w:val="24"/>
              </w:rPr>
            </w:pPr>
            <w:r>
              <w:rPr>
                <w:rFonts w:ascii="Times New Roman" w:hAnsi="Times New Roman"/>
                <w:strike w:val="false"/>
                <w:dstrike w:val="false"/>
                <w:color w:val="000000"/>
                <w:sz w:val="24"/>
                <w:u w:val="none"/>
                <w:effect w:val="none"/>
              </w:rPr>
              <w:t>(f)</w:t>
            </w:r>
            <w:r>
              <w:rPr>
                <w:rFonts w:ascii="Times New Roman" w:hAnsi="Times New Roman"/>
                <w:color w:val="000000"/>
                <w:sz w:val="24"/>
              </w:rPr>
              <w:t xml:space="preserve"> The headings used in this Agreement are for convenience of reference only, do not form a part of this Agreement and shall not affect in any way the meaning or interpretation of this Agreement.</w:t>
            </w:r>
          </w:p>
        </w:tc>
      </w:tr>
    </w:tbl>
    <w:tbl>
      <w:tblPr>
        <w:tblW w:w="7325" w:type="dxa"/>
        <w:jc w:val="left"/>
        <w:tblInd w:w="1440" w:type="dxa"/>
        <w:tblLayout w:type="fixed"/>
        <w:tblCellMar>
          <w:top w:w="0" w:type="dxa"/>
          <w:left w:w="0" w:type="dxa"/>
          <w:bottom w:w="0" w:type="dxa"/>
          <w:right w:w="0" w:type="dxa"/>
        </w:tblCellMar>
      </w:tblPr>
      <w:tblGrid>
        <w:gridCol w:w="2175"/>
        <w:gridCol w:w="5150"/>
      </w:tblGrid>
      <w:tr>
        <w:trPr/>
        <w:tc>
          <w:tcPr>
            <w:tcW w:w="2175" w:type="dxa"/>
            <w:tcBorders/>
            <w:vAlign w:val="center"/>
          </w:tcPr>
          <w:p>
            <w:pPr>
              <w:pStyle w:val="TableContents"/>
              <w:bidi w:val="0"/>
              <w:spacing w:before="0" w:after="283"/>
              <w:ind w:left="0" w:right="0" w:firstLine="2160"/>
              <w:jc w:val="left"/>
              <w:rPr>
                <w:sz w:val="4"/>
                <w:szCs w:val="4"/>
              </w:rPr>
            </w:pPr>
            <w:r>
              <w:rPr>
                <w:sz w:val="4"/>
                <w:szCs w:val="4"/>
              </w:rPr>
            </w:r>
          </w:p>
        </w:tc>
        <w:tc>
          <w:tcPr>
            <w:tcW w:w="5150" w:type="dxa"/>
            <w:tcBorders/>
          </w:tcPr>
          <w:p>
            <w:pPr>
              <w:pStyle w:val="TableContents"/>
              <w:pBdr/>
              <w:bidi w:val="0"/>
              <w:spacing w:before="0" w:after="240"/>
              <w:ind w:left="0" w:right="0" w:firstLine="2160"/>
              <w:jc w:val="both"/>
              <w:rPr>
                <w:rFonts w:ascii="Times New Roman" w:hAnsi="Times New Roman"/>
                <w:color w:val="000000"/>
                <w:sz w:val="24"/>
              </w:rPr>
            </w:pPr>
            <w:r>
              <w:rPr>
                <w:rFonts w:ascii="Times New Roman" w:hAnsi="Times New Roman"/>
                <w:strike w:val="false"/>
                <w:dstrike w:val="false"/>
                <w:color w:val="000000"/>
                <w:sz w:val="24"/>
                <w:u w:val="none"/>
                <w:effect w:val="none"/>
              </w:rPr>
              <w:t>(g)</w:t>
            </w:r>
            <w:r>
              <w:rPr>
                <w:rFonts w:ascii="Times New Roman" w:hAnsi="Times New Roman"/>
                <w:color w:val="000000"/>
                <w:sz w:val="24"/>
              </w:rPr>
              <w:t xml:space="preserve"> This Agreement may be executed in one or more counterparts, each of which counterparts when executed and delivered shall be deemed to be an original, and all of which shall constitute one and the same instrument.  Delivery of an executed counterpart of a signature page to this Agreement by facsimile or other electronic transmission will be effective as delivery of a manually executed counterpart hereof.</w:t>
            </w:r>
          </w:p>
        </w:tc>
      </w:tr>
    </w:tbl>
    <w:tbl>
      <w:tblPr>
        <w:tblW w:w="7325" w:type="dxa"/>
        <w:jc w:val="left"/>
        <w:tblInd w:w="1440" w:type="dxa"/>
        <w:tblLayout w:type="fixed"/>
        <w:tblCellMar>
          <w:top w:w="0" w:type="dxa"/>
          <w:left w:w="0" w:type="dxa"/>
          <w:bottom w:w="0" w:type="dxa"/>
          <w:right w:w="0" w:type="dxa"/>
        </w:tblCellMar>
      </w:tblPr>
      <w:tblGrid>
        <w:gridCol w:w="2175"/>
        <w:gridCol w:w="5150"/>
      </w:tblGrid>
      <w:tr>
        <w:trPr/>
        <w:tc>
          <w:tcPr>
            <w:tcW w:w="2175" w:type="dxa"/>
            <w:tcBorders/>
            <w:vAlign w:val="center"/>
          </w:tcPr>
          <w:p>
            <w:pPr>
              <w:pStyle w:val="TableContents"/>
              <w:bidi w:val="0"/>
              <w:spacing w:before="0" w:after="283"/>
              <w:ind w:left="0" w:right="0" w:firstLine="2160"/>
              <w:jc w:val="left"/>
              <w:rPr>
                <w:sz w:val="4"/>
                <w:szCs w:val="4"/>
              </w:rPr>
            </w:pPr>
            <w:r>
              <w:rPr>
                <w:sz w:val="4"/>
                <w:szCs w:val="4"/>
              </w:rPr>
            </w:r>
          </w:p>
        </w:tc>
        <w:tc>
          <w:tcPr>
            <w:tcW w:w="5150" w:type="dxa"/>
            <w:tcBorders/>
          </w:tcPr>
          <w:p>
            <w:pPr>
              <w:pStyle w:val="TableContents"/>
              <w:pBdr/>
              <w:bidi w:val="0"/>
              <w:spacing w:before="0" w:after="240"/>
              <w:ind w:left="0" w:right="0" w:firstLine="2160"/>
              <w:jc w:val="both"/>
              <w:rPr>
                <w:rFonts w:ascii="Times New Roman" w:hAnsi="Times New Roman"/>
                <w:color w:val="000000"/>
                <w:sz w:val="24"/>
              </w:rPr>
            </w:pPr>
            <w:r>
              <w:rPr>
                <w:rFonts w:ascii="Times New Roman" w:hAnsi="Times New Roman"/>
                <w:strike w:val="false"/>
                <w:dstrike w:val="false"/>
                <w:color w:val="000000"/>
                <w:sz w:val="24"/>
                <w:u w:val="none"/>
                <w:effect w:val="none"/>
              </w:rPr>
              <w:t>(b)</w:t>
            </w:r>
            <w:r>
              <w:rPr>
                <w:rFonts w:ascii="Times New Roman" w:hAnsi="Times New Roman"/>
                <w:color w:val="000000"/>
                <w:sz w:val="24"/>
              </w:rPr>
              <w:t xml:space="preserve"> No modification hereof or any agreement referred to herein shall be binding or enforceable unless in writing and signed on behalf of the party against whom enforcement is sought.</w:t>
            </w:r>
          </w:p>
        </w:tc>
      </w:tr>
    </w:tbl>
    <w:p>
      <w:pPr>
        <w:pStyle w:val="TextBody"/>
        <w:bidi w:val="0"/>
        <w:spacing w:before="0" w:after="0"/>
        <w:ind w:left="1440" w:right="1440" w:hanging="0"/>
        <w:jc w:val="center"/>
        <w:rPr/>
      </w:pPr>
      <w:r>
        <w:rPr/>
        <w:t xml:space="preserve">  </w:t>
      </w:r>
    </w:p>
    <w:p>
      <w:pPr>
        <w:pStyle w:val="TextBody"/>
        <w:bidi w:val="0"/>
        <w:spacing w:before="0" w:after="0"/>
        <w:ind w:left="1440" w:right="1440" w:hanging="0"/>
        <w:jc w:val="center"/>
        <w:rPr>
          <w:rFonts w:ascii="Times New Roman" w:hAnsi="Times New Roman"/>
          <w:sz w:val="24"/>
        </w:rPr>
      </w:pPr>
      <w:r>
        <w:rPr>
          <w:rFonts w:ascii="Times New Roman" w:hAnsi="Times New Roman"/>
          <w:sz w:val="24"/>
        </w:rPr>
        <w:t xml:space="preserve">5 </w:t>
      </w:r>
    </w:p>
    <w:p>
      <w:pPr>
        <w:pStyle w:val="TextBody"/>
        <w:bidi w:val="0"/>
        <w:spacing w:before="0" w:after="0"/>
        <w:ind w:left="1440" w:right="1440" w:hanging="0"/>
        <w:jc w:val="left"/>
        <w:rPr/>
      </w:pPr>
      <w:r>
        <w:rPr/>
        <w:t xml:space="preserve">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before="0" w:after="0"/>
        <w:ind w:left="1440" w:right="1440" w:hanging="0"/>
        <w:jc w:val="left"/>
        <w:rPr/>
      </w:pPr>
      <w:r>
        <w:rPr/>
        <w:t xml:space="preserve">  </w:t>
      </w:r>
    </w:p>
    <w:p>
      <w:pPr>
        <w:pStyle w:val="TextBody"/>
        <w:bidi w:val="0"/>
        <w:spacing w:before="0" w:after="240"/>
        <w:ind w:left="1440" w:right="1440" w:firstLine="1440"/>
        <w:jc w:val="both"/>
        <w:rPr>
          <w:rFonts w:ascii="Times New Roman" w:hAnsi="Times New Roman"/>
          <w:sz w:val="24"/>
        </w:rPr>
      </w:pPr>
      <w:r>
        <w:rPr>
          <w:rFonts w:ascii="Times New Roman" w:hAnsi="Times New Roman"/>
          <w:sz w:val="24"/>
        </w:rPr>
        <w:t xml:space="preserve">IN WITNESS WHEREOF, the Borrower, the Agent and the Banks have caused this Agreement to be executed by their duly authorized officers as of the date first above written. </w:t>
      </w:r>
    </w:p>
    <w:p>
      <w:pPr>
        <w:pStyle w:val="TextBody"/>
        <w:pBdr/>
        <w:bidi w:val="0"/>
        <w:spacing w:before="0" w:after="0"/>
        <w:ind w:left="5760" w:right="1440" w:hanging="0"/>
        <w:jc w:val="left"/>
        <w:rPr>
          <w:rFonts w:ascii="Times New Roman" w:hAnsi="Times New Roman"/>
          <w:sz w:val="24"/>
        </w:rPr>
      </w:pPr>
      <w:r>
        <w:rPr>
          <w:rFonts w:ascii="Times New Roman" w:hAnsi="Times New Roman"/>
          <w:sz w:val="24"/>
        </w:rPr>
        <w:t>AQUA PENNSYLVANIA, INC.</w:t>
      </w:r>
    </w:p>
    <w:p>
      <w:pPr>
        <w:pStyle w:val="TextBody"/>
        <w:pBdr/>
        <w:bidi w:val="0"/>
        <w:spacing w:before="0" w:after="0"/>
        <w:ind w:left="5760" w:right="1440" w:hanging="0"/>
        <w:jc w:val="both"/>
        <w:rPr>
          <w:rFonts w:cs="Times New Roman"/>
          <w:szCs w:val="24"/>
        </w:rPr>
      </w:pPr>
      <w:r>
        <w:rPr>
          <w:rFonts w:cs="Times New Roman"/>
          <w:szCs w:val="24"/>
        </w:rPr>
        <w:t xml:space="preserve">﻿ </w:t>
      </w:r>
    </w:p>
    <w:p>
      <w:pPr>
        <w:pStyle w:val="TextBody"/>
        <w:pBdr/>
        <w:bidi w:val="0"/>
        <w:spacing w:before="0" w:after="0"/>
        <w:ind w:left="5760" w:right="1440" w:hanging="0"/>
        <w:jc w:val="both"/>
        <w:rPr>
          <w:rFonts w:ascii="Times New Roman" w:hAnsi="Times New Roman"/>
          <w:sz w:val="24"/>
        </w:rPr>
      </w:pPr>
      <w:r>
        <w:rPr>
          <w:rFonts w:ascii="Times New Roman" w:hAnsi="Times New Roman"/>
          <w:sz w:val="24"/>
        </w:rPr>
        <w:t>By:</w:t>
      </w:r>
      <w:r>
        <w:rPr>
          <w:rFonts w:ascii="Times New Roman" w:hAnsi="Times New Roman"/>
          <w:sz w:val="24"/>
          <w:u w:val="single"/>
        </w:rPr>
        <w:t>/s/ Brian Dingerdissen</w:t>
      </w:r>
      <w:r>
        <w:rPr>
          <w:rFonts w:ascii="Times New Roman" w:hAnsi="Times New Roman"/>
          <w:sz w:val="24"/>
        </w:rPr>
        <w:t xml:space="preserve"> </w:t>
      </w:r>
    </w:p>
    <w:p>
      <w:pPr>
        <w:pStyle w:val="TextBody"/>
        <w:pBdr/>
        <w:bidi w:val="0"/>
        <w:spacing w:before="0" w:after="0"/>
        <w:ind w:left="5760" w:right="1440" w:hanging="0"/>
        <w:jc w:val="both"/>
        <w:rPr>
          <w:rFonts w:ascii="Times New Roman" w:hAnsi="Times New Roman"/>
          <w:sz w:val="24"/>
        </w:rPr>
      </w:pPr>
      <w:r>
        <w:rPr>
          <w:rFonts w:ascii="Times New Roman" w:hAnsi="Times New Roman"/>
          <w:sz w:val="24"/>
        </w:rPr>
        <w:t xml:space="preserve">Name:Brian Dingerdissen </w:t>
      </w:r>
    </w:p>
    <w:p>
      <w:pPr>
        <w:pStyle w:val="TextBody"/>
        <w:pBdr/>
        <w:bidi w:val="0"/>
        <w:spacing w:before="0" w:after="0"/>
        <w:ind w:left="5760" w:right="1440" w:hanging="0"/>
        <w:jc w:val="both"/>
        <w:rPr>
          <w:rFonts w:ascii="Times New Roman" w:hAnsi="Times New Roman"/>
          <w:sz w:val="24"/>
        </w:rPr>
      </w:pPr>
      <w:r>
        <w:rPr>
          <w:rFonts w:ascii="Times New Roman" w:hAnsi="Times New Roman"/>
          <w:sz w:val="24"/>
        </w:rPr>
        <w:t xml:space="preserve">Title: Vice President Financial Planning &amp; Analysis and Treasurer </w:t>
      </w:r>
    </w:p>
    <w:p>
      <w:pPr>
        <w:pStyle w:val="TextBody"/>
        <w:pBdr/>
        <w:bidi w:val="0"/>
        <w:spacing w:before="0" w:after="0"/>
        <w:ind w:left="5760" w:right="1440" w:hanging="0"/>
        <w:jc w:val="both"/>
        <w:rPr>
          <w:rFonts w:cs="Times New Roman"/>
          <w:szCs w:val="24"/>
        </w:rPr>
      </w:pPr>
      <w:r>
        <w:rPr>
          <w:rFonts w:cs="Times New Roman"/>
          <w:szCs w:val="24"/>
        </w:rPr>
        <w:t xml:space="preserve">﻿ </w:t>
      </w:r>
    </w:p>
    <w:p>
      <w:pPr>
        <w:pStyle w:val="TextBody"/>
        <w:pBdr/>
        <w:bidi w:val="0"/>
        <w:spacing w:before="0" w:after="0"/>
        <w:ind w:left="5760" w:right="1440" w:hanging="0"/>
        <w:jc w:val="both"/>
        <w:rPr>
          <w:rFonts w:cs="Times New Roman"/>
          <w:szCs w:val="24"/>
        </w:rPr>
      </w:pPr>
      <w:r>
        <w:rPr>
          <w:rFonts w:cs="Times New Roman"/>
          <w:szCs w:val="24"/>
        </w:rPr>
        <w:t xml:space="preserve">﻿ </w:t>
      </w:r>
    </w:p>
    <w:p>
      <w:pPr>
        <w:pStyle w:val="TextBody"/>
        <w:bidi w:val="0"/>
        <w:spacing w:before="0" w:after="0"/>
        <w:ind w:left="1440" w:right="1440" w:hanging="0"/>
        <w:jc w:val="left"/>
        <w:rPr>
          <w:rFonts w:ascii="Times New Roman" w:hAnsi="Times New Roman"/>
          <w:sz w:val="16"/>
        </w:rPr>
      </w:pPr>
      <w:r>
        <w:rPr>
          <w:rFonts w:ascii="Arial" w:hAnsi="Arial"/>
          <w:sz w:val="16"/>
        </w:rPr>
        <w:t>#4907-0360-8733</w:t>
      </w:r>
      <w:r>
        <w:rPr>
          <w:rFonts w:ascii="Times New Roman" w:hAnsi="Times New Roman"/>
          <w:sz w:val="16"/>
        </w:rPr>
        <w:t xml:space="preserve">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before="0" w:after="0"/>
        <w:ind w:left="1440" w:right="1440" w:hanging="0"/>
        <w:jc w:val="left"/>
        <w:rPr/>
      </w:pPr>
      <w:r>
        <w:rPr/>
        <w:t xml:space="preserve">  </w:t>
      </w:r>
    </w:p>
    <w:p>
      <w:pPr>
        <w:pStyle w:val="TextBody"/>
        <w:pBdr/>
        <w:bidi w:val="0"/>
        <w:spacing w:before="0" w:after="0"/>
        <w:ind w:left="5760" w:right="1440" w:hanging="0"/>
        <w:jc w:val="left"/>
        <w:rPr>
          <w:rFonts w:ascii="Times New Roman" w:hAnsi="Times New Roman"/>
          <w:sz w:val="24"/>
        </w:rPr>
      </w:pPr>
      <w:r>
        <w:rPr>
          <w:rFonts w:ascii="Times New Roman" w:hAnsi="Times New Roman"/>
          <w:sz w:val="24"/>
        </w:rPr>
        <w:t xml:space="preserve">PNC BANK, NATIONAL ASSOCIATION, as Agent and as a Bank </w:t>
      </w:r>
    </w:p>
    <w:p>
      <w:pPr>
        <w:pStyle w:val="TextBody"/>
        <w:pBdr/>
        <w:bidi w:val="0"/>
        <w:spacing w:before="0" w:after="0"/>
        <w:ind w:left="5760" w:right="1440" w:hanging="0"/>
        <w:jc w:val="both"/>
        <w:rPr>
          <w:rFonts w:cs="Times New Roman"/>
          <w:szCs w:val="24"/>
        </w:rPr>
      </w:pPr>
      <w:r>
        <w:rPr>
          <w:rFonts w:cs="Times New Roman"/>
          <w:szCs w:val="24"/>
        </w:rPr>
        <w:t xml:space="preserve">﻿ </w:t>
      </w:r>
    </w:p>
    <w:p>
      <w:pPr>
        <w:pStyle w:val="TextBody"/>
        <w:pBdr/>
        <w:bidi w:val="0"/>
        <w:spacing w:before="0" w:after="0"/>
        <w:ind w:left="5760" w:right="1440" w:hanging="0"/>
        <w:jc w:val="both"/>
        <w:rPr>
          <w:rFonts w:cs="Times New Roman"/>
          <w:szCs w:val="24"/>
        </w:rPr>
      </w:pPr>
      <w:r>
        <w:rPr>
          <w:rFonts w:cs="Times New Roman"/>
          <w:szCs w:val="24"/>
        </w:rPr>
        <w:t xml:space="preserve">﻿ </w:t>
      </w:r>
    </w:p>
    <w:p>
      <w:pPr>
        <w:pStyle w:val="TextBody"/>
        <w:pBdr/>
        <w:bidi w:val="0"/>
        <w:spacing w:before="0" w:after="0"/>
        <w:ind w:left="5760" w:right="1440" w:hanging="0"/>
        <w:jc w:val="both"/>
        <w:rPr>
          <w:rFonts w:ascii="Times New Roman" w:hAnsi="Times New Roman"/>
          <w:sz w:val="24"/>
        </w:rPr>
      </w:pPr>
      <w:r>
        <w:rPr>
          <w:rFonts w:ascii="Times New Roman" w:hAnsi="Times New Roman"/>
          <w:sz w:val="24"/>
        </w:rPr>
        <w:t>By:</w:t>
      </w:r>
      <w:r>
        <w:rPr>
          <w:rFonts w:ascii="Times New Roman" w:hAnsi="Times New Roman"/>
          <w:sz w:val="24"/>
          <w:u w:val="single"/>
        </w:rPr>
        <w:t>/s/ Kristine Manili</w:t>
      </w:r>
      <w:r>
        <w:rPr>
          <w:rFonts w:ascii="Times New Roman" w:hAnsi="Times New Roman"/>
          <w:sz w:val="24"/>
        </w:rPr>
        <w:t xml:space="preserve"> </w:t>
      </w:r>
    </w:p>
    <w:p>
      <w:pPr>
        <w:pStyle w:val="TextBody"/>
        <w:pBdr/>
        <w:bidi w:val="0"/>
        <w:spacing w:before="0" w:after="0"/>
        <w:ind w:left="5760" w:right="1440" w:hanging="0"/>
        <w:jc w:val="both"/>
        <w:rPr>
          <w:rFonts w:ascii="Times New Roman" w:hAnsi="Times New Roman"/>
          <w:sz w:val="24"/>
        </w:rPr>
      </w:pPr>
      <w:r>
        <w:rPr>
          <w:rFonts w:ascii="Times New Roman" w:hAnsi="Times New Roman"/>
          <w:sz w:val="24"/>
        </w:rPr>
        <w:t xml:space="preserve">Name:Kristine Manili </w:t>
      </w:r>
    </w:p>
    <w:p>
      <w:pPr>
        <w:pStyle w:val="TextBody"/>
        <w:pBdr/>
        <w:bidi w:val="0"/>
        <w:spacing w:before="0" w:after="0"/>
        <w:ind w:left="5760" w:right="1440" w:hanging="0"/>
        <w:jc w:val="both"/>
        <w:rPr>
          <w:rFonts w:ascii="Times New Roman" w:hAnsi="Times New Roman"/>
          <w:sz w:val="24"/>
        </w:rPr>
      </w:pPr>
      <w:r>
        <w:rPr>
          <w:rFonts w:ascii="Times New Roman" w:hAnsi="Times New Roman"/>
          <w:sz w:val="24"/>
        </w:rPr>
        <w:t xml:space="preserve">Title: Senior Vice President </w:t>
      </w:r>
    </w:p>
    <w:p>
      <w:pPr>
        <w:pStyle w:val="TextBody"/>
        <w:pBdr/>
        <w:bidi w:val="0"/>
        <w:spacing w:before="0" w:after="0"/>
        <w:ind w:left="5760" w:right="1440" w:hanging="0"/>
        <w:jc w:val="both"/>
        <w:rPr>
          <w:rFonts w:cs="Times New Roman"/>
          <w:szCs w:val="24"/>
        </w:rPr>
      </w:pPr>
      <w:r>
        <w:rPr>
          <w:rFonts w:cs="Times New Roman"/>
          <w:szCs w:val="24"/>
        </w:rPr>
        <w:t xml:space="preserve">﻿ </w:t>
      </w:r>
    </w:p>
    <w:p>
      <w:pPr>
        <w:pStyle w:val="TextBody"/>
        <w:pBdr/>
        <w:bidi w:val="0"/>
        <w:spacing w:before="0" w:after="0"/>
        <w:ind w:left="5760" w:right="1440" w:hanging="0"/>
        <w:jc w:val="both"/>
        <w:rPr>
          <w:rFonts w:cs="Times New Roman"/>
          <w:szCs w:val="24"/>
        </w:rPr>
      </w:pPr>
      <w:r>
        <w:rPr>
          <w:rFonts w:cs="Times New Roman"/>
          <w:szCs w:val="24"/>
        </w:rPr>
        <w:t xml:space="preserve">﻿ </w:t>
      </w:r>
    </w:p>
    <w:p>
      <w:pPr>
        <w:pStyle w:val="TextBody"/>
        <w:bidi w:val="0"/>
        <w:spacing w:before="0" w:after="0"/>
        <w:ind w:left="1440" w:right="1440" w:hanging="0"/>
        <w:jc w:val="left"/>
        <w:rPr>
          <w:rFonts w:ascii="Times New Roman" w:hAnsi="Times New Roman"/>
          <w:sz w:val="16"/>
        </w:rPr>
      </w:pPr>
      <w:r>
        <w:rPr>
          <w:rFonts w:ascii="Arial" w:hAnsi="Arial"/>
          <w:sz w:val="16"/>
        </w:rPr>
        <w:t>#4907-0360-8733</w:t>
      </w:r>
      <w:r>
        <w:rPr>
          <w:rFonts w:ascii="Times New Roman" w:hAnsi="Times New Roman"/>
          <w:sz w:val="16"/>
        </w:rPr>
        <w:t xml:space="preserve">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before="0" w:after="0"/>
        <w:ind w:left="1440" w:right="1440" w:hanging="0"/>
        <w:jc w:val="left"/>
        <w:rPr/>
      </w:pPr>
      <w:r>
        <w:rPr/>
        <w:t xml:space="preserve">  </w:t>
      </w:r>
    </w:p>
    <w:p>
      <w:pPr>
        <w:pStyle w:val="TextBody"/>
        <w:pBdr/>
        <w:bidi w:val="0"/>
        <w:spacing w:before="0" w:after="0"/>
        <w:ind w:left="5760" w:right="1440" w:hanging="0"/>
        <w:jc w:val="left"/>
        <w:rPr>
          <w:rFonts w:ascii="Times New Roman" w:hAnsi="Times New Roman"/>
          <w:sz w:val="24"/>
        </w:rPr>
      </w:pPr>
      <w:r>
        <w:rPr>
          <w:rFonts w:ascii="Times New Roman" w:hAnsi="Times New Roman"/>
          <w:sz w:val="24"/>
        </w:rPr>
        <w:t>CITIZENS BANK, N.A., as a Bank</w:t>
      </w:r>
    </w:p>
    <w:p>
      <w:pPr>
        <w:pStyle w:val="TextBody"/>
        <w:pBdr/>
        <w:bidi w:val="0"/>
        <w:spacing w:before="0" w:after="0"/>
        <w:ind w:left="5760" w:right="1440" w:hanging="0"/>
        <w:jc w:val="both"/>
        <w:rPr>
          <w:rFonts w:cs="Times New Roman"/>
          <w:szCs w:val="24"/>
        </w:rPr>
      </w:pPr>
      <w:r>
        <w:rPr>
          <w:rFonts w:cs="Times New Roman"/>
          <w:szCs w:val="24"/>
        </w:rPr>
        <w:t xml:space="preserve">﻿ </w:t>
      </w:r>
    </w:p>
    <w:p>
      <w:pPr>
        <w:pStyle w:val="TextBody"/>
        <w:pBdr/>
        <w:bidi w:val="0"/>
        <w:spacing w:before="0" w:after="0"/>
        <w:ind w:left="5760" w:right="1440" w:hanging="0"/>
        <w:jc w:val="both"/>
        <w:rPr>
          <w:rFonts w:ascii="Times New Roman" w:hAnsi="Times New Roman"/>
          <w:sz w:val="24"/>
        </w:rPr>
      </w:pPr>
      <w:r>
        <w:rPr>
          <w:rFonts w:ascii="Times New Roman" w:hAnsi="Times New Roman"/>
          <w:sz w:val="24"/>
        </w:rPr>
        <w:t>By:</w:t>
      </w:r>
      <w:r>
        <w:rPr>
          <w:rFonts w:ascii="Times New Roman" w:hAnsi="Times New Roman"/>
          <w:sz w:val="24"/>
          <w:u w:val="single"/>
        </w:rPr>
        <w:t>/s/ He-Young S. Ryu</w:t>
      </w:r>
      <w:r>
        <w:rPr>
          <w:rFonts w:ascii="Times New Roman" w:hAnsi="Times New Roman"/>
          <w:sz w:val="24"/>
        </w:rPr>
        <w:t xml:space="preserve"> </w:t>
      </w:r>
    </w:p>
    <w:p>
      <w:pPr>
        <w:pStyle w:val="TextBody"/>
        <w:pBdr/>
        <w:bidi w:val="0"/>
        <w:spacing w:before="0" w:after="0"/>
        <w:ind w:left="5760" w:right="1440" w:hanging="0"/>
        <w:jc w:val="both"/>
        <w:rPr>
          <w:rFonts w:ascii="Times New Roman" w:hAnsi="Times New Roman"/>
          <w:sz w:val="24"/>
        </w:rPr>
      </w:pPr>
      <w:r>
        <w:rPr>
          <w:rFonts w:ascii="Times New Roman" w:hAnsi="Times New Roman"/>
          <w:sz w:val="24"/>
        </w:rPr>
        <w:t xml:space="preserve">Name:He-Young S. Ryu </w:t>
      </w:r>
    </w:p>
    <w:p>
      <w:pPr>
        <w:pStyle w:val="TextBody"/>
        <w:pBdr/>
        <w:bidi w:val="0"/>
        <w:spacing w:before="0" w:after="0"/>
        <w:ind w:left="5760" w:right="1440" w:hanging="0"/>
        <w:jc w:val="both"/>
        <w:rPr>
          <w:rFonts w:ascii="Times New Roman" w:hAnsi="Times New Roman"/>
          <w:sz w:val="24"/>
        </w:rPr>
      </w:pPr>
      <w:r>
        <w:rPr>
          <w:rFonts w:ascii="Times New Roman" w:hAnsi="Times New Roman"/>
          <w:sz w:val="24"/>
        </w:rPr>
        <w:t xml:space="preserve">Title: Senior Vice President </w:t>
      </w:r>
    </w:p>
    <w:p>
      <w:pPr>
        <w:pStyle w:val="TextBody"/>
        <w:pBdr/>
        <w:bidi w:val="0"/>
        <w:spacing w:before="0" w:after="0"/>
        <w:ind w:left="5760" w:right="1440" w:hanging="0"/>
        <w:jc w:val="both"/>
        <w:rPr>
          <w:rFonts w:cs="Times New Roman"/>
          <w:szCs w:val="24"/>
        </w:rPr>
      </w:pPr>
      <w:r>
        <w:rPr>
          <w:rFonts w:cs="Times New Roman"/>
          <w:szCs w:val="24"/>
        </w:rPr>
        <w:t xml:space="preserve">﻿ </w:t>
      </w:r>
    </w:p>
    <w:p>
      <w:pPr>
        <w:pStyle w:val="TextBody"/>
        <w:pBdr/>
        <w:bidi w:val="0"/>
        <w:spacing w:before="0" w:after="0"/>
        <w:ind w:left="5760" w:right="1440" w:hanging="0"/>
        <w:jc w:val="both"/>
        <w:rPr>
          <w:rFonts w:cs="Times New Roman"/>
          <w:szCs w:val="24"/>
        </w:rPr>
      </w:pPr>
      <w:r>
        <w:rPr>
          <w:rFonts w:cs="Times New Roman"/>
          <w:szCs w:val="24"/>
        </w:rPr>
        <w:t xml:space="preserve">﻿ </w:t>
      </w:r>
    </w:p>
    <w:p>
      <w:pPr>
        <w:pStyle w:val="TextBody"/>
        <w:bidi w:val="0"/>
        <w:spacing w:before="0" w:after="0"/>
        <w:ind w:left="1440" w:right="1440" w:hanging="0"/>
        <w:jc w:val="left"/>
        <w:rPr>
          <w:rFonts w:ascii="Times New Roman" w:hAnsi="Times New Roman"/>
          <w:sz w:val="16"/>
        </w:rPr>
      </w:pPr>
      <w:r>
        <w:rPr>
          <w:rFonts w:ascii="Arial" w:hAnsi="Arial"/>
          <w:sz w:val="16"/>
        </w:rPr>
        <w:t>#4907-0360-8733</w:t>
      </w:r>
      <w:r>
        <w:rPr>
          <w:rFonts w:ascii="Times New Roman" w:hAnsi="Times New Roman"/>
          <w:sz w:val="16"/>
        </w:rPr>
        <w:t xml:space="preserve">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before="0" w:after="0"/>
        <w:ind w:left="1440" w:right="1440" w:hanging="0"/>
        <w:jc w:val="left"/>
        <w:rPr/>
      </w:pPr>
      <w:r>
        <w:rPr/>
        <w:t xml:space="preserve">  </w:t>
      </w:r>
    </w:p>
    <w:p>
      <w:pPr>
        <w:pStyle w:val="TextBody"/>
        <w:bidi w:val="0"/>
        <w:spacing w:before="0" w:after="0"/>
        <w:ind w:left="1440" w:right="1440" w:hanging="0"/>
        <w:jc w:val="left"/>
        <w:rPr>
          <w:rFonts w:cs="Times New Roman"/>
          <w:szCs w:val="24"/>
        </w:rPr>
      </w:pPr>
      <w:r>
        <w:rPr>
          <w:rFonts w:cs="Times New Roman"/>
          <w:szCs w:val="24"/>
        </w:rPr>
        <w:t xml:space="preserve">﻿ </w:t>
      </w:r>
    </w:p>
    <w:p>
      <w:pPr>
        <w:pStyle w:val="TextBody"/>
        <w:pBdr/>
        <w:bidi w:val="0"/>
        <w:spacing w:before="0" w:after="0"/>
        <w:ind w:left="5760" w:right="1440" w:hanging="0"/>
        <w:jc w:val="left"/>
        <w:rPr>
          <w:rFonts w:ascii="Times New Roman" w:hAnsi="Times New Roman"/>
          <w:sz w:val="24"/>
        </w:rPr>
      </w:pPr>
      <w:r>
        <w:rPr>
          <w:rFonts w:ascii="Times New Roman" w:hAnsi="Times New Roman"/>
          <w:sz w:val="24"/>
        </w:rPr>
        <w:t xml:space="preserve">THE HUNTINGTON NATIONAL BANK, </w:t>
        <w:br/>
        <w:t xml:space="preserve">as a Bank </w:t>
      </w:r>
    </w:p>
    <w:p>
      <w:pPr>
        <w:pStyle w:val="TextBody"/>
        <w:pBdr/>
        <w:bidi w:val="0"/>
        <w:spacing w:before="0" w:after="0"/>
        <w:ind w:left="5760" w:right="1440" w:hanging="0"/>
        <w:jc w:val="both"/>
        <w:rPr>
          <w:rFonts w:cs="Times New Roman"/>
          <w:szCs w:val="24"/>
        </w:rPr>
      </w:pPr>
      <w:r>
        <w:rPr>
          <w:rFonts w:cs="Times New Roman"/>
          <w:szCs w:val="24"/>
        </w:rPr>
        <w:t xml:space="preserve">﻿ </w:t>
      </w:r>
    </w:p>
    <w:p>
      <w:pPr>
        <w:pStyle w:val="TextBody"/>
        <w:pBdr/>
        <w:bidi w:val="0"/>
        <w:spacing w:before="0" w:after="0"/>
        <w:ind w:left="5760" w:right="1440" w:hanging="0"/>
        <w:jc w:val="both"/>
        <w:rPr>
          <w:rFonts w:cs="Times New Roman"/>
          <w:szCs w:val="24"/>
        </w:rPr>
      </w:pPr>
      <w:r>
        <w:rPr>
          <w:rFonts w:cs="Times New Roman"/>
          <w:szCs w:val="24"/>
        </w:rPr>
        <w:t xml:space="preserve">﻿ </w:t>
      </w:r>
    </w:p>
    <w:p>
      <w:pPr>
        <w:pStyle w:val="TextBody"/>
        <w:pBdr/>
        <w:bidi w:val="0"/>
        <w:spacing w:before="0" w:after="0"/>
        <w:ind w:left="5760" w:right="1440" w:hanging="0"/>
        <w:jc w:val="both"/>
        <w:rPr>
          <w:rFonts w:ascii="Times New Roman" w:hAnsi="Times New Roman"/>
          <w:sz w:val="24"/>
        </w:rPr>
      </w:pPr>
      <w:r>
        <w:rPr>
          <w:rFonts w:ascii="Times New Roman" w:hAnsi="Times New Roman"/>
          <w:sz w:val="24"/>
        </w:rPr>
        <w:t>By:</w:t>
      </w:r>
      <w:r>
        <w:rPr>
          <w:rFonts w:ascii="Times New Roman" w:hAnsi="Times New Roman"/>
          <w:sz w:val="24"/>
          <w:u w:val="single"/>
        </w:rPr>
        <w:t>/s/ Nolan Woodbury</w:t>
      </w:r>
      <w:r>
        <w:rPr>
          <w:rFonts w:ascii="Times New Roman" w:hAnsi="Times New Roman"/>
          <w:sz w:val="24"/>
        </w:rPr>
        <w:t xml:space="preserve"> </w:t>
      </w:r>
    </w:p>
    <w:p>
      <w:pPr>
        <w:pStyle w:val="TextBody"/>
        <w:pBdr/>
        <w:bidi w:val="0"/>
        <w:spacing w:before="0" w:after="0"/>
        <w:ind w:left="5760" w:right="1440" w:hanging="0"/>
        <w:jc w:val="both"/>
        <w:rPr>
          <w:rFonts w:ascii="Times New Roman" w:hAnsi="Times New Roman"/>
          <w:sz w:val="24"/>
        </w:rPr>
      </w:pPr>
      <w:r>
        <w:rPr>
          <w:rFonts w:ascii="Times New Roman" w:hAnsi="Times New Roman"/>
          <w:sz w:val="24"/>
        </w:rPr>
        <w:t xml:space="preserve">Name:Nolan Woodbury </w:t>
      </w:r>
    </w:p>
    <w:p>
      <w:pPr>
        <w:pStyle w:val="TextBody"/>
        <w:pBdr/>
        <w:bidi w:val="0"/>
        <w:spacing w:before="0" w:after="0"/>
        <w:ind w:left="5760" w:right="1440" w:hanging="0"/>
        <w:jc w:val="both"/>
        <w:rPr>
          <w:rFonts w:ascii="Times New Roman" w:hAnsi="Times New Roman"/>
          <w:sz w:val="24"/>
        </w:rPr>
      </w:pPr>
      <w:r>
        <w:rPr>
          <w:rFonts w:ascii="Times New Roman" w:hAnsi="Times New Roman"/>
          <w:sz w:val="24"/>
        </w:rPr>
        <w:t xml:space="preserve">Title: Director </w:t>
      </w:r>
    </w:p>
    <w:p>
      <w:pPr>
        <w:pStyle w:val="TextBody"/>
        <w:bidi w:val="0"/>
        <w:spacing w:before="0" w:after="240"/>
        <w:ind w:left="1440" w:right="1440" w:hanging="0"/>
        <w:jc w:val="left"/>
        <w:rPr/>
      </w:pPr>
      <w:r>
        <w:rPr/>
        <w:t xml:space="preserve">  </w:t>
      </w:r>
    </w:p>
    <w:p>
      <w:pPr>
        <w:pStyle w:val="TextBody"/>
        <w:bidi w:val="0"/>
        <w:spacing w:before="0" w:after="0"/>
        <w:ind w:left="1440" w:right="1440" w:hanging="0"/>
        <w:jc w:val="left"/>
        <w:rPr>
          <w:rFonts w:ascii="Times New Roman" w:hAnsi="Times New Roman"/>
          <w:sz w:val="16"/>
        </w:rPr>
      </w:pPr>
      <w:r>
        <w:rPr>
          <w:rFonts w:ascii="Arial" w:hAnsi="Arial"/>
          <w:sz w:val="16"/>
        </w:rPr>
        <w:t>#4907-0360-8733</w:t>
      </w:r>
      <w:r>
        <w:rPr>
          <w:rFonts w:ascii="Times New Roman" w:hAnsi="Times New Roman"/>
          <w:sz w:val="16"/>
        </w:rPr>
        <w:t xml:space="preserve">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before="0" w:after="0"/>
        <w:ind w:left="1440" w:right="1440" w:hanging="0"/>
        <w:jc w:val="left"/>
        <w:rPr/>
      </w:pPr>
      <w:r>
        <w:rPr/>
        <w:t xml:space="preserve">  </w:t>
      </w:r>
    </w:p>
    <w:p>
      <w:pPr>
        <w:pStyle w:val="TextBody"/>
        <w:bidi w:val="0"/>
        <w:spacing w:before="0" w:after="0"/>
        <w:ind w:left="1440" w:right="1440" w:hanging="0"/>
        <w:jc w:val="center"/>
        <w:rPr>
          <w:rFonts w:ascii="Times New Roman" w:hAnsi="Times New Roman"/>
          <w:sz w:val="24"/>
        </w:rPr>
      </w:pPr>
      <w:r>
        <w:rPr>
          <w:rFonts w:ascii="Times New Roman" w:hAnsi="Times New Roman"/>
          <w:b/>
          <w:sz w:val="24"/>
        </w:rPr>
        <w:t>CONSENT OF GUARANTOR</w:t>
      </w:r>
      <w:r>
        <w:rPr>
          <w:rFonts w:ascii="Times New Roman" w:hAnsi="Times New Roman"/>
          <w:sz w:val="24"/>
        </w:rPr>
        <w:t xml:space="preserve"> </w:t>
      </w:r>
    </w:p>
    <w:p>
      <w:pPr>
        <w:pStyle w:val="TextBody"/>
        <w:bidi w:val="0"/>
        <w:spacing w:before="0" w:after="0"/>
        <w:ind w:left="1440" w:right="1440" w:hanging="0"/>
        <w:jc w:val="both"/>
        <w:rPr>
          <w:rFonts w:cs="Times New Roman"/>
          <w:szCs w:val="24"/>
        </w:rPr>
      </w:pPr>
      <w:r>
        <w:rPr>
          <w:rFonts w:cs="Times New Roman"/>
          <w:szCs w:val="24"/>
        </w:rPr>
        <w:t xml:space="preserve">﻿ </w:t>
      </w:r>
    </w:p>
    <w:p>
      <w:pPr>
        <w:pStyle w:val="TextBody"/>
        <w:bidi w:val="0"/>
        <w:spacing w:before="0" w:after="0"/>
        <w:ind w:left="1440" w:right="1440" w:hanging="0"/>
        <w:jc w:val="left"/>
        <w:rPr>
          <w:rFonts w:ascii="Times New Roman" w:hAnsi="Times New Roman"/>
          <w:sz w:val="24"/>
        </w:rPr>
      </w:pPr>
      <w:r>
        <w:rPr>
          <w:rFonts w:ascii="Times New Roman" w:hAnsi="Times New Roman"/>
          <w:sz w:val="24"/>
        </w:rPr>
        <w:t>The undersigned guarantor (“</w:t>
      </w:r>
      <w:r>
        <w:rPr>
          <w:rFonts w:ascii="Times New Roman" w:hAnsi="Times New Roman"/>
          <w:sz w:val="24"/>
          <w:u w:val="single"/>
        </w:rPr>
        <w:t>Guarantor</w:t>
      </w:r>
      <w:r>
        <w:rPr>
          <w:rFonts w:ascii="Times New Roman" w:hAnsi="Times New Roman"/>
          <w:sz w:val="24"/>
        </w:rPr>
        <w:t>”) consents to the provisions of the foregoing First Amendment to Second Amended and Restated Credit Agreement Agreement (the “</w:t>
      </w:r>
      <w:r>
        <w:rPr>
          <w:rFonts w:ascii="Times New Roman" w:hAnsi="Times New Roman"/>
          <w:sz w:val="24"/>
          <w:u w:val="single"/>
        </w:rPr>
        <w:t>Agreement</w:t>
      </w:r>
      <w:r>
        <w:rPr>
          <w:rFonts w:ascii="Times New Roman" w:hAnsi="Times New Roman"/>
          <w:sz w:val="24"/>
        </w:rPr>
        <w:t>”) and hereby confirms and agrees that: (a) the Guarantor’s obligations under its Continuing Guaranty and Suretyship Agreement of Subsidiary Guarantors dated as of July 17, 2025 (the “</w:t>
      </w:r>
      <w:r>
        <w:rPr>
          <w:rFonts w:ascii="Times New Roman" w:hAnsi="Times New Roman"/>
          <w:sz w:val="24"/>
          <w:u w:val="single"/>
        </w:rPr>
        <w:t>Guaranty</w:t>
      </w:r>
      <w:r>
        <w:rPr>
          <w:rFonts w:ascii="Times New Roman" w:hAnsi="Times New Roman"/>
          <w:sz w:val="24"/>
        </w:rPr>
        <w:t xml:space="preserve">”), relating to the Obligations, shall be unimpaired by the Agreement; (b) the Guarantor has no defenses, set offs, counterclaims, discounts or charges of any kind against the Agent, any Bank, or their respective  officers, directors, employees, agents or attorneys with respect to its Guaranty; and (c) all of the terms, conditions and covenants in its Guaranty remain unaltered and in full force and effect, are hereby ratified and confirmed, and continue to apply to the Obligations.  The Guarantor certifies that all representations and warranties made in its Guaranty are true and correct. Capitalized terms used and not defined herein shall have the respective meanings given in the Credit Agreement (as defined in the Guaranty).  </w:t>
      </w:r>
    </w:p>
    <w:p>
      <w:pPr>
        <w:pStyle w:val="TextBody"/>
        <w:bidi w:val="0"/>
        <w:spacing w:before="0" w:after="0"/>
        <w:ind w:left="1440" w:right="1440" w:hanging="0"/>
        <w:jc w:val="both"/>
        <w:rPr>
          <w:rFonts w:cs="Times New Roman"/>
          <w:szCs w:val="24"/>
        </w:rPr>
      </w:pPr>
      <w:r>
        <w:rPr>
          <w:rFonts w:cs="Times New Roman"/>
          <w:szCs w:val="24"/>
        </w:rPr>
        <w:t xml:space="preserve">﻿ </w:t>
      </w:r>
    </w:p>
    <w:p>
      <w:pPr>
        <w:pStyle w:val="TextBody"/>
        <w:bidi w:val="0"/>
        <w:spacing w:before="0" w:after="0"/>
        <w:ind w:left="1440" w:right="1440" w:hanging="0"/>
        <w:jc w:val="left"/>
        <w:rPr>
          <w:rFonts w:ascii="Times New Roman" w:hAnsi="Times New Roman"/>
          <w:sz w:val="24"/>
        </w:rPr>
      </w:pPr>
      <w:r>
        <w:rPr>
          <w:rFonts w:ascii="Times New Roman" w:hAnsi="Times New Roman"/>
          <w:sz w:val="24"/>
        </w:rPr>
        <w:t>The Guarantor ratifies and confirms the indemnification and waiver of jury trial provisions contained in the Guaranty, all of which are incorporated herein by reference.</w:t>
      </w:r>
      <w:r>
        <w:rPr>
          <w:rFonts w:ascii="Times New Roman" w:hAnsi="Times New Roman"/>
          <w:sz w:val="24"/>
        </w:rPr>
        <w:t xml:space="preserve"> </w:t>
      </w:r>
    </w:p>
    <w:p>
      <w:pPr>
        <w:pStyle w:val="TextBody"/>
        <w:bidi w:val="0"/>
        <w:spacing w:before="0" w:after="0"/>
        <w:ind w:left="1440" w:right="1440" w:hanging="0"/>
        <w:jc w:val="both"/>
        <w:rPr>
          <w:rFonts w:cs="Times New Roman"/>
          <w:szCs w:val="24"/>
        </w:rPr>
      </w:pPr>
      <w:r>
        <w:rPr>
          <w:rFonts w:cs="Times New Roman"/>
          <w:szCs w:val="24"/>
        </w:rPr>
        <w:t xml:space="preserve">﻿ </w:t>
      </w:r>
    </w:p>
    <w:p>
      <w:pPr>
        <w:pStyle w:val="TextBody"/>
        <w:bidi w:val="0"/>
        <w:spacing w:before="0" w:after="0"/>
        <w:ind w:left="1440" w:right="1440" w:hanging="0"/>
        <w:jc w:val="left"/>
        <w:rPr>
          <w:rFonts w:ascii="Times New Roman" w:hAnsi="Times New Roman"/>
          <w:sz w:val="24"/>
        </w:rPr>
      </w:pPr>
      <w:r>
        <w:rPr>
          <w:rFonts w:ascii="Times New Roman" w:hAnsi="Times New Roman"/>
          <w:sz w:val="24"/>
        </w:rPr>
        <w:t>WITNESS the due execution of this Consent of Guarantor as a document under seal as of the date of the Amendment, intending to be legally bound hereby.</w:t>
      </w:r>
      <w:r>
        <w:rPr>
          <w:rFonts w:ascii="Times New Roman" w:hAnsi="Times New Roman"/>
          <w:sz w:val="24"/>
        </w:rPr>
        <w:t xml:space="preserve"> </w:t>
      </w:r>
    </w:p>
    <w:p>
      <w:pPr>
        <w:pStyle w:val="TextBody"/>
        <w:bidi w:val="0"/>
        <w:spacing w:before="0" w:after="0"/>
        <w:ind w:left="1440" w:right="1440" w:hanging="0"/>
        <w:jc w:val="both"/>
        <w:rPr>
          <w:rFonts w:cs="Times New Roman"/>
          <w:szCs w:val="24"/>
        </w:rPr>
      </w:pPr>
      <w:r>
        <w:rPr>
          <w:rFonts w:cs="Times New Roman"/>
          <w:szCs w:val="24"/>
        </w:rPr>
        <w:t xml:space="preserve">﻿ </w:t>
      </w:r>
    </w:p>
    <w:p>
      <w:pPr>
        <w:pStyle w:val="TextBody"/>
        <w:pBdr/>
        <w:bidi w:val="0"/>
        <w:spacing w:before="0" w:after="0"/>
        <w:ind w:left="5760" w:right="1440" w:hanging="0"/>
        <w:jc w:val="left"/>
        <w:rPr>
          <w:rFonts w:ascii="Times New Roman" w:hAnsi="Times New Roman"/>
          <w:sz w:val="24"/>
        </w:rPr>
      </w:pPr>
      <w:r>
        <w:rPr>
          <w:rFonts w:ascii="Times New Roman" w:hAnsi="Times New Roman"/>
          <w:sz w:val="24"/>
        </w:rPr>
        <w:t xml:space="preserve">AQUA PENNSYLVANIA WASTEWATER, INC. </w:t>
      </w:r>
    </w:p>
    <w:p>
      <w:pPr>
        <w:pStyle w:val="TextBody"/>
        <w:pBdr/>
        <w:bidi w:val="0"/>
        <w:spacing w:before="0" w:after="0"/>
        <w:ind w:left="5760" w:right="1440" w:hanging="0"/>
        <w:jc w:val="left"/>
        <w:rPr>
          <w:rFonts w:cs="Times New Roman"/>
          <w:szCs w:val="24"/>
        </w:rPr>
      </w:pPr>
      <w:r>
        <w:rPr>
          <w:rFonts w:cs="Times New Roman"/>
          <w:szCs w:val="24"/>
        </w:rPr>
        <w:t xml:space="preserve">﻿ </w:t>
      </w:r>
    </w:p>
    <w:p>
      <w:pPr>
        <w:pStyle w:val="TextBody"/>
        <w:pBdr/>
        <w:bidi w:val="0"/>
        <w:spacing w:before="0" w:after="0"/>
        <w:ind w:left="5760" w:right="1440" w:hanging="0"/>
        <w:jc w:val="left"/>
        <w:rPr>
          <w:rFonts w:cs="Times New Roman"/>
          <w:szCs w:val="24"/>
        </w:rPr>
      </w:pPr>
      <w:r>
        <w:rPr>
          <w:rFonts w:cs="Times New Roman"/>
          <w:szCs w:val="24"/>
        </w:rPr>
        <w:t xml:space="preserve">﻿ </w:t>
      </w:r>
    </w:p>
    <w:p>
      <w:pPr>
        <w:pStyle w:val="TextBody"/>
        <w:pBdr/>
        <w:bidi w:val="0"/>
        <w:spacing w:before="0" w:after="0"/>
        <w:ind w:left="5760" w:right="1440" w:hanging="0"/>
        <w:jc w:val="left"/>
        <w:rPr>
          <w:rFonts w:ascii="Times New Roman" w:hAnsi="Times New Roman"/>
          <w:sz w:val="24"/>
        </w:rPr>
      </w:pPr>
      <w:r>
        <w:rPr>
          <w:rFonts w:ascii="Times New Roman" w:hAnsi="Times New Roman"/>
          <w:sz w:val="24"/>
        </w:rPr>
        <w:t>By:</w:t>
      </w:r>
      <w:r>
        <w:rPr>
          <w:rFonts w:ascii="Times New Roman" w:hAnsi="Times New Roman"/>
          <w:sz w:val="24"/>
          <w:u w:val="single"/>
        </w:rPr>
        <w:t>/s/ Brian Dingerdissen</w:t>
      </w:r>
      <w:r>
        <w:rPr>
          <w:rFonts w:ascii="Times New Roman" w:hAnsi="Times New Roman"/>
          <w:sz w:val="24"/>
        </w:rPr>
        <w:t xml:space="preserve"> </w:t>
      </w:r>
    </w:p>
    <w:p>
      <w:pPr>
        <w:pStyle w:val="TextBody"/>
        <w:pBdr/>
        <w:bidi w:val="0"/>
        <w:spacing w:before="0" w:after="0"/>
        <w:ind w:left="5760" w:right="1440" w:hanging="0"/>
        <w:jc w:val="left"/>
        <w:rPr>
          <w:rFonts w:ascii="Times New Roman" w:hAnsi="Times New Roman"/>
          <w:sz w:val="24"/>
        </w:rPr>
      </w:pPr>
      <w:r>
        <w:rPr>
          <w:rFonts w:ascii="Times New Roman" w:hAnsi="Times New Roman"/>
          <w:sz w:val="24"/>
        </w:rPr>
        <w:t xml:space="preserve">Name: Brian Dingerdissen </w:t>
      </w:r>
    </w:p>
    <w:p>
      <w:pPr>
        <w:pStyle w:val="TextBody"/>
        <w:pBdr/>
        <w:bidi w:val="0"/>
        <w:spacing w:before="0" w:after="0"/>
        <w:ind w:left="5760" w:right="1440" w:hanging="0"/>
        <w:jc w:val="left"/>
        <w:rPr>
          <w:rFonts w:ascii="Times New Roman" w:hAnsi="Times New Roman"/>
          <w:sz w:val="24"/>
        </w:rPr>
      </w:pPr>
      <w:r>
        <w:rPr>
          <w:rFonts w:ascii="Times New Roman" w:hAnsi="Times New Roman"/>
          <w:sz w:val="24"/>
        </w:rPr>
        <w:t xml:space="preserve">Title: Vice President Financial Planning &amp; Analysis and Treasurer     </w:t>
      </w:r>
    </w:p>
    <w:p>
      <w:pPr>
        <w:pStyle w:val="TextBody"/>
        <w:bidi w:val="0"/>
        <w:spacing w:before="0" w:after="240"/>
        <w:ind w:left="1440" w:right="1440" w:hanging="0"/>
        <w:jc w:val="center"/>
        <w:rPr>
          <w:rFonts w:cs="Times New Roman"/>
          <w:szCs w:val="24"/>
        </w:rPr>
      </w:pPr>
      <w:r>
        <w:rPr>
          <w:rFonts w:cs="Times New Roman"/>
          <w:szCs w:val="24"/>
        </w:rPr>
        <w:t xml:space="preserve">﻿ </w:t>
      </w:r>
    </w:p>
    <w:p>
      <w:pPr>
        <w:pStyle w:val="TextBody"/>
        <w:bidi w:val="0"/>
        <w:spacing w:before="0" w:after="0"/>
        <w:ind w:left="1440" w:right="1440" w:hanging="0"/>
        <w:jc w:val="left"/>
        <w:rPr>
          <w:rFonts w:ascii="Times New Roman" w:hAnsi="Times New Roman"/>
          <w:sz w:val="16"/>
        </w:rPr>
      </w:pPr>
      <w:r>
        <w:rPr>
          <w:rFonts w:ascii="Arial" w:hAnsi="Arial"/>
          <w:sz w:val="16"/>
        </w:rPr>
        <w:t>#4907-0360-8733</w:t>
      </w:r>
      <w:r>
        <w:rPr>
          <w:rFonts w:ascii="Times New Roman" w:hAnsi="Times New Roman"/>
          <w:sz w:val="16"/>
        </w:rPr>
        <w:t xml:space="preserve"> </w:t>
      </w:r>
    </w:p>
    <w:p>
      <w:pPr>
        <w:pStyle w:val="HorizontalLine"/>
        <w:pBdr>
          <w:bottom w:val="double" w:sz="6" w:space="0" w:color="808080"/>
        </w:pBdr>
        <w:bidi w:val="0"/>
        <w:ind w:left="1440" w:right="1440" w:hanging="0"/>
        <w:jc w:val="left"/>
        <w:rPr/>
      </w:pPr>
      <w:r>
        <w:rPr/>
      </w:r>
    </w:p>
    <w:p>
      <w:pPr>
        <w:pStyle w:val="TextBody"/>
        <w:bidi w:val="0"/>
        <w:spacing w:lineRule="auto" w:line="192" w:before="0" w:after="0"/>
        <w:ind w:left="720" w:right="720" w:hanging="0"/>
        <w:jc w:val="right"/>
        <w:rPr>
          <w:rFonts w:ascii="Times New Roman" w:hAnsi="Times New Roman"/>
          <w:color w:val="000000"/>
          <w:sz w:val="22"/>
        </w:rPr>
      </w:pPr>
      <w:bookmarkStart w:id="47" w:name="wtrg-20260630xex31_1.htm"/>
      <w:bookmarkStart w:id="48" w:name="kswtrg20260630xex31_1"/>
      <w:bookmarkEnd w:id="47"/>
      <w:bookmarkEnd w:id="48"/>
      <w:r>
        <w:rPr>
          <w:rFonts w:ascii="Times New Roman" w:hAnsi="Times New Roman"/>
          <w:color w:val="000000"/>
          <w:sz w:val="22"/>
        </w:rPr>
        <w:t xml:space="preserve">Exhibit 31.1  </w:t>
      </w:r>
      <w:r>
        <w:br w:type="page"/>
      </w:r>
    </w:p>
    <w:p>
      <w:pPr>
        <w:pStyle w:val="TextBody"/>
        <w:bidi w:val="0"/>
        <w:spacing w:lineRule="auto" w:line="240" w:before="0" w:after="0"/>
        <w:ind w:left="720" w:right="720" w:hanging="0"/>
        <w:jc w:val="center"/>
        <w:rPr>
          <w:rFonts w:cs="Times New Roman"/>
          <w:color w:val="000000"/>
          <w:szCs w:val="22"/>
        </w:rPr>
      </w:pPr>
      <w:r>
        <w:rPr>
          <w:rFonts w:cs="Times New Roman"/>
          <w:color w:val="000000"/>
          <w:szCs w:val="22"/>
        </w:rPr>
        <w:t xml:space="preserve">﻿ </w:t>
      </w:r>
    </w:p>
    <w:p>
      <w:pPr>
        <w:pStyle w:val="TextBody"/>
        <w:bidi w:val="0"/>
        <w:spacing w:lineRule="auto" w:line="240" w:before="0" w:after="0"/>
        <w:ind w:left="720" w:right="720" w:hanging="0"/>
        <w:jc w:val="center"/>
        <w:rPr>
          <w:rFonts w:ascii="Times New Roman" w:hAnsi="Times New Roman"/>
          <w:color w:val="000000"/>
          <w:sz w:val="22"/>
        </w:rPr>
      </w:pPr>
      <w:r>
        <w:rPr>
          <w:rFonts w:ascii="Times New Roman" w:hAnsi="Times New Roman"/>
          <w:color w:val="000000"/>
          <w:sz w:val="22"/>
        </w:rPr>
        <w:t xml:space="preserve">CERTIFICATION OF CHIEF EXECUTIVE OFFICER, PURSUANT TO RULE 13A-14(A) UNDER THE SECURITIES AND EXCHANGE ACT OF 1934  </w:t>
      </w:r>
    </w:p>
    <w:p>
      <w:pPr>
        <w:pStyle w:val="TextBody"/>
        <w:bidi w:val="0"/>
        <w:spacing w:lineRule="auto" w:line="240" w:before="0" w:after="0"/>
        <w:ind w:left="720" w:right="720" w:hanging="0"/>
        <w:jc w:val="left"/>
        <w:rPr>
          <w:color w:val="000000"/>
        </w:rPr>
      </w:pPr>
      <w:r>
        <w:rPr>
          <w:color w:val="000000"/>
        </w:rPr>
        <w:t xml:space="preserve">  </w:t>
      </w:r>
    </w:p>
    <w:p>
      <w:pPr>
        <w:pStyle w:val="TextBody"/>
        <w:bidi w:val="0"/>
        <w:spacing w:lineRule="auto" w:line="240" w:before="0" w:after="0"/>
        <w:ind w:left="720" w:right="720" w:hanging="0"/>
        <w:jc w:val="left"/>
        <w:rPr>
          <w:rFonts w:ascii="Times New Roman" w:hAnsi="Times New Roman"/>
          <w:color w:val="000000"/>
          <w:sz w:val="22"/>
        </w:rPr>
      </w:pPr>
      <w:r>
        <w:rPr>
          <w:rFonts w:ascii="Times New Roman" w:hAnsi="Times New Roman"/>
          <w:color w:val="000000"/>
          <w:sz w:val="22"/>
        </w:rPr>
        <w:t xml:space="preserve">I, Christopher H. Franklin, certify that:  </w:t>
      </w:r>
    </w:p>
    <w:p>
      <w:pPr>
        <w:pStyle w:val="TextBody"/>
        <w:bidi w:val="0"/>
        <w:spacing w:lineRule="auto" w:line="240" w:before="0" w:after="0"/>
        <w:ind w:left="720" w:right="720" w:hanging="0"/>
        <w:jc w:val="left"/>
        <w:rPr>
          <w:color w:val="000000"/>
        </w:rPr>
      </w:pPr>
      <w:r>
        <w:rPr>
          <w:color w:val="000000"/>
        </w:rPr>
        <w:t xml:space="preserve">  </w:t>
      </w:r>
    </w:p>
    <w:tbl>
      <w:tblPr>
        <w:tblW w:w="7676" w:type="dxa"/>
        <w:jc w:val="left"/>
        <w:tblInd w:w="720" w:type="dxa"/>
        <w:tblLayout w:type="fixed"/>
        <w:tblCellMar>
          <w:top w:w="0" w:type="dxa"/>
          <w:left w:w="0" w:type="dxa"/>
          <w:bottom w:w="0" w:type="dxa"/>
          <w:right w:w="0" w:type="dxa"/>
        </w:tblCellMar>
      </w:tblPr>
      <w:tblGrid>
        <w:gridCol w:w="38"/>
        <w:gridCol w:w="260"/>
        <w:gridCol w:w="23"/>
        <w:gridCol w:w="735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 xml:space="preserve">1. </w:t>
            </w:r>
          </w:p>
        </w:tc>
        <w:tc>
          <w:tcPr>
            <w:tcW w:w="23" w:type="dxa"/>
            <w:tcBorders/>
            <w:vAlign w:val="center"/>
          </w:tcPr>
          <w:p>
            <w:pPr>
              <w:pStyle w:val="TableContents"/>
              <w:bidi w:val="0"/>
              <w:spacing w:before="0" w:after="283"/>
              <w:jc w:val="left"/>
              <w:rPr>
                <w:sz w:val="4"/>
                <w:szCs w:val="4"/>
              </w:rPr>
            </w:pPr>
            <w:r>
              <w:rPr>
                <w:sz w:val="4"/>
                <w:szCs w:val="4"/>
              </w:rPr>
            </w:r>
          </w:p>
        </w:tc>
        <w:tc>
          <w:tcPr>
            <w:tcW w:w="7355"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I have reviewed this quarterly report on Form 10-Q of Essential Utilities, Inc.; </w:t>
            </w:r>
          </w:p>
        </w:tc>
      </w:tr>
    </w:tbl>
    <w:tbl>
      <w:tblPr>
        <w:tblW w:w="8765" w:type="dxa"/>
        <w:jc w:val="left"/>
        <w:tblInd w:w="720" w:type="dxa"/>
        <w:tblLayout w:type="fixed"/>
        <w:tblCellMar>
          <w:top w:w="0" w:type="dxa"/>
          <w:left w:w="0" w:type="dxa"/>
          <w:bottom w:w="0" w:type="dxa"/>
          <w:right w:w="0" w:type="dxa"/>
        </w:tblCellMar>
      </w:tblPr>
      <w:tblGrid>
        <w:gridCol w:w="38"/>
        <w:gridCol w:w="172"/>
        <w:gridCol w:w="23"/>
        <w:gridCol w:w="8532"/>
      </w:tblGrid>
      <w:tr>
        <w:trPr/>
        <w:tc>
          <w:tcPr>
            <w:tcW w:w="38" w:type="dxa"/>
            <w:tcBorders/>
            <w:vAlign w:val="center"/>
          </w:tcPr>
          <w:p>
            <w:pPr>
              <w:pStyle w:val="TableContents"/>
              <w:bidi w:val="0"/>
              <w:spacing w:before="0" w:after="283"/>
              <w:jc w:val="left"/>
              <w:rPr>
                <w:sz w:val="4"/>
                <w:szCs w:val="4"/>
              </w:rPr>
            </w:pPr>
            <w:r>
              <w:rPr>
                <w:sz w:val="4"/>
                <w:szCs w:val="4"/>
              </w:rPr>
            </w:r>
          </w:p>
        </w:tc>
        <w:tc>
          <w:tcPr>
            <w:tcW w:w="172"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 xml:space="preserve">2. </w:t>
            </w:r>
          </w:p>
        </w:tc>
        <w:tc>
          <w:tcPr>
            <w:tcW w:w="23" w:type="dxa"/>
            <w:tcBorders/>
            <w:vAlign w:val="center"/>
          </w:tcPr>
          <w:p>
            <w:pPr>
              <w:pStyle w:val="TableContents"/>
              <w:bidi w:val="0"/>
              <w:spacing w:before="0" w:after="283"/>
              <w:jc w:val="left"/>
              <w:rPr>
                <w:sz w:val="4"/>
                <w:szCs w:val="4"/>
              </w:rPr>
            </w:pPr>
            <w:r>
              <w:rPr>
                <w:sz w:val="4"/>
                <w:szCs w:val="4"/>
              </w:rPr>
            </w:r>
          </w:p>
        </w:tc>
        <w:tc>
          <w:tcPr>
            <w:tcW w:w="8532"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tbl>
      <w:tblPr>
        <w:tblW w:w="8765" w:type="dxa"/>
        <w:jc w:val="left"/>
        <w:tblInd w:w="720" w:type="dxa"/>
        <w:tblLayout w:type="fixed"/>
        <w:tblCellMar>
          <w:top w:w="0" w:type="dxa"/>
          <w:left w:w="0" w:type="dxa"/>
          <w:bottom w:w="0" w:type="dxa"/>
          <w:right w:w="0" w:type="dxa"/>
        </w:tblCellMar>
      </w:tblPr>
      <w:tblGrid>
        <w:gridCol w:w="38"/>
        <w:gridCol w:w="176"/>
        <w:gridCol w:w="23"/>
        <w:gridCol w:w="8528"/>
      </w:tblGrid>
      <w:tr>
        <w:trPr/>
        <w:tc>
          <w:tcPr>
            <w:tcW w:w="38" w:type="dxa"/>
            <w:tcBorders/>
            <w:vAlign w:val="center"/>
          </w:tcPr>
          <w:p>
            <w:pPr>
              <w:pStyle w:val="TableContents"/>
              <w:bidi w:val="0"/>
              <w:spacing w:before="0" w:after="283"/>
              <w:jc w:val="left"/>
              <w:rPr>
                <w:sz w:val="4"/>
                <w:szCs w:val="4"/>
              </w:rPr>
            </w:pPr>
            <w:r>
              <w:rPr>
                <w:sz w:val="4"/>
                <w:szCs w:val="4"/>
              </w:rPr>
            </w:r>
          </w:p>
        </w:tc>
        <w:tc>
          <w:tcPr>
            <w:tcW w:w="176"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 xml:space="preserve">3. </w:t>
            </w:r>
          </w:p>
        </w:tc>
        <w:tc>
          <w:tcPr>
            <w:tcW w:w="23" w:type="dxa"/>
            <w:tcBorders/>
            <w:vAlign w:val="center"/>
          </w:tcPr>
          <w:p>
            <w:pPr>
              <w:pStyle w:val="TableContents"/>
              <w:bidi w:val="0"/>
              <w:spacing w:before="0" w:after="283"/>
              <w:jc w:val="left"/>
              <w:rPr>
                <w:sz w:val="4"/>
                <w:szCs w:val="4"/>
              </w:rPr>
            </w:pPr>
            <w:r>
              <w:rPr>
                <w:sz w:val="4"/>
                <w:szCs w:val="4"/>
              </w:rPr>
            </w:r>
          </w:p>
        </w:tc>
        <w:tc>
          <w:tcPr>
            <w:tcW w:w="8528"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tbl>
      <w:tblPr>
        <w:tblW w:w="8765" w:type="dxa"/>
        <w:jc w:val="left"/>
        <w:tblInd w:w="720" w:type="dxa"/>
        <w:tblLayout w:type="fixed"/>
        <w:tblCellMar>
          <w:top w:w="0" w:type="dxa"/>
          <w:left w:w="0" w:type="dxa"/>
          <w:bottom w:w="0" w:type="dxa"/>
          <w:right w:w="0" w:type="dxa"/>
        </w:tblCellMar>
      </w:tblPr>
      <w:tblGrid>
        <w:gridCol w:w="38"/>
        <w:gridCol w:w="170"/>
        <w:gridCol w:w="23"/>
        <w:gridCol w:w="8534"/>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 xml:space="preserve">4. </w:t>
            </w:r>
          </w:p>
        </w:tc>
        <w:tc>
          <w:tcPr>
            <w:tcW w:w="23" w:type="dxa"/>
            <w:tcBorders/>
            <w:vAlign w:val="center"/>
          </w:tcPr>
          <w:p>
            <w:pPr>
              <w:pStyle w:val="TableContents"/>
              <w:bidi w:val="0"/>
              <w:spacing w:before="0" w:after="283"/>
              <w:jc w:val="left"/>
              <w:rPr>
                <w:sz w:val="4"/>
                <w:szCs w:val="4"/>
              </w:rPr>
            </w:pPr>
            <w:r>
              <w:rPr>
                <w:sz w:val="4"/>
                <w:szCs w:val="4"/>
              </w:rPr>
            </w:r>
          </w:p>
        </w:tc>
        <w:tc>
          <w:tcPr>
            <w:tcW w:w="8534"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tc>
      </w:tr>
    </w:tbl>
    <w:tbl>
      <w:tblPr>
        <w:tblW w:w="8765" w:type="dxa"/>
        <w:jc w:val="left"/>
        <w:tblInd w:w="720" w:type="dxa"/>
        <w:tblLayout w:type="fixed"/>
        <w:tblCellMar>
          <w:top w:w="0" w:type="dxa"/>
          <w:left w:w="0" w:type="dxa"/>
          <w:bottom w:w="0" w:type="dxa"/>
          <w:right w:w="0" w:type="dxa"/>
        </w:tblCellMar>
      </w:tblPr>
      <w:tblGrid>
        <w:gridCol w:w="38"/>
        <w:gridCol w:w="198"/>
        <w:gridCol w:w="23"/>
        <w:gridCol w:w="8506"/>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 xml:space="preserve">a. </w:t>
            </w:r>
          </w:p>
        </w:tc>
        <w:tc>
          <w:tcPr>
            <w:tcW w:w="23" w:type="dxa"/>
            <w:tcBorders/>
            <w:vAlign w:val="center"/>
          </w:tcPr>
          <w:p>
            <w:pPr>
              <w:pStyle w:val="TableContents"/>
              <w:bidi w:val="0"/>
              <w:spacing w:before="0" w:after="283"/>
              <w:jc w:val="left"/>
              <w:rPr>
                <w:sz w:val="4"/>
                <w:szCs w:val="4"/>
              </w:rPr>
            </w:pPr>
            <w:r>
              <w:rPr>
                <w:sz w:val="4"/>
                <w:szCs w:val="4"/>
              </w:rPr>
            </w:r>
          </w:p>
        </w:tc>
        <w:tc>
          <w:tcPr>
            <w:tcW w:w="8506"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tc>
      </w:tr>
    </w:tbl>
    <w:tbl>
      <w:tblPr>
        <w:tblW w:w="8765" w:type="dxa"/>
        <w:jc w:val="left"/>
        <w:tblInd w:w="720" w:type="dxa"/>
        <w:tblLayout w:type="fixed"/>
        <w:tblCellMar>
          <w:top w:w="0" w:type="dxa"/>
          <w:left w:w="0" w:type="dxa"/>
          <w:bottom w:w="0" w:type="dxa"/>
          <w:right w:w="0" w:type="dxa"/>
        </w:tblCellMar>
      </w:tblPr>
      <w:tblGrid>
        <w:gridCol w:w="38"/>
        <w:gridCol w:w="213"/>
        <w:gridCol w:w="23"/>
        <w:gridCol w:w="8491"/>
      </w:tblGrid>
      <w:tr>
        <w:trPr/>
        <w:tc>
          <w:tcPr>
            <w:tcW w:w="38" w:type="dxa"/>
            <w:tcBorders/>
            <w:vAlign w:val="center"/>
          </w:tcPr>
          <w:p>
            <w:pPr>
              <w:pStyle w:val="TableContents"/>
              <w:bidi w:val="0"/>
              <w:spacing w:before="0" w:after="283"/>
              <w:jc w:val="left"/>
              <w:rPr>
                <w:sz w:val="4"/>
                <w:szCs w:val="4"/>
              </w:rPr>
            </w:pPr>
            <w:r>
              <w:rPr>
                <w:sz w:val="4"/>
                <w:szCs w:val="4"/>
              </w:rPr>
            </w:r>
          </w:p>
        </w:tc>
        <w:tc>
          <w:tcPr>
            <w:tcW w:w="213"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 xml:space="preserve">b. </w:t>
            </w:r>
          </w:p>
        </w:tc>
        <w:tc>
          <w:tcPr>
            <w:tcW w:w="23" w:type="dxa"/>
            <w:tcBorders/>
            <w:vAlign w:val="center"/>
          </w:tcPr>
          <w:p>
            <w:pPr>
              <w:pStyle w:val="TableContents"/>
              <w:bidi w:val="0"/>
              <w:spacing w:before="0" w:after="283"/>
              <w:jc w:val="left"/>
              <w:rPr>
                <w:sz w:val="4"/>
                <w:szCs w:val="4"/>
              </w:rPr>
            </w:pPr>
            <w:r>
              <w:rPr>
                <w:sz w:val="4"/>
                <w:szCs w:val="4"/>
              </w:rPr>
            </w:r>
          </w:p>
        </w:tc>
        <w:tc>
          <w:tcPr>
            <w:tcW w:w="8491"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tbl>
      <w:tblPr>
        <w:tblW w:w="8765" w:type="dxa"/>
        <w:jc w:val="left"/>
        <w:tblInd w:w="720" w:type="dxa"/>
        <w:tblLayout w:type="fixed"/>
        <w:tblCellMar>
          <w:top w:w="0" w:type="dxa"/>
          <w:left w:w="0" w:type="dxa"/>
          <w:bottom w:w="0" w:type="dxa"/>
          <w:right w:w="0" w:type="dxa"/>
        </w:tblCellMar>
      </w:tblPr>
      <w:tblGrid>
        <w:gridCol w:w="38"/>
        <w:gridCol w:w="202"/>
        <w:gridCol w:w="23"/>
        <w:gridCol w:w="8502"/>
      </w:tblGrid>
      <w:tr>
        <w:trPr/>
        <w:tc>
          <w:tcPr>
            <w:tcW w:w="38" w:type="dxa"/>
            <w:tcBorders/>
            <w:vAlign w:val="center"/>
          </w:tcPr>
          <w:p>
            <w:pPr>
              <w:pStyle w:val="TableContents"/>
              <w:bidi w:val="0"/>
              <w:spacing w:before="0" w:after="283"/>
              <w:jc w:val="left"/>
              <w:rPr>
                <w:sz w:val="4"/>
                <w:szCs w:val="4"/>
              </w:rPr>
            </w:pPr>
            <w:r>
              <w:rPr>
                <w:sz w:val="4"/>
                <w:szCs w:val="4"/>
              </w:rPr>
            </w:r>
          </w:p>
        </w:tc>
        <w:tc>
          <w:tcPr>
            <w:tcW w:w="202"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 xml:space="preserve">c. </w:t>
            </w:r>
          </w:p>
        </w:tc>
        <w:tc>
          <w:tcPr>
            <w:tcW w:w="23" w:type="dxa"/>
            <w:tcBorders/>
            <w:vAlign w:val="center"/>
          </w:tcPr>
          <w:p>
            <w:pPr>
              <w:pStyle w:val="TableContents"/>
              <w:bidi w:val="0"/>
              <w:spacing w:before="0" w:after="283"/>
              <w:jc w:val="left"/>
              <w:rPr>
                <w:sz w:val="4"/>
                <w:szCs w:val="4"/>
              </w:rPr>
            </w:pPr>
            <w:r>
              <w:rPr>
                <w:sz w:val="4"/>
                <w:szCs w:val="4"/>
              </w:rPr>
            </w:r>
          </w:p>
        </w:tc>
        <w:tc>
          <w:tcPr>
            <w:tcW w:w="8502"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tc>
      </w:tr>
    </w:tbl>
    <w:tbl>
      <w:tblPr>
        <w:tblW w:w="8765" w:type="dxa"/>
        <w:jc w:val="left"/>
        <w:tblInd w:w="720" w:type="dxa"/>
        <w:tblLayout w:type="fixed"/>
        <w:tblCellMar>
          <w:top w:w="0" w:type="dxa"/>
          <w:left w:w="0" w:type="dxa"/>
          <w:bottom w:w="0" w:type="dxa"/>
          <w:right w:w="0" w:type="dxa"/>
        </w:tblCellMar>
      </w:tblPr>
      <w:tblGrid>
        <w:gridCol w:w="38"/>
        <w:gridCol w:w="213"/>
        <w:gridCol w:w="23"/>
        <w:gridCol w:w="8491"/>
      </w:tblGrid>
      <w:tr>
        <w:trPr/>
        <w:tc>
          <w:tcPr>
            <w:tcW w:w="38" w:type="dxa"/>
            <w:tcBorders/>
            <w:vAlign w:val="center"/>
          </w:tcPr>
          <w:p>
            <w:pPr>
              <w:pStyle w:val="TableContents"/>
              <w:bidi w:val="0"/>
              <w:spacing w:before="0" w:after="283"/>
              <w:jc w:val="left"/>
              <w:rPr>
                <w:sz w:val="4"/>
                <w:szCs w:val="4"/>
              </w:rPr>
            </w:pPr>
            <w:r>
              <w:rPr>
                <w:sz w:val="4"/>
                <w:szCs w:val="4"/>
              </w:rPr>
            </w:r>
          </w:p>
        </w:tc>
        <w:tc>
          <w:tcPr>
            <w:tcW w:w="213"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 xml:space="preserve">d. </w:t>
            </w:r>
          </w:p>
        </w:tc>
        <w:tc>
          <w:tcPr>
            <w:tcW w:w="23" w:type="dxa"/>
            <w:tcBorders/>
            <w:vAlign w:val="center"/>
          </w:tcPr>
          <w:p>
            <w:pPr>
              <w:pStyle w:val="TableContents"/>
              <w:bidi w:val="0"/>
              <w:spacing w:before="0" w:after="283"/>
              <w:jc w:val="left"/>
              <w:rPr>
                <w:sz w:val="4"/>
                <w:szCs w:val="4"/>
              </w:rPr>
            </w:pPr>
            <w:r>
              <w:rPr>
                <w:sz w:val="4"/>
                <w:szCs w:val="4"/>
              </w:rPr>
            </w:r>
          </w:p>
        </w:tc>
        <w:tc>
          <w:tcPr>
            <w:tcW w:w="8491"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tc>
      </w:tr>
    </w:tbl>
    <w:tbl>
      <w:tblPr>
        <w:tblW w:w="8765" w:type="dxa"/>
        <w:jc w:val="left"/>
        <w:tblInd w:w="720" w:type="dxa"/>
        <w:tblLayout w:type="fixed"/>
        <w:tblCellMar>
          <w:top w:w="0" w:type="dxa"/>
          <w:left w:w="0" w:type="dxa"/>
          <w:bottom w:w="0" w:type="dxa"/>
          <w:right w:w="0" w:type="dxa"/>
        </w:tblCellMar>
      </w:tblPr>
      <w:tblGrid>
        <w:gridCol w:w="38"/>
        <w:gridCol w:w="175"/>
        <w:gridCol w:w="23"/>
        <w:gridCol w:w="8529"/>
      </w:tblGrid>
      <w:tr>
        <w:trPr/>
        <w:tc>
          <w:tcPr>
            <w:tcW w:w="38" w:type="dxa"/>
            <w:tcBorders/>
            <w:vAlign w:val="center"/>
          </w:tcPr>
          <w:p>
            <w:pPr>
              <w:pStyle w:val="TableContents"/>
              <w:bidi w:val="0"/>
              <w:spacing w:before="0" w:after="283"/>
              <w:jc w:val="left"/>
              <w:rPr>
                <w:sz w:val="4"/>
                <w:szCs w:val="4"/>
              </w:rPr>
            </w:pPr>
            <w:r>
              <w:rPr>
                <w:sz w:val="4"/>
                <w:szCs w:val="4"/>
              </w:rPr>
            </w:r>
          </w:p>
        </w:tc>
        <w:tc>
          <w:tcPr>
            <w:tcW w:w="175"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 xml:space="preserve">5. </w:t>
            </w:r>
          </w:p>
        </w:tc>
        <w:tc>
          <w:tcPr>
            <w:tcW w:w="23" w:type="dxa"/>
            <w:tcBorders/>
            <w:vAlign w:val="center"/>
          </w:tcPr>
          <w:p>
            <w:pPr>
              <w:pStyle w:val="TableContents"/>
              <w:bidi w:val="0"/>
              <w:spacing w:before="0" w:after="283"/>
              <w:jc w:val="left"/>
              <w:rPr>
                <w:sz w:val="4"/>
                <w:szCs w:val="4"/>
              </w:rPr>
            </w:pPr>
            <w:r>
              <w:rPr>
                <w:sz w:val="4"/>
                <w:szCs w:val="4"/>
              </w:rPr>
            </w:r>
          </w:p>
        </w:tc>
        <w:tc>
          <w:tcPr>
            <w:tcW w:w="8529"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tc>
      </w:tr>
    </w:tbl>
    <w:tbl>
      <w:tblPr>
        <w:tblW w:w="8765" w:type="dxa"/>
        <w:jc w:val="left"/>
        <w:tblInd w:w="720" w:type="dxa"/>
        <w:tblLayout w:type="fixed"/>
        <w:tblCellMar>
          <w:top w:w="0" w:type="dxa"/>
          <w:left w:w="0" w:type="dxa"/>
          <w:bottom w:w="0" w:type="dxa"/>
          <w:right w:w="0" w:type="dxa"/>
        </w:tblCellMar>
      </w:tblPr>
      <w:tblGrid>
        <w:gridCol w:w="38"/>
        <w:gridCol w:w="203"/>
        <w:gridCol w:w="23"/>
        <w:gridCol w:w="8501"/>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 xml:space="preserve">a. </w:t>
            </w:r>
          </w:p>
        </w:tc>
        <w:tc>
          <w:tcPr>
            <w:tcW w:w="23" w:type="dxa"/>
            <w:tcBorders/>
            <w:vAlign w:val="center"/>
          </w:tcPr>
          <w:p>
            <w:pPr>
              <w:pStyle w:val="TableContents"/>
              <w:bidi w:val="0"/>
              <w:spacing w:before="0" w:after="283"/>
              <w:jc w:val="left"/>
              <w:rPr>
                <w:sz w:val="4"/>
                <w:szCs w:val="4"/>
              </w:rPr>
            </w:pPr>
            <w:r>
              <w:rPr>
                <w:sz w:val="4"/>
                <w:szCs w:val="4"/>
              </w:rPr>
            </w:r>
          </w:p>
        </w:tc>
        <w:tc>
          <w:tcPr>
            <w:tcW w:w="8501"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All significant deficiencies and material weaknesses in the design or operation of internal control over financial reporting which are reasonably likely to adversely affect the registrant's ability to record, process, summarize and report financial information; and </w:t>
            </w:r>
          </w:p>
        </w:tc>
      </w:tr>
    </w:tbl>
    <w:tbl>
      <w:tblPr>
        <w:tblW w:w="8765" w:type="dxa"/>
        <w:jc w:val="left"/>
        <w:tblInd w:w="720" w:type="dxa"/>
        <w:tblLayout w:type="fixed"/>
        <w:tblCellMar>
          <w:top w:w="0" w:type="dxa"/>
          <w:left w:w="0" w:type="dxa"/>
          <w:bottom w:w="0" w:type="dxa"/>
          <w:right w:w="0" w:type="dxa"/>
        </w:tblCellMar>
      </w:tblPr>
      <w:tblGrid>
        <w:gridCol w:w="38"/>
        <w:gridCol w:w="229"/>
        <w:gridCol w:w="23"/>
        <w:gridCol w:w="8475"/>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 xml:space="preserve">b. </w:t>
            </w:r>
          </w:p>
        </w:tc>
        <w:tc>
          <w:tcPr>
            <w:tcW w:w="23" w:type="dxa"/>
            <w:tcBorders/>
            <w:vAlign w:val="center"/>
          </w:tcPr>
          <w:p>
            <w:pPr>
              <w:pStyle w:val="TableContents"/>
              <w:bidi w:val="0"/>
              <w:spacing w:before="0" w:after="283"/>
              <w:jc w:val="left"/>
              <w:rPr>
                <w:sz w:val="4"/>
                <w:szCs w:val="4"/>
              </w:rPr>
            </w:pPr>
            <w:r>
              <w:rPr>
                <w:sz w:val="4"/>
                <w:szCs w:val="4"/>
              </w:rPr>
            </w:r>
          </w:p>
        </w:tc>
        <w:tc>
          <w:tcPr>
            <w:tcW w:w="8475"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Any fraud, whether or not material, that involves management or other employees who have a significant role in the registrant's internal control over financial reporting. </w:t>
            </w:r>
          </w:p>
        </w:tc>
      </w:tr>
    </w:tbl>
    <w:p>
      <w:pPr>
        <w:pStyle w:val="TextBody"/>
        <w:bidi w:val="0"/>
        <w:spacing w:lineRule="auto" w:line="240" w:before="0" w:after="0"/>
        <w:ind w:left="720" w:right="720" w:hanging="0"/>
        <w:jc w:val="left"/>
        <w:rPr>
          <w:rFonts w:cs="Times New Roman"/>
          <w:color w:val="000000"/>
          <w:szCs w:val="22"/>
        </w:rPr>
      </w:pPr>
      <w:r>
        <w:rPr>
          <w:rFonts w:cs="Times New Roman"/>
          <w:color w:val="000000"/>
          <w:szCs w:val="22"/>
        </w:rPr>
        <w:t xml:space="preserve">﻿ </w:t>
      </w:r>
    </w:p>
    <w:p>
      <w:pPr>
        <w:pStyle w:val="TextBody"/>
        <w:bidi w:val="0"/>
        <w:spacing w:lineRule="auto" w:line="240" w:before="0" w:after="0"/>
        <w:ind w:left="720" w:right="720" w:hanging="0"/>
        <w:jc w:val="left"/>
        <w:rPr>
          <w:rFonts w:cs="Times New Roman"/>
          <w:color w:val="000000"/>
          <w:szCs w:val="22"/>
        </w:rPr>
      </w:pPr>
      <w:r>
        <w:rPr>
          <w:rFonts w:cs="Times New Roman"/>
          <w:color w:val="000000"/>
          <w:szCs w:val="22"/>
        </w:rPr>
        <w:t xml:space="preserve">﻿ </w:t>
      </w:r>
    </w:p>
    <w:p>
      <w:pPr>
        <w:pStyle w:val="TextBody"/>
        <w:bidi w:val="0"/>
        <w:spacing w:lineRule="auto" w:line="240" w:before="0" w:after="0"/>
        <w:ind w:left="720" w:right="720" w:hanging="0"/>
        <w:jc w:val="left"/>
        <w:rPr>
          <w:rFonts w:cs="Times New Roman"/>
          <w:color w:val="000000"/>
          <w:szCs w:val="22"/>
        </w:rPr>
      </w:pPr>
      <w:r>
        <w:rPr>
          <w:rFonts w:cs="Times New Roman"/>
          <w:color w:val="000000"/>
          <w:szCs w:val="22"/>
        </w:rPr>
        <w:t xml:space="preserve">﻿ </w:t>
      </w:r>
    </w:p>
    <w:p>
      <w:pPr>
        <w:pStyle w:val="TextBody"/>
        <w:bidi w:val="0"/>
        <w:spacing w:lineRule="auto" w:line="240" w:before="0" w:after="0"/>
        <w:ind w:left="720" w:right="720" w:hanging="0"/>
        <w:jc w:val="left"/>
        <w:rPr>
          <w:rFonts w:cs="Times New Roman"/>
          <w:color w:val="000000"/>
          <w:szCs w:val="22"/>
        </w:rPr>
      </w:pPr>
      <w:r>
        <w:rPr>
          <w:rFonts w:cs="Times New Roman"/>
          <w:color w:val="000000"/>
          <w:szCs w:val="22"/>
        </w:rPr>
        <w:t xml:space="preserve">﻿ </w:t>
      </w:r>
    </w:p>
    <w:tbl>
      <w:tblPr>
        <w:tblW w:w="3710" w:type="dxa"/>
        <w:jc w:val="left"/>
        <w:tblInd w:w="720" w:type="dxa"/>
        <w:tblLayout w:type="fixed"/>
        <w:tblCellMar>
          <w:top w:w="0" w:type="dxa"/>
          <w:left w:w="0" w:type="dxa"/>
          <w:bottom w:w="0" w:type="dxa"/>
          <w:right w:w="0" w:type="dxa"/>
        </w:tblCellMar>
      </w:tblPr>
      <w:tblGrid>
        <w:gridCol w:w="3710"/>
      </w:tblGrid>
      <w:tr>
        <w:trPr/>
        <w:tc>
          <w:tcPr>
            <w:tcW w:w="3710" w:type="dxa"/>
            <w:tcBorders/>
          </w:tcPr>
          <w:p>
            <w:pPr>
              <w:pStyle w:val="TableContents"/>
              <w:bidi w:val="0"/>
              <w:spacing w:lineRule="auto" w:line="240" w:before="0" w:after="0"/>
              <w:ind w:left="0" w:right="0" w:hanging="0"/>
              <w:jc w:val="left"/>
              <w:rPr>
                <w:rFonts w:cs="Times New Roman"/>
                <w:color w:val="000000"/>
                <w:szCs w:val="2"/>
              </w:rPr>
            </w:pPr>
            <w:r>
              <w:rPr>
                <w:rFonts w:cs="Times New Roman"/>
                <w:color w:val="000000"/>
                <w:szCs w:val="2"/>
              </w:rPr>
              <w:t>﻿</w:t>
            </w:r>
          </w:p>
        </w:tc>
      </w:tr>
      <w:tr>
        <w:trPr/>
        <w:tc>
          <w:tcPr>
            <w:tcW w:w="3710" w:type="dxa"/>
            <w:tcBorders>
              <w:bottom w:val="single" w:sz="8" w:space="0" w:color="000000"/>
            </w:tcBorders>
            <w:tcMar>
              <w:bottom w:w="28" w:type="dxa"/>
            </w:tcMar>
          </w:tcPr>
          <w:p>
            <w:pPr>
              <w:pStyle w:val="TableContents"/>
              <w:bidi w:val="0"/>
              <w:spacing w:lineRule="auto" w:line="192" w:before="0" w:after="0"/>
              <w:ind w:left="0" w:right="0" w:hanging="0"/>
              <w:jc w:val="left"/>
              <w:rPr>
                <w:rFonts w:ascii="Times New Roman" w:hAnsi="Times New Roman"/>
                <w:color w:val="000000"/>
                <w:sz w:val="24"/>
              </w:rPr>
            </w:pPr>
            <w:r>
              <w:rPr>
                <w:rFonts w:ascii="Times New Roman" w:hAnsi="Times New Roman"/>
                <w:color w:val="000000"/>
                <w:sz w:val="24"/>
              </w:rPr>
              <w:t>/s/ Christopher H. Franklin</w:t>
            </w:r>
          </w:p>
        </w:tc>
      </w:tr>
      <w:tr>
        <w:trPr/>
        <w:tc>
          <w:tcPr>
            <w:tcW w:w="3710" w:type="dxa"/>
            <w:tcBorders>
              <w:top w:val="single" w:sz="8" w:space="0" w:color="000000"/>
            </w:tcBorders>
            <w:tcMar>
              <w:top w:w="28" w:type="dxa"/>
            </w:tcMar>
          </w:tcPr>
          <w:p>
            <w:pPr>
              <w:pStyle w:val="TableContents"/>
              <w:bidi w:val="0"/>
              <w:spacing w:lineRule="auto" w:line="192" w:before="0" w:after="0"/>
              <w:ind w:left="0" w:right="0" w:hanging="0"/>
              <w:jc w:val="left"/>
              <w:rPr>
                <w:rFonts w:ascii="Times New Roman" w:hAnsi="Times New Roman"/>
                <w:color w:val="000000"/>
                <w:sz w:val="24"/>
              </w:rPr>
            </w:pPr>
            <w:r>
              <w:rPr>
                <w:rFonts w:ascii="Times New Roman" w:hAnsi="Times New Roman"/>
                <w:color w:val="000000"/>
                <w:sz w:val="24"/>
              </w:rPr>
              <w:t>Christopher H. Franklin </w:t>
            </w:r>
          </w:p>
        </w:tc>
      </w:tr>
      <w:tr>
        <w:trPr/>
        <w:tc>
          <w:tcPr>
            <w:tcW w:w="3710" w:type="dxa"/>
            <w:tcBorders/>
          </w:tcPr>
          <w:p>
            <w:pPr>
              <w:pStyle w:val="TableContents"/>
              <w:bidi w:val="0"/>
              <w:spacing w:lineRule="auto" w:line="192" w:before="0" w:after="0"/>
              <w:ind w:left="0" w:right="0" w:hanging="0"/>
              <w:jc w:val="left"/>
              <w:rPr>
                <w:rFonts w:ascii="Times New Roman" w:hAnsi="Times New Roman"/>
                <w:color w:val="000000"/>
                <w:sz w:val="24"/>
              </w:rPr>
            </w:pPr>
            <w:r>
              <w:rPr>
                <w:rFonts w:ascii="Times New Roman" w:hAnsi="Times New Roman"/>
                <w:color w:val="000000"/>
                <w:sz w:val="24"/>
              </w:rPr>
              <w:t>President and Chief Executive Officer </w:t>
            </w:r>
          </w:p>
        </w:tc>
      </w:tr>
      <w:tr>
        <w:trPr/>
        <w:tc>
          <w:tcPr>
            <w:tcW w:w="3710" w:type="dxa"/>
            <w:tcBorders/>
          </w:tcPr>
          <w:p>
            <w:pPr>
              <w:pStyle w:val="TableContents"/>
              <w:bidi w:val="0"/>
              <w:spacing w:lineRule="auto" w:line="192" w:before="0" w:after="0"/>
              <w:ind w:left="0" w:right="0" w:hanging="0"/>
              <w:jc w:val="left"/>
              <w:rPr>
                <w:rFonts w:ascii="Times New Roman" w:hAnsi="Times New Roman"/>
                <w:color w:val="000000"/>
                <w:sz w:val="24"/>
              </w:rPr>
            </w:pPr>
            <w:r>
              <w:rPr>
                <w:rFonts w:ascii="Times New Roman" w:hAnsi="Times New Roman"/>
                <w:color w:val="000000"/>
                <w:sz w:val="24"/>
              </w:rPr>
              <w:t>August 5,  2026</w:t>
            </w:r>
          </w:p>
        </w:tc>
      </w:tr>
      <w:tr>
        <w:trPr/>
        <w:tc>
          <w:tcPr>
            <w:tcW w:w="3710" w:type="dxa"/>
            <w:tcBorders/>
          </w:tcPr>
          <w:p>
            <w:pPr>
              <w:pStyle w:val="TableContents"/>
              <w:bidi w:val="0"/>
              <w:spacing w:lineRule="auto" w:line="192" w:before="0" w:after="0"/>
              <w:ind w:left="0" w:right="0" w:hanging="0"/>
              <w:jc w:val="left"/>
              <w:rPr>
                <w:rFonts w:cs="Times New Roman"/>
                <w:color w:val="000000"/>
                <w:szCs w:val="24"/>
              </w:rPr>
            </w:pPr>
            <w:r>
              <w:rPr>
                <w:rFonts w:cs="Times New Roman"/>
                <w:color w:val="000000"/>
                <w:szCs w:val="24"/>
              </w:rPr>
              <w:t>﻿</w:t>
            </w:r>
          </w:p>
        </w:tc>
      </w:tr>
    </w:tbl>
    <w:p>
      <w:pPr>
        <w:pStyle w:val="TextBody"/>
        <w:bidi w:val="0"/>
        <w:spacing w:lineRule="auto" w:line="240" w:before="0" w:after="0"/>
        <w:ind w:left="720" w:right="720" w:hanging="0"/>
        <w:jc w:val="left"/>
        <w:rPr>
          <w:rFonts w:cs="Times New Roman"/>
          <w:color w:val="000000"/>
          <w:szCs w:val="24"/>
        </w:rPr>
      </w:pPr>
      <w:r>
        <w:rPr>
          <w:rFonts w:cs="Times New Roman"/>
          <w:color w:val="000000"/>
          <w:szCs w:val="24"/>
        </w:rPr>
        <w:t xml:space="preserve">﻿ </w:t>
      </w:r>
    </w:p>
    <w:p>
      <w:pPr>
        <w:pStyle w:val="HorizontalLine"/>
        <w:pBdr>
          <w:bottom w:val="double" w:sz="6" w:space="0" w:color="808080"/>
        </w:pBdr>
        <w:bidi w:val="0"/>
        <w:ind w:left="720" w:right="720" w:hanging="0"/>
        <w:jc w:val="left"/>
        <w:rPr/>
      </w:pPr>
      <w:r>
        <w:rPr/>
      </w:r>
    </w:p>
    <w:p>
      <w:pPr>
        <w:pStyle w:val="TextBody"/>
        <w:bidi w:val="0"/>
        <w:spacing w:lineRule="auto" w:line="240" w:before="0" w:after="0"/>
        <w:ind w:left="720" w:right="720" w:hanging="0"/>
        <w:jc w:val="right"/>
        <w:rPr>
          <w:rFonts w:ascii="Times New Roman" w:hAnsi="Times New Roman"/>
          <w:color w:val="000000"/>
          <w:sz w:val="22"/>
        </w:rPr>
      </w:pPr>
      <w:bookmarkStart w:id="49" w:name="wtrg-20260630xex31_2.htm"/>
      <w:bookmarkStart w:id="50" w:name="kswtrg20260630xex31_2"/>
      <w:bookmarkEnd w:id="49"/>
      <w:bookmarkEnd w:id="50"/>
      <w:r>
        <w:rPr>
          <w:rFonts w:ascii="Times New Roman" w:hAnsi="Times New Roman"/>
          <w:color w:val="000000"/>
          <w:sz w:val="22"/>
        </w:rPr>
        <w:t xml:space="preserve">Exhibit 31.2 </w:t>
      </w:r>
      <w:r>
        <w:br w:type="page"/>
      </w:r>
    </w:p>
    <w:p>
      <w:pPr>
        <w:pStyle w:val="TextBody"/>
        <w:bidi w:val="0"/>
        <w:spacing w:lineRule="auto" w:line="240" w:before="0" w:after="0"/>
        <w:ind w:left="720" w:right="720" w:hanging="0"/>
        <w:jc w:val="center"/>
        <w:rPr>
          <w:rFonts w:cs="Times New Roman"/>
          <w:color w:val="000000"/>
          <w:szCs w:val="22"/>
        </w:rPr>
      </w:pPr>
      <w:r>
        <w:rPr>
          <w:rFonts w:cs="Times New Roman"/>
          <w:color w:val="000000"/>
          <w:szCs w:val="22"/>
        </w:rPr>
        <w:t xml:space="preserve">﻿ </w:t>
      </w:r>
    </w:p>
    <w:p>
      <w:pPr>
        <w:pStyle w:val="TextBody"/>
        <w:bidi w:val="0"/>
        <w:spacing w:lineRule="auto" w:line="240" w:before="0" w:after="0"/>
        <w:ind w:left="720" w:right="720" w:hanging="0"/>
        <w:jc w:val="center"/>
        <w:rPr>
          <w:rFonts w:ascii="Times New Roman" w:hAnsi="Times New Roman"/>
          <w:color w:val="000000"/>
          <w:sz w:val="22"/>
        </w:rPr>
      </w:pPr>
      <w:r>
        <w:rPr>
          <w:rFonts w:ascii="Times New Roman" w:hAnsi="Times New Roman"/>
          <w:color w:val="000000"/>
          <w:sz w:val="22"/>
        </w:rPr>
        <w:t xml:space="preserve">CERTIFICATION OF CHIEF FINANCIAL OFFICER, PURSUANT TO RULE 13A-14(A) UNDER THE SECURITIES AND EXCHANGE ACT OF 1934   </w:t>
      </w:r>
    </w:p>
    <w:p>
      <w:pPr>
        <w:pStyle w:val="TextBody"/>
        <w:bidi w:val="0"/>
        <w:spacing w:lineRule="auto" w:line="240" w:before="0" w:after="0"/>
        <w:ind w:left="720" w:right="720" w:hanging="0"/>
        <w:jc w:val="left"/>
        <w:rPr>
          <w:color w:val="000000"/>
        </w:rPr>
      </w:pPr>
      <w:r>
        <w:rPr>
          <w:color w:val="000000"/>
        </w:rPr>
        <w:t xml:space="preserve">  </w:t>
      </w:r>
    </w:p>
    <w:p>
      <w:pPr>
        <w:pStyle w:val="TextBody"/>
        <w:bidi w:val="0"/>
        <w:spacing w:lineRule="auto" w:line="240" w:before="0" w:after="0"/>
        <w:ind w:left="720" w:right="720" w:hanging="0"/>
        <w:jc w:val="left"/>
        <w:rPr>
          <w:rFonts w:ascii="Times New Roman" w:hAnsi="Times New Roman"/>
          <w:color w:val="000000"/>
          <w:sz w:val="22"/>
        </w:rPr>
      </w:pPr>
      <w:r>
        <w:rPr>
          <w:rFonts w:ascii="Times New Roman" w:hAnsi="Times New Roman"/>
          <w:color w:val="000000"/>
          <w:sz w:val="22"/>
        </w:rPr>
        <w:t xml:space="preserve">I, Daniel J. Schuller, certify that:  </w:t>
      </w:r>
    </w:p>
    <w:p>
      <w:pPr>
        <w:pStyle w:val="TextBody"/>
        <w:bidi w:val="0"/>
        <w:spacing w:lineRule="auto" w:line="240" w:before="0" w:after="0"/>
        <w:ind w:left="720" w:right="720" w:hanging="0"/>
        <w:jc w:val="left"/>
        <w:rPr>
          <w:color w:val="000000"/>
        </w:rPr>
      </w:pPr>
      <w:r>
        <w:rPr>
          <w:color w:val="000000"/>
        </w:rPr>
        <w:t xml:space="preserve">  </w:t>
      </w:r>
    </w:p>
    <w:tbl>
      <w:tblPr>
        <w:tblW w:w="7676" w:type="dxa"/>
        <w:jc w:val="left"/>
        <w:tblInd w:w="720" w:type="dxa"/>
        <w:tblLayout w:type="fixed"/>
        <w:tblCellMar>
          <w:top w:w="0" w:type="dxa"/>
          <w:left w:w="0" w:type="dxa"/>
          <w:bottom w:w="0" w:type="dxa"/>
          <w:right w:w="0" w:type="dxa"/>
        </w:tblCellMar>
      </w:tblPr>
      <w:tblGrid>
        <w:gridCol w:w="38"/>
        <w:gridCol w:w="260"/>
        <w:gridCol w:w="23"/>
        <w:gridCol w:w="735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 xml:space="preserve">1. </w:t>
            </w:r>
          </w:p>
        </w:tc>
        <w:tc>
          <w:tcPr>
            <w:tcW w:w="23" w:type="dxa"/>
            <w:tcBorders/>
            <w:vAlign w:val="center"/>
          </w:tcPr>
          <w:p>
            <w:pPr>
              <w:pStyle w:val="TableContents"/>
              <w:bidi w:val="0"/>
              <w:spacing w:before="0" w:after="283"/>
              <w:jc w:val="left"/>
              <w:rPr>
                <w:sz w:val="4"/>
                <w:szCs w:val="4"/>
              </w:rPr>
            </w:pPr>
            <w:r>
              <w:rPr>
                <w:sz w:val="4"/>
                <w:szCs w:val="4"/>
              </w:rPr>
            </w:r>
          </w:p>
        </w:tc>
        <w:tc>
          <w:tcPr>
            <w:tcW w:w="7355"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I have reviewed this quarterly report on Form 10-Q of Essential Utilities, Inc.; </w:t>
            </w:r>
          </w:p>
        </w:tc>
      </w:tr>
    </w:tbl>
    <w:tbl>
      <w:tblPr>
        <w:tblW w:w="8765" w:type="dxa"/>
        <w:jc w:val="left"/>
        <w:tblInd w:w="720" w:type="dxa"/>
        <w:tblLayout w:type="fixed"/>
        <w:tblCellMar>
          <w:top w:w="0" w:type="dxa"/>
          <w:left w:w="0" w:type="dxa"/>
          <w:bottom w:w="0" w:type="dxa"/>
          <w:right w:w="0" w:type="dxa"/>
        </w:tblCellMar>
      </w:tblPr>
      <w:tblGrid>
        <w:gridCol w:w="38"/>
        <w:gridCol w:w="172"/>
        <w:gridCol w:w="23"/>
        <w:gridCol w:w="8532"/>
      </w:tblGrid>
      <w:tr>
        <w:trPr/>
        <w:tc>
          <w:tcPr>
            <w:tcW w:w="38" w:type="dxa"/>
            <w:tcBorders/>
            <w:vAlign w:val="center"/>
          </w:tcPr>
          <w:p>
            <w:pPr>
              <w:pStyle w:val="TableContents"/>
              <w:bidi w:val="0"/>
              <w:spacing w:before="0" w:after="283"/>
              <w:jc w:val="left"/>
              <w:rPr>
                <w:sz w:val="4"/>
                <w:szCs w:val="4"/>
              </w:rPr>
            </w:pPr>
            <w:r>
              <w:rPr>
                <w:sz w:val="4"/>
                <w:szCs w:val="4"/>
              </w:rPr>
            </w:r>
          </w:p>
        </w:tc>
        <w:tc>
          <w:tcPr>
            <w:tcW w:w="172"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 xml:space="preserve">2. </w:t>
            </w:r>
          </w:p>
        </w:tc>
        <w:tc>
          <w:tcPr>
            <w:tcW w:w="23" w:type="dxa"/>
            <w:tcBorders/>
            <w:vAlign w:val="center"/>
          </w:tcPr>
          <w:p>
            <w:pPr>
              <w:pStyle w:val="TableContents"/>
              <w:bidi w:val="0"/>
              <w:spacing w:before="0" w:after="283"/>
              <w:jc w:val="left"/>
              <w:rPr>
                <w:sz w:val="4"/>
                <w:szCs w:val="4"/>
              </w:rPr>
            </w:pPr>
            <w:r>
              <w:rPr>
                <w:sz w:val="4"/>
                <w:szCs w:val="4"/>
              </w:rPr>
            </w:r>
          </w:p>
        </w:tc>
        <w:tc>
          <w:tcPr>
            <w:tcW w:w="8532"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tbl>
      <w:tblPr>
        <w:tblW w:w="8765" w:type="dxa"/>
        <w:jc w:val="left"/>
        <w:tblInd w:w="720" w:type="dxa"/>
        <w:tblLayout w:type="fixed"/>
        <w:tblCellMar>
          <w:top w:w="0" w:type="dxa"/>
          <w:left w:w="0" w:type="dxa"/>
          <w:bottom w:w="0" w:type="dxa"/>
          <w:right w:w="0" w:type="dxa"/>
        </w:tblCellMar>
      </w:tblPr>
      <w:tblGrid>
        <w:gridCol w:w="38"/>
        <w:gridCol w:w="176"/>
        <w:gridCol w:w="23"/>
        <w:gridCol w:w="8528"/>
      </w:tblGrid>
      <w:tr>
        <w:trPr/>
        <w:tc>
          <w:tcPr>
            <w:tcW w:w="38" w:type="dxa"/>
            <w:tcBorders/>
            <w:vAlign w:val="center"/>
          </w:tcPr>
          <w:p>
            <w:pPr>
              <w:pStyle w:val="TableContents"/>
              <w:bidi w:val="0"/>
              <w:spacing w:before="0" w:after="283"/>
              <w:jc w:val="left"/>
              <w:rPr>
                <w:sz w:val="4"/>
                <w:szCs w:val="4"/>
              </w:rPr>
            </w:pPr>
            <w:r>
              <w:rPr>
                <w:sz w:val="4"/>
                <w:szCs w:val="4"/>
              </w:rPr>
            </w:r>
          </w:p>
        </w:tc>
        <w:tc>
          <w:tcPr>
            <w:tcW w:w="176"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 xml:space="preserve">3. </w:t>
            </w:r>
          </w:p>
        </w:tc>
        <w:tc>
          <w:tcPr>
            <w:tcW w:w="23" w:type="dxa"/>
            <w:tcBorders/>
            <w:vAlign w:val="center"/>
          </w:tcPr>
          <w:p>
            <w:pPr>
              <w:pStyle w:val="TableContents"/>
              <w:bidi w:val="0"/>
              <w:spacing w:before="0" w:after="283"/>
              <w:jc w:val="left"/>
              <w:rPr>
                <w:sz w:val="4"/>
                <w:szCs w:val="4"/>
              </w:rPr>
            </w:pPr>
            <w:r>
              <w:rPr>
                <w:sz w:val="4"/>
                <w:szCs w:val="4"/>
              </w:rPr>
            </w:r>
          </w:p>
        </w:tc>
        <w:tc>
          <w:tcPr>
            <w:tcW w:w="8528"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tbl>
      <w:tblPr>
        <w:tblW w:w="8765" w:type="dxa"/>
        <w:jc w:val="left"/>
        <w:tblInd w:w="720" w:type="dxa"/>
        <w:tblLayout w:type="fixed"/>
        <w:tblCellMar>
          <w:top w:w="0" w:type="dxa"/>
          <w:left w:w="0" w:type="dxa"/>
          <w:bottom w:w="0" w:type="dxa"/>
          <w:right w:w="0" w:type="dxa"/>
        </w:tblCellMar>
      </w:tblPr>
      <w:tblGrid>
        <w:gridCol w:w="38"/>
        <w:gridCol w:w="170"/>
        <w:gridCol w:w="23"/>
        <w:gridCol w:w="8534"/>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 xml:space="preserve">4. </w:t>
            </w:r>
          </w:p>
        </w:tc>
        <w:tc>
          <w:tcPr>
            <w:tcW w:w="23" w:type="dxa"/>
            <w:tcBorders/>
            <w:vAlign w:val="center"/>
          </w:tcPr>
          <w:p>
            <w:pPr>
              <w:pStyle w:val="TableContents"/>
              <w:bidi w:val="0"/>
              <w:spacing w:before="0" w:after="283"/>
              <w:jc w:val="left"/>
              <w:rPr>
                <w:sz w:val="4"/>
                <w:szCs w:val="4"/>
              </w:rPr>
            </w:pPr>
            <w:r>
              <w:rPr>
                <w:sz w:val="4"/>
                <w:szCs w:val="4"/>
              </w:rPr>
            </w:r>
          </w:p>
        </w:tc>
        <w:tc>
          <w:tcPr>
            <w:tcW w:w="8534"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tc>
      </w:tr>
    </w:tbl>
    <w:tbl>
      <w:tblPr>
        <w:tblW w:w="8765" w:type="dxa"/>
        <w:jc w:val="left"/>
        <w:tblInd w:w="720" w:type="dxa"/>
        <w:tblLayout w:type="fixed"/>
        <w:tblCellMar>
          <w:top w:w="0" w:type="dxa"/>
          <w:left w:w="0" w:type="dxa"/>
          <w:bottom w:w="0" w:type="dxa"/>
          <w:right w:w="0" w:type="dxa"/>
        </w:tblCellMar>
      </w:tblPr>
      <w:tblGrid>
        <w:gridCol w:w="38"/>
        <w:gridCol w:w="198"/>
        <w:gridCol w:w="23"/>
        <w:gridCol w:w="8506"/>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 xml:space="preserve">a. </w:t>
            </w:r>
          </w:p>
        </w:tc>
        <w:tc>
          <w:tcPr>
            <w:tcW w:w="23" w:type="dxa"/>
            <w:tcBorders/>
            <w:vAlign w:val="center"/>
          </w:tcPr>
          <w:p>
            <w:pPr>
              <w:pStyle w:val="TableContents"/>
              <w:bidi w:val="0"/>
              <w:spacing w:before="0" w:after="283"/>
              <w:jc w:val="left"/>
              <w:rPr>
                <w:sz w:val="4"/>
                <w:szCs w:val="4"/>
              </w:rPr>
            </w:pPr>
            <w:r>
              <w:rPr>
                <w:sz w:val="4"/>
                <w:szCs w:val="4"/>
              </w:rPr>
            </w:r>
          </w:p>
        </w:tc>
        <w:tc>
          <w:tcPr>
            <w:tcW w:w="8506"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tc>
      </w:tr>
    </w:tbl>
    <w:tbl>
      <w:tblPr>
        <w:tblW w:w="8765" w:type="dxa"/>
        <w:jc w:val="left"/>
        <w:tblInd w:w="720" w:type="dxa"/>
        <w:tblLayout w:type="fixed"/>
        <w:tblCellMar>
          <w:top w:w="0" w:type="dxa"/>
          <w:left w:w="0" w:type="dxa"/>
          <w:bottom w:w="0" w:type="dxa"/>
          <w:right w:w="0" w:type="dxa"/>
        </w:tblCellMar>
      </w:tblPr>
      <w:tblGrid>
        <w:gridCol w:w="38"/>
        <w:gridCol w:w="213"/>
        <w:gridCol w:w="23"/>
        <w:gridCol w:w="8491"/>
      </w:tblGrid>
      <w:tr>
        <w:trPr/>
        <w:tc>
          <w:tcPr>
            <w:tcW w:w="38" w:type="dxa"/>
            <w:tcBorders/>
            <w:vAlign w:val="center"/>
          </w:tcPr>
          <w:p>
            <w:pPr>
              <w:pStyle w:val="TableContents"/>
              <w:bidi w:val="0"/>
              <w:spacing w:before="0" w:after="283"/>
              <w:jc w:val="left"/>
              <w:rPr>
                <w:sz w:val="4"/>
                <w:szCs w:val="4"/>
              </w:rPr>
            </w:pPr>
            <w:r>
              <w:rPr>
                <w:sz w:val="4"/>
                <w:szCs w:val="4"/>
              </w:rPr>
            </w:r>
          </w:p>
        </w:tc>
        <w:tc>
          <w:tcPr>
            <w:tcW w:w="213"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 xml:space="preserve">b. </w:t>
            </w:r>
          </w:p>
        </w:tc>
        <w:tc>
          <w:tcPr>
            <w:tcW w:w="23" w:type="dxa"/>
            <w:tcBorders/>
            <w:vAlign w:val="center"/>
          </w:tcPr>
          <w:p>
            <w:pPr>
              <w:pStyle w:val="TableContents"/>
              <w:bidi w:val="0"/>
              <w:spacing w:before="0" w:after="283"/>
              <w:jc w:val="left"/>
              <w:rPr>
                <w:sz w:val="4"/>
                <w:szCs w:val="4"/>
              </w:rPr>
            </w:pPr>
            <w:r>
              <w:rPr>
                <w:sz w:val="4"/>
                <w:szCs w:val="4"/>
              </w:rPr>
            </w:r>
          </w:p>
        </w:tc>
        <w:tc>
          <w:tcPr>
            <w:tcW w:w="8491"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tbl>
      <w:tblPr>
        <w:tblW w:w="8765" w:type="dxa"/>
        <w:jc w:val="left"/>
        <w:tblInd w:w="720" w:type="dxa"/>
        <w:tblLayout w:type="fixed"/>
        <w:tblCellMar>
          <w:top w:w="0" w:type="dxa"/>
          <w:left w:w="0" w:type="dxa"/>
          <w:bottom w:w="0" w:type="dxa"/>
          <w:right w:w="0" w:type="dxa"/>
        </w:tblCellMar>
      </w:tblPr>
      <w:tblGrid>
        <w:gridCol w:w="38"/>
        <w:gridCol w:w="202"/>
        <w:gridCol w:w="23"/>
        <w:gridCol w:w="8502"/>
      </w:tblGrid>
      <w:tr>
        <w:trPr/>
        <w:tc>
          <w:tcPr>
            <w:tcW w:w="38" w:type="dxa"/>
            <w:tcBorders/>
            <w:vAlign w:val="center"/>
          </w:tcPr>
          <w:p>
            <w:pPr>
              <w:pStyle w:val="TableContents"/>
              <w:bidi w:val="0"/>
              <w:spacing w:before="0" w:after="283"/>
              <w:jc w:val="left"/>
              <w:rPr>
                <w:sz w:val="4"/>
                <w:szCs w:val="4"/>
              </w:rPr>
            </w:pPr>
            <w:r>
              <w:rPr>
                <w:sz w:val="4"/>
                <w:szCs w:val="4"/>
              </w:rPr>
            </w:r>
          </w:p>
        </w:tc>
        <w:tc>
          <w:tcPr>
            <w:tcW w:w="202"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 xml:space="preserve">c. </w:t>
            </w:r>
          </w:p>
        </w:tc>
        <w:tc>
          <w:tcPr>
            <w:tcW w:w="23" w:type="dxa"/>
            <w:tcBorders/>
            <w:vAlign w:val="center"/>
          </w:tcPr>
          <w:p>
            <w:pPr>
              <w:pStyle w:val="TableContents"/>
              <w:bidi w:val="0"/>
              <w:spacing w:before="0" w:after="283"/>
              <w:jc w:val="left"/>
              <w:rPr>
                <w:sz w:val="4"/>
                <w:szCs w:val="4"/>
              </w:rPr>
            </w:pPr>
            <w:r>
              <w:rPr>
                <w:sz w:val="4"/>
                <w:szCs w:val="4"/>
              </w:rPr>
            </w:r>
          </w:p>
        </w:tc>
        <w:tc>
          <w:tcPr>
            <w:tcW w:w="8502"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tc>
      </w:tr>
    </w:tbl>
    <w:tbl>
      <w:tblPr>
        <w:tblW w:w="8765" w:type="dxa"/>
        <w:jc w:val="left"/>
        <w:tblInd w:w="720" w:type="dxa"/>
        <w:tblLayout w:type="fixed"/>
        <w:tblCellMar>
          <w:top w:w="0" w:type="dxa"/>
          <w:left w:w="0" w:type="dxa"/>
          <w:bottom w:w="0" w:type="dxa"/>
          <w:right w:w="0" w:type="dxa"/>
        </w:tblCellMar>
      </w:tblPr>
      <w:tblGrid>
        <w:gridCol w:w="38"/>
        <w:gridCol w:w="213"/>
        <w:gridCol w:w="23"/>
        <w:gridCol w:w="8491"/>
      </w:tblGrid>
      <w:tr>
        <w:trPr/>
        <w:tc>
          <w:tcPr>
            <w:tcW w:w="38" w:type="dxa"/>
            <w:tcBorders/>
            <w:vAlign w:val="center"/>
          </w:tcPr>
          <w:p>
            <w:pPr>
              <w:pStyle w:val="TableContents"/>
              <w:bidi w:val="0"/>
              <w:spacing w:before="0" w:after="283"/>
              <w:jc w:val="left"/>
              <w:rPr>
                <w:sz w:val="4"/>
                <w:szCs w:val="4"/>
              </w:rPr>
            </w:pPr>
            <w:r>
              <w:rPr>
                <w:sz w:val="4"/>
                <w:szCs w:val="4"/>
              </w:rPr>
            </w:r>
          </w:p>
        </w:tc>
        <w:tc>
          <w:tcPr>
            <w:tcW w:w="213"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 xml:space="preserve">d. </w:t>
            </w:r>
          </w:p>
        </w:tc>
        <w:tc>
          <w:tcPr>
            <w:tcW w:w="23" w:type="dxa"/>
            <w:tcBorders/>
            <w:vAlign w:val="center"/>
          </w:tcPr>
          <w:p>
            <w:pPr>
              <w:pStyle w:val="TableContents"/>
              <w:bidi w:val="0"/>
              <w:spacing w:before="0" w:after="283"/>
              <w:jc w:val="left"/>
              <w:rPr>
                <w:sz w:val="4"/>
                <w:szCs w:val="4"/>
              </w:rPr>
            </w:pPr>
            <w:r>
              <w:rPr>
                <w:sz w:val="4"/>
                <w:szCs w:val="4"/>
              </w:rPr>
            </w:r>
          </w:p>
        </w:tc>
        <w:tc>
          <w:tcPr>
            <w:tcW w:w="8491"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tc>
      </w:tr>
    </w:tbl>
    <w:tbl>
      <w:tblPr>
        <w:tblW w:w="8765" w:type="dxa"/>
        <w:jc w:val="left"/>
        <w:tblInd w:w="720" w:type="dxa"/>
        <w:tblLayout w:type="fixed"/>
        <w:tblCellMar>
          <w:top w:w="0" w:type="dxa"/>
          <w:left w:w="0" w:type="dxa"/>
          <w:bottom w:w="0" w:type="dxa"/>
          <w:right w:w="0" w:type="dxa"/>
        </w:tblCellMar>
      </w:tblPr>
      <w:tblGrid>
        <w:gridCol w:w="38"/>
        <w:gridCol w:w="175"/>
        <w:gridCol w:w="23"/>
        <w:gridCol w:w="8529"/>
      </w:tblGrid>
      <w:tr>
        <w:trPr/>
        <w:tc>
          <w:tcPr>
            <w:tcW w:w="38" w:type="dxa"/>
            <w:tcBorders/>
            <w:vAlign w:val="center"/>
          </w:tcPr>
          <w:p>
            <w:pPr>
              <w:pStyle w:val="TableContents"/>
              <w:bidi w:val="0"/>
              <w:spacing w:before="0" w:after="283"/>
              <w:jc w:val="left"/>
              <w:rPr>
                <w:sz w:val="4"/>
                <w:szCs w:val="4"/>
              </w:rPr>
            </w:pPr>
            <w:r>
              <w:rPr>
                <w:sz w:val="4"/>
                <w:szCs w:val="4"/>
              </w:rPr>
            </w:r>
          </w:p>
        </w:tc>
        <w:tc>
          <w:tcPr>
            <w:tcW w:w="175"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 xml:space="preserve">5. </w:t>
            </w:r>
          </w:p>
        </w:tc>
        <w:tc>
          <w:tcPr>
            <w:tcW w:w="23" w:type="dxa"/>
            <w:tcBorders/>
            <w:vAlign w:val="center"/>
          </w:tcPr>
          <w:p>
            <w:pPr>
              <w:pStyle w:val="TableContents"/>
              <w:bidi w:val="0"/>
              <w:spacing w:before="0" w:after="283"/>
              <w:jc w:val="left"/>
              <w:rPr>
                <w:sz w:val="4"/>
                <w:szCs w:val="4"/>
              </w:rPr>
            </w:pPr>
            <w:r>
              <w:rPr>
                <w:sz w:val="4"/>
                <w:szCs w:val="4"/>
              </w:rPr>
            </w:r>
          </w:p>
        </w:tc>
        <w:tc>
          <w:tcPr>
            <w:tcW w:w="8529"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tc>
      </w:tr>
    </w:tbl>
    <w:tbl>
      <w:tblPr>
        <w:tblW w:w="8765" w:type="dxa"/>
        <w:jc w:val="left"/>
        <w:tblInd w:w="720" w:type="dxa"/>
        <w:tblLayout w:type="fixed"/>
        <w:tblCellMar>
          <w:top w:w="0" w:type="dxa"/>
          <w:left w:w="0" w:type="dxa"/>
          <w:bottom w:w="0" w:type="dxa"/>
          <w:right w:w="0" w:type="dxa"/>
        </w:tblCellMar>
      </w:tblPr>
      <w:tblGrid>
        <w:gridCol w:w="38"/>
        <w:gridCol w:w="203"/>
        <w:gridCol w:w="23"/>
        <w:gridCol w:w="8501"/>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 xml:space="preserve">a. </w:t>
            </w:r>
          </w:p>
        </w:tc>
        <w:tc>
          <w:tcPr>
            <w:tcW w:w="23" w:type="dxa"/>
            <w:tcBorders/>
            <w:vAlign w:val="center"/>
          </w:tcPr>
          <w:p>
            <w:pPr>
              <w:pStyle w:val="TableContents"/>
              <w:bidi w:val="0"/>
              <w:spacing w:before="0" w:after="283"/>
              <w:jc w:val="left"/>
              <w:rPr>
                <w:sz w:val="4"/>
                <w:szCs w:val="4"/>
              </w:rPr>
            </w:pPr>
            <w:r>
              <w:rPr>
                <w:sz w:val="4"/>
                <w:szCs w:val="4"/>
              </w:rPr>
            </w:r>
          </w:p>
        </w:tc>
        <w:tc>
          <w:tcPr>
            <w:tcW w:w="8501"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All significant deficiencies and material weaknesses in the design or operation of internal control over financial reporting which are reasonably likely to adversely affect the registrant's ability to record, process, summarize and report financial information; and </w:t>
            </w:r>
          </w:p>
        </w:tc>
      </w:tr>
    </w:tbl>
    <w:tbl>
      <w:tblPr>
        <w:tblW w:w="8765" w:type="dxa"/>
        <w:jc w:val="left"/>
        <w:tblInd w:w="720" w:type="dxa"/>
        <w:tblLayout w:type="fixed"/>
        <w:tblCellMar>
          <w:top w:w="0" w:type="dxa"/>
          <w:left w:w="0" w:type="dxa"/>
          <w:bottom w:w="0" w:type="dxa"/>
          <w:right w:w="0" w:type="dxa"/>
        </w:tblCellMar>
      </w:tblPr>
      <w:tblGrid>
        <w:gridCol w:w="38"/>
        <w:gridCol w:w="229"/>
        <w:gridCol w:w="23"/>
        <w:gridCol w:w="8475"/>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 xml:space="preserve">b. </w:t>
            </w:r>
          </w:p>
        </w:tc>
        <w:tc>
          <w:tcPr>
            <w:tcW w:w="23" w:type="dxa"/>
            <w:tcBorders/>
            <w:vAlign w:val="center"/>
          </w:tcPr>
          <w:p>
            <w:pPr>
              <w:pStyle w:val="TableContents"/>
              <w:bidi w:val="0"/>
              <w:spacing w:before="0" w:after="283"/>
              <w:jc w:val="left"/>
              <w:rPr>
                <w:sz w:val="4"/>
                <w:szCs w:val="4"/>
              </w:rPr>
            </w:pPr>
            <w:r>
              <w:rPr>
                <w:sz w:val="4"/>
                <w:szCs w:val="4"/>
              </w:rPr>
            </w:r>
          </w:p>
        </w:tc>
        <w:tc>
          <w:tcPr>
            <w:tcW w:w="8475"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Any fraud, whether or not material, that involves management or other employees who have a significant role in the registrant's internal control over financial reporting. </w:t>
            </w:r>
          </w:p>
        </w:tc>
      </w:tr>
    </w:tbl>
    <w:p>
      <w:pPr>
        <w:pStyle w:val="TextBody"/>
        <w:bidi w:val="0"/>
        <w:spacing w:lineRule="auto" w:line="240" w:before="0" w:after="0"/>
        <w:ind w:left="720" w:right="720" w:hanging="0"/>
        <w:jc w:val="left"/>
        <w:rPr>
          <w:rFonts w:cs="Times New Roman"/>
          <w:color w:val="000000"/>
          <w:szCs w:val="22"/>
        </w:rPr>
      </w:pPr>
      <w:r>
        <w:rPr>
          <w:rFonts w:cs="Times New Roman"/>
          <w:color w:val="000000"/>
          <w:szCs w:val="22"/>
        </w:rPr>
        <w:t xml:space="preserve">﻿ </w:t>
      </w:r>
    </w:p>
    <w:p>
      <w:pPr>
        <w:pStyle w:val="TextBody"/>
        <w:bidi w:val="0"/>
        <w:spacing w:lineRule="auto" w:line="240" w:before="0" w:after="0"/>
        <w:ind w:left="720" w:right="720" w:hanging="0"/>
        <w:jc w:val="left"/>
        <w:rPr>
          <w:rFonts w:cs="Times New Roman"/>
          <w:color w:val="000000"/>
          <w:szCs w:val="22"/>
        </w:rPr>
      </w:pPr>
      <w:r>
        <w:rPr>
          <w:rFonts w:cs="Times New Roman"/>
          <w:color w:val="000000"/>
          <w:szCs w:val="22"/>
        </w:rPr>
        <w:t xml:space="preserve">﻿ </w:t>
      </w:r>
    </w:p>
    <w:p>
      <w:pPr>
        <w:pStyle w:val="TextBody"/>
        <w:bidi w:val="0"/>
        <w:spacing w:lineRule="auto" w:line="240" w:before="0" w:after="0"/>
        <w:ind w:left="720" w:right="720" w:hanging="0"/>
        <w:jc w:val="left"/>
        <w:rPr>
          <w:rFonts w:cs="Times New Roman"/>
          <w:color w:val="000000"/>
          <w:szCs w:val="22"/>
        </w:rPr>
      </w:pPr>
      <w:r>
        <w:rPr>
          <w:rFonts w:cs="Times New Roman"/>
          <w:color w:val="000000"/>
          <w:szCs w:val="22"/>
        </w:rPr>
        <w:t xml:space="preserve">﻿ </w:t>
      </w:r>
    </w:p>
    <w:p>
      <w:pPr>
        <w:pStyle w:val="TextBody"/>
        <w:bidi w:val="0"/>
        <w:spacing w:lineRule="auto" w:line="240" w:before="0" w:after="0"/>
        <w:ind w:left="720" w:right="720" w:hanging="0"/>
        <w:jc w:val="left"/>
        <w:rPr>
          <w:rFonts w:cs="Times New Roman"/>
          <w:color w:val="000000"/>
          <w:szCs w:val="22"/>
        </w:rPr>
      </w:pPr>
      <w:r>
        <w:rPr>
          <w:rFonts w:cs="Times New Roman"/>
          <w:color w:val="000000"/>
          <w:szCs w:val="22"/>
        </w:rPr>
        <w:t xml:space="preserve">﻿ </w:t>
      </w:r>
    </w:p>
    <w:tbl>
      <w:tblPr>
        <w:tblW w:w="5150" w:type="dxa"/>
        <w:jc w:val="left"/>
        <w:tblInd w:w="720" w:type="dxa"/>
        <w:tblLayout w:type="fixed"/>
        <w:tblCellMar>
          <w:top w:w="0" w:type="dxa"/>
          <w:left w:w="0" w:type="dxa"/>
          <w:bottom w:w="0" w:type="dxa"/>
          <w:right w:w="0" w:type="dxa"/>
        </w:tblCellMar>
      </w:tblPr>
      <w:tblGrid>
        <w:gridCol w:w="5150"/>
      </w:tblGrid>
      <w:tr>
        <w:trPr/>
        <w:tc>
          <w:tcPr>
            <w:tcW w:w="5150" w:type="dxa"/>
            <w:tcBorders/>
          </w:tcPr>
          <w:p>
            <w:pPr>
              <w:pStyle w:val="TableContents"/>
              <w:bidi w:val="0"/>
              <w:spacing w:lineRule="auto" w:line="240" w:before="0" w:after="0"/>
              <w:ind w:left="0" w:right="0" w:hanging="0"/>
              <w:jc w:val="left"/>
              <w:rPr>
                <w:rFonts w:cs="Times New Roman"/>
                <w:color w:val="000000"/>
                <w:szCs w:val="2"/>
              </w:rPr>
            </w:pPr>
            <w:r>
              <w:rPr>
                <w:rFonts w:cs="Times New Roman"/>
                <w:color w:val="000000"/>
                <w:szCs w:val="2"/>
              </w:rPr>
              <w:t>﻿</w:t>
            </w:r>
          </w:p>
        </w:tc>
      </w:tr>
      <w:tr>
        <w:trPr/>
        <w:tc>
          <w:tcPr>
            <w:tcW w:w="5150" w:type="dxa"/>
            <w:tcBorders>
              <w:bottom w:val="single" w:sz="8" w:space="0" w:color="000000"/>
            </w:tcBorders>
            <w:tcMar>
              <w:bottom w:w="28" w:type="dxa"/>
            </w:tcMar>
          </w:tcPr>
          <w:p>
            <w:pPr>
              <w:pStyle w:val="TableContents"/>
              <w:bidi w:val="0"/>
              <w:spacing w:lineRule="auto" w:line="192" w:before="0" w:after="0"/>
              <w:ind w:left="0" w:right="0" w:hanging="0"/>
              <w:jc w:val="left"/>
              <w:rPr>
                <w:rFonts w:ascii="Times New Roman" w:hAnsi="Times New Roman"/>
                <w:color w:val="000000"/>
                <w:sz w:val="24"/>
              </w:rPr>
            </w:pPr>
            <w:r>
              <w:rPr>
                <w:rFonts w:ascii="Times New Roman" w:hAnsi="Times New Roman"/>
                <w:color w:val="000000"/>
                <w:sz w:val="24"/>
              </w:rPr>
              <w:t>/s/ Daniel J. Schuller</w:t>
            </w:r>
          </w:p>
        </w:tc>
      </w:tr>
      <w:tr>
        <w:trPr/>
        <w:tc>
          <w:tcPr>
            <w:tcW w:w="5150" w:type="dxa"/>
            <w:tcBorders>
              <w:top w:val="single" w:sz="8" w:space="0" w:color="000000"/>
            </w:tcBorders>
            <w:tcMar>
              <w:top w:w="28" w:type="dxa"/>
            </w:tcMar>
          </w:tcPr>
          <w:p>
            <w:pPr>
              <w:pStyle w:val="TableContents"/>
              <w:bidi w:val="0"/>
              <w:spacing w:lineRule="auto" w:line="192" w:before="0" w:after="0"/>
              <w:ind w:left="0" w:right="0" w:hanging="0"/>
              <w:jc w:val="left"/>
              <w:rPr>
                <w:rFonts w:ascii="Times New Roman" w:hAnsi="Times New Roman"/>
                <w:color w:val="000000"/>
                <w:sz w:val="24"/>
              </w:rPr>
            </w:pPr>
            <w:r>
              <w:rPr>
                <w:rFonts w:ascii="Times New Roman" w:hAnsi="Times New Roman"/>
                <w:color w:val="000000"/>
                <w:sz w:val="24"/>
              </w:rPr>
              <w:t>Daniel J. Schuller</w:t>
            </w:r>
          </w:p>
        </w:tc>
      </w:tr>
      <w:tr>
        <w:trPr/>
        <w:tc>
          <w:tcPr>
            <w:tcW w:w="5150" w:type="dxa"/>
            <w:tcBorders/>
          </w:tcPr>
          <w:p>
            <w:pPr>
              <w:pStyle w:val="TableContents"/>
              <w:bidi w:val="0"/>
              <w:spacing w:lineRule="auto" w:line="240" w:before="0" w:after="0"/>
              <w:ind w:left="0" w:right="0" w:hanging="0"/>
              <w:jc w:val="left"/>
              <w:rPr>
                <w:rFonts w:ascii="Times New Roman" w:hAnsi="Times New Roman"/>
                <w:color w:val="000000"/>
                <w:sz w:val="24"/>
              </w:rPr>
            </w:pPr>
            <w:r>
              <w:rPr>
                <w:rFonts w:ascii="Times New Roman" w:hAnsi="Times New Roman"/>
                <w:color w:val="000000"/>
                <w:sz w:val="24"/>
              </w:rPr>
              <w:t>Executive Vice President and Chief Financial Officer </w:t>
            </w:r>
          </w:p>
        </w:tc>
      </w:tr>
      <w:tr>
        <w:trPr/>
        <w:tc>
          <w:tcPr>
            <w:tcW w:w="5150" w:type="dxa"/>
            <w:tcBorders/>
          </w:tcPr>
          <w:p>
            <w:pPr>
              <w:pStyle w:val="TableContents"/>
              <w:bidi w:val="0"/>
              <w:spacing w:lineRule="auto" w:line="240" w:before="0" w:after="0"/>
              <w:ind w:left="0" w:right="0" w:hanging="0"/>
              <w:jc w:val="left"/>
              <w:rPr>
                <w:rFonts w:ascii="Times New Roman" w:hAnsi="Times New Roman"/>
                <w:color w:val="000000"/>
                <w:sz w:val="24"/>
              </w:rPr>
            </w:pPr>
            <w:r>
              <w:rPr>
                <w:rFonts w:ascii="Times New Roman" w:hAnsi="Times New Roman"/>
                <w:color w:val="000000"/>
                <w:sz w:val="24"/>
              </w:rPr>
              <w:t>August 5,  2026</w:t>
            </w:r>
          </w:p>
        </w:tc>
      </w:tr>
    </w:tbl>
    <w:p>
      <w:pPr>
        <w:pStyle w:val="TextBody"/>
        <w:bidi w:val="0"/>
        <w:spacing w:lineRule="auto" w:line="240" w:before="0" w:after="0"/>
        <w:ind w:left="720" w:right="720" w:hanging="0"/>
        <w:jc w:val="left"/>
        <w:rPr>
          <w:rFonts w:cs="Times New Roman"/>
          <w:color w:val="000000"/>
          <w:szCs w:val="24"/>
        </w:rPr>
      </w:pPr>
      <w:r>
        <w:rPr>
          <w:rFonts w:cs="Times New Roman"/>
          <w:color w:val="000000"/>
          <w:szCs w:val="24"/>
        </w:rPr>
        <w:t xml:space="preserve">﻿ </w:t>
      </w:r>
    </w:p>
    <w:p>
      <w:pPr>
        <w:pStyle w:val="HorizontalLine"/>
        <w:pBdr>
          <w:bottom w:val="double" w:sz="6" w:space="0" w:color="808080"/>
        </w:pBdr>
        <w:bidi w:val="0"/>
        <w:ind w:left="720" w:right="720" w:hanging="0"/>
        <w:jc w:val="left"/>
        <w:rPr/>
      </w:pPr>
      <w:r>
        <w:rPr/>
      </w:r>
    </w:p>
    <w:p>
      <w:pPr>
        <w:pStyle w:val="TextBody"/>
        <w:bidi w:val="0"/>
        <w:spacing w:lineRule="auto" w:line="192" w:before="0" w:after="0"/>
        <w:ind w:left="720" w:right="720" w:hanging="0"/>
        <w:jc w:val="right"/>
        <w:rPr>
          <w:rFonts w:ascii="Times New Roman" w:hAnsi="Times New Roman"/>
          <w:color w:val="000000"/>
          <w:sz w:val="24"/>
        </w:rPr>
      </w:pPr>
      <w:bookmarkStart w:id="51" w:name="wtrg-20260630xex32_1.htm"/>
      <w:bookmarkStart w:id="52" w:name="kswtrg20260630xex32_1"/>
      <w:bookmarkEnd w:id="51"/>
      <w:bookmarkEnd w:id="52"/>
      <w:r>
        <w:rPr>
          <w:rFonts w:ascii="Times New Roman" w:hAnsi="Times New Roman"/>
          <w:color w:val="000000"/>
          <w:sz w:val="24"/>
        </w:rPr>
        <w:t xml:space="preserve">Exhibit 32.1  </w:t>
      </w:r>
      <w:r>
        <w:br w:type="page"/>
      </w:r>
    </w:p>
    <w:p>
      <w:pPr>
        <w:pStyle w:val="TextBody"/>
        <w:bidi w:val="0"/>
        <w:spacing w:lineRule="auto" w:line="192" w:before="0" w:after="0"/>
        <w:ind w:left="720" w:right="720" w:hanging="0"/>
        <w:jc w:val="left"/>
        <w:rPr>
          <w:color w:val="000000"/>
        </w:rPr>
      </w:pPr>
      <w:r>
        <w:rPr>
          <w:color w:val="000000"/>
        </w:rPr>
        <w:t xml:space="preserve">  </w:t>
      </w:r>
    </w:p>
    <w:p>
      <w:pPr>
        <w:pStyle w:val="TextBody"/>
        <w:bidi w:val="0"/>
        <w:spacing w:lineRule="auto" w:line="192" w:before="0" w:after="0"/>
        <w:ind w:left="720" w:right="720" w:hanging="0"/>
        <w:jc w:val="left"/>
        <w:rPr>
          <w:color w:val="000000"/>
        </w:rPr>
      </w:pPr>
      <w:r>
        <w:rPr>
          <w:color w:val="000000"/>
        </w:rPr>
        <w:t xml:space="preserve">  </w:t>
      </w:r>
    </w:p>
    <w:p>
      <w:pPr>
        <w:pStyle w:val="TextBody"/>
        <w:bidi w:val="0"/>
        <w:spacing w:lineRule="auto" w:line="192" w:before="0" w:after="0"/>
        <w:ind w:left="720" w:right="720" w:hanging="0"/>
        <w:jc w:val="left"/>
        <w:rPr>
          <w:color w:val="000000"/>
        </w:rPr>
      </w:pPr>
      <w:r>
        <w:rPr>
          <w:color w:val="000000"/>
        </w:rPr>
        <w:t xml:space="preserve">  </w:t>
      </w:r>
    </w:p>
    <w:p>
      <w:pPr>
        <w:pStyle w:val="TextBody"/>
        <w:bidi w:val="0"/>
        <w:spacing w:lineRule="auto" w:line="192" w:before="0" w:after="0"/>
        <w:ind w:left="720" w:right="720" w:hanging="0"/>
        <w:jc w:val="center"/>
        <w:rPr>
          <w:rFonts w:ascii="Times New Roman" w:hAnsi="Times New Roman"/>
          <w:color w:val="000000"/>
          <w:sz w:val="24"/>
        </w:rPr>
      </w:pPr>
      <w:r>
        <w:rPr>
          <w:rFonts w:ascii="Times New Roman" w:hAnsi="Times New Roman"/>
          <w:color w:val="000000"/>
          <w:sz w:val="24"/>
        </w:rPr>
        <w:t xml:space="preserve">CERTIFICATION OF CHIEF EXECUTIVE OFFICER PURSUANT TO  </w:t>
      </w:r>
    </w:p>
    <w:p>
      <w:pPr>
        <w:pStyle w:val="TextBody"/>
        <w:bidi w:val="0"/>
        <w:spacing w:lineRule="auto" w:line="192" w:before="0" w:after="0"/>
        <w:ind w:left="720" w:right="720" w:hanging="0"/>
        <w:jc w:val="center"/>
        <w:rPr>
          <w:rFonts w:ascii="Times New Roman" w:hAnsi="Times New Roman"/>
          <w:color w:val="000000"/>
          <w:sz w:val="24"/>
        </w:rPr>
      </w:pPr>
      <w:r>
        <w:rPr>
          <w:rFonts w:ascii="Times New Roman" w:hAnsi="Times New Roman"/>
          <w:color w:val="000000"/>
          <w:sz w:val="24"/>
        </w:rPr>
        <w:t xml:space="preserve">18 U.S.C. SECTION 1350  </w:t>
      </w:r>
    </w:p>
    <w:p>
      <w:pPr>
        <w:pStyle w:val="TextBody"/>
        <w:bidi w:val="0"/>
        <w:spacing w:lineRule="auto" w:line="192" w:before="0" w:after="0"/>
        <w:ind w:left="720" w:right="720" w:hanging="0"/>
        <w:jc w:val="left"/>
        <w:rPr>
          <w:color w:val="000000"/>
        </w:rPr>
      </w:pPr>
      <w:r>
        <w:rPr>
          <w:color w:val="000000"/>
        </w:rPr>
        <w:t xml:space="preserve">  </w:t>
      </w:r>
    </w:p>
    <w:p>
      <w:pPr>
        <w:pStyle w:val="TextBody"/>
        <w:bidi w:val="0"/>
        <w:spacing w:lineRule="auto" w:line="192" w:before="0" w:after="0"/>
        <w:ind w:left="720" w:right="720" w:hanging="0"/>
        <w:jc w:val="left"/>
        <w:rPr>
          <w:color w:val="000000"/>
        </w:rPr>
      </w:pPr>
      <w:r>
        <w:rPr>
          <w:color w:val="000000"/>
        </w:rPr>
        <w:t xml:space="preserve">  </w:t>
      </w:r>
    </w:p>
    <w:p>
      <w:pPr>
        <w:pStyle w:val="TextBody"/>
        <w:bidi w:val="0"/>
        <w:spacing w:lineRule="auto" w:line="192" w:before="0" w:after="0"/>
        <w:ind w:left="720" w:right="720" w:hanging="0"/>
        <w:jc w:val="left"/>
        <w:rPr>
          <w:color w:val="000000"/>
        </w:rPr>
      </w:pPr>
      <w:r>
        <w:rPr>
          <w:color w:val="000000"/>
        </w:rPr>
        <w:t xml:space="preserve">  </w:t>
      </w:r>
    </w:p>
    <w:p>
      <w:pPr>
        <w:pStyle w:val="TextBody"/>
        <w:bidi w:val="0"/>
        <w:spacing w:lineRule="auto" w:line="192" w:before="0" w:after="0"/>
        <w:ind w:left="720" w:right="720" w:hanging="0"/>
        <w:jc w:val="left"/>
        <w:rPr>
          <w:color w:val="000000"/>
        </w:rPr>
      </w:pPr>
      <w:r>
        <w:rPr>
          <w:color w:val="000000"/>
        </w:rPr>
        <w:t xml:space="preserve">  </w:t>
      </w:r>
    </w:p>
    <w:p>
      <w:pPr>
        <w:pStyle w:val="TextBody"/>
        <w:bidi w:val="0"/>
        <w:spacing w:lineRule="auto" w:line="192" w:before="0" w:after="0"/>
        <w:ind w:left="720" w:right="720" w:hanging="0"/>
        <w:jc w:val="left"/>
        <w:rPr>
          <w:rFonts w:ascii="Times New Roman" w:hAnsi="Times New Roman"/>
          <w:color w:val="000000"/>
          <w:sz w:val="24"/>
        </w:rPr>
      </w:pPr>
      <w:r>
        <w:rPr>
          <w:rFonts w:ascii="Times New Roman" w:hAnsi="Times New Roman"/>
          <w:color w:val="000000"/>
          <w:sz w:val="24"/>
        </w:rPr>
        <w:t xml:space="preserve">In connection with the Quarterly Report on Form 10-Q for the period ended June 30,  2026 of Essential Utilities, Inc. (the “Company”) as filed with the Securities and Exchange Commission on the date hereof (the “Report”), I, Christopher H. Franklin,  President and Chief Executive Officer of the Company, certify, pursuant to 18 U.S.C. Section 1350, as adopted pursuant to Section 906 of the Sarbanes-Oxley Act of 2002, that, to my knowledge:  </w:t>
      </w:r>
    </w:p>
    <w:p>
      <w:pPr>
        <w:pStyle w:val="TextBody"/>
        <w:bidi w:val="0"/>
        <w:spacing w:lineRule="auto" w:line="192" w:before="0" w:after="0"/>
        <w:ind w:left="720" w:right="720" w:hanging="0"/>
        <w:jc w:val="left"/>
        <w:rPr>
          <w:color w:val="000000"/>
        </w:rPr>
      </w:pPr>
      <w:r>
        <w:rPr>
          <w:color w:val="000000"/>
        </w:rPr>
        <w:t xml:space="preserve">  </w:t>
      </w:r>
    </w:p>
    <w:p>
      <w:pPr>
        <w:pStyle w:val="TextBody"/>
        <w:bidi w:val="0"/>
        <w:spacing w:lineRule="auto" w:line="192" w:before="0" w:after="0"/>
        <w:ind w:left="720" w:right="720" w:hanging="0"/>
        <w:jc w:val="left"/>
        <w:rPr>
          <w:color w:val="000000"/>
        </w:rPr>
      </w:pPr>
      <w:r>
        <w:rPr>
          <w:color w:val="000000"/>
        </w:rPr>
        <w:t xml:space="preserve">  </w:t>
      </w:r>
    </w:p>
    <w:tbl>
      <w:tblPr>
        <w:tblW w:w="8765" w:type="dxa"/>
        <w:jc w:val="left"/>
        <w:tblInd w:w="720" w:type="dxa"/>
        <w:tblLayout w:type="fixed"/>
        <w:tblCellMar>
          <w:top w:w="0" w:type="dxa"/>
          <w:left w:w="0" w:type="dxa"/>
          <w:bottom w:w="0" w:type="dxa"/>
          <w:right w:w="0" w:type="dxa"/>
        </w:tblCellMar>
      </w:tblPr>
      <w:tblGrid>
        <w:gridCol w:w="38"/>
        <w:gridCol w:w="283"/>
        <w:gridCol w:w="23"/>
        <w:gridCol w:w="8421"/>
      </w:tblGrid>
      <w:tr>
        <w:trPr/>
        <w:tc>
          <w:tcPr>
            <w:tcW w:w="38" w:type="dxa"/>
            <w:tcBorders/>
            <w:vAlign w:val="center"/>
          </w:tcPr>
          <w:p>
            <w:pPr>
              <w:pStyle w:val="TableContents"/>
              <w:bidi w:val="0"/>
              <w:spacing w:before="0" w:after="283"/>
              <w:jc w:val="left"/>
              <w:rPr>
                <w:sz w:val="4"/>
                <w:szCs w:val="4"/>
              </w:rPr>
            </w:pPr>
            <w:r>
              <w:rPr>
                <w:sz w:val="4"/>
                <w:szCs w:val="4"/>
              </w:rPr>
            </w:r>
          </w:p>
        </w:tc>
        <w:tc>
          <w:tcPr>
            <w:tcW w:w="283" w:type="dxa"/>
            <w:tcBorders/>
          </w:tcPr>
          <w:p>
            <w:pPr>
              <w:pStyle w:val="TableContents"/>
              <w:bidi w:val="0"/>
              <w:spacing w:lineRule="auto" w:line="192" w:before="0" w:after="0"/>
              <w:ind w:left="0" w:right="0" w:hanging="0"/>
              <w:jc w:val="left"/>
              <w:rPr>
                <w:rFonts w:ascii="Times New Roman" w:hAnsi="Times New Roman"/>
                <w:color w:val="000000"/>
                <w:sz w:val="24"/>
              </w:rPr>
            </w:pPr>
            <w:r>
              <w:rPr>
                <w:rFonts w:ascii="Times New Roman" w:hAnsi="Times New Roman"/>
                <w:color w:val="000000"/>
                <w:sz w:val="24"/>
              </w:rPr>
              <w:t xml:space="preserve">(1) </w:t>
            </w:r>
          </w:p>
        </w:tc>
        <w:tc>
          <w:tcPr>
            <w:tcW w:w="23" w:type="dxa"/>
            <w:tcBorders/>
            <w:vAlign w:val="center"/>
          </w:tcPr>
          <w:p>
            <w:pPr>
              <w:pStyle w:val="TableContents"/>
              <w:bidi w:val="0"/>
              <w:spacing w:before="0" w:after="283"/>
              <w:jc w:val="left"/>
              <w:rPr>
                <w:sz w:val="4"/>
                <w:szCs w:val="4"/>
              </w:rPr>
            </w:pPr>
            <w:r>
              <w:rPr>
                <w:sz w:val="4"/>
                <w:szCs w:val="4"/>
              </w:rPr>
            </w:r>
          </w:p>
        </w:tc>
        <w:tc>
          <w:tcPr>
            <w:tcW w:w="8421" w:type="dxa"/>
            <w:tcBorders/>
          </w:tcPr>
          <w:p>
            <w:pPr>
              <w:pStyle w:val="TableContents"/>
              <w:bidi w:val="0"/>
              <w:spacing w:lineRule="auto" w:line="192" w:before="0" w:after="0"/>
              <w:ind w:left="0" w:right="0" w:hanging="0"/>
              <w:jc w:val="left"/>
              <w:rPr>
                <w:rFonts w:ascii="Times New Roman" w:hAnsi="Times New Roman"/>
                <w:color w:val="000000"/>
                <w:sz w:val="24"/>
              </w:rPr>
            </w:pPr>
            <w:r>
              <w:rPr>
                <w:rFonts w:ascii="Times New Roman" w:hAnsi="Times New Roman"/>
                <w:color w:val="000000"/>
                <w:sz w:val="24"/>
              </w:rPr>
              <w:t>The Report fully complies with the requirements of section 13(a) or 15(d) of the Securities Exchange Act of 1934 (15 U.S.C. Section 78m or Section 78o(d)); and </w:t>
            </w:r>
          </w:p>
        </w:tc>
      </w:tr>
    </w:tbl>
    <w:p>
      <w:pPr>
        <w:pStyle w:val="TextBody"/>
        <w:bidi w:val="0"/>
        <w:spacing w:lineRule="auto" w:line="192" w:before="0" w:after="0"/>
        <w:ind w:left="720" w:right="720" w:hanging="0"/>
        <w:jc w:val="left"/>
        <w:rPr>
          <w:color w:val="000000"/>
        </w:rPr>
      </w:pPr>
      <w:r>
        <w:rPr>
          <w:color w:val="000000"/>
        </w:rPr>
        <w:t xml:space="preserve">  </w:t>
      </w:r>
    </w:p>
    <w:tbl>
      <w:tblPr>
        <w:tblW w:w="8765" w:type="dxa"/>
        <w:jc w:val="left"/>
        <w:tblInd w:w="720" w:type="dxa"/>
        <w:tblLayout w:type="fixed"/>
        <w:tblCellMar>
          <w:top w:w="0" w:type="dxa"/>
          <w:left w:w="0" w:type="dxa"/>
          <w:bottom w:w="0" w:type="dxa"/>
          <w:right w:w="0" w:type="dxa"/>
        </w:tblCellMar>
      </w:tblPr>
      <w:tblGrid>
        <w:gridCol w:w="38"/>
        <w:gridCol w:w="293"/>
        <w:gridCol w:w="23"/>
        <w:gridCol w:w="8411"/>
      </w:tblGrid>
      <w:tr>
        <w:trPr/>
        <w:tc>
          <w:tcPr>
            <w:tcW w:w="38" w:type="dxa"/>
            <w:tcBorders/>
            <w:vAlign w:val="center"/>
          </w:tcPr>
          <w:p>
            <w:pPr>
              <w:pStyle w:val="TableContents"/>
              <w:bidi w:val="0"/>
              <w:spacing w:before="0" w:after="283"/>
              <w:jc w:val="left"/>
              <w:rPr>
                <w:sz w:val="4"/>
                <w:szCs w:val="4"/>
              </w:rPr>
            </w:pPr>
            <w:r>
              <w:rPr>
                <w:sz w:val="4"/>
                <w:szCs w:val="4"/>
              </w:rPr>
            </w:r>
          </w:p>
        </w:tc>
        <w:tc>
          <w:tcPr>
            <w:tcW w:w="293" w:type="dxa"/>
            <w:tcBorders/>
          </w:tcPr>
          <w:p>
            <w:pPr>
              <w:pStyle w:val="TableContents"/>
              <w:bidi w:val="0"/>
              <w:spacing w:lineRule="auto" w:line="192" w:before="0" w:after="0"/>
              <w:ind w:left="0" w:right="0" w:hanging="0"/>
              <w:jc w:val="left"/>
              <w:rPr>
                <w:rFonts w:ascii="Times New Roman" w:hAnsi="Times New Roman"/>
                <w:color w:val="000000"/>
                <w:sz w:val="24"/>
              </w:rPr>
            </w:pPr>
            <w:r>
              <w:rPr>
                <w:rFonts w:ascii="Times New Roman" w:hAnsi="Times New Roman"/>
                <w:color w:val="000000"/>
                <w:sz w:val="24"/>
              </w:rPr>
              <w:t xml:space="preserve">(2) </w:t>
            </w:r>
          </w:p>
        </w:tc>
        <w:tc>
          <w:tcPr>
            <w:tcW w:w="23" w:type="dxa"/>
            <w:tcBorders/>
            <w:vAlign w:val="center"/>
          </w:tcPr>
          <w:p>
            <w:pPr>
              <w:pStyle w:val="TableContents"/>
              <w:bidi w:val="0"/>
              <w:spacing w:before="0" w:after="283"/>
              <w:jc w:val="left"/>
              <w:rPr>
                <w:sz w:val="4"/>
                <w:szCs w:val="4"/>
              </w:rPr>
            </w:pPr>
            <w:r>
              <w:rPr>
                <w:sz w:val="4"/>
                <w:szCs w:val="4"/>
              </w:rPr>
            </w:r>
          </w:p>
        </w:tc>
        <w:tc>
          <w:tcPr>
            <w:tcW w:w="8411" w:type="dxa"/>
            <w:tcBorders/>
          </w:tcPr>
          <w:p>
            <w:pPr>
              <w:pStyle w:val="TableContents"/>
              <w:bidi w:val="0"/>
              <w:spacing w:lineRule="auto" w:line="192" w:before="0" w:after="0"/>
              <w:ind w:left="0" w:right="0" w:hanging="0"/>
              <w:jc w:val="left"/>
              <w:rPr>
                <w:rFonts w:ascii="Times New Roman" w:hAnsi="Times New Roman"/>
                <w:color w:val="000000"/>
                <w:sz w:val="24"/>
              </w:rPr>
            </w:pPr>
            <w:r>
              <w:rPr>
                <w:rFonts w:ascii="Times New Roman" w:hAnsi="Times New Roman"/>
                <w:color w:val="000000"/>
                <w:sz w:val="24"/>
              </w:rPr>
              <w:t>The information contained in the Report fairly presents, in all material respects, the financial condition and results of operations of the Company. </w:t>
            </w:r>
          </w:p>
        </w:tc>
      </w:tr>
    </w:tbl>
    <w:p>
      <w:pPr>
        <w:pStyle w:val="TextBody"/>
        <w:bidi w:val="0"/>
        <w:spacing w:lineRule="auto" w:line="192" w:before="0" w:after="0"/>
        <w:ind w:left="720" w:right="720" w:hanging="0"/>
        <w:jc w:val="left"/>
        <w:rPr>
          <w:color w:val="000000"/>
        </w:rPr>
      </w:pPr>
      <w:r>
        <w:rPr>
          <w:color w:val="000000"/>
        </w:rPr>
        <w:t xml:space="preserve">  </w:t>
      </w:r>
    </w:p>
    <w:p>
      <w:pPr>
        <w:pStyle w:val="TextBody"/>
        <w:bidi w:val="0"/>
        <w:spacing w:lineRule="auto" w:line="192" w:before="0" w:after="0"/>
        <w:ind w:left="720" w:right="720" w:hanging="0"/>
        <w:jc w:val="left"/>
        <w:rPr>
          <w:color w:val="000000"/>
        </w:rPr>
      </w:pPr>
      <w:r>
        <w:rPr>
          <w:color w:val="000000"/>
        </w:rPr>
        <w:t xml:space="preserve">  </w:t>
      </w:r>
    </w:p>
    <w:p>
      <w:pPr>
        <w:pStyle w:val="TextBody"/>
        <w:bidi w:val="0"/>
        <w:spacing w:lineRule="auto" w:line="192" w:before="0" w:after="0"/>
        <w:ind w:left="720" w:right="720" w:hanging="0"/>
        <w:jc w:val="left"/>
        <w:rPr>
          <w:color w:val="000000"/>
        </w:rPr>
      </w:pPr>
      <w:r>
        <w:rPr>
          <w:color w:val="000000"/>
        </w:rPr>
        <w:t xml:space="preserve">  </w:t>
      </w:r>
    </w:p>
    <w:p>
      <w:pPr>
        <w:pStyle w:val="TextBody"/>
        <w:bidi w:val="0"/>
        <w:spacing w:lineRule="auto" w:line="192" w:before="0" w:after="0"/>
        <w:ind w:left="720" w:right="720" w:hanging="0"/>
        <w:jc w:val="left"/>
        <w:rPr>
          <w:color w:val="000000"/>
        </w:rPr>
      </w:pPr>
      <w:r>
        <w:rPr>
          <w:color w:val="000000"/>
        </w:rPr>
        <w:t xml:space="preserve">  </w:t>
      </w:r>
    </w:p>
    <w:tbl>
      <w:tblPr>
        <w:tblW w:w="3770" w:type="dxa"/>
        <w:jc w:val="left"/>
        <w:tblInd w:w="720" w:type="dxa"/>
        <w:tblLayout w:type="fixed"/>
        <w:tblCellMar>
          <w:top w:w="0" w:type="dxa"/>
          <w:left w:w="0" w:type="dxa"/>
          <w:bottom w:w="0" w:type="dxa"/>
          <w:right w:w="0" w:type="dxa"/>
        </w:tblCellMar>
      </w:tblPr>
      <w:tblGrid>
        <w:gridCol w:w="3695"/>
        <w:gridCol w:w="75"/>
      </w:tblGrid>
      <w:tr>
        <w:trPr/>
        <w:tc>
          <w:tcPr>
            <w:tcW w:w="3695" w:type="dxa"/>
            <w:tcBorders/>
          </w:tcPr>
          <w:p>
            <w:pPr>
              <w:pStyle w:val="TableContents"/>
              <w:bidi w:val="0"/>
              <w:spacing w:lineRule="auto" w:line="240" w:before="0" w:after="0"/>
              <w:ind w:left="0" w:right="0" w:hanging="0"/>
              <w:jc w:val="left"/>
              <w:rPr>
                <w:rFonts w:cs="Times New Roman"/>
                <w:color w:val="000000"/>
                <w:szCs w:val="2"/>
              </w:rPr>
            </w:pPr>
            <w:r>
              <w:rPr>
                <w:rFonts w:cs="Times New Roman"/>
                <w:color w:val="000000"/>
                <w:szCs w:val="2"/>
              </w:rPr>
              <w:t>﻿</w:t>
            </w:r>
          </w:p>
        </w:tc>
        <w:tc>
          <w:tcPr>
            <w:tcW w:w="75" w:type="dxa"/>
            <w:tcBorders/>
          </w:tcPr>
          <w:p>
            <w:pPr>
              <w:pStyle w:val="TableContents"/>
              <w:bidi w:val="0"/>
              <w:spacing w:lineRule="auto" w:line="240" w:before="0" w:after="0"/>
              <w:ind w:left="0" w:right="0" w:hanging="0"/>
              <w:jc w:val="left"/>
              <w:rPr>
                <w:color w:val="000000"/>
              </w:rPr>
            </w:pPr>
            <w:r>
              <w:rPr>
                <w:color w:val="000000"/>
              </w:rPr>
              <w:t> </w:t>
            </w:r>
          </w:p>
        </w:tc>
      </w:tr>
      <w:tr>
        <w:trPr/>
        <w:tc>
          <w:tcPr>
            <w:tcW w:w="3695" w:type="dxa"/>
            <w:tcBorders>
              <w:bottom w:val="single" w:sz="8" w:space="0" w:color="000000"/>
            </w:tcBorders>
            <w:tcMar>
              <w:bottom w:w="28" w:type="dxa"/>
            </w:tcMar>
          </w:tcPr>
          <w:p>
            <w:pPr>
              <w:pStyle w:val="TableContents"/>
              <w:bidi w:val="0"/>
              <w:spacing w:lineRule="auto" w:line="192" w:before="0" w:after="0"/>
              <w:ind w:left="0" w:right="0" w:hanging="0"/>
              <w:jc w:val="left"/>
              <w:rPr>
                <w:rFonts w:ascii="Times New Roman" w:hAnsi="Times New Roman"/>
                <w:color w:val="000000"/>
                <w:sz w:val="24"/>
              </w:rPr>
            </w:pPr>
            <w:r>
              <w:rPr>
                <w:rFonts w:ascii="Times New Roman" w:hAnsi="Times New Roman"/>
                <w:color w:val="000000"/>
                <w:sz w:val="24"/>
              </w:rPr>
              <w:t>/s/ Christopher H. Franklin</w:t>
            </w:r>
          </w:p>
        </w:tc>
        <w:tc>
          <w:tcPr>
            <w:tcW w:w="75" w:type="dxa"/>
            <w:tcBorders/>
          </w:tcPr>
          <w:p>
            <w:pPr>
              <w:pStyle w:val="TableContents"/>
              <w:bidi w:val="0"/>
              <w:spacing w:lineRule="auto" w:line="192" w:before="0" w:after="0"/>
              <w:ind w:left="0" w:right="0" w:hanging="0"/>
              <w:jc w:val="left"/>
              <w:rPr>
                <w:color w:val="000000"/>
              </w:rPr>
            </w:pPr>
            <w:r>
              <w:rPr>
                <w:color w:val="000000"/>
              </w:rPr>
              <w:t> </w:t>
            </w:r>
          </w:p>
        </w:tc>
      </w:tr>
      <w:tr>
        <w:trPr/>
        <w:tc>
          <w:tcPr>
            <w:tcW w:w="3695" w:type="dxa"/>
            <w:tcBorders>
              <w:top w:val="single" w:sz="8" w:space="0" w:color="000000"/>
            </w:tcBorders>
            <w:tcMar>
              <w:top w:w="28" w:type="dxa"/>
            </w:tcMar>
          </w:tcPr>
          <w:p>
            <w:pPr>
              <w:pStyle w:val="TableContents"/>
              <w:bidi w:val="0"/>
              <w:spacing w:lineRule="auto" w:line="192" w:before="0" w:after="0"/>
              <w:ind w:left="0" w:right="0" w:hanging="0"/>
              <w:jc w:val="left"/>
              <w:rPr>
                <w:rFonts w:ascii="Times New Roman" w:hAnsi="Times New Roman"/>
                <w:color w:val="000000"/>
                <w:sz w:val="24"/>
              </w:rPr>
            </w:pPr>
            <w:r>
              <w:rPr>
                <w:rFonts w:ascii="Times New Roman" w:hAnsi="Times New Roman"/>
                <w:color w:val="000000"/>
                <w:sz w:val="24"/>
              </w:rPr>
              <w:t>Christopher H. Franklin </w:t>
            </w:r>
          </w:p>
        </w:tc>
        <w:tc>
          <w:tcPr>
            <w:tcW w:w="75" w:type="dxa"/>
            <w:tcBorders/>
          </w:tcPr>
          <w:p>
            <w:pPr>
              <w:pStyle w:val="TableContents"/>
              <w:bidi w:val="0"/>
              <w:spacing w:lineRule="auto" w:line="192" w:before="0" w:after="0"/>
              <w:ind w:left="0" w:right="0" w:hanging="0"/>
              <w:jc w:val="left"/>
              <w:rPr>
                <w:color w:val="000000"/>
              </w:rPr>
            </w:pPr>
            <w:r>
              <w:rPr>
                <w:color w:val="000000"/>
              </w:rPr>
              <w:t> </w:t>
            </w:r>
          </w:p>
        </w:tc>
      </w:tr>
      <w:tr>
        <w:trPr/>
        <w:tc>
          <w:tcPr>
            <w:tcW w:w="3695" w:type="dxa"/>
            <w:tcBorders/>
          </w:tcPr>
          <w:p>
            <w:pPr>
              <w:pStyle w:val="TableContents"/>
              <w:bidi w:val="0"/>
              <w:spacing w:lineRule="auto" w:line="192" w:before="0" w:after="0"/>
              <w:ind w:left="0" w:right="0" w:hanging="0"/>
              <w:jc w:val="left"/>
              <w:rPr>
                <w:rFonts w:ascii="Times New Roman" w:hAnsi="Times New Roman"/>
                <w:color w:val="000000"/>
                <w:sz w:val="24"/>
              </w:rPr>
            </w:pPr>
            <w:r>
              <w:rPr>
                <w:rFonts w:ascii="Times New Roman" w:hAnsi="Times New Roman"/>
                <w:color w:val="000000"/>
                <w:sz w:val="24"/>
              </w:rPr>
              <w:t>President and Chief Executive Officer </w:t>
            </w:r>
          </w:p>
        </w:tc>
        <w:tc>
          <w:tcPr>
            <w:tcW w:w="75" w:type="dxa"/>
            <w:tcBorders/>
          </w:tcPr>
          <w:p>
            <w:pPr>
              <w:pStyle w:val="TableContents"/>
              <w:bidi w:val="0"/>
              <w:spacing w:lineRule="auto" w:line="192" w:before="0" w:after="0"/>
              <w:ind w:left="0" w:right="0" w:hanging="0"/>
              <w:jc w:val="left"/>
              <w:rPr>
                <w:color w:val="000000"/>
              </w:rPr>
            </w:pPr>
            <w:r>
              <w:rPr>
                <w:color w:val="000000"/>
              </w:rPr>
              <w:t> </w:t>
            </w:r>
          </w:p>
        </w:tc>
      </w:tr>
      <w:tr>
        <w:trPr/>
        <w:tc>
          <w:tcPr>
            <w:tcW w:w="3695" w:type="dxa"/>
            <w:tcBorders/>
          </w:tcPr>
          <w:p>
            <w:pPr>
              <w:pStyle w:val="TableContents"/>
              <w:bidi w:val="0"/>
              <w:spacing w:lineRule="auto" w:line="192" w:before="0" w:after="0"/>
              <w:ind w:left="0" w:right="0" w:hanging="0"/>
              <w:jc w:val="left"/>
              <w:rPr>
                <w:rFonts w:ascii="Times New Roman" w:hAnsi="Times New Roman"/>
                <w:color w:val="000000"/>
                <w:sz w:val="24"/>
              </w:rPr>
            </w:pPr>
            <w:r>
              <w:rPr>
                <w:rFonts w:ascii="Times New Roman" w:hAnsi="Times New Roman"/>
                <w:color w:val="000000"/>
                <w:sz w:val="24"/>
              </w:rPr>
              <w:t>August 5,  2026</w:t>
            </w:r>
          </w:p>
        </w:tc>
        <w:tc>
          <w:tcPr>
            <w:tcW w:w="75" w:type="dxa"/>
            <w:tcBorders/>
          </w:tcPr>
          <w:p>
            <w:pPr>
              <w:pStyle w:val="TableContents"/>
              <w:bidi w:val="0"/>
              <w:spacing w:lineRule="auto" w:line="192" w:before="0" w:after="0"/>
              <w:ind w:left="0" w:right="0" w:hanging="0"/>
              <w:jc w:val="left"/>
              <w:rPr>
                <w:color w:val="000000"/>
              </w:rPr>
            </w:pPr>
            <w:r>
              <w:rPr>
                <w:color w:val="000000"/>
              </w:rPr>
              <w:t> </w:t>
            </w:r>
          </w:p>
        </w:tc>
      </w:tr>
    </w:tbl>
    <w:p>
      <w:pPr>
        <w:pStyle w:val="TextBody"/>
        <w:bidi w:val="0"/>
        <w:spacing w:lineRule="auto" w:line="240" w:before="0" w:after="0"/>
        <w:ind w:left="720" w:right="720" w:hanging="0"/>
        <w:jc w:val="left"/>
        <w:rPr>
          <w:rFonts w:cs="Times New Roman"/>
          <w:color w:val="000000"/>
          <w:szCs w:val="24"/>
        </w:rPr>
      </w:pPr>
      <w:r>
        <w:rPr>
          <w:rFonts w:cs="Times New Roman"/>
          <w:color w:val="000000"/>
          <w:szCs w:val="24"/>
        </w:rPr>
        <w:t xml:space="preserve">﻿ </w:t>
      </w:r>
    </w:p>
    <w:p>
      <w:pPr>
        <w:pStyle w:val="HorizontalLine"/>
        <w:pBdr>
          <w:bottom w:val="double" w:sz="6" w:space="0" w:color="808080"/>
        </w:pBdr>
        <w:bidi w:val="0"/>
        <w:ind w:left="720" w:right="720" w:hanging="0"/>
        <w:jc w:val="left"/>
        <w:rPr/>
      </w:pPr>
      <w:r>
        <w:rPr/>
      </w:r>
    </w:p>
    <w:p>
      <w:pPr>
        <w:pStyle w:val="TextBody"/>
        <w:bidi w:val="0"/>
        <w:spacing w:lineRule="auto" w:line="192" w:before="0" w:after="0"/>
        <w:ind w:left="720" w:right="720" w:hanging="0"/>
        <w:jc w:val="right"/>
        <w:rPr>
          <w:rFonts w:ascii="Times New Roman" w:hAnsi="Times New Roman"/>
          <w:color w:val="000000"/>
          <w:sz w:val="24"/>
        </w:rPr>
      </w:pPr>
      <w:bookmarkStart w:id="53" w:name="wtrg-20260630xex32_2.htm"/>
      <w:bookmarkStart w:id="54" w:name="kswtrg20260630xex32_2"/>
      <w:bookmarkEnd w:id="53"/>
      <w:bookmarkEnd w:id="54"/>
      <w:r>
        <w:rPr>
          <w:rFonts w:ascii="Times New Roman" w:hAnsi="Times New Roman"/>
          <w:color w:val="000000"/>
          <w:sz w:val="24"/>
        </w:rPr>
        <w:t xml:space="preserve">Exhibit 32.2  </w:t>
      </w:r>
      <w:r>
        <w:br w:type="page"/>
      </w:r>
    </w:p>
    <w:p>
      <w:pPr>
        <w:pStyle w:val="TextBody"/>
        <w:bidi w:val="0"/>
        <w:spacing w:lineRule="auto" w:line="192" w:before="0" w:after="0"/>
        <w:ind w:left="720" w:right="720" w:hanging="0"/>
        <w:jc w:val="left"/>
        <w:rPr>
          <w:color w:val="000000"/>
        </w:rPr>
      </w:pPr>
      <w:r>
        <w:rPr>
          <w:color w:val="000000"/>
        </w:rPr>
        <w:t xml:space="preserve">  </w:t>
      </w:r>
    </w:p>
    <w:p>
      <w:pPr>
        <w:pStyle w:val="TextBody"/>
        <w:bidi w:val="0"/>
        <w:spacing w:lineRule="auto" w:line="192" w:before="0" w:after="0"/>
        <w:ind w:left="720" w:right="720" w:hanging="0"/>
        <w:jc w:val="left"/>
        <w:rPr>
          <w:color w:val="000000"/>
        </w:rPr>
      </w:pPr>
      <w:r>
        <w:rPr>
          <w:color w:val="000000"/>
        </w:rPr>
        <w:t xml:space="preserve">  </w:t>
      </w:r>
    </w:p>
    <w:p>
      <w:pPr>
        <w:pStyle w:val="TextBody"/>
        <w:bidi w:val="0"/>
        <w:spacing w:lineRule="auto" w:line="192" w:before="0" w:after="0"/>
        <w:ind w:left="720" w:right="720" w:hanging="0"/>
        <w:jc w:val="left"/>
        <w:rPr>
          <w:color w:val="000000"/>
        </w:rPr>
      </w:pPr>
      <w:r>
        <w:rPr>
          <w:color w:val="000000"/>
        </w:rPr>
        <w:t xml:space="preserve">  </w:t>
      </w:r>
    </w:p>
    <w:p>
      <w:pPr>
        <w:pStyle w:val="TextBody"/>
        <w:bidi w:val="0"/>
        <w:spacing w:lineRule="auto" w:line="192" w:before="0" w:after="0"/>
        <w:ind w:left="720" w:right="720" w:hanging="0"/>
        <w:jc w:val="center"/>
        <w:rPr>
          <w:rFonts w:ascii="Times New Roman" w:hAnsi="Times New Roman"/>
          <w:color w:val="000000"/>
          <w:sz w:val="24"/>
        </w:rPr>
      </w:pPr>
      <w:r>
        <w:rPr>
          <w:rFonts w:ascii="Times New Roman" w:hAnsi="Times New Roman"/>
          <w:color w:val="000000"/>
          <w:sz w:val="24"/>
        </w:rPr>
        <w:t xml:space="preserve">CERTIFICATION OF CHIEF FINANCIAL OFFICER PURSUANT TO  </w:t>
      </w:r>
    </w:p>
    <w:p>
      <w:pPr>
        <w:pStyle w:val="TextBody"/>
        <w:bidi w:val="0"/>
        <w:spacing w:lineRule="auto" w:line="192" w:before="0" w:after="0"/>
        <w:ind w:left="720" w:right="720" w:hanging="0"/>
        <w:jc w:val="center"/>
        <w:rPr>
          <w:rFonts w:ascii="Times New Roman" w:hAnsi="Times New Roman"/>
          <w:color w:val="000000"/>
          <w:sz w:val="24"/>
        </w:rPr>
      </w:pPr>
      <w:r>
        <w:rPr>
          <w:rFonts w:ascii="Times New Roman" w:hAnsi="Times New Roman"/>
          <w:color w:val="000000"/>
          <w:sz w:val="24"/>
        </w:rPr>
        <w:t xml:space="preserve">18 U.S.C. SECTION 1350  </w:t>
      </w:r>
    </w:p>
    <w:p>
      <w:pPr>
        <w:pStyle w:val="TextBody"/>
        <w:bidi w:val="0"/>
        <w:spacing w:lineRule="auto" w:line="192" w:before="0" w:after="0"/>
        <w:ind w:left="720" w:right="720" w:hanging="0"/>
        <w:jc w:val="left"/>
        <w:rPr>
          <w:color w:val="000000"/>
        </w:rPr>
      </w:pPr>
      <w:r>
        <w:rPr>
          <w:color w:val="000000"/>
        </w:rPr>
        <w:t xml:space="preserve">  </w:t>
      </w:r>
    </w:p>
    <w:p>
      <w:pPr>
        <w:pStyle w:val="TextBody"/>
        <w:bidi w:val="0"/>
        <w:spacing w:lineRule="auto" w:line="192" w:before="0" w:after="0"/>
        <w:ind w:left="720" w:right="720" w:hanging="0"/>
        <w:jc w:val="left"/>
        <w:rPr>
          <w:color w:val="000000"/>
        </w:rPr>
      </w:pPr>
      <w:r>
        <w:rPr>
          <w:color w:val="000000"/>
        </w:rPr>
        <w:t xml:space="preserve">  </w:t>
      </w:r>
    </w:p>
    <w:p>
      <w:pPr>
        <w:pStyle w:val="TextBody"/>
        <w:bidi w:val="0"/>
        <w:spacing w:lineRule="auto" w:line="192" w:before="0" w:after="0"/>
        <w:ind w:left="720" w:right="720" w:hanging="0"/>
        <w:jc w:val="left"/>
        <w:rPr>
          <w:color w:val="000000"/>
        </w:rPr>
      </w:pPr>
      <w:r>
        <w:rPr>
          <w:color w:val="000000"/>
        </w:rPr>
        <w:t xml:space="preserve">  </w:t>
      </w:r>
    </w:p>
    <w:p>
      <w:pPr>
        <w:pStyle w:val="TextBody"/>
        <w:bidi w:val="0"/>
        <w:spacing w:lineRule="auto" w:line="192" w:before="0" w:after="0"/>
        <w:ind w:left="720" w:right="720" w:hanging="0"/>
        <w:jc w:val="left"/>
        <w:rPr>
          <w:color w:val="000000"/>
        </w:rPr>
      </w:pPr>
      <w:r>
        <w:rPr>
          <w:color w:val="000000"/>
        </w:rPr>
        <w:t xml:space="preserve">  </w:t>
      </w:r>
    </w:p>
    <w:p>
      <w:pPr>
        <w:pStyle w:val="TextBody"/>
        <w:bidi w:val="0"/>
        <w:spacing w:lineRule="auto" w:line="192" w:before="0" w:after="0"/>
        <w:ind w:left="720" w:right="720" w:hanging="0"/>
        <w:jc w:val="left"/>
        <w:rPr>
          <w:rFonts w:ascii="Times New Roman" w:hAnsi="Times New Roman"/>
          <w:color w:val="000000"/>
          <w:sz w:val="24"/>
        </w:rPr>
      </w:pPr>
      <w:r>
        <w:rPr>
          <w:rFonts w:ascii="Times New Roman" w:hAnsi="Times New Roman"/>
          <w:color w:val="000000"/>
          <w:sz w:val="24"/>
        </w:rPr>
        <w:t xml:space="preserve">In connection with the Quarterly Report on Form 10-Q for the period ended June 30,  2026 of Essential Utilities, Inc. (the “Company”) as filed with the Securities and Exchange Commission on the date hereof (the “Report”), I, Daniel J. Schuller, Chief Financial Officer of the Company, certify, pursuant to 18 U.S.C. Section 1350, as adopted pursuant to Section 906 of the Sarbanes-Oxley Act of 2002, that, to my knowledge:  </w:t>
      </w:r>
    </w:p>
    <w:p>
      <w:pPr>
        <w:pStyle w:val="TextBody"/>
        <w:bidi w:val="0"/>
        <w:spacing w:lineRule="auto" w:line="192" w:before="0" w:after="0"/>
        <w:ind w:left="720" w:right="720" w:hanging="0"/>
        <w:jc w:val="left"/>
        <w:rPr>
          <w:color w:val="000000"/>
        </w:rPr>
      </w:pPr>
      <w:r>
        <w:rPr>
          <w:color w:val="000000"/>
        </w:rPr>
        <w:t xml:space="preserve">  </w:t>
      </w:r>
    </w:p>
    <w:p>
      <w:pPr>
        <w:pStyle w:val="TextBody"/>
        <w:bidi w:val="0"/>
        <w:spacing w:lineRule="auto" w:line="192" w:before="0" w:after="0"/>
        <w:ind w:left="720" w:right="720" w:hanging="0"/>
        <w:jc w:val="left"/>
        <w:rPr>
          <w:color w:val="000000"/>
        </w:rPr>
      </w:pPr>
      <w:r>
        <w:rPr>
          <w:color w:val="000000"/>
        </w:rPr>
        <w:t xml:space="preserve">  </w:t>
      </w:r>
    </w:p>
    <w:tbl>
      <w:tblPr>
        <w:tblW w:w="8765" w:type="dxa"/>
        <w:jc w:val="left"/>
        <w:tblInd w:w="720" w:type="dxa"/>
        <w:tblLayout w:type="fixed"/>
        <w:tblCellMar>
          <w:top w:w="0" w:type="dxa"/>
          <w:left w:w="0" w:type="dxa"/>
          <w:bottom w:w="0" w:type="dxa"/>
          <w:right w:w="0" w:type="dxa"/>
        </w:tblCellMar>
      </w:tblPr>
      <w:tblGrid>
        <w:gridCol w:w="38"/>
        <w:gridCol w:w="283"/>
        <w:gridCol w:w="23"/>
        <w:gridCol w:w="8421"/>
      </w:tblGrid>
      <w:tr>
        <w:trPr/>
        <w:tc>
          <w:tcPr>
            <w:tcW w:w="38" w:type="dxa"/>
            <w:tcBorders/>
            <w:vAlign w:val="center"/>
          </w:tcPr>
          <w:p>
            <w:pPr>
              <w:pStyle w:val="TableContents"/>
              <w:bidi w:val="0"/>
              <w:spacing w:before="0" w:after="283"/>
              <w:jc w:val="left"/>
              <w:rPr>
                <w:sz w:val="4"/>
                <w:szCs w:val="4"/>
              </w:rPr>
            </w:pPr>
            <w:r>
              <w:rPr>
                <w:sz w:val="4"/>
                <w:szCs w:val="4"/>
              </w:rPr>
            </w:r>
          </w:p>
        </w:tc>
        <w:tc>
          <w:tcPr>
            <w:tcW w:w="283" w:type="dxa"/>
            <w:tcBorders/>
          </w:tcPr>
          <w:p>
            <w:pPr>
              <w:pStyle w:val="TableContents"/>
              <w:bidi w:val="0"/>
              <w:spacing w:lineRule="auto" w:line="192" w:before="0" w:after="0"/>
              <w:ind w:left="0" w:right="0" w:hanging="0"/>
              <w:jc w:val="left"/>
              <w:rPr>
                <w:rFonts w:ascii="Times New Roman" w:hAnsi="Times New Roman"/>
                <w:color w:val="000000"/>
                <w:sz w:val="24"/>
              </w:rPr>
            </w:pPr>
            <w:r>
              <w:rPr>
                <w:rFonts w:ascii="Times New Roman" w:hAnsi="Times New Roman"/>
                <w:color w:val="000000"/>
                <w:sz w:val="24"/>
              </w:rPr>
              <w:t xml:space="preserve">(1) </w:t>
            </w:r>
          </w:p>
        </w:tc>
        <w:tc>
          <w:tcPr>
            <w:tcW w:w="23" w:type="dxa"/>
            <w:tcBorders/>
            <w:vAlign w:val="center"/>
          </w:tcPr>
          <w:p>
            <w:pPr>
              <w:pStyle w:val="TableContents"/>
              <w:bidi w:val="0"/>
              <w:spacing w:before="0" w:after="283"/>
              <w:jc w:val="left"/>
              <w:rPr>
                <w:sz w:val="4"/>
                <w:szCs w:val="4"/>
              </w:rPr>
            </w:pPr>
            <w:r>
              <w:rPr>
                <w:sz w:val="4"/>
                <w:szCs w:val="4"/>
              </w:rPr>
            </w:r>
          </w:p>
        </w:tc>
        <w:tc>
          <w:tcPr>
            <w:tcW w:w="8421" w:type="dxa"/>
            <w:tcBorders/>
          </w:tcPr>
          <w:p>
            <w:pPr>
              <w:pStyle w:val="TableContents"/>
              <w:bidi w:val="0"/>
              <w:spacing w:lineRule="auto" w:line="192" w:before="0" w:after="0"/>
              <w:ind w:left="0" w:right="0" w:hanging="0"/>
              <w:jc w:val="left"/>
              <w:rPr>
                <w:rFonts w:ascii="Times New Roman" w:hAnsi="Times New Roman"/>
                <w:color w:val="000000"/>
                <w:sz w:val="24"/>
              </w:rPr>
            </w:pPr>
            <w:r>
              <w:rPr>
                <w:rFonts w:ascii="Times New Roman" w:hAnsi="Times New Roman"/>
                <w:color w:val="000000"/>
                <w:sz w:val="24"/>
              </w:rPr>
              <w:t>The Report fully complies with the requirements of section 13(a) or 15(d) of the Securities Exchange Act of 1934 (15 U.S.C. Section 78m or Section 78o(d)); and </w:t>
            </w:r>
          </w:p>
        </w:tc>
      </w:tr>
    </w:tbl>
    <w:p>
      <w:pPr>
        <w:pStyle w:val="TextBody"/>
        <w:bidi w:val="0"/>
        <w:spacing w:lineRule="auto" w:line="192" w:before="0" w:after="0"/>
        <w:ind w:left="720" w:right="720" w:hanging="0"/>
        <w:jc w:val="left"/>
        <w:rPr>
          <w:color w:val="000000"/>
        </w:rPr>
      </w:pPr>
      <w:r>
        <w:rPr>
          <w:color w:val="000000"/>
        </w:rPr>
        <w:t xml:space="preserve">  </w:t>
      </w:r>
    </w:p>
    <w:tbl>
      <w:tblPr>
        <w:tblW w:w="8765" w:type="dxa"/>
        <w:jc w:val="left"/>
        <w:tblInd w:w="720" w:type="dxa"/>
        <w:tblLayout w:type="fixed"/>
        <w:tblCellMar>
          <w:top w:w="0" w:type="dxa"/>
          <w:left w:w="0" w:type="dxa"/>
          <w:bottom w:w="0" w:type="dxa"/>
          <w:right w:w="0" w:type="dxa"/>
        </w:tblCellMar>
      </w:tblPr>
      <w:tblGrid>
        <w:gridCol w:w="38"/>
        <w:gridCol w:w="293"/>
        <w:gridCol w:w="23"/>
        <w:gridCol w:w="8411"/>
      </w:tblGrid>
      <w:tr>
        <w:trPr/>
        <w:tc>
          <w:tcPr>
            <w:tcW w:w="38" w:type="dxa"/>
            <w:tcBorders/>
            <w:vAlign w:val="center"/>
          </w:tcPr>
          <w:p>
            <w:pPr>
              <w:pStyle w:val="TableContents"/>
              <w:bidi w:val="0"/>
              <w:spacing w:before="0" w:after="283"/>
              <w:jc w:val="left"/>
              <w:rPr>
                <w:sz w:val="4"/>
                <w:szCs w:val="4"/>
              </w:rPr>
            </w:pPr>
            <w:r>
              <w:rPr>
                <w:sz w:val="4"/>
                <w:szCs w:val="4"/>
              </w:rPr>
            </w:r>
          </w:p>
        </w:tc>
        <w:tc>
          <w:tcPr>
            <w:tcW w:w="293" w:type="dxa"/>
            <w:tcBorders/>
          </w:tcPr>
          <w:p>
            <w:pPr>
              <w:pStyle w:val="TableContents"/>
              <w:bidi w:val="0"/>
              <w:spacing w:lineRule="auto" w:line="192" w:before="0" w:after="0"/>
              <w:ind w:left="0" w:right="0" w:hanging="0"/>
              <w:jc w:val="left"/>
              <w:rPr>
                <w:rFonts w:ascii="Times New Roman" w:hAnsi="Times New Roman"/>
                <w:color w:val="000000"/>
                <w:sz w:val="24"/>
              </w:rPr>
            </w:pPr>
            <w:r>
              <w:rPr>
                <w:rFonts w:ascii="Times New Roman" w:hAnsi="Times New Roman"/>
                <w:color w:val="000000"/>
                <w:sz w:val="24"/>
              </w:rPr>
              <w:t xml:space="preserve">(2) </w:t>
            </w:r>
          </w:p>
        </w:tc>
        <w:tc>
          <w:tcPr>
            <w:tcW w:w="23" w:type="dxa"/>
            <w:tcBorders/>
            <w:vAlign w:val="center"/>
          </w:tcPr>
          <w:p>
            <w:pPr>
              <w:pStyle w:val="TableContents"/>
              <w:bidi w:val="0"/>
              <w:spacing w:before="0" w:after="283"/>
              <w:jc w:val="left"/>
              <w:rPr>
                <w:sz w:val="4"/>
                <w:szCs w:val="4"/>
              </w:rPr>
            </w:pPr>
            <w:r>
              <w:rPr>
                <w:sz w:val="4"/>
                <w:szCs w:val="4"/>
              </w:rPr>
            </w:r>
          </w:p>
        </w:tc>
        <w:tc>
          <w:tcPr>
            <w:tcW w:w="8411" w:type="dxa"/>
            <w:tcBorders/>
          </w:tcPr>
          <w:p>
            <w:pPr>
              <w:pStyle w:val="TableContents"/>
              <w:bidi w:val="0"/>
              <w:spacing w:lineRule="auto" w:line="192" w:before="0" w:after="0"/>
              <w:ind w:left="0" w:right="0" w:hanging="0"/>
              <w:jc w:val="left"/>
              <w:rPr>
                <w:rFonts w:ascii="Times New Roman" w:hAnsi="Times New Roman"/>
                <w:color w:val="000000"/>
                <w:sz w:val="24"/>
              </w:rPr>
            </w:pPr>
            <w:r>
              <w:rPr>
                <w:rFonts w:ascii="Times New Roman" w:hAnsi="Times New Roman"/>
                <w:color w:val="000000"/>
                <w:sz w:val="24"/>
              </w:rPr>
              <w:t>The information contained in the Report fairly presents, in all material respects, the financial condition and results of operations of the Company. </w:t>
            </w:r>
          </w:p>
        </w:tc>
      </w:tr>
    </w:tbl>
    <w:p>
      <w:pPr>
        <w:pStyle w:val="TextBody"/>
        <w:bidi w:val="0"/>
        <w:spacing w:lineRule="auto" w:line="192" w:before="0" w:after="0"/>
        <w:ind w:left="720" w:right="720" w:hanging="0"/>
        <w:jc w:val="left"/>
        <w:rPr>
          <w:color w:val="000000"/>
        </w:rPr>
      </w:pPr>
      <w:r>
        <w:rPr>
          <w:color w:val="000000"/>
        </w:rPr>
        <w:t xml:space="preserve">  </w:t>
      </w:r>
    </w:p>
    <w:p>
      <w:pPr>
        <w:pStyle w:val="TextBody"/>
        <w:bidi w:val="0"/>
        <w:spacing w:lineRule="auto" w:line="192" w:before="0" w:after="0"/>
        <w:ind w:left="720" w:right="720" w:hanging="0"/>
        <w:jc w:val="left"/>
        <w:rPr>
          <w:color w:val="000000"/>
        </w:rPr>
      </w:pPr>
      <w:r>
        <w:rPr>
          <w:color w:val="000000"/>
        </w:rPr>
        <w:t xml:space="preserve">  </w:t>
      </w:r>
    </w:p>
    <w:p>
      <w:pPr>
        <w:pStyle w:val="TextBody"/>
        <w:bidi w:val="0"/>
        <w:spacing w:lineRule="auto" w:line="192" w:before="0" w:after="0"/>
        <w:ind w:left="720" w:right="720" w:hanging="0"/>
        <w:jc w:val="left"/>
        <w:rPr>
          <w:color w:val="000000"/>
        </w:rPr>
      </w:pPr>
      <w:r>
        <w:rPr>
          <w:color w:val="000000"/>
        </w:rPr>
        <w:t xml:space="preserve">  </w:t>
      </w:r>
    </w:p>
    <w:p>
      <w:pPr>
        <w:pStyle w:val="TextBody"/>
        <w:bidi w:val="0"/>
        <w:spacing w:lineRule="auto" w:line="192" w:before="0" w:after="0"/>
        <w:ind w:left="720" w:right="720" w:hanging="0"/>
        <w:jc w:val="left"/>
        <w:rPr>
          <w:color w:val="000000"/>
        </w:rPr>
      </w:pPr>
      <w:r>
        <w:rPr>
          <w:color w:val="000000"/>
        </w:rPr>
        <w:t xml:space="preserve">  </w:t>
      </w:r>
    </w:p>
    <w:tbl>
      <w:tblPr>
        <w:tblW w:w="5210" w:type="dxa"/>
        <w:jc w:val="left"/>
        <w:tblInd w:w="720" w:type="dxa"/>
        <w:tblLayout w:type="fixed"/>
        <w:tblCellMar>
          <w:top w:w="0" w:type="dxa"/>
          <w:left w:w="0" w:type="dxa"/>
          <w:bottom w:w="0" w:type="dxa"/>
          <w:right w:w="0" w:type="dxa"/>
        </w:tblCellMar>
      </w:tblPr>
      <w:tblGrid>
        <w:gridCol w:w="5135"/>
        <w:gridCol w:w="75"/>
      </w:tblGrid>
      <w:tr>
        <w:trPr/>
        <w:tc>
          <w:tcPr>
            <w:tcW w:w="5135" w:type="dxa"/>
            <w:tcBorders/>
          </w:tcPr>
          <w:p>
            <w:pPr>
              <w:pStyle w:val="TableContents"/>
              <w:bidi w:val="0"/>
              <w:spacing w:lineRule="auto" w:line="240" w:before="0" w:after="0"/>
              <w:ind w:left="0" w:right="0" w:hanging="0"/>
              <w:jc w:val="left"/>
              <w:rPr>
                <w:rFonts w:cs="Times New Roman"/>
                <w:color w:val="000000"/>
                <w:szCs w:val="2"/>
              </w:rPr>
            </w:pPr>
            <w:r>
              <w:rPr>
                <w:rFonts w:cs="Times New Roman"/>
                <w:color w:val="000000"/>
                <w:szCs w:val="2"/>
              </w:rPr>
              <w:t>﻿</w:t>
            </w:r>
          </w:p>
        </w:tc>
        <w:tc>
          <w:tcPr>
            <w:tcW w:w="75" w:type="dxa"/>
            <w:tcBorders/>
          </w:tcPr>
          <w:p>
            <w:pPr>
              <w:pStyle w:val="TableContents"/>
              <w:bidi w:val="0"/>
              <w:spacing w:lineRule="auto" w:line="240" w:before="0" w:after="0"/>
              <w:ind w:left="0" w:right="0" w:hanging="0"/>
              <w:jc w:val="left"/>
              <w:rPr>
                <w:color w:val="000000"/>
              </w:rPr>
            </w:pPr>
            <w:r>
              <w:rPr>
                <w:color w:val="000000"/>
              </w:rPr>
              <w:t> </w:t>
            </w:r>
          </w:p>
        </w:tc>
      </w:tr>
      <w:tr>
        <w:trPr/>
        <w:tc>
          <w:tcPr>
            <w:tcW w:w="5135" w:type="dxa"/>
            <w:tcBorders>
              <w:bottom w:val="single" w:sz="8" w:space="0" w:color="000000"/>
            </w:tcBorders>
            <w:tcMar>
              <w:bottom w:w="28" w:type="dxa"/>
            </w:tcMar>
          </w:tcPr>
          <w:p>
            <w:pPr>
              <w:pStyle w:val="TableContents"/>
              <w:bidi w:val="0"/>
              <w:spacing w:lineRule="auto" w:line="192" w:before="0" w:after="0"/>
              <w:ind w:left="0" w:right="0" w:hanging="0"/>
              <w:jc w:val="left"/>
              <w:rPr>
                <w:rFonts w:ascii="Times New Roman" w:hAnsi="Times New Roman"/>
                <w:color w:val="000000"/>
                <w:sz w:val="24"/>
              </w:rPr>
            </w:pPr>
            <w:r>
              <w:rPr>
                <w:rFonts w:ascii="Times New Roman" w:hAnsi="Times New Roman"/>
                <w:color w:val="000000"/>
                <w:sz w:val="24"/>
              </w:rPr>
              <w:t>/s/ Daniel J. Schuller</w:t>
            </w:r>
          </w:p>
        </w:tc>
        <w:tc>
          <w:tcPr>
            <w:tcW w:w="75" w:type="dxa"/>
            <w:tcBorders/>
          </w:tcPr>
          <w:p>
            <w:pPr>
              <w:pStyle w:val="TableContents"/>
              <w:bidi w:val="0"/>
              <w:spacing w:lineRule="auto" w:line="192" w:before="0" w:after="0"/>
              <w:ind w:left="0" w:right="0" w:hanging="0"/>
              <w:jc w:val="left"/>
              <w:rPr>
                <w:color w:val="000000"/>
              </w:rPr>
            </w:pPr>
            <w:r>
              <w:rPr>
                <w:color w:val="000000"/>
              </w:rPr>
              <w:t> </w:t>
            </w:r>
          </w:p>
        </w:tc>
      </w:tr>
      <w:tr>
        <w:trPr/>
        <w:tc>
          <w:tcPr>
            <w:tcW w:w="5135" w:type="dxa"/>
            <w:tcBorders>
              <w:top w:val="single" w:sz="8" w:space="0" w:color="000000"/>
            </w:tcBorders>
            <w:tcMar>
              <w:top w:w="28" w:type="dxa"/>
            </w:tcMar>
          </w:tcPr>
          <w:p>
            <w:pPr>
              <w:pStyle w:val="TableContents"/>
              <w:bidi w:val="0"/>
              <w:spacing w:lineRule="auto" w:line="192" w:before="0" w:after="0"/>
              <w:ind w:left="0" w:right="0" w:hanging="0"/>
              <w:jc w:val="left"/>
              <w:rPr>
                <w:rFonts w:ascii="Times New Roman" w:hAnsi="Times New Roman"/>
                <w:color w:val="000000"/>
                <w:sz w:val="24"/>
              </w:rPr>
            </w:pPr>
            <w:r>
              <w:rPr>
                <w:rFonts w:ascii="Times New Roman" w:hAnsi="Times New Roman"/>
                <w:color w:val="000000"/>
                <w:sz w:val="24"/>
              </w:rPr>
              <w:t>Daniel J. Schuller</w:t>
            </w:r>
          </w:p>
        </w:tc>
        <w:tc>
          <w:tcPr>
            <w:tcW w:w="75" w:type="dxa"/>
            <w:tcBorders/>
          </w:tcPr>
          <w:p>
            <w:pPr>
              <w:pStyle w:val="TableContents"/>
              <w:bidi w:val="0"/>
              <w:spacing w:lineRule="auto" w:line="192" w:before="0" w:after="0"/>
              <w:ind w:left="0" w:right="0" w:hanging="0"/>
              <w:jc w:val="left"/>
              <w:rPr>
                <w:color w:val="000000"/>
              </w:rPr>
            </w:pPr>
            <w:r>
              <w:rPr>
                <w:color w:val="000000"/>
              </w:rPr>
              <w:t> </w:t>
            </w:r>
          </w:p>
        </w:tc>
      </w:tr>
      <w:tr>
        <w:trPr/>
        <w:tc>
          <w:tcPr>
            <w:tcW w:w="5135" w:type="dxa"/>
            <w:tcBorders/>
          </w:tcPr>
          <w:p>
            <w:pPr>
              <w:pStyle w:val="TableContents"/>
              <w:bidi w:val="0"/>
              <w:spacing w:lineRule="auto" w:line="240" w:before="0" w:after="0"/>
              <w:ind w:left="0" w:right="0" w:hanging="0"/>
              <w:jc w:val="left"/>
              <w:rPr>
                <w:rFonts w:ascii="Times New Roman" w:hAnsi="Times New Roman"/>
                <w:color w:val="000000"/>
                <w:sz w:val="24"/>
              </w:rPr>
            </w:pPr>
            <w:r>
              <w:rPr>
                <w:rFonts w:ascii="Times New Roman" w:hAnsi="Times New Roman"/>
                <w:color w:val="000000"/>
                <w:sz w:val="24"/>
              </w:rPr>
              <w:t>Executive Vice President and Chief Financial Officer </w:t>
            </w:r>
          </w:p>
        </w:tc>
        <w:tc>
          <w:tcPr>
            <w:tcW w:w="75" w:type="dxa"/>
            <w:tcBorders/>
          </w:tcPr>
          <w:p>
            <w:pPr>
              <w:pStyle w:val="TableContents"/>
              <w:bidi w:val="0"/>
              <w:spacing w:lineRule="auto" w:line="240" w:before="0" w:after="0"/>
              <w:ind w:left="0" w:right="0" w:hanging="0"/>
              <w:jc w:val="left"/>
              <w:rPr>
                <w:color w:val="000000"/>
              </w:rPr>
            </w:pPr>
            <w:r>
              <w:rPr>
                <w:color w:val="000000"/>
              </w:rPr>
              <w:t> </w:t>
            </w:r>
          </w:p>
        </w:tc>
      </w:tr>
      <w:tr>
        <w:trPr/>
        <w:tc>
          <w:tcPr>
            <w:tcW w:w="5135" w:type="dxa"/>
            <w:tcBorders/>
          </w:tcPr>
          <w:p>
            <w:pPr>
              <w:pStyle w:val="TableContents"/>
              <w:bidi w:val="0"/>
              <w:spacing w:lineRule="auto" w:line="240" w:before="0" w:after="0"/>
              <w:ind w:left="0" w:right="0" w:hanging="0"/>
              <w:jc w:val="left"/>
              <w:rPr>
                <w:rFonts w:ascii="Times New Roman" w:hAnsi="Times New Roman"/>
                <w:color w:val="000000"/>
                <w:sz w:val="24"/>
              </w:rPr>
            </w:pPr>
            <w:r>
              <w:rPr>
                <w:rFonts w:ascii="Times New Roman" w:hAnsi="Times New Roman"/>
                <w:color w:val="000000"/>
                <w:sz w:val="24"/>
              </w:rPr>
              <w:t>August 5,  2026</w:t>
            </w:r>
          </w:p>
        </w:tc>
        <w:tc>
          <w:tcPr>
            <w:tcW w:w="75" w:type="dxa"/>
            <w:tcBorders/>
          </w:tcPr>
          <w:p>
            <w:pPr>
              <w:pStyle w:val="TableContents"/>
              <w:bidi w:val="0"/>
              <w:spacing w:lineRule="auto" w:line="240" w:before="0" w:after="0"/>
              <w:ind w:left="0" w:right="0" w:hanging="0"/>
              <w:jc w:val="left"/>
              <w:rPr>
                <w:color w:val="000000"/>
              </w:rPr>
            </w:pPr>
            <w:r>
              <w:rPr>
                <w:color w:val="000000"/>
              </w:rPr>
              <w:t> </w:t>
            </w:r>
          </w:p>
        </w:tc>
      </w:tr>
    </w:tbl>
    <w:p>
      <w:pPr>
        <w:pStyle w:val="TextBody"/>
        <w:bidi w:val="0"/>
        <w:spacing w:lineRule="auto" w:line="240" w:before="0" w:after="0"/>
        <w:ind w:left="720" w:right="720" w:hanging="0"/>
        <w:jc w:val="left"/>
        <w:rPr>
          <w:rFonts w:cs="Times New Roman"/>
          <w:color w:val="000000"/>
          <w:szCs w:val="24"/>
        </w:rPr>
      </w:pPr>
      <w:r>
        <w:rPr>
          <w:rFonts w:cs="Times New Roman"/>
          <w:color w:val="000000"/>
          <w:szCs w:val="24"/>
        </w:rPr>
        <w:t xml:space="preserve">﻿ </w:t>
      </w:r>
    </w:p>
    <w:p>
      <w:pPr>
        <w:pStyle w:val="HorizontalLine"/>
        <w:pBdr>
          <w:bottom w:val="double" w:sz="6" w:space="0" w:color="808080"/>
        </w:pBdr>
        <w:bidi w:val="0"/>
        <w:spacing w:before="0" w:after="283"/>
        <w:ind w:left="720" w:right="72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2">
    <w:charset w:val="02"/>
    <w:family w:val="auto"/>
    <w:pitch w:val="default"/>
  </w:font>
  <w:font w:name="CG Omega W1">
    <w:charset w:val="01"/>
    <w:family w:val="auto"/>
    <w:pitch w:val="default"/>
  </w:font>
  <w:font w:name="Garamond">
    <w:altName w:val="serif"/>
    <w:charset w:val="01"/>
    <w:family w:val="auto"/>
    <w:pitch w:val="default"/>
  </w:font>
  <w:font w:name="Symbol">
    <w:charset w:val="02"/>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42</Pages>
  <Words>28471</Words>
  <Characters>156008</Characters>
  <CharactersWithSpaces>182358</CharactersWithSpaces>
  <Paragraphs>3953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