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9"/>
        <w:spacing w:after="0" w:line="23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7" w:lineRule="exact"/>
        <w:rPr>
          <w:sz w:val="24"/>
          <w:szCs w:val="24"/>
          <w:color w:val="auto"/>
        </w:rPr>
      </w:pPr>
    </w:p>
    <w:p>
      <w:pPr>
        <w:ind w:left="347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1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12" w:lineRule="exact"/>
        <w:rPr>
          <w:sz w:val="24"/>
          <w:szCs w:val="24"/>
          <w:color w:val="auto"/>
        </w:rPr>
      </w:pPr>
    </w:p>
    <w:p>
      <w:pPr>
        <w:ind w:left="347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379" w:lineRule="exact"/>
        <w:rPr>
          <w:sz w:val="24"/>
          <w:szCs w:val="24"/>
          <w:color w:val="auto"/>
        </w:rPr>
      </w:pPr>
    </w:p>
    <w:p>
      <w:pPr>
        <w:ind w:left="3070" w:right="140" w:hanging="2938"/>
        <w:spacing w:after="0" w:line="452" w:lineRule="auto"/>
        <w:tabs>
          <w:tab w:leader="none" w:pos="452"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ANNUAL REPORT PURSUANT TO SECTION 15 (d) OF THE SECURITIES EXCHANGE ACT OF 1934 </w:t>
      </w:r>
      <w:r>
        <w:rPr>
          <w:rFonts w:ascii="Times New Roman" w:cs="Times New Roman" w:eastAsia="Times New Roman" w:hAnsi="Times New Roman"/>
          <w:sz w:val="20"/>
          <w:szCs w:val="20"/>
          <w:color w:val="auto"/>
        </w:rPr>
        <w:t>For the fiscal year ended December 31, 2025</w:t>
      </w:r>
    </w:p>
    <w:p>
      <w:pPr>
        <w:spacing w:after="0" w:line="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OR</w:t>
      </w:r>
    </w:p>
    <w:p>
      <w:pPr>
        <w:spacing w:after="0" w:line="185" w:lineRule="exact"/>
        <w:rPr>
          <w:sz w:val="24"/>
          <w:szCs w:val="24"/>
          <w:color w:val="auto"/>
        </w:rPr>
      </w:pPr>
    </w:p>
    <w:p>
      <w:pPr>
        <w:ind w:left="110" w:hanging="110"/>
        <w:spacing w:after="0"/>
        <w:tabs>
          <w:tab w:leader="none" w:pos="11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TRANSITION REPORT PURSUANT TO SECTION 15(d) OF THE SECURITIES EXCHANGE ACT OF 1934</w:t>
      </w:r>
    </w:p>
    <w:p>
      <w:pPr>
        <w:spacing w:after="0" w:line="217" w:lineRule="exact"/>
        <w:rPr>
          <w:rFonts w:ascii="Times New Roman" w:cs="Times New Roman" w:eastAsia="Times New Roman" w:hAnsi="Times New Roman"/>
          <w:sz w:val="19"/>
          <w:szCs w:val="19"/>
          <w:color w:val="auto"/>
        </w:rPr>
      </w:pPr>
    </w:p>
    <w:p>
      <w:pPr>
        <w:ind w:left="303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the transition period from _____ to _____</w:t>
      </w:r>
    </w:p>
    <w:p>
      <w:pPr>
        <w:spacing w:after="0" w:line="202" w:lineRule="exact"/>
        <w:rPr>
          <w:sz w:val="24"/>
          <w:szCs w:val="24"/>
          <w:color w:val="auto"/>
        </w:rPr>
      </w:pPr>
    </w:p>
    <w:p>
      <w:pPr>
        <w:ind w:left="337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18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Commission file number 1-6659</w:t>
      </w:r>
    </w:p>
    <w:p>
      <w:pPr>
        <w:spacing w:after="0" w:line="20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A. Full title of the plan and the address of the plan, if different from that of the issuer named below:</w:t>
      </w:r>
    </w:p>
    <w:p>
      <w:pPr>
        <w:spacing w:after="0" w:line="19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ESSENTIAL UTILITIES, INC.</w:t>
      </w: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401(k) PLAN</w:t>
      </w:r>
    </w:p>
    <w:p>
      <w:pPr>
        <w:spacing w:after="0" w:line="18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197" w:lineRule="exact"/>
        <w:rPr>
          <w:sz w:val="24"/>
          <w:szCs w:val="24"/>
          <w:color w:val="auto"/>
        </w:rPr>
      </w:pPr>
    </w:p>
    <w:p>
      <w:pPr>
        <w:ind w:left="3950"/>
        <w:spacing w:after="0"/>
        <w:rPr>
          <w:sz w:val="20"/>
          <w:szCs w:val="20"/>
          <w:color w:val="auto"/>
        </w:rPr>
      </w:pPr>
      <w:r>
        <w:rPr>
          <w:rFonts w:ascii="Times New Roman" w:cs="Times New Roman" w:eastAsia="Times New Roman" w:hAnsi="Times New Roman"/>
          <w:sz w:val="20"/>
          <w:szCs w:val="20"/>
          <w:color w:val="auto"/>
        </w:rPr>
        <w:t>Essential Utilities, Inc.</w:t>
      </w:r>
    </w:p>
    <w:p>
      <w:pPr>
        <w:ind w:left="3870"/>
        <w:spacing w:after="0" w:line="225" w:lineRule="auto"/>
        <w:rPr>
          <w:sz w:val="20"/>
          <w:szCs w:val="20"/>
          <w:color w:val="auto"/>
        </w:rPr>
      </w:pPr>
      <w:r>
        <w:rPr>
          <w:rFonts w:ascii="Times New Roman" w:cs="Times New Roman" w:eastAsia="Times New Roman" w:hAnsi="Times New Roman"/>
          <w:sz w:val="20"/>
          <w:szCs w:val="20"/>
          <w:color w:val="auto"/>
        </w:rPr>
        <w:t>762 W. Lancaster Avenue</w:t>
      </w:r>
    </w:p>
    <w:p>
      <w:pPr>
        <w:jc w:val="center"/>
        <w:ind w:right="-9"/>
        <w:spacing w:after="0"/>
        <w:rPr>
          <w:sz w:val="20"/>
          <w:szCs w:val="20"/>
          <w:color w:val="auto"/>
        </w:rPr>
      </w:pPr>
      <w:r>
        <w:rPr>
          <w:rFonts w:ascii="Times New Roman" w:cs="Times New Roman" w:eastAsia="Times New Roman" w:hAnsi="Times New Roman"/>
          <w:sz w:val="20"/>
          <w:szCs w:val="20"/>
          <w:color w:val="auto"/>
        </w:rPr>
        <w:t>Bryn Mawr, PA 19010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wp:posOffset>
            </wp:positionH>
            <wp:positionV relativeFrom="paragraph">
              <wp:posOffset>283210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300355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0"/>
          </w:cols>
          <w:pgMar w:left="1090" w:top="1125"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 (k)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Table of Contents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64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0000FF"/>
                <w:w w:val="98"/>
              </w:rPr>
              <w:t>Report of Independent Registered Public Accounting Firm</w:t>
            </w:r>
          </w:p>
        </w:tc>
        <w:tc>
          <w:tcPr>
            <w:tcW w:w="5400" w:type="dxa"/>
            <w:vAlign w:val="bottom"/>
            <w:gridSpan w:val="4"/>
            <w:vMerge w:val="restart"/>
          </w:tcPr>
          <w:p>
            <w:pPr>
              <w:spacing w:after="0"/>
              <w:rPr>
                <w:sz w:val="22"/>
                <w:szCs w:val="22"/>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40" w:type="dxa"/>
            <w:vAlign w:val="bottom"/>
            <w:tcBorders>
              <w:bottom w:val="single" w:sz="8" w:color="0000FF"/>
            </w:tcBorders>
            <w:gridSpan w:val="9"/>
            <w:vMerge w:val="continue"/>
          </w:tcPr>
          <w:p>
            <w:pPr>
              <w:spacing w:after="0"/>
              <w:rPr>
                <w:sz w:val="13"/>
                <w:szCs w:val="13"/>
                <w:color w:val="auto"/>
              </w:rPr>
            </w:pPr>
          </w:p>
        </w:tc>
        <w:tc>
          <w:tcPr>
            <w:tcW w:w="5400" w:type="dxa"/>
            <w:vAlign w:val="bottom"/>
            <w:gridSpan w:val="4"/>
            <w:vMerge w:val="continue"/>
          </w:tcPr>
          <w:p>
            <w:pPr>
              <w:spacing w:after="0"/>
              <w:rPr>
                <w:sz w:val="13"/>
                <w:szCs w:val="13"/>
                <w:color w:val="auto"/>
              </w:rPr>
            </w:pP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0000FF"/>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FF"/>
                <w:w w:val="98"/>
              </w:rPr>
              <w:t>Financial Statements</w:t>
            </w:r>
          </w:p>
        </w:tc>
        <w:tc>
          <w:tcPr>
            <w:tcW w:w="8380" w:type="dxa"/>
            <w:vAlign w:val="bottom"/>
            <w:gridSpan w:val="9"/>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12"/>
          </w:tcPr>
          <w:p>
            <w:pPr>
              <w:spacing w:after="0" w:line="196" w:lineRule="exact"/>
              <w:rPr>
                <w:sz w:val="20"/>
                <w:szCs w:val="20"/>
                <w:color w:val="auto"/>
              </w:rPr>
            </w:pPr>
            <w:r>
              <w:rPr>
                <w:rFonts w:ascii="Times New Roman" w:cs="Times New Roman" w:eastAsia="Times New Roman" w:hAnsi="Times New Roman"/>
                <w:sz w:val="20"/>
                <w:szCs w:val="20"/>
                <w:color w:val="0000FF"/>
              </w:rPr>
              <w:t>Statements of Net Assets Available for Benefits</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vMerge w:val="restart"/>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12"/>
          </w:tcPr>
          <w:p>
            <w:pPr>
              <w:spacing w:after="0" w:line="196" w:lineRule="exact"/>
              <w:rPr>
                <w:sz w:val="20"/>
                <w:szCs w:val="20"/>
                <w:color w:val="auto"/>
              </w:rPr>
            </w:pPr>
            <w:r>
              <w:rPr>
                <w:rFonts w:ascii="Times New Roman" w:cs="Times New Roman" w:eastAsia="Times New Roman" w:hAnsi="Times New Roman"/>
                <w:sz w:val="20"/>
                <w:szCs w:val="20"/>
                <w:color w:val="0000FF"/>
              </w:rPr>
              <w:t>Statement of Changes in Net Assets Available for Benefits</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20"/>
                <w:szCs w:val="20"/>
                <w:color w:val="0000FF"/>
                <w:w w:val="98"/>
              </w:rPr>
              <w:t>Notes to Financial Statements</w:t>
            </w:r>
          </w:p>
        </w:tc>
        <w:tc>
          <w:tcPr>
            <w:tcW w:w="2260" w:type="dxa"/>
            <w:vAlign w:val="bottom"/>
            <w:tcBorders>
              <w:top w:val="single" w:sz="8" w:color="0000FF"/>
            </w:tcBorders>
            <w:gridSpan w:val="4"/>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Supplementary Information</w:t>
            </w:r>
          </w:p>
        </w:tc>
        <w:tc>
          <w:tcPr>
            <w:tcW w:w="880" w:type="dxa"/>
            <w:vAlign w:val="bottom"/>
          </w:tcPr>
          <w:p>
            <w:pPr>
              <w:spacing w:after="0"/>
              <w:rPr>
                <w:sz w:val="17"/>
                <w:szCs w:val="17"/>
                <w:color w:val="auto"/>
              </w:rPr>
            </w:pPr>
          </w:p>
        </w:tc>
        <w:tc>
          <w:tcPr>
            <w:tcW w:w="18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rPr>
              <w:t xml:space="preserve">Schedule H, Line 4a </w:t>
            </w:r>
            <w:r>
              <w:rPr>
                <w:rFonts w:ascii="MS PGothic" w:cs="MS PGothic" w:eastAsia="MS PGothic" w:hAnsi="MS PGothic"/>
                <w:sz w:val="20"/>
                <w:szCs w:val="20"/>
                <w:color w:val="0000FF"/>
              </w:rPr>
              <w:t>‐</w:t>
            </w:r>
          </w:p>
        </w:tc>
        <w:tc>
          <w:tcPr>
            <w:tcW w:w="7840" w:type="dxa"/>
            <w:vAlign w:val="bottom"/>
            <w:gridSpan w:val="8"/>
          </w:tcPr>
          <w:p>
            <w:pPr>
              <w:spacing w:after="0" w:line="196" w:lineRule="exact"/>
              <w:rPr>
                <w:sz w:val="20"/>
                <w:szCs w:val="20"/>
                <w:color w:val="auto"/>
              </w:rPr>
            </w:pPr>
            <w:r>
              <w:rPr>
                <w:rFonts w:ascii="Times New Roman" w:cs="Times New Roman" w:eastAsia="Times New Roman" w:hAnsi="Times New Roman"/>
                <w:sz w:val="20"/>
                <w:szCs w:val="20"/>
                <w:color w:val="0000FF"/>
              </w:rPr>
              <w:t>Schedule of Delinquent Participant Contributions</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7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20"/>
                <w:szCs w:val="20"/>
                <w:color w:val="0000FF"/>
              </w:rPr>
              <w:t>Schedule H, Line 4(i) - Schedule of Assets (Held at End of Year)</w:t>
            </w:r>
          </w:p>
        </w:tc>
        <w:tc>
          <w:tcPr>
            <w:tcW w:w="39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540" w:type="dxa"/>
            <w:vAlign w:val="bottom"/>
            <w:gridSpan w:val="2"/>
            <w:vMerge w:val="restart"/>
          </w:tcPr>
          <w:p>
            <w:pPr>
              <w:spacing w:after="0" w:line="20" w:lineRule="exact"/>
              <w:rPr>
                <w:sz w:val="1"/>
                <w:szCs w:val="1"/>
                <w:color w:val="auto"/>
              </w:rPr>
            </w:pPr>
          </w:p>
        </w:tc>
        <w:tc>
          <w:tcPr>
            <w:tcW w:w="1180" w:type="dxa"/>
            <w:vAlign w:val="bottom"/>
            <w:vMerge w:val="restart"/>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0"/>
                <w:szCs w:val="20"/>
                <w:color w:val="0000FF"/>
                <w:w w:val="96"/>
              </w:rPr>
              <w:t>Signature</w:t>
            </w:r>
          </w:p>
        </w:tc>
        <w:tc>
          <w:tcPr>
            <w:tcW w:w="4740" w:type="dxa"/>
            <w:vAlign w:val="bottom"/>
            <w:gridSpan w:val="9"/>
          </w:tcPr>
          <w:p>
            <w:pPr>
              <w:spacing w:after="0"/>
              <w:rPr>
                <w:sz w:val="17"/>
                <w:szCs w:val="17"/>
                <w:color w:val="auto"/>
              </w:rPr>
            </w:pPr>
          </w:p>
        </w:tc>
        <w:tc>
          <w:tcPr>
            <w:tcW w:w="45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40" w:type="dxa"/>
            <w:vAlign w:val="bottom"/>
            <w:gridSpan w:val="13"/>
          </w:tcPr>
          <w:p>
            <w:pPr>
              <w:spacing w:after="0" w:line="196" w:lineRule="exact"/>
              <w:rPr>
                <w:sz w:val="20"/>
                <w:szCs w:val="20"/>
                <w:color w:val="auto"/>
              </w:rPr>
            </w:pPr>
            <w:r>
              <w:rPr>
                <w:rFonts w:ascii="Times New Roman" w:cs="Times New Roman" w:eastAsia="Times New Roman" w:hAnsi="Times New Roman"/>
                <w:sz w:val="20"/>
                <w:szCs w:val="20"/>
                <w:color w:val="0000FF"/>
              </w:rPr>
              <w:t>Exhibit Index</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0"/>
                <w:szCs w:val="20"/>
                <w:color w:val="0000FF"/>
              </w:rPr>
              <w:t>Consent</w:t>
            </w:r>
          </w:p>
        </w:tc>
        <w:tc>
          <w:tcPr>
            <w:tcW w:w="8960" w:type="dxa"/>
            <w:vAlign w:val="bottom"/>
            <w:gridSpan w:val="10"/>
          </w:tcPr>
          <w:p>
            <w:pPr>
              <w:spacing w:after="0" w:line="196" w:lineRule="exact"/>
              <w:rPr>
                <w:sz w:val="20"/>
                <w:szCs w:val="20"/>
                <w:color w:val="auto"/>
              </w:rPr>
            </w:pPr>
            <w:r>
              <w:rPr>
                <w:rFonts w:ascii="Times New Roman" w:cs="Times New Roman" w:eastAsia="Times New Roman" w:hAnsi="Times New Roman"/>
                <w:sz w:val="20"/>
                <w:szCs w:val="20"/>
                <w:color w:val="0000FF"/>
              </w:rPr>
              <w:t>of Schneider Downs &amp; Co., Inc.</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Plan Participants of</w:t>
      </w:r>
    </w:p>
    <w:p>
      <w:pPr>
        <w:ind w:left="100"/>
        <w:spacing w:after="0"/>
        <w:rPr>
          <w:sz w:val="20"/>
          <w:szCs w:val="20"/>
          <w:color w:val="auto"/>
        </w:rPr>
      </w:pPr>
      <w:r>
        <w:rPr>
          <w:rFonts w:ascii="Times New Roman" w:cs="Times New Roman" w:eastAsia="Times New Roman" w:hAnsi="Times New Roman"/>
          <w:sz w:val="20"/>
          <w:szCs w:val="20"/>
          <w:color w:val="auto"/>
        </w:rPr>
        <w:t>Essential Utilities, Inc. 401(k) Plan: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We have audited the accompanying statements of net assets available for benefits of the Essential Utilities, Inc. 401(k) Plan (Plan) as of December 31, 2025 and 2024, and the related statement of changes in net assets available for benefits for the year ended December 31, 2025,</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amounts and disclosures in the financial statements. Our audits also included evaluating the accounting principles used and significant estimates made by management, as well as evaluating the overall presentation of the financial statements. We believe that our audits provide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reasonable basis for our opinion.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Information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supplemental information contained in the schedule of assets (held at end of year) as of December 31, 2025 and schedule of delinquent participant contributions for the year ended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Schneider Downs &amp; Co.,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233" w:lineRule="auto"/>
        <w:rPr>
          <w:sz w:val="20"/>
          <w:szCs w:val="20"/>
          <w:color w:val="auto"/>
        </w:rPr>
      </w:pPr>
      <w:r>
        <w:rPr>
          <w:rFonts w:ascii="Times New Roman" w:cs="Times New Roman" w:eastAsia="Times New Roman" w:hAnsi="Times New Roman"/>
          <w:sz w:val="20"/>
          <w:szCs w:val="20"/>
          <w:color w:val="auto"/>
        </w:rPr>
        <w:t>June 15,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2024</w:t>
            </w:r>
          </w:p>
        </w:tc>
      </w:tr>
      <w:tr>
        <w:trPr>
          <w:trHeight w:val="431"/>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0"/>
        </w:trPr>
        <w:tc>
          <w:tcPr>
            <w:tcW w:w="6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color w:val="auto"/>
              </w:rPr>
              <w:t>Investments, at fair value</w:t>
            </w:r>
          </w:p>
        </w:tc>
        <w:tc>
          <w:tcPr>
            <w:tcW w:w="460" w:type="dxa"/>
            <w:vAlign w:val="bottom"/>
            <w:shd w:val="clear" w:color="auto" w:fill="CCEEFF"/>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698,043,938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607,304,480</w:t>
            </w:r>
          </w:p>
        </w:tc>
      </w:tr>
      <w:tr>
        <w:trPr>
          <w:trHeight w:val="216"/>
        </w:trPr>
        <w:tc>
          <w:tcPr>
            <w:tcW w:w="6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color w:val="auto"/>
              </w:rPr>
              <w:t>Receivables: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Employer contributions receivable</w:t>
            </w:r>
          </w:p>
        </w:tc>
        <w:tc>
          <w:tcPr>
            <w:tcW w:w="4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5,211,385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4,879,373</w:t>
            </w:r>
          </w:p>
        </w:tc>
      </w:tr>
      <w:tr>
        <w:trPr>
          <w:trHeight w:val="216"/>
        </w:trPr>
        <w:tc>
          <w:tcPr>
            <w:tcW w:w="69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Participant contributions receivable</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617,058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644,314</w:t>
            </w:r>
          </w:p>
        </w:tc>
      </w:tr>
      <w:tr>
        <w:trPr>
          <w:trHeight w:val="216"/>
        </w:trPr>
        <w:tc>
          <w:tcPr>
            <w:tcW w:w="698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receivable from participants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12,530,695</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10,958,327</w:t>
            </w:r>
          </w:p>
        </w:tc>
      </w:tr>
      <w:tr>
        <w:trPr>
          <w:trHeight w:val="210"/>
        </w:trPr>
        <w:tc>
          <w:tcPr>
            <w:tcW w:w="6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line="216" w:lineRule="exact"/>
              <w:rPr>
                <w:sz w:val="20"/>
                <w:szCs w:val="20"/>
                <w:color w:val="auto"/>
              </w:rPr>
            </w:pPr>
            <w:r>
              <w:rPr>
                <w:rFonts w:ascii="Times New Roman" w:cs="Times New Roman" w:eastAsia="Times New Roman" w:hAnsi="Times New Roman"/>
                <w:sz w:val="20"/>
                <w:szCs w:val="20"/>
                <w:color w:val="auto"/>
              </w:rPr>
              <w:t>Total Receivables</w:t>
            </w:r>
          </w:p>
        </w:tc>
        <w:tc>
          <w:tcPr>
            <w:tcW w:w="4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18,359,138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16,482,014</w:t>
            </w:r>
          </w:p>
        </w:tc>
      </w:tr>
      <w:tr>
        <w:trPr>
          <w:trHeight w:val="216"/>
        </w:trPr>
        <w:tc>
          <w:tcPr>
            <w:tcW w:w="6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line="216" w:lineRule="exact"/>
              <w:rPr>
                <w:sz w:val="20"/>
                <w:szCs w:val="20"/>
                <w:color w:val="auto"/>
              </w:rPr>
            </w:pPr>
            <w:r>
              <w:rPr>
                <w:rFonts w:ascii="Times New Roman" w:cs="Times New Roman" w:eastAsia="Times New Roman" w:hAnsi="Times New Roman"/>
                <w:sz w:val="20"/>
                <w:szCs w:val="20"/>
                <w:color w:val="auto"/>
              </w:rPr>
              <w:t>Total Assets</w:t>
            </w:r>
          </w:p>
        </w:tc>
        <w:tc>
          <w:tcPr>
            <w:tcW w:w="460" w:type="dxa"/>
            <w:vAlign w:val="bottom"/>
          </w:tcPr>
          <w:p>
            <w:pPr>
              <w:spacing w:after="0"/>
              <w:rPr>
                <w:sz w:val="18"/>
                <w:szCs w:val="18"/>
                <w:color w:val="auto"/>
              </w:rPr>
            </w:pPr>
          </w:p>
        </w:tc>
        <w:tc>
          <w:tcPr>
            <w:tcW w:w="170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716,403,076</w:t>
            </w:r>
          </w:p>
        </w:tc>
        <w:tc>
          <w:tcPr>
            <w:tcW w:w="48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623,786,494</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6980" w:type="dxa"/>
            <w:vAlign w:val="bottom"/>
          </w:tcPr>
          <w:p>
            <w:pPr>
              <w:ind w:left="20"/>
              <w:spacing w:after="0" w:line="216" w:lineRule="exact"/>
              <w:rPr>
                <w:sz w:val="20"/>
                <w:szCs w:val="20"/>
                <w:color w:val="auto"/>
              </w:rPr>
            </w:pPr>
            <w:r>
              <w:rPr>
                <w:rFonts w:ascii="Times New Roman" w:cs="Times New Roman" w:eastAsia="Times New Roman" w:hAnsi="Times New Roman"/>
                <w:sz w:val="20"/>
                <w:szCs w:val="20"/>
                <w:color w:val="auto"/>
              </w:rPr>
              <w:t>Liabilities</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line="216" w:lineRule="exact"/>
              <w:rPr>
                <w:sz w:val="20"/>
                <w:szCs w:val="20"/>
                <w:color w:val="auto"/>
              </w:rPr>
            </w:pPr>
            <w:r>
              <w:rPr>
                <w:rFonts w:ascii="Times New Roman" w:cs="Times New Roman" w:eastAsia="Times New Roman" w:hAnsi="Times New Roman"/>
                <w:sz w:val="20"/>
                <w:szCs w:val="20"/>
                <w:color w:val="auto"/>
              </w:rPr>
              <w:t>Accrued expenses</w:t>
            </w:r>
          </w:p>
        </w:tc>
        <w:tc>
          <w:tcPr>
            <w:tcW w:w="4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89,500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288,142</w:t>
            </w:r>
          </w:p>
        </w:tc>
      </w:tr>
      <w:tr>
        <w:trPr>
          <w:trHeight w:val="216"/>
        </w:trPr>
        <w:tc>
          <w:tcPr>
            <w:tcW w:w="69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20"/>
                <w:szCs w:val="20"/>
                <w:color w:val="auto"/>
              </w:rPr>
              <w:t>Excess contributions payable</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3,985</w:t>
            </w: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8,174</w:t>
            </w:r>
          </w:p>
        </w:tc>
      </w:tr>
      <w:tr>
        <w:trPr>
          <w:trHeight w:val="210"/>
        </w:trPr>
        <w:tc>
          <w:tcPr>
            <w:tcW w:w="69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698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20"/>
                <w:szCs w:val="20"/>
                <w:color w:val="auto"/>
              </w:rPr>
              <w:t>Total Liabilities</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93,485</w:t>
            </w: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296,316</w:t>
            </w:r>
          </w:p>
        </w:tc>
      </w:tr>
      <w:tr>
        <w:trPr>
          <w:trHeight w:val="210"/>
        </w:trPr>
        <w:tc>
          <w:tcPr>
            <w:tcW w:w="69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698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20"/>
                <w:szCs w:val="20"/>
                <w:color w:val="auto"/>
              </w:rPr>
              <w:t>Net Assets Available for Benefits</w:t>
            </w:r>
          </w:p>
        </w:tc>
        <w:tc>
          <w:tcPr>
            <w:tcW w:w="460" w:type="dxa"/>
            <w:vAlign w:val="bottom"/>
            <w:shd w:val="clear" w:color="auto" w:fill="CCEEFF"/>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716,309,591</w:t>
            </w:r>
          </w:p>
        </w:tc>
        <w:tc>
          <w:tcPr>
            <w:tcW w:w="480" w:type="dxa"/>
            <w:vAlign w:val="bottom"/>
            <w:shd w:val="clear" w:color="auto" w:fill="CCEEFF"/>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623,490,178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2"/>
        </w:trPr>
        <w:tc>
          <w:tcPr>
            <w:tcW w:w="9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income:</w:t>
            </w:r>
          </w:p>
        </w:tc>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6"/>
        </w:trPr>
        <w:tc>
          <w:tcPr>
            <w:tcW w:w="91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600" w:type="dxa"/>
            <w:vAlign w:val="bottom"/>
            <w:shd w:val="clear" w:color="auto" w:fill="CCEEFF"/>
          </w:tcPr>
          <w:p>
            <w:pPr>
              <w:jc w:val="right"/>
              <w:ind w:right="381"/>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61,987,306</w:t>
            </w:r>
          </w:p>
        </w:tc>
      </w:tr>
      <w:tr>
        <w:trPr>
          <w:trHeight w:val="216"/>
        </w:trPr>
        <w:tc>
          <w:tcPr>
            <w:tcW w:w="91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20"/>
                <w:szCs w:val="20"/>
                <w:color w:val="auto"/>
              </w:rPr>
              <w:t>Interest and dividends</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32,017,020</w:t>
            </w:r>
          </w:p>
        </w:tc>
      </w:tr>
      <w:tr>
        <w:trPr>
          <w:trHeight w:val="209"/>
        </w:trPr>
        <w:tc>
          <w:tcPr>
            <w:tcW w:w="9140" w:type="dxa"/>
            <w:vAlign w:val="bottom"/>
            <w:shd w:val="clear" w:color="auto" w:fill="CCEEFF"/>
          </w:tcPr>
          <w:p>
            <w:pPr>
              <w:ind w:left="440"/>
              <w:spacing w:after="0" w:line="209" w:lineRule="exact"/>
              <w:rPr>
                <w:sz w:val="20"/>
                <w:szCs w:val="20"/>
                <w:color w:val="auto"/>
              </w:rPr>
            </w:pPr>
            <w:r>
              <w:rPr>
                <w:rFonts w:ascii="Times New Roman" w:cs="Times New Roman" w:eastAsia="Times New Roman" w:hAnsi="Times New Roman"/>
                <w:sz w:val="20"/>
                <w:szCs w:val="20"/>
                <w:color w:val="auto"/>
              </w:rPr>
              <w:t>Total investment income</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94,004,326</w:t>
            </w:r>
          </w:p>
        </w:tc>
      </w:tr>
      <w:tr>
        <w:trPr>
          <w:trHeight w:val="216"/>
        </w:trPr>
        <w:tc>
          <w:tcPr>
            <w:tcW w:w="9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91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867,370</w:t>
            </w:r>
          </w:p>
        </w:tc>
      </w:tr>
      <w:tr>
        <w:trPr>
          <w:trHeight w:val="216"/>
        </w:trPr>
        <w:tc>
          <w:tcPr>
            <w:tcW w:w="9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91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Contributions: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9140" w:type="dxa"/>
            <w:vAlign w:val="bottom"/>
          </w:tcPr>
          <w:p>
            <w:pPr>
              <w:ind w:left="240"/>
              <w:spacing w:after="0" w:line="216" w:lineRule="exact"/>
              <w:rPr>
                <w:sz w:val="20"/>
                <w:szCs w:val="20"/>
                <w:color w:val="auto"/>
              </w:rPr>
            </w:pPr>
            <w:r>
              <w:rPr>
                <w:rFonts w:ascii="Times New Roman" w:cs="Times New Roman" w:eastAsia="Times New Roman" w:hAnsi="Times New Roman"/>
                <w:sz w:val="20"/>
                <w:szCs w:val="20"/>
                <w:color w:val="auto"/>
              </w:rPr>
              <w:t>Employer</w:t>
            </w:r>
          </w:p>
        </w:tc>
        <w:tc>
          <w:tcPr>
            <w:tcW w:w="60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25,875,478</w:t>
            </w:r>
          </w:p>
        </w:tc>
      </w:tr>
      <w:tr>
        <w:trPr>
          <w:trHeight w:val="216"/>
        </w:trPr>
        <w:tc>
          <w:tcPr>
            <w:tcW w:w="91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20"/>
                <w:szCs w:val="20"/>
                <w:color w:val="auto"/>
              </w:rPr>
              <w:t>Participants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28,616,532</w:t>
            </w:r>
          </w:p>
        </w:tc>
      </w:tr>
      <w:tr>
        <w:trPr>
          <w:trHeight w:val="216"/>
        </w:trPr>
        <w:tc>
          <w:tcPr>
            <w:tcW w:w="91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20"/>
                <w:szCs w:val="20"/>
                <w:color w:val="auto"/>
              </w:rPr>
              <w:t>Participant rollovers</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2,294,676</w:t>
            </w:r>
          </w:p>
        </w:tc>
      </w:tr>
      <w:tr>
        <w:trPr>
          <w:trHeight w:val="210"/>
        </w:trPr>
        <w:tc>
          <w:tcPr>
            <w:tcW w:w="9140" w:type="dxa"/>
            <w:vAlign w:val="bottom"/>
            <w:shd w:val="clear" w:color="auto" w:fill="CCEEFF"/>
          </w:tcPr>
          <w:p>
            <w:pPr>
              <w:ind w:left="440"/>
              <w:spacing w:after="0" w:line="209" w:lineRule="exact"/>
              <w:rPr>
                <w:sz w:val="20"/>
                <w:szCs w:val="20"/>
                <w:color w:val="auto"/>
              </w:rPr>
            </w:pPr>
            <w:r>
              <w:rPr>
                <w:rFonts w:ascii="Times New Roman" w:cs="Times New Roman" w:eastAsia="Times New Roman" w:hAnsi="Times New Roman"/>
                <w:sz w:val="20"/>
                <w:szCs w:val="20"/>
                <w:color w:val="auto"/>
              </w:rPr>
              <w:t>Total contributions</w:t>
            </w:r>
          </w:p>
        </w:tc>
        <w:tc>
          <w:tcPr>
            <w:tcW w:w="6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56,786,686</w:t>
            </w:r>
          </w:p>
        </w:tc>
      </w:tr>
      <w:tr>
        <w:trPr>
          <w:trHeight w:val="209"/>
        </w:trPr>
        <w:tc>
          <w:tcPr>
            <w:tcW w:w="9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91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20"/>
                <w:szCs w:val="20"/>
                <w:color w:val="auto"/>
              </w:rPr>
              <w:t>Total Additions</w:t>
            </w:r>
          </w:p>
        </w:tc>
        <w:tc>
          <w:tcPr>
            <w:tcW w:w="6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151,658,382</w:t>
            </w:r>
          </w:p>
        </w:tc>
      </w:tr>
      <w:tr>
        <w:trPr>
          <w:trHeight w:val="210"/>
        </w:trPr>
        <w:tc>
          <w:tcPr>
            <w:tcW w:w="9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9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Deductions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91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Benefits paid to participants</w:t>
            </w:r>
          </w:p>
        </w:tc>
        <w:tc>
          <w:tcPr>
            <w:tcW w:w="60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58,381,948</w:t>
            </w:r>
          </w:p>
        </w:tc>
      </w:tr>
      <w:tr>
        <w:trPr>
          <w:trHeight w:val="216"/>
        </w:trPr>
        <w:tc>
          <w:tcPr>
            <w:tcW w:w="91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Administrative expenses</w:t>
            </w:r>
          </w:p>
        </w:tc>
        <w:tc>
          <w:tcPr>
            <w:tcW w:w="6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457,021</w:t>
            </w:r>
          </w:p>
        </w:tc>
      </w:tr>
      <w:tr>
        <w:trPr>
          <w:trHeight w:val="210"/>
        </w:trPr>
        <w:tc>
          <w:tcPr>
            <w:tcW w:w="9140" w:type="dxa"/>
            <w:vAlign w:val="bottom"/>
            <w:tcBorders>
              <w:bottom w:val="single" w:sz="8" w:color="CCEEFF"/>
            </w:tcBorders>
          </w:tcPr>
          <w:p>
            <w:pPr>
              <w:ind w:left="340"/>
              <w:spacing w:after="0" w:line="209" w:lineRule="exact"/>
              <w:rPr>
                <w:sz w:val="20"/>
                <w:szCs w:val="20"/>
                <w:color w:val="auto"/>
              </w:rPr>
            </w:pPr>
            <w:r>
              <w:rPr>
                <w:rFonts w:ascii="Times New Roman" w:cs="Times New Roman" w:eastAsia="Times New Roman" w:hAnsi="Times New Roman"/>
                <w:sz w:val="20"/>
                <w:szCs w:val="20"/>
                <w:color w:val="auto"/>
              </w:rPr>
              <w:t>Total Deductions</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58,838,969</w:t>
            </w:r>
          </w:p>
        </w:tc>
      </w:tr>
      <w:tr>
        <w:trPr>
          <w:trHeight w:val="209"/>
        </w:trPr>
        <w:tc>
          <w:tcPr>
            <w:tcW w:w="9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9140" w:type="dxa"/>
            <w:vAlign w:val="bottom"/>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Net Increase in Assets Available for Benefits</w:t>
            </w:r>
          </w:p>
        </w:tc>
        <w:tc>
          <w:tcPr>
            <w:tcW w:w="60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92,819,413</w:t>
            </w:r>
          </w:p>
        </w:tc>
      </w:tr>
      <w:tr>
        <w:trPr>
          <w:trHeight w:val="216"/>
        </w:trPr>
        <w:tc>
          <w:tcPr>
            <w:tcW w:w="9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91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Net Assets Available for Benefits, Beginning of Year</w:t>
            </w: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623,490,178</w:t>
            </w:r>
          </w:p>
        </w:tc>
      </w:tr>
      <w:tr>
        <w:trPr>
          <w:trHeight w:val="210"/>
        </w:trPr>
        <w:tc>
          <w:tcPr>
            <w:tcW w:w="9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9140" w:type="dxa"/>
            <w:vAlign w:val="bottom"/>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Net Assets Available for Benefits, End of Year</w:t>
            </w:r>
          </w:p>
        </w:tc>
        <w:tc>
          <w:tcPr>
            <w:tcW w:w="600" w:type="dxa"/>
            <w:vAlign w:val="bottom"/>
            <w:tcBorders>
              <w:bottom w:val="single" w:sz="8" w:color="auto"/>
            </w:tcBorders>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716,309,591</w:t>
            </w:r>
          </w:p>
        </w:tc>
      </w:tr>
      <w:tr>
        <w:trPr>
          <w:trHeight w:val="20"/>
        </w:trPr>
        <w:tc>
          <w:tcPr>
            <w:tcW w:w="9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description of the Essential Utilities, Inc. 401(k) Plan (the “Plan”) is provided for general information purposes only.</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98" w:lineRule="exact"/>
        <w:rPr>
          <w:sz w:val="20"/>
          <w:szCs w:val="20"/>
          <w:color w:val="auto"/>
        </w:rPr>
      </w:pPr>
    </w:p>
    <w:p>
      <w:pPr>
        <w:jc w:val="both"/>
        <w:ind w:left="1300" w:right="20"/>
        <w:spacing w:after="0" w:line="236" w:lineRule="auto"/>
        <w:rPr>
          <w:sz w:val="20"/>
          <w:szCs w:val="20"/>
          <w:color w:val="auto"/>
        </w:rPr>
      </w:pPr>
      <w:r>
        <w:rPr>
          <w:rFonts w:ascii="Times New Roman" w:cs="Times New Roman" w:eastAsia="Times New Roman" w:hAnsi="Times New Roman"/>
          <w:sz w:val="20"/>
          <w:szCs w:val="20"/>
          <w:color w:val="auto"/>
        </w:rPr>
        <w:t>The Plan is a defined contribution plan sponsored by Essential Utilities, Inc. (the “Plan Sponsor” and the “Plan Administrator”). Direct and indirect subsidiaries of Essential Utilities, Inc. that adopt the Plan are participating employers.</w:t>
      </w:r>
    </w:p>
    <w:p>
      <w:pPr>
        <w:spacing w:after="0" w:line="2" w:lineRule="exact"/>
        <w:rPr>
          <w:sz w:val="20"/>
          <w:szCs w:val="20"/>
          <w:color w:val="auto"/>
        </w:rPr>
      </w:pPr>
    </w:p>
    <w:p>
      <w:pPr>
        <w:jc w:val="both"/>
        <w:ind w:left="1300"/>
        <w:spacing w:after="0" w:line="218" w:lineRule="auto"/>
        <w:rPr>
          <w:sz w:val="20"/>
          <w:szCs w:val="20"/>
          <w:color w:val="auto"/>
        </w:rPr>
      </w:pPr>
      <w:r>
        <w:rPr>
          <w:rFonts w:ascii="Times New Roman" w:cs="Times New Roman" w:eastAsia="Times New Roman" w:hAnsi="Times New Roman"/>
          <w:sz w:val="20"/>
          <w:szCs w:val="20"/>
          <w:color w:val="auto"/>
        </w:rPr>
        <w:t>All participating employers are referred to herein as the “Company”. The Plan is designed to conform to all of the provisions of the Employee Retirement Income Security Act of 1974, as amended (“ERISA”) and with the applicable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provisions of the Internal Revenue Code (“IRC”) and the regulations thereunder.</w:t>
      </w:r>
    </w:p>
    <w:p>
      <w:pPr>
        <w:spacing w:after="0" w:line="180"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On October 26, 2025, the Plan Sponsor entered into an Agreement and Plan of Merger (the “Merger Agreement”) with American Water Works Company, Inc. (“American Water”) to combine the two companies in a stock-for stock transaction, with the Plan Sponsor surviving the Merger as a wholly owned subsidiary of American Water. The Plan Sponsor currently estimates that the closing of the proposed Merger will occur by the end of the first quarter of 2027.</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Fidelity Management Trust Company (“Fidelity” or “Trustee”) serves as the trustee and recordkeeper for the Plan.</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Covered employees are any employees of the Company other than: (i) bargaining unit employees unless their union contract</w:t>
      </w:r>
    </w:p>
    <w:p>
      <w:pPr>
        <w:spacing w:after="0" w:line="8" w:lineRule="exact"/>
        <w:rPr>
          <w:sz w:val="20"/>
          <w:szCs w:val="20"/>
          <w:color w:val="auto"/>
        </w:rPr>
      </w:pPr>
    </w:p>
    <w:p>
      <w:pPr>
        <w:jc w:val="both"/>
        <w:ind w:left="1300"/>
        <w:spacing w:after="0" w:line="229" w:lineRule="auto"/>
        <w:rPr>
          <w:sz w:val="20"/>
          <w:szCs w:val="20"/>
          <w:color w:val="auto"/>
        </w:rPr>
      </w:pPr>
      <w:r>
        <w:rPr>
          <w:rFonts w:ascii="Times New Roman" w:cs="Times New Roman" w:eastAsia="Times New Roman" w:hAnsi="Times New Roman"/>
          <w:sz w:val="19"/>
          <w:szCs w:val="19"/>
          <w:color w:val="auto"/>
        </w:rPr>
        <w:t>provides for participation in the Plan, (ii) leased employees, (iii) nonresident aliens, and (iv) persons performing services who are classified by the Company as other than common law employees. Any seasonal employee shall become a participant</w:t>
      </w:r>
    </w:p>
    <w:p>
      <w:pPr>
        <w:spacing w:after="0" w:line="2"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in the Plan as of the first day of a calendar quarter coincident with or next following the date on which the employee first completes one year of service, provided the employee is a covered employee on such date.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following are the groups of covered employees in the Plan:</w:t>
      </w:r>
    </w:p>
    <w:p>
      <w:pPr>
        <w:spacing w:after="0" w:line="215" w:lineRule="exact"/>
        <w:rPr>
          <w:sz w:val="20"/>
          <w:szCs w:val="20"/>
          <w:color w:val="auto"/>
        </w:rPr>
      </w:pPr>
    </w:p>
    <w:p>
      <w:pPr>
        <w:ind w:left="1960"/>
        <w:spacing w:after="0" w:line="227" w:lineRule="auto"/>
        <w:rPr>
          <w:sz w:val="20"/>
          <w:szCs w:val="20"/>
          <w:color w:val="auto"/>
        </w:rPr>
      </w:pPr>
      <w:r>
        <w:rPr>
          <w:rFonts w:ascii="Times New Roman" w:cs="Times New Roman" w:eastAsia="Times New Roman" w:hAnsi="Times New Roman"/>
          <w:sz w:val="20"/>
          <w:szCs w:val="20"/>
          <w:color w:val="auto"/>
        </w:rPr>
        <w:t>Group 1 Covered Employee: Any covered employee who was a participant in the Aqua America, Inc. Thrift Plan on December 31, 2007. The only employees who can commence participation as Eligible Group 1 Employees after December 31, 2007, are employees who were employed by the Philadelphia Suburban Division of Aqua Pennsylvania, Inc. on March 31, 2003, and were represented by Local 473 of the International Brotherhood of Fireman and Oilers on such date, who have remained continuously employed by Aqua Pennsylvania, Inc. as an employee represented by Local 473 and the successors thereto (currently Local 542 of the Internal Union of Operating Engineers) and who are transferred to a position with Aqua Pennsylvania, Inc. or a participating affiliated company in which they cease to be represented by Local 542 or any other union. Participation as an Eligible Group 1 Employee begins on the date of such change in status.</w:t>
      </w:r>
    </w:p>
    <w:p>
      <w:pPr>
        <w:spacing w:after="0" w:line="188"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20"/>
          <w:szCs w:val="20"/>
          <w:color w:val="auto"/>
        </w:rPr>
        <w:t>Group 4 Covered Employee: Any covered employee who was a participant in the Personal Savings Plan for Local 473 Employees of the Philadelphia Suburban Division of Aqua Pennsylvania, Inc. on December 31, 2007.</w:t>
      </w:r>
    </w:p>
    <w:p>
      <w:pPr>
        <w:spacing w:after="0" w:line="186" w:lineRule="exact"/>
        <w:rPr>
          <w:sz w:val="20"/>
          <w:szCs w:val="20"/>
          <w:color w:val="auto"/>
        </w:rPr>
      </w:pPr>
    </w:p>
    <w:p>
      <w:pPr>
        <w:ind w:left="1960"/>
        <w:spacing w:after="0" w:line="233" w:lineRule="auto"/>
        <w:rPr>
          <w:sz w:val="20"/>
          <w:szCs w:val="20"/>
          <w:color w:val="auto"/>
        </w:rPr>
      </w:pPr>
      <w:r>
        <w:rPr>
          <w:rFonts w:ascii="Times New Roman" w:cs="Times New Roman" w:eastAsia="Times New Roman" w:hAnsi="Times New Roman"/>
          <w:sz w:val="20"/>
          <w:szCs w:val="20"/>
          <w:color w:val="auto"/>
        </w:rPr>
        <w:t>Group 6 Covered Employee: Any covered employee of Aqua Ohio Water Company whose terms and conditions of employment are subject to a collective bargaining agreement with an Ohio Water Union and who was hired before the hire date specified below:</w:t>
      </w:r>
    </w:p>
    <w:tbl>
      <w:tblPr>
        <w:tblLayout w:type="fixed"/>
        <w:tblInd w:w="2600" w:type="dxa"/>
        <w:tblCellMar>
          <w:top w:w="0" w:type="dxa"/>
          <w:left w:w="0" w:type="dxa"/>
          <w:bottom w:w="0" w:type="dxa"/>
          <w:right w:w="0" w:type="dxa"/>
        </w:tblCellMar>
      </w:tblPr>
      <w:tr>
        <w:trPr>
          <w:trHeight w:val="191"/>
        </w:trPr>
        <w:tc>
          <w:tcPr>
            <w:tcW w:w="3320" w:type="dxa"/>
            <w:vAlign w:val="bottom"/>
            <w:gridSpan w:val="3"/>
          </w:tcPr>
          <w:p>
            <w:pPr>
              <w:ind w:left="1340"/>
              <w:spacing w:after="0" w:line="190" w:lineRule="exact"/>
              <w:rPr>
                <w:sz w:val="20"/>
                <w:szCs w:val="20"/>
                <w:color w:val="auto"/>
              </w:rPr>
            </w:pPr>
            <w:r>
              <w:rPr>
                <w:rFonts w:ascii="Times New Roman" w:cs="Times New Roman" w:eastAsia="Times New Roman" w:hAnsi="Times New Roman"/>
                <w:sz w:val="20"/>
                <w:szCs w:val="20"/>
                <w:color w:val="auto"/>
              </w:rPr>
              <w:t>Union</w:t>
            </w:r>
          </w:p>
        </w:tc>
        <w:tc>
          <w:tcPr>
            <w:tcW w:w="400" w:type="dxa"/>
            <w:vAlign w:val="bottom"/>
          </w:tcPr>
          <w:p>
            <w:pPr>
              <w:spacing w:after="0"/>
              <w:rPr>
                <w:sz w:val="16"/>
                <w:szCs w:val="16"/>
                <w:color w:val="auto"/>
              </w:rPr>
            </w:pPr>
          </w:p>
        </w:tc>
        <w:tc>
          <w:tcPr>
            <w:tcW w:w="96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20"/>
                <w:szCs w:val="20"/>
                <w:color w:val="auto"/>
                <w:w w:val="96"/>
              </w:rPr>
              <w:t>District</w:t>
            </w:r>
          </w:p>
        </w:tc>
        <w:tc>
          <w:tcPr>
            <w:tcW w:w="600" w:type="dxa"/>
            <w:vAlign w:val="bottom"/>
          </w:tcPr>
          <w:p>
            <w:pPr>
              <w:spacing w:after="0"/>
              <w:rPr>
                <w:sz w:val="16"/>
                <w:szCs w:val="16"/>
                <w:color w:val="auto"/>
              </w:rPr>
            </w:pPr>
          </w:p>
        </w:tc>
        <w:tc>
          <w:tcPr>
            <w:tcW w:w="1200" w:type="dxa"/>
            <w:vAlign w:val="bottom"/>
            <w:gridSpan w:val="2"/>
          </w:tcPr>
          <w:p>
            <w:pPr>
              <w:jc w:val="center"/>
              <w:ind w:right="420"/>
              <w:spacing w:after="0" w:line="190" w:lineRule="exact"/>
              <w:rPr>
                <w:sz w:val="20"/>
                <w:szCs w:val="20"/>
                <w:color w:val="auto"/>
              </w:rPr>
            </w:pPr>
            <w:r>
              <w:rPr>
                <w:rFonts w:ascii="Times New Roman" w:cs="Times New Roman" w:eastAsia="Times New Roman" w:hAnsi="Times New Roman"/>
                <w:sz w:val="20"/>
                <w:szCs w:val="20"/>
                <w:color w:val="auto"/>
                <w:w w:val="99"/>
              </w:rPr>
              <w:t>Hire Date</w:t>
            </w:r>
          </w:p>
        </w:tc>
      </w:tr>
      <w:tr>
        <w:trPr>
          <w:trHeight w:val="20"/>
        </w:trPr>
        <w:tc>
          <w:tcPr>
            <w:tcW w:w="13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0"/>
        </w:trPr>
        <w:tc>
          <w:tcPr>
            <w:tcW w:w="332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Utility Workers Union of America,</w:t>
            </w:r>
          </w:p>
        </w:tc>
        <w:tc>
          <w:tcPr>
            <w:tcW w:w="1360" w:type="dxa"/>
            <w:vAlign w:val="bottom"/>
            <w:gridSpan w:val="3"/>
            <w:shd w:val="clear" w:color="auto" w:fill="CCEEFF"/>
          </w:tcPr>
          <w:p>
            <w:pPr>
              <w:ind w:left="260"/>
              <w:spacing w:after="0" w:line="180" w:lineRule="exact"/>
              <w:rPr>
                <w:sz w:val="20"/>
                <w:szCs w:val="20"/>
                <w:color w:val="auto"/>
              </w:rPr>
            </w:pPr>
            <w:r>
              <w:rPr>
                <w:rFonts w:ascii="Times New Roman" w:cs="Times New Roman" w:eastAsia="Times New Roman" w:hAnsi="Times New Roman"/>
                <w:sz w:val="20"/>
                <w:szCs w:val="20"/>
                <w:color w:val="auto"/>
              </w:rPr>
              <w:t>Ashtabula</w:t>
            </w:r>
          </w:p>
        </w:tc>
        <w:tc>
          <w:tcPr>
            <w:tcW w:w="1800" w:type="dxa"/>
            <w:vAlign w:val="bottom"/>
            <w:gridSpan w:val="3"/>
            <w:shd w:val="clear" w:color="auto" w:fill="CCEEFF"/>
          </w:tcPr>
          <w:p>
            <w:pPr>
              <w:jc w:val="center"/>
              <w:ind w:left="81"/>
              <w:spacing w:after="0" w:line="180" w:lineRule="exact"/>
              <w:rPr>
                <w:sz w:val="20"/>
                <w:szCs w:val="20"/>
                <w:color w:val="auto"/>
              </w:rPr>
            </w:pPr>
            <w:r>
              <w:rPr>
                <w:rFonts w:ascii="Times New Roman" w:cs="Times New Roman" w:eastAsia="Times New Roman" w:hAnsi="Times New Roman"/>
                <w:sz w:val="20"/>
                <w:szCs w:val="20"/>
                <w:color w:val="auto"/>
                <w:w w:val="97"/>
              </w:rPr>
              <w:t>April 13, 2014</w:t>
            </w:r>
          </w:p>
        </w:tc>
      </w:tr>
      <w:tr>
        <w:trPr>
          <w:trHeight w:val="252"/>
        </w:trPr>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AFL-CIO Local No. 397</w:t>
            </w:r>
          </w:p>
        </w:tc>
        <w:tc>
          <w:tcPr>
            <w:tcW w:w="4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180"/>
        </w:trPr>
        <w:tc>
          <w:tcPr>
            <w:tcW w:w="332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color w:val="auto"/>
              </w:rPr>
              <w:t>International Union of Operating</w:t>
            </w:r>
          </w:p>
        </w:tc>
        <w:tc>
          <w:tcPr>
            <w:tcW w:w="400" w:type="dxa"/>
            <w:vAlign w:val="bottom"/>
          </w:tcPr>
          <w:p>
            <w:pPr>
              <w:spacing w:after="0"/>
              <w:rPr>
                <w:sz w:val="15"/>
                <w:szCs w:val="15"/>
                <w:color w:val="auto"/>
              </w:rPr>
            </w:pPr>
          </w:p>
        </w:tc>
        <w:tc>
          <w:tcPr>
            <w:tcW w:w="9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20"/>
                <w:szCs w:val="20"/>
                <w:color w:val="auto"/>
                <w:w w:val="98"/>
              </w:rPr>
              <w:t>Tiffin</w:t>
            </w:r>
          </w:p>
        </w:tc>
        <w:tc>
          <w:tcPr>
            <w:tcW w:w="1800" w:type="dxa"/>
            <w:vAlign w:val="bottom"/>
            <w:gridSpan w:val="3"/>
          </w:tcPr>
          <w:p>
            <w:pPr>
              <w:jc w:val="center"/>
              <w:ind w:left="81"/>
              <w:spacing w:after="0" w:line="180" w:lineRule="exact"/>
              <w:rPr>
                <w:sz w:val="20"/>
                <w:szCs w:val="20"/>
                <w:color w:val="auto"/>
              </w:rPr>
            </w:pPr>
            <w:r>
              <w:rPr>
                <w:rFonts w:ascii="Times New Roman" w:cs="Times New Roman" w:eastAsia="Times New Roman" w:hAnsi="Times New Roman"/>
                <w:sz w:val="20"/>
                <w:szCs w:val="20"/>
                <w:color w:val="auto"/>
                <w:w w:val="98"/>
              </w:rPr>
              <w:t>October 31, 2013</w:t>
            </w:r>
          </w:p>
        </w:tc>
      </w:tr>
      <w:tr>
        <w:trPr>
          <w:trHeight w:val="252"/>
        </w:trPr>
        <w:tc>
          <w:tcPr>
            <w:tcW w:w="3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Engineers, AFL-CIO Local Union 18S</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80"/>
        </w:trPr>
        <w:tc>
          <w:tcPr>
            <w:tcW w:w="332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Utility Workers Union of America,</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80"/>
              <w:spacing w:after="0" w:line="180" w:lineRule="exact"/>
              <w:rPr>
                <w:sz w:val="20"/>
                <w:szCs w:val="20"/>
                <w:color w:val="auto"/>
              </w:rPr>
            </w:pPr>
            <w:r>
              <w:rPr>
                <w:rFonts w:ascii="Times New Roman" w:cs="Times New Roman" w:eastAsia="Times New Roman" w:hAnsi="Times New Roman"/>
                <w:sz w:val="20"/>
                <w:szCs w:val="20"/>
                <w:color w:val="auto"/>
                <w:w w:val="98"/>
              </w:rPr>
              <w:t>Marion</w:t>
            </w:r>
          </w:p>
        </w:tc>
        <w:tc>
          <w:tcPr>
            <w:tcW w:w="1800" w:type="dxa"/>
            <w:vAlign w:val="bottom"/>
            <w:gridSpan w:val="3"/>
            <w:shd w:val="clear" w:color="auto" w:fill="CCEEFF"/>
          </w:tcPr>
          <w:p>
            <w:pPr>
              <w:jc w:val="center"/>
              <w:ind w:left="81"/>
              <w:spacing w:after="0" w:line="180" w:lineRule="exact"/>
              <w:rPr>
                <w:sz w:val="20"/>
                <w:szCs w:val="20"/>
                <w:color w:val="auto"/>
              </w:rPr>
            </w:pPr>
            <w:r>
              <w:rPr>
                <w:rFonts w:ascii="Times New Roman" w:cs="Times New Roman" w:eastAsia="Times New Roman" w:hAnsi="Times New Roman"/>
                <w:sz w:val="20"/>
                <w:szCs w:val="20"/>
                <w:color w:val="auto"/>
                <w:w w:val="98"/>
              </w:rPr>
              <w:t>June 12, 2014</w:t>
            </w:r>
          </w:p>
        </w:tc>
      </w:tr>
      <w:tr>
        <w:trPr>
          <w:trHeight w:val="252"/>
        </w:trPr>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AFL-CIO Local Union No. 434</w:t>
            </w:r>
          </w:p>
        </w:tc>
        <w:tc>
          <w:tcPr>
            <w:tcW w:w="4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bl>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Group 8 Covered Employee: In general, an employee is a Group 8 Covered Employee if they are not a Group 1, 4, 6, PNG Salaried, PNG Union or Delta Covered Employee (as defined by the Plan) and not covered by a collective bargaining agreement.</w:t>
      </w:r>
    </w:p>
    <w:p>
      <w:pPr>
        <w:spacing w:after="0" w:line="187" w:lineRule="exact"/>
        <w:rPr>
          <w:sz w:val="20"/>
          <w:szCs w:val="20"/>
          <w:color w:val="auto"/>
        </w:rPr>
      </w:pPr>
    </w:p>
    <w:p>
      <w:pPr>
        <w:ind w:left="1960"/>
        <w:spacing w:after="0" w:line="235" w:lineRule="auto"/>
        <w:rPr>
          <w:sz w:val="20"/>
          <w:szCs w:val="20"/>
          <w:color w:val="auto"/>
        </w:rPr>
      </w:pPr>
      <w:r>
        <w:rPr>
          <w:rFonts w:ascii="Times New Roman" w:cs="Times New Roman" w:eastAsia="Times New Roman" w:hAnsi="Times New Roman"/>
          <w:sz w:val="20"/>
          <w:szCs w:val="20"/>
          <w:color w:val="auto"/>
        </w:rPr>
        <w:t>Group 9 Covered Employee: In general, an employee is a Group 9 Covered Employee if the participant is not a Group 1, 4, 6, 8, PNG Salaried, PNG Union or Delta Covered Employee (as defined by the Plan) and the terms and conditions of the participant’s employment are subject to a collective bargaining agreement.</w:t>
      </w:r>
    </w:p>
    <w:p>
      <w:pPr>
        <w:spacing w:after="0" w:line="188" w:lineRule="exact"/>
        <w:rPr>
          <w:sz w:val="20"/>
          <w:szCs w:val="20"/>
          <w:color w:val="auto"/>
        </w:rPr>
      </w:pPr>
    </w:p>
    <w:p>
      <w:pPr>
        <w:ind w:left="1960"/>
        <w:spacing w:after="0" w:line="232" w:lineRule="auto"/>
        <w:rPr>
          <w:sz w:val="20"/>
          <w:szCs w:val="20"/>
          <w:color w:val="auto"/>
        </w:rPr>
      </w:pPr>
      <w:r>
        <w:rPr>
          <w:rFonts w:ascii="Times New Roman" w:cs="Times New Roman" w:eastAsia="Times New Roman" w:hAnsi="Times New Roman"/>
          <w:sz w:val="20"/>
          <w:szCs w:val="20"/>
          <w:color w:val="auto"/>
        </w:rPr>
        <w:t>PNG Salaried Group Covered Employee: Any covered employee (i) who was a participant in the PNG Salaried Plan on June 30, 2022, and (ii) any employee who was employed on June 30, 2022, as a covered employee under the terms of the PNG Salaried Plan as then in effect, who satisfies the eligibility requirements after June 30, 2022, provided he or she has remained continuously employed by the Company through entry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60"/>
        <w:spacing w:after="0" w:line="232" w:lineRule="auto"/>
        <w:rPr>
          <w:sz w:val="20"/>
          <w:szCs w:val="20"/>
          <w:color w:val="auto"/>
        </w:rPr>
      </w:pPr>
      <w:r>
        <w:rPr>
          <w:rFonts w:ascii="Times New Roman" w:cs="Times New Roman" w:eastAsia="Times New Roman" w:hAnsi="Times New Roman"/>
          <w:sz w:val="20"/>
          <w:szCs w:val="20"/>
          <w:color w:val="auto"/>
        </w:rPr>
        <w:t>PNG Union Group Covered Employee: Any Covered Employee (i) who was a participant in the PNG Union Plan on June 30, 2022, and (ii) any Employee who was employed on June 30, 2022, as a covered employee under the terms of the PNG Union Plan as then in effect, who satisfies the eligibility requirements after June 30, 2022, provided he or she has remained continuously employed by the Company from June 30, 2022, through entry date.</w:t>
      </w:r>
    </w:p>
    <w:p>
      <w:pPr>
        <w:spacing w:after="0" w:line="190" w:lineRule="exact"/>
        <w:rPr>
          <w:sz w:val="20"/>
          <w:szCs w:val="20"/>
          <w:color w:val="auto"/>
        </w:rPr>
      </w:pPr>
    </w:p>
    <w:p>
      <w:pPr>
        <w:ind w:left="1960"/>
        <w:spacing w:after="0" w:line="232" w:lineRule="auto"/>
        <w:rPr>
          <w:sz w:val="20"/>
          <w:szCs w:val="20"/>
          <w:color w:val="auto"/>
        </w:rPr>
      </w:pPr>
      <w:r>
        <w:rPr>
          <w:rFonts w:ascii="Times New Roman" w:cs="Times New Roman" w:eastAsia="Times New Roman" w:hAnsi="Times New Roman"/>
          <w:sz w:val="20"/>
          <w:szCs w:val="20"/>
          <w:color w:val="auto"/>
        </w:rPr>
        <w:t>Delta Group Covered Employee: Any covered employee (i) who was a participant in the Delta Plan on June 30, 2022, and (ii) any employee who was employed on June 30, 2022, as a covered employee under the terms of the Delta Plan as then in effect, who satisfies the eligibility requirements after June 30, 2022, provided he or she has remained continuously employed by the Company through entry date.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Automatic Enrollment and Escalation</w:t>
      </w:r>
    </w:p>
    <w:p>
      <w:pPr>
        <w:spacing w:after="0" w:line="206"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20"/>
          <w:szCs w:val="20"/>
          <w:color w:val="auto"/>
        </w:rPr>
        <w:t>Any newly hired or rehired eligible employee is automatically enrolled in the Plan into a retirement date fund at a deferral of 6%, as soon as practical following a 30-day period, unless they elect otherwise.</w:t>
      </w:r>
    </w:p>
    <w:p>
      <w:pPr>
        <w:spacing w:after="0" w:line="146"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A participant may elect to have a percentage of their base pay be contributed as deferral contributions and automatically increased each year to the next higher whole percentage. The increase for a Plan Year (calendar year) will be effective on a designated date in each Plan Year and will be applied to the last election in effect prior to such date. The automatic increase will remain in effect until the participant cancels the automatic increase election.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 participant is automatically enrolled, their deferral percentage will automatically be increased by 1% (up to a maximum</w:t>
      </w:r>
    </w:p>
    <w:p>
      <w:pPr>
        <w:spacing w:after="0" w:line="8" w:lineRule="exact"/>
        <w:rPr>
          <w:sz w:val="20"/>
          <w:szCs w:val="20"/>
          <w:color w:val="auto"/>
        </w:rPr>
      </w:pPr>
    </w:p>
    <w:p>
      <w:pPr>
        <w:ind w:left="1300" w:right="40"/>
        <w:spacing w:after="0" w:line="218" w:lineRule="auto"/>
        <w:rPr>
          <w:sz w:val="20"/>
          <w:szCs w:val="20"/>
          <w:color w:val="auto"/>
        </w:rPr>
      </w:pPr>
      <w:r>
        <w:rPr>
          <w:rFonts w:ascii="Times New Roman" w:cs="Times New Roman" w:eastAsia="Times New Roman" w:hAnsi="Times New Roman"/>
          <w:sz w:val="20"/>
          <w:szCs w:val="20"/>
          <w:color w:val="auto"/>
        </w:rPr>
        <w:t>of 10%) effective with the paycheck for the first pay period ending on or after July 1 of each year, unless and until they make an affirmative election to make or not make deferral contributions. If automatically enrolled prior to July 1, 2022, the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automatic increase date is effective with the paycheck for the first pay period ending on or April 1 of each year.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Employee Deferral Contributions</w:t>
      </w:r>
    </w:p>
    <w:p>
      <w:pPr>
        <w:spacing w:after="0" w:line="206" w:lineRule="exact"/>
        <w:rPr>
          <w:sz w:val="20"/>
          <w:szCs w:val="20"/>
          <w:color w:val="auto"/>
        </w:rPr>
      </w:pPr>
    </w:p>
    <w:p>
      <w:pPr>
        <w:ind w:left="1300"/>
        <w:spacing w:after="0" w:line="241" w:lineRule="auto"/>
        <w:rPr>
          <w:sz w:val="20"/>
          <w:szCs w:val="20"/>
          <w:color w:val="auto"/>
        </w:rPr>
      </w:pPr>
      <w:r>
        <w:rPr>
          <w:rFonts w:ascii="Times New Roman" w:cs="Times New Roman" w:eastAsia="Times New Roman" w:hAnsi="Times New Roman"/>
          <w:sz w:val="19"/>
          <w:szCs w:val="19"/>
          <w:color w:val="auto"/>
        </w:rPr>
        <w:t>Participants may elect to contribute to the Plan from 1% to 75% of their eligible compensation on a pre-tax basis, an after-tax basis, a Roth after-tax basis, or a combination of these three, as defined by the Plan, up to the annual maximum permitted</w:t>
      </w:r>
    </w:p>
    <w:p>
      <w:pPr>
        <w:spacing w:after="0" w:line="2"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0"/>
          <w:szCs w:val="20"/>
          <w:color w:val="auto"/>
        </w:rPr>
        <w:t>under applicable laws and regulations governing 401(k) plans. The maximum amount of allowable deferral contributions as set by the Internal Revenue Service (“IRS”) was $23,500 in 2025.</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Plan also allows participants who are age 50 or who will attain age 50 prior to the end of the Plan year to make</w:t>
      </w:r>
    </w:p>
    <w:p>
      <w:pPr>
        <w:spacing w:after="0" w:line="8" w:lineRule="exact"/>
        <w:rPr>
          <w:sz w:val="20"/>
          <w:szCs w:val="20"/>
          <w:color w:val="auto"/>
        </w:rPr>
      </w:pPr>
    </w:p>
    <w:p>
      <w:pPr>
        <w:ind w:left="1300"/>
        <w:spacing w:after="0" w:line="229" w:lineRule="auto"/>
        <w:rPr>
          <w:sz w:val="20"/>
          <w:szCs w:val="20"/>
          <w:color w:val="auto"/>
        </w:rPr>
      </w:pPr>
      <w:r>
        <w:rPr>
          <w:rFonts w:ascii="Times New Roman" w:cs="Times New Roman" w:eastAsia="Times New Roman" w:hAnsi="Times New Roman"/>
          <w:sz w:val="19"/>
          <w:szCs w:val="19"/>
          <w:color w:val="auto"/>
        </w:rPr>
        <w:t>additional deferral (“Catch-Up”) contributions, provided the participant made the maximum amount of deferral contributions permitted under the Plan. The maximum allowable Catch-Up contribution was $7,500 in 2025. In 2025, participants who</w:t>
      </w:r>
    </w:p>
    <w:p>
      <w:pPr>
        <w:spacing w:after="0" w:line="2"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0"/>
          <w:szCs w:val="20"/>
          <w:color w:val="auto"/>
        </w:rPr>
        <w:t>have attained age 60, 61, 62, or 63 are eligible to make Super Catch-Up contributions up to $11,250 subject to Plan and IRC limitations.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6"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Plan participants may make transfers between funds or suspend their contributions at any time. They may also contribute amounts representing distributions from other qualified defined benefit or contribution plans (“Rollovers”). Participants can</w:t>
      </w:r>
    </w:p>
    <w:p>
      <w:pPr>
        <w:spacing w:after="0" w:line="2" w:lineRule="exact"/>
        <w:rPr>
          <w:sz w:val="20"/>
          <w:szCs w:val="20"/>
          <w:color w:val="auto"/>
        </w:rPr>
      </w:pPr>
    </w:p>
    <w:p>
      <w:pPr>
        <w:jc w:val="both"/>
        <w:ind w:left="1300"/>
        <w:spacing w:after="0" w:line="218" w:lineRule="auto"/>
        <w:rPr>
          <w:sz w:val="20"/>
          <w:szCs w:val="20"/>
          <w:color w:val="auto"/>
        </w:rPr>
      </w:pPr>
      <w:r>
        <w:rPr>
          <w:rFonts w:ascii="Times New Roman" w:cs="Times New Roman" w:eastAsia="Times New Roman" w:hAnsi="Times New Roman"/>
          <w:sz w:val="20"/>
          <w:szCs w:val="20"/>
          <w:color w:val="auto"/>
        </w:rPr>
        <w:t>direct, at the time they enroll in the Plan, that their salary deferral and voluntary contributions be invested entirely in one of the funds offered by the Plan or divided among the funds. The Plan also permits participants to acquire an interest in</w:t>
      </w:r>
    </w:p>
    <w:p>
      <w:pPr>
        <w:spacing w:after="0" w:line="1"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0"/>
          <w:szCs w:val="20"/>
          <w:color w:val="auto"/>
        </w:rPr>
        <w:t>Essential Utilities, Inc. common stock. Participants may change their investment allocation instructions and reinvest their contributions into a different fund or funds at any time. Participants may convert all or a portion of the vested portion of their account, excluding outstanding loans, to Roth deferral contributions.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Employer Matching Contributions</w:t>
      </w:r>
    </w:p>
    <w:p>
      <w:pPr>
        <w:spacing w:after="0" w:line="219" w:lineRule="exact"/>
        <w:rPr>
          <w:sz w:val="20"/>
          <w:szCs w:val="20"/>
          <w:color w:val="auto"/>
        </w:rPr>
      </w:pPr>
    </w:p>
    <w:p>
      <w:pPr>
        <w:ind w:left="1960"/>
        <w:spacing w:after="0" w:line="235" w:lineRule="auto"/>
        <w:rPr>
          <w:sz w:val="20"/>
          <w:szCs w:val="20"/>
          <w:color w:val="auto"/>
        </w:rPr>
      </w:pPr>
      <w:r>
        <w:rPr>
          <w:rFonts w:ascii="Times New Roman" w:cs="Times New Roman" w:eastAsia="Times New Roman" w:hAnsi="Times New Roman"/>
          <w:sz w:val="20"/>
          <w:szCs w:val="20"/>
          <w:color w:val="auto"/>
        </w:rPr>
        <w:t>Group 1: The Company will make a matching contribution for each Plan year equal to 50% of the first 6% of a participant’s eligible compensation that is contributed to the Plan as a pre-tax deferral contribution or a Roth deferral contribution.</w:t>
      </w:r>
    </w:p>
    <w:p>
      <w:pPr>
        <w:spacing w:after="0" w:line="1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Group 4: The Company will make a matching contribution for each Plan year equal to 50% of the first 4% of a participant’s eligible compensation that is contributed to the Plan as a pre-tax deferral contribution or a Roth deferral contribution.</w:t>
      </w:r>
    </w:p>
    <w:p>
      <w:pPr>
        <w:spacing w:after="0" w:line="201" w:lineRule="exact"/>
        <w:rPr>
          <w:sz w:val="20"/>
          <w:szCs w:val="20"/>
          <w:color w:val="auto"/>
        </w:rPr>
      </w:pPr>
    </w:p>
    <w:p>
      <w:pPr>
        <w:ind w:left="1960"/>
        <w:spacing w:after="0" w:line="235" w:lineRule="auto"/>
        <w:rPr>
          <w:sz w:val="20"/>
          <w:szCs w:val="20"/>
          <w:color w:val="auto"/>
        </w:rPr>
      </w:pPr>
      <w:r>
        <w:rPr>
          <w:rFonts w:ascii="Times New Roman" w:cs="Times New Roman" w:eastAsia="Times New Roman" w:hAnsi="Times New Roman"/>
          <w:sz w:val="20"/>
          <w:szCs w:val="20"/>
          <w:color w:val="auto"/>
        </w:rPr>
        <w:t>Group 6: The Company will make a matching contribution for each Plan year equal to 100% of the first 3% of a participant’s eligible compensation that is contributed to the Plan and 50% of the next 2% of a participant’s compensation that is contributed to the Plan as a pre-tax deferral contribution or a Roth deferral contribution.</w:t>
      </w:r>
    </w:p>
    <w:p>
      <w:pPr>
        <w:spacing w:after="0" w:line="175"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20"/>
          <w:szCs w:val="20"/>
          <w:color w:val="auto"/>
        </w:rPr>
        <w:t>Employer matching contribution, including the match enhancement for participants in Group 6 shall be an amount equal to the sum of:</w:t>
      </w:r>
    </w:p>
    <w:p>
      <w:pPr>
        <w:spacing w:after="0" w:line="159" w:lineRule="exact"/>
        <w:rPr>
          <w:sz w:val="20"/>
          <w:szCs w:val="20"/>
          <w:color w:val="auto"/>
        </w:rPr>
      </w:pPr>
    </w:p>
    <w:p>
      <w:pPr>
        <w:jc w:val="both"/>
        <w:ind w:left="1960" w:hanging="8"/>
        <w:spacing w:after="0" w:line="235" w:lineRule="auto"/>
        <w:tabs>
          <w:tab w:leader="none" w:pos="224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 of the participant’s eligible salary, (ii) the amount contributed by the employer as a deferral contribution on behalf of a participant pursuant to a compensation reduction election, and (iii) 6% of the dollar limit in effect; and,</w:t>
      </w:r>
    </w:p>
    <w:p>
      <w:pPr>
        <w:spacing w:after="0" w:line="174" w:lineRule="exact"/>
        <w:rPr>
          <w:rFonts w:ascii="Times New Roman" w:cs="Times New Roman" w:eastAsia="Times New Roman" w:hAnsi="Times New Roman"/>
          <w:sz w:val="20"/>
          <w:szCs w:val="20"/>
          <w:color w:val="auto"/>
        </w:rPr>
      </w:pPr>
    </w:p>
    <w:p>
      <w:pPr>
        <w:jc w:val="both"/>
        <w:ind w:left="1960" w:hanging="8"/>
        <w:spacing w:after="0"/>
        <w:tabs>
          <w:tab w:leader="none" w:pos="229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100% of participant’s excess deferral contributions which do not exceed 3% of the participant’s excess compensation, plus 50% of the participant’s excess deferral contributions which exceed 3% but do not exceed 5% of the participant’s excess compensation.</w:t>
      </w:r>
    </w:p>
    <w:p>
      <w:pPr>
        <w:spacing w:after="0" w:line="174" w:lineRule="exact"/>
        <w:rPr>
          <w:sz w:val="20"/>
          <w:szCs w:val="20"/>
          <w:color w:val="auto"/>
        </w:rPr>
      </w:pPr>
    </w:p>
    <w:p>
      <w:pPr>
        <w:ind w:left="1960" w:hanging="332"/>
        <w:spacing w:after="0" w:line="269" w:lineRule="auto"/>
        <w:tabs>
          <w:tab w:leader="none" w:pos="19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Group 8: The Company will match 100% of the first 6% of compensation contributed as deferral contributions for the Plan Year (Pre-tax deferral contributions and/or Roth deferral contributions).</w:t>
      </w:r>
    </w:p>
    <w:p>
      <w:pPr>
        <w:spacing w:after="0" w:line="132" w:lineRule="exact"/>
        <w:rPr>
          <w:rFonts w:ascii="Times New Roman" w:cs="Times New Roman" w:eastAsia="Times New Roman" w:hAnsi="Times New Roman"/>
          <w:sz w:val="14"/>
          <w:szCs w:val="14"/>
          <w:color w:val="auto"/>
        </w:rPr>
      </w:pPr>
    </w:p>
    <w:p>
      <w:pPr>
        <w:jc w:val="both"/>
        <w:ind w:left="1960" w:hanging="332"/>
        <w:spacing w:after="0" w:line="239" w:lineRule="auto"/>
        <w:tabs>
          <w:tab w:leader="none" w:pos="19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Group 9: The Company will make a matching contribution for each Plan year equal to 100% of the first 2% of the participant’s eligible compensation that is contributed to the Plan as a pre-tax deferral contribution or a Roth deferral contribution. The Company will also make a matching contribution equal to 50% of the next 4% of eligible compensation that is contributed as a pre-tax deferral contribution or a Roth deferral contribution.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6" w:lineRule="exact"/>
        <w:rPr>
          <w:sz w:val="20"/>
          <w:szCs w:val="20"/>
          <w:color w:val="auto"/>
        </w:rPr>
      </w:pPr>
    </w:p>
    <w:p>
      <w:pPr>
        <w:ind w:left="1960"/>
        <w:spacing w:after="0" w:line="249" w:lineRule="auto"/>
        <w:rPr>
          <w:sz w:val="20"/>
          <w:szCs w:val="20"/>
          <w:color w:val="auto"/>
        </w:rPr>
      </w:pPr>
      <w:r>
        <w:rPr>
          <w:rFonts w:ascii="Times New Roman" w:cs="Times New Roman" w:eastAsia="Times New Roman" w:hAnsi="Times New Roman"/>
          <w:sz w:val="19"/>
          <w:szCs w:val="19"/>
          <w:color w:val="auto"/>
        </w:rPr>
        <w:t>The Company may make an enhanced match: (1) for Group 8 participants., and, (2) for other participants in Group 9, effective at such date as may be specified in advance by the Plan Administrator; which, together with the employer</w:t>
      </w:r>
    </w:p>
    <w:p>
      <w:pPr>
        <w:spacing w:after="0" w:line="1" w:lineRule="exact"/>
        <w:rPr>
          <w:sz w:val="20"/>
          <w:szCs w:val="20"/>
          <w:color w:val="auto"/>
        </w:rPr>
      </w:pPr>
    </w:p>
    <w:p>
      <w:pPr>
        <w:ind w:left="1960"/>
        <w:spacing w:after="0" w:line="228" w:lineRule="auto"/>
        <w:rPr>
          <w:sz w:val="20"/>
          <w:szCs w:val="20"/>
          <w:color w:val="auto"/>
        </w:rPr>
      </w:pPr>
      <w:r>
        <w:rPr>
          <w:rFonts w:ascii="Times New Roman" w:cs="Times New Roman" w:eastAsia="Times New Roman" w:hAnsi="Times New Roman"/>
          <w:sz w:val="20"/>
          <w:szCs w:val="20"/>
          <w:color w:val="auto"/>
        </w:rPr>
        <w:t>matching contributions, would total to an amount of up to 6% of the annual compensation limit pursuant to IRC Section 401(a)(17) in effect for the Plan year.</w:t>
      </w:r>
    </w:p>
    <w:p>
      <w:pPr>
        <w:spacing w:after="0" w:line="188"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20"/>
          <w:szCs w:val="20"/>
          <w:color w:val="auto"/>
        </w:rPr>
        <w:t>PNG Salaried Group Covered Employees: For eligible compensation paid, the Company will make the following matching contributions:</w:t>
      </w:r>
    </w:p>
    <w:p>
      <w:pPr>
        <w:spacing w:after="0" w:line="159" w:lineRule="exact"/>
        <w:rPr>
          <w:sz w:val="20"/>
          <w:szCs w:val="20"/>
          <w:color w:val="auto"/>
        </w:rPr>
      </w:pPr>
    </w:p>
    <w:p>
      <w:pPr>
        <w:jc w:val="both"/>
        <w:ind w:left="2280" w:hanging="328"/>
        <w:spacing w:after="0" w:line="235" w:lineRule="auto"/>
        <w:tabs>
          <w:tab w:leader="none" w:pos="22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non-union employees and USW Customer Service Representatives, an amount equal to 125% of the first 5% of the employee’s eligible compensation that is contributed to the Plan as a pre-tax deferral contribution, Roth deferral contribution or as a voluntary contribution; and,</w:t>
      </w:r>
    </w:p>
    <w:p>
      <w:pPr>
        <w:spacing w:after="0" w:line="174" w:lineRule="exact"/>
        <w:rPr>
          <w:rFonts w:ascii="Times New Roman" w:cs="Times New Roman" w:eastAsia="Times New Roman" w:hAnsi="Times New Roman"/>
          <w:sz w:val="20"/>
          <w:szCs w:val="20"/>
          <w:color w:val="auto"/>
        </w:rPr>
      </w:pPr>
    </w:p>
    <w:p>
      <w:pPr>
        <w:jc w:val="both"/>
        <w:ind w:left="2280" w:hanging="328"/>
        <w:spacing w:after="0" w:line="251" w:lineRule="auto"/>
        <w:tabs>
          <w:tab w:leader="none" w:pos="228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salaried employees covered by a collective bargaining agreement with the International Brotherhood of Electrical Workers, AFL-CIO-CFL, Local 29, (“IBEW”) that provides for his or her participation in the Plan, an amount equal to 50% of the first 6% of the employee’s eligible compensation that is contributed to the Plan as a pre-tax deferral contribution, Roth deferral contribution or as a voluntary contribution.</w:t>
      </w:r>
    </w:p>
    <w:p>
      <w:pPr>
        <w:spacing w:after="0" w:line="179" w:lineRule="exact"/>
        <w:rPr>
          <w:rFonts w:ascii="Times New Roman" w:cs="Times New Roman" w:eastAsia="Times New Roman" w:hAnsi="Times New Roman"/>
          <w:sz w:val="19"/>
          <w:szCs w:val="19"/>
          <w:color w:val="auto"/>
        </w:rPr>
      </w:pPr>
    </w:p>
    <w:p>
      <w:pPr>
        <w:jc w:val="both"/>
        <w:ind w:left="2280"/>
        <w:spacing w:after="0" w:line="23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Effective October 19, 2025, IBEW merged with the Utility Workers of Union America, Local 612 (“612”). IBEW members participating in the Plan thereafter received the same employer match as the 612 members under the PNG Union Group.</w:t>
      </w:r>
    </w:p>
    <w:p>
      <w:pPr>
        <w:spacing w:after="0" w:line="174" w:lineRule="exact"/>
        <w:rPr>
          <w:rFonts w:ascii="Times New Roman" w:cs="Times New Roman" w:eastAsia="Times New Roman" w:hAnsi="Times New Roman"/>
          <w:sz w:val="19"/>
          <w:szCs w:val="19"/>
          <w:color w:val="auto"/>
        </w:rPr>
      </w:pPr>
    </w:p>
    <w:p>
      <w:pPr>
        <w:jc w:val="both"/>
        <w:ind w:left="2280" w:hanging="328"/>
        <w:spacing w:after="0"/>
        <w:tabs>
          <w:tab w:leader="none" w:pos="22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PNG Union Group Covered Employees: For eligible compensation paid, the Company will make a matching contribution equal to 100% of participant salary deferrals, Roth deferrals, and after-tax voluntary contributions up to 6% of eligible compensation of participants.</w:t>
      </w:r>
    </w:p>
    <w:p>
      <w:pPr>
        <w:spacing w:after="0" w:line="173" w:lineRule="exact"/>
        <w:rPr>
          <w:rFonts w:ascii="Times New Roman" w:cs="Times New Roman" w:eastAsia="Times New Roman" w:hAnsi="Times New Roman"/>
          <w:sz w:val="20"/>
          <w:szCs w:val="20"/>
          <w:color w:val="auto"/>
        </w:rPr>
      </w:pPr>
    </w:p>
    <w:p>
      <w:pPr>
        <w:ind w:left="1960" w:righ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Delta Group Covered Employees: For eligible compensation paid, the Company will make a matching contribution equal to 100% of participant’s pre-tax deferral contributions or Roth deferral contributions to the Plan up to a maximum of 6% of the participant’s eligible compensation.</w:t>
      </w:r>
    </w:p>
    <w:p>
      <w:pPr>
        <w:spacing w:after="0" w:line="134" w:lineRule="exact"/>
        <w:rPr>
          <w:sz w:val="20"/>
          <w:szCs w:val="20"/>
          <w:color w:val="auto"/>
        </w:rPr>
      </w:pPr>
    </w:p>
    <w:p>
      <w:pPr>
        <w:jc w:val="both"/>
        <w:ind w:left="1700"/>
        <w:spacing w:after="0" w:line="233" w:lineRule="auto"/>
        <w:rPr>
          <w:sz w:val="20"/>
          <w:szCs w:val="20"/>
          <w:color w:val="auto"/>
        </w:rPr>
      </w:pPr>
      <w:r>
        <w:rPr>
          <w:rFonts w:ascii="Times New Roman" w:cs="Times New Roman" w:eastAsia="Times New Roman" w:hAnsi="Times New Roman"/>
          <w:sz w:val="20"/>
          <w:szCs w:val="20"/>
          <w:color w:val="auto"/>
        </w:rPr>
        <w:t>Matching contributions are initially invested in accordance with the participant’s investment elections, unless the participant made a one-time election to have contributions initially invested in Essential Utilities, Inc. common stock. If the provisions of an applicable collective bargaining agreement conflict with the provisions of the Plan, the</w:t>
      </w:r>
    </w:p>
    <w:p>
      <w:pPr>
        <w:jc w:val="both"/>
        <w:ind w:left="1700"/>
        <w:spacing w:after="0" w:line="228" w:lineRule="auto"/>
        <w:rPr>
          <w:sz w:val="20"/>
          <w:szCs w:val="20"/>
          <w:color w:val="auto"/>
        </w:rPr>
      </w:pPr>
      <w:r>
        <w:rPr>
          <w:rFonts w:ascii="Times New Roman" w:cs="Times New Roman" w:eastAsia="Times New Roman" w:hAnsi="Times New Roman"/>
          <w:sz w:val="20"/>
          <w:szCs w:val="20"/>
          <w:color w:val="auto"/>
        </w:rPr>
        <w:t>provisions of the collective bargaining agreement shall take precedence to the extent such provisions are permitted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i w:val="1"/>
          <w:iCs w:val="1"/>
          <w:color w:val="auto"/>
        </w:rPr>
        <w:t>Discretionary Contributions</w:t>
      </w:r>
    </w:p>
    <w:p>
      <w:pPr>
        <w:spacing w:after="0" w:line="166" w:lineRule="exact"/>
        <w:rPr>
          <w:sz w:val="20"/>
          <w:szCs w:val="20"/>
          <w:color w:val="auto"/>
        </w:rPr>
      </w:pPr>
    </w:p>
    <w:p>
      <w:pPr>
        <w:jc w:val="both"/>
        <w:ind w:left="1620"/>
        <w:spacing w:after="0" w:line="245" w:lineRule="auto"/>
        <w:rPr>
          <w:sz w:val="20"/>
          <w:szCs w:val="20"/>
          <w:color w:val="auto"/>
        </w:rPr>
      </w:pPr>
      <w:r>
        <w:rPr>
          <w:rFonts w:ascii="Times New Roman" w:cs="Times New Roman" w:eastAsia="Times New Roman" w:hAnsi="Times New Roman"/>
          <w:sz w:val="19"/>
          <w:szCs w:val="19"/>
          <w:color w:val="auto"/>
        </w:rPr>
        <w:t>The Company may make additional discretionary contributions to the Plan for the benefit of active participants. Discretionary contributions are allocated to active Group 1, Group 8, Group 9, PNG Salaried, PNG Union and Delta Group participant accounts on a pro-rated basis based on each participant’s compensation compared to the compensation</w:t>
      </w:r>
    </w:p>
    <w:p>
      <w:pPr>
        <w:spacing w:after="0" w:line="1" w:lineRule="exact"/>
        <w:rPr>
          <w:sz w:val="20"/>
          <w:szCs w:val="20"/>
          <w:color w:val="auto"/>
        </w:rPr>
      </w:pPr>
    </w:p>
    <w:p>
      <w:pPr>
        <w:jc w:val="both"/>
        <w:ind w:left="1620"/>
        <w:spacing w:after="0" w:line="218" w:lineRule="auto"/>
        <w:rPr>
          <w:sz w:val="20"/>
          <w:szCs w:val="20"/>
          <w:color w:val="auto"/>
        </w:rPr>
      </w:pPr>
      <w:r>
        <w:rPr>
          <w:rFonts w:ascii="Times New Roman" w:cs="Times New Roman" w:eastAsia="Times New Roman" w:hAnsi="Times New Roman"/>
          <w:sz w:val="20"/>
          <w:szCs w:val="20"/>
          <w:color w:val="auto"/>
        </w:rPr>
        <w:t>of all active participants in Group 1, Group 8, Group 9, PNG Salaried, PNG Union and Delta Group. The other groups in the Plan are not eligible for discretionary contributions. This discretionary contribution is made to the Plan in the</w:t>
      </w:r>
    </w:p>
    <w:p>
      <w:pPr>
        <w:spacing w:after="0" w:line="1" w:lineRule="exact"/>
        <w:rPr>
          <w:sz w:val="20"/>
          <w:szCs w:val="20"/>
          <w:color w:val="auto"/>
        </w:rPr>
      </w:pPr>
    </w:p>
    <w:p>
      <w:pPr>
        <w:ind w:left="1620"/>
        <w:spacing w:after="0" w:line="418" w:lineRule="auto"/>
        <w:rPr>
          <w:sz w:val="20"/>
          <w:szCs w:val="20"/>
          <w:color w:val="auto"/>
        </w:rPr>
      </w:pPr>
      <w:r>
        <w:rPr>
          <w:rFonts w:ascii="Times New Roman" w:cs="Times New Roman" w:eastAsia="Times New Roman" w:hAnsi="Times New Roman"/>
          <w:sz w:val="20"/>
          <w:szCs w:val="20"/>
          <w:color w:val="auto"/>
        </w:rPr>
        <w:t xml:space="preserve">form of cash into participant directed accounts. The Company did not make any discretionary contributions during 2025. </w:t>
      </w:r>
      <w:r>
        <w:rPr>
          <w:rFonts w:ascii="Times New Roman" w:cs="Times New Roman" w:eastAsia="Times New Roman" w:hAnsi="Times New Roman"/>
          <w:sz w:val="20"/>
          <w:szCs w:val="20"/>
          <w:i w:val="1"/>
          <w:iCs w:val="1"/>
          <w:color w:val="auto"/>
        </w:rPr>
        <w:t>Non-Discretionary Contributions</w:t>
      </w:r>
    </w:p>
    <w:p>
      <w:pPr>
        <w:jc w:val="both"/>
        <w:ind w:left="1620"/>
        <w:spacing w:after="0" w:line="236" w:lineRule="auto"/>
        <w:rPr>
          <w:sz w:val="20"/>
          <w:szCs w:val="20"/>
          <w:color w:val="auto"/>
        </w:rPr>
      </w:pPr>
      <w:r>
        <w:rPr>
          <w:rFonts w:ascii="Times New Roman" w:cs="Times New Roman" w:eastAsia="Times New Roman" w:hAnsi="Times New Roman"/>
          <w:sz w:val="20"/>
          <w:szCs w:val="20"/>
          <w:color w:val="auto"/>
        </w:rPr>
        <w:t>The Company will make additional non-discretionary contributions of 5.25% of eligible hourly wages to the Plan for the benefit of active Group 6 participants who qualify for a Company matching contribution, defined as 100% of the first 3% and 50% of the next 2% of eligible compensation contributed. The Company made such non-discretionary contributions for 2025 of $84,046.</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i w:val="1"/>
          <w:iCs w:val="1"/>
          <w:color w:val="auto"/>
        </w:rPr>
        <w:t>Employer Performance Contributions</w:t>
      </w:r>
    </w:p>
    <w:p>
      <w:pPr>
        <w:spacing w:after="0" w:line="193" w:lineRule="exact"/>
        <w:rPr>
          <w:sz w:val="20"/>
          <w:szCs w:val="20"/>
          <w:color w:val="auto"/>
        </w:rPr>
      </w:pPr>
    </w:p>
    <w:p>
      <w:pPr>
        <w:jc w:val="both"/>
        <w:ind w:left="1620"/>
        <w:spacing w:after="0"/>
        <w:rPr>
          <w:sz w:val="20"/>
          <w:szCs w:val="20"/>
          <w:color w:val="auto"/>
        </w:rPr>
      </w:pPr>
      <w:r>
        <w:rPr>
          <w:rFonts w:ascii="Times New Roman" w:cs="Times New Roman" w:eastAsia="Times New Roman" w:hAnsi="Times New Roman"/>
          <w:sz w:val="20"/>
          <w:szCs w:val="20"/>
          <w:color w:val="auto"/>
        </w:rPr>
        <w:t>The Company may, at its discretion, make an employer performance contribution on behalf of eligible participants if certain established performance goals are achieved. Any performance contributions will be initially invested in Company stock. The Company did not make any performance contributions during 2025.</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i w:val="1"/>
          <w:iCs w:val="1"/>
          <w:color w:val="auto"/>
        </w:rPr>
        <w:t>Year-End Corporate Contribution</w:t>
      </w: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The Company may make a discretionary year-end corporate contribution, of up to 3% of an employee’s eligible</w:t>
      </w:r>
    </w:p>
    <w:p>
      <w:pPr>
        <w:spacing w:after="0" w:line="8" w:lineRule="exact"/>
        <w:rPr>
          <w:sz w:val="20"/>
          <w:szCs w:val="20"/>
          <w:color w:val="auto"/>
        </w:rPr>
      </w:pPr>
    </w:p>
    <w:p>
      <w:pPr>
        <w:jc w:val="both"/>
        <w:ind w:left="1620"/>
        <w:spacing w:after="0" w:line="229" w:lineRule="auto"/>
        <w:rPr>
          <w:sz w:val="20"/>
          <w:szCs w:val="20"/>
          <w:color w:val="auto"/>
        </w:rPr>
      </w:pPr>
      <w:r>
        <w:rPr>
          <w:rFonts w:ascii="Times New Roman" w:cs="Times New Roman" w:eastAsia="Times New Roman" w:hAnsi="Times New Roman"/>
          <w:sz w:val="19"/>
          <w:szCs w:val="19"/>
          <w:color w:val="auto"/>
        </w:rPr>
        <w:t>compensation, for participants of Groups 8, 9 and Delta Group who were employed on the last day of the Plan year. This contribution is made into participant-directed accounts. The Company made a year-end corporate contribution for 2025</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in the amount of $4,031,001.</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i w:val="1"/>
          <w:iCs w:val="1"/>
          <w:color w:val="auto"/>
        </w:rPr>
        <w:t>Profit Sharing Contribution</w:t>
      </w: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The Company shall make a profit-sharing contribution as follows:</w:t>
      </w:r>
    </w:p>
    <w:p>
      <w:pPr>
        <w:spacing w:after="0" w:line="202" w:lineRule="exact"/>
        <w:rPr>
          <w:sz w:val="20"/>
          <w:szCs w:val="20"/>
          <w:color w:val="auto"/>
        </w:rPr>
      </w:pPr>
    </w:p>
    <w:p>
      <w:pPr>
        <w:ind w:left="2280" w:hanging="328"/>
        <w:spacing w:after="0"/>
        <w:tabs>
          <w:tab w:leader="none" w:pos="22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PNG Salaried Covered Employees that are non-union employees and USW Customer Service Representatives, an amount that is equal to 3% of a participant’s eligible compensation for the Plan year;</w:t>
      </w:r>
    </w:p>
    <w:p>
      <w:pPr>
        <w:spacing w:after="0" w:line="174" w:lineRule="exact"/>
        <w:rPr>
          <w:rFonts w:ascii="Times New Roman" w:cs="Times New Roman" w:eastAsia="Times New Roman" w:hAnsi="Times New Roman"/>
          <w:sz w:val="20"/>
          <w:szCs w:val="20"/>
          <w:color w:val="auto"/>
        </w:rPr>
      </w:pPr>
    </w:p>
    <w:p>
      <w:pPr>
        <w:jc w:val="both"/>
        <w:ind w:left="2280" w:hanging="328"/>
        <w:spacing w:after="0"/>
        <w:tabs>
          <w:tab w:leader="none" w:pos="22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PNG Salaried Covered Employees that are covered by a collective bargaining agreement and PNG Union Covered Employees, an amount that is equal to 6% of the participant’s eligible compensation for the Plan year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80" w:lineRule="exact"/>
        <w:rPr>
          <w:sz w:val="20"/>
          <w:szCs w:val="20"/>
          <w:color w:val="auto"/>
        </w:rPr>
      </w:pPr>
    </w:p>
    <w:p>
      <w:pPr>
        <w:jc w:val="both"/>
        <w:ind w:left="1620" w:right="20"/>
        <w:spacing w:after="0" w:line="255" w:lineRule="auto"/>
        <w:rPr>
          <w:sz w:val="20"/>
          <w:szCs w:val="20"/>
          <w:color w:val="auto"/>
        </w:rPr>
      </w:pPr>
      <w:r>
        <w:rPr>
          <w:rFonts w:ascii="Times New Roman" w:cs="Times New Roman" w:eastAsia="Times New Roman" w:hAnsi="Times New Roman"/>
          <w:sz w:val="20"/>
          <w:szCs w:val="20"/>
          <w:color w:val="auto"/>
        </w:rPr>
        <w:t>During 2025, the Plan made profit-sharing contributions to the PNG Salaried and Union Covered Employees totaling $6,109,489.</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i w:val="1"/>
          <w:iCs w:val="1"/>
          <w:color w:val="auto"/>
        </w:rPr>
        <w:t>Other Contributions / Accounts</w:t>
      </w:r>
    </w:p>
    <w:p>
      <w:pPr>
        <w:spacing w:after="0" w:line="206" w:lineRule="exact"/>
        <w:rPr>
          <w:sz w:val="20"/>
          <w:szCs w:val="20"/>
          <w:color w:val="auto"/>
        </w:rPr>
      </w:pPr>
    </w:p>
    <w:p>
      <w:pPr>
        <w:jc w:val="both"/>
        <w:ind w:left="1620"/>
        <w:spacing w:after="0" w:line="229" w:lineRule="auto"/>
        <w:rPr>
          <w:sz w:val="20"/>
          <w:szCs w:val="20"/>
          <w:color w:val="auto"/>
        </w:rPr>
      </w:pPr>
      <w:r>
        <w:rPr>
          <w:rFonts w:ascii="Times New Roman" w:cs="Times New Roman" w:eastAsia="Times New Roman" w:hAnsi="Times New Roman"/>
          <w:sz w:val="20"/>
          <w:szCs w:val="20"/>
          <w:color w:val="auto"/>
        </w:rPr>
        <w:t>The Plan has an Administrative Budget account which is comprised of funds from the Plan’s previous trustee, T. Rowe Price Trust Company, and designated to be used only for payment of permissible Plan expenses or allocation to</w:t>
      </w:r>
    </w:p>
    <w:p>
      <w:pPr>
        <w:spacing w:after="0" w:line="2" w:lineRule="exact"/>
        <w:rPr>
          <w:sz w:val="20"/>
          <w:szCs w:val="20"/>
          <w:color w:val="auto"/>
        </w:rPr>
      </w:pPr>
    </w:p>
    <w:p>
      <w:pPr>
        <w:jc w:val="both"/>
        <w:ind w:left="1620"/>
        <w:spacing w:after="0" w:line="230" w:lineRule="auto"/>
        <w:rPr>
          <w:sz w:val="20"/>
          <w:szCs w:val="20"/>
          <w:color w:val="auto"/>
        </w:rPr>
      </w:pPr>
      <w:r>
        <w:rPr>
          <w:rFonts w:ascii="Times New Roman" w:cs="Times New Roman" w:eastAsia="Times New Roman" w:hAnsi="Times New Roman"/>
          <w:sz w:val="20"/>
          <w:szCs w:val="20"/>
          <w:color w:val="auto"/>
        </w:rPr>
        <w:t>participants. During the year ended December 31, 2025, a total of $44,410 was used from the Administrative Budget Account to pay for Plan expenses. Dividends in the amount of $587 were earned by the Administrative Budget Account. The balance in the Administrative Budget account was $24 and $43,847 as of December 31, 2025 and 2024, respectively.</w:t>
      </w:r>
    </w:p>
    <w:p>
      <w:pPr>
        <w:spacing w:after="0" w:line="176" w:lineRule="exact"/>
        <w:rPr>
          <w:sz w:val="20"/>
          <w:szCs w:val="20"/>
          <w:color w:val="auto"/>
        </w:rPr>
      </w:pPr>
    </w:p>
    <w:p>
      <w:pPr>
        <w:jc w:val="both"/>
        <w:ind w:left="1620"/>
        <w:spacing w:after="0" w:line="229" w:lineRule="auto"/>
        <w:rPr>
          <w:sz w:val="20"/>
          <w:szCs w:val="20"/>
          <w:color w:val="auto"/>
        </w:rPr>
      </w:pPr>
      <w:r>
        <w:rPr>
          <w:rFonts w:ascii="Times New Roman" w:cs="Times New Roman" w:eastAsia="Times New Roman" w:hAnsi="Times New Roman"/>
          <w:sz w:val="20"/>
          <w:szCs w:val="20"/>
          <w:color w:val="auto"/>
        </w:rPr>
        <w:t>The Plan has a “Revenue Credit Program” with Fidelity. When recordkeeping revenue earned in connection with plan services exceeds agreed-upon compensation, the Plan Sponsor can deposit excess revenue, regardless of source, in a</w:t>
      </w:r>
    </w:p>
    <w:p>
      <w:pPr>
        <w:spacing w:after="0" w:line="2" w:lineRule="exact"/>
        <w:rPr>
          <w:sz w:val="20"/>
          <w:szCs w:val="20"/>
          <w:color w:val="auto"/>
        </w:rPr>
      </w:pPr>
    </w:p>
    <w:p>
      <w:pPr>
        <w:jc w:val="both"/>
        <w:ind w:left="1620"/>
        <w:spacing w:after="0" w:line="230" w:lineRule="auto"/>
        <w:rPr>
          <w:sz w:val="20"/>
          <w:szCs w:val="20"/>
          <w:color w:val="auto"/>
        </w:rPr>
      </w:pPr>
      <w:r>
        <w:rPr>
          <w:rFonts w:ascii="Times New Roman" w:cs="Times New Roman" w:eastAsia="Times New Roman" w:hAnsi="Times New Roman"/>
          <w:sz w:val="20"/>
          <w:szCs w:val="20"/>
          <w:color w:val="auto"/>
        </w:rPr>
        <w:t>revenue credit account. These funds can be used to pay ERISA-qualified expenses or can be allocated to eligible participant accounts. During 2025, the revenue credit account earned dividends of $7,567 and $32,190 was used for plan expenses. As of December 31, 2025 and 2024, the balance in the Revenue Credit Program account was $149,107 and $173,730, respectively.</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Participants’ Accounts</w:t>
      </w:r>
    </w:p>
    <w:p>
      <w:pPr>
        <w:spacing w:after="0" w:line="98"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 employer’s contributions, and charged with withdrawals, an allocation of Plan earnings and losses and an allocation of administrative expenses, if not paid from the forfeiture account, the Administrative Budget account or the Revenue Credit Program account. Allocations are based on participant contributions or account balances, as defined by the Plan document. The benefit to which a participant is entitled is the benefit that can be provided from the participant’s vested account.</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98" w:lineRule="exact"/>
        <w:rPr>
          <w:sz w:val="20"/>
          <w:szCs w:val="20"/>
          <w:color w:val="auto"/>
        </w:rPr>
      </w:pPr>
    </w:p>
    <w:p>
      <w:pPr>
        <w:jc w:val="both"/>
        <w:ind w:left="1300"/>
        <w:spacing w:after="0" w:line="231" w:lineRule="auto"/>
        <w:rPr>
          <w:sz w:val="20"/>
          <w:szCs w:val="20"/>
          <w:color w:val="auto"/>
        </w:rPr>
      </w:pPr>
      <w:r>
        <w:rPr>
          <w:rFonts w:ascii="Times New Roman" w:cs="Times New Roman" w:eastAsia="Times New Roman" w:hAnsi="Times New Roman"/>
          <w:sz w:val="20"/>
          <w:szCs w:val="20"/>
          <w:color w:val="auto"/>
        </w:rPr>
        <w:t>Each participant will always be 100% vested in the balances in their deferral contribution, voluntary contribution, discretionary contribution, employer performance contribution, and rollover contribution accounts. Group 8 and Group 9 covered employees become 100% vested in their employer matching and employer profit sharing/corporate contributions after three years of service*. Group 6 covered employees become 100% vested in their employer non-discretionary</w:t>
      </w:r>
    </w:p>
    <w:p>
      <w:pPr>
        <w:spacing w:after="0" w:line="1"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20"/>
          <w:szCs w:val="20"/>
          <w:color w:val="auto"/>
        </w:rPr>
        <w:t>contribution upon completing a year of service*. PNG Salaried and PNG Union covered employees become 100% vested in their employer matching contribution and profit-sharing accounts following the completion of three years of service**.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180" w:lineRule="exact"/>
        <w:rPr>
          <w:sz w:val="20"/>
          <w:szCs w:val="20"/>
          <w:color w:val="auto"/>
        </w:rPr>
      </w:pPr>
    </w:p>
    <w:p>
      <w:pPr>
        <w:ind w:left="1300" w:right="80"/>
        <w:spacing w:after="0" w:line="255" w:lineRule="auto"/>
        <w:rPr>
          <w:sz w:val="20"/>
          <w:szCs w:val="20"/>
          <w:color w:val="auto"/>
        </w:rPr>
      </w:pPr>
      <w:r>
        <w:rPr>
          <w:rFonts w:ascii="Times New Roman" w:cs="Times New Roman" w:eastAsia="Times New Roman" w:hAnsi="Times New Roman"/>
          <w:sz w:val="20"/>
          <w:szCs w:val="20"/>
          <w:color w:val="auto"/>
        </w:rPr>
        <w:t>Vesting for Group 1 and Group 4 covered employees’ employer matching contributions is in accordance with the following schedule:</w:t>
      </w:r>
    </w:p>
    <w:p>
      <w:pPr>
        <w:spacing w:after="0" w:line="6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3180" w:type="dxa"/>
            <w:vAlign w:val="bottom"/>
            <w:gridSpan w:val="2"/>
          </w:tcPr>
          <w:p>
            <w:pPr>
              <w:jc w:val="center"/>
              <w:ind w:right="1740"/>
              <w:spacing w:after="0"/>
              <w:rPr>
                <w:sz w:val="20"/>
                <w:szCs w:val="20"/>
                <w:color w:val="auto"/>
              </w:rPr>
            </w:pPr>
            <w:r>
              <w:rPr>
                <w:rFonts w:ascii="Times New Roman" w:cs="Times New Roman" w:eastAsia="Times New Roman" w:hAnsi="Times New Roman"/>
                <w:sz w:val="20"/>
                <w:szCs w:val="20"/>
                <w:color w:val="auto"/>
                <w:w w:val="97"/>
              </w:rPr>
              <w:t>Years of Service *</w:t>
            </w:r>
          </w:p>
        </w:tc>
        <w:tc>
          <w:tcPr>
            <w:tcW w:w="374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 Vested</w:t>
            </w:r>
          </w:p>
        </w:tc>
      </w:tr>
      <w:tr>
        <w:trPr>
          <w:trHeight w:val="21"/>
        </w:trPr>
        <w:tc>
          <w:tcPr>
            <w:tcW w:w="15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center"/>
              <w:ind w:right="1760"/>
              <w:spacing w:after="0" w:line="216" w:lineRule="exact"/>
              <w:rPr>
                <w:sz w:val="20"/>
                <w:szCs w:val="20"/>
                <w:color w:val="auto"/>
              </w:rPr>
            </w:pPr>
            <w:r>
              <w:rPr>
                <w:rFonts w:ascii="Times New Roman" w:cs="Times New Roman" w:eastAsia="Times New Roman" w:hAnsi="Times New Roman"/>
                <w:sz w:val="20"/>
                <w:szCs w:val="20"/>
                <w:color w:val="auto"/>
                <w:w w:val="98"/>
              </w:rPr>
              <w:t>Less than 2</w:t>
            </w:r>
          </w:p>
        </w:tc>
        <w:tc>
          <w:tcPr>
            <w:tcW w:w="2500" w:type="dxa"/>
            <w:vAlign w:val="bottom"/>
            <w:gridSpan w:val="2"/>
            <w:shd w:val="clear" w:color="auto" w:fill="CCEEFF"/>
          </w:tcPr>
          <w:p>
            <w:pPr>
              <w:jc w:val="center"/>
              <w:ind w:left="1641"/>
              <w:spacing w:after="0" w:line="216" w:lineRule="exact"/>
              <w:rPr>
                <w:sz w:val="20"/>
                <w:szCs w:val="20"/>
                <w:color w:val="auto"/>
              </w:rPr>
            </w:pPr>
            <w:r>
              <w:rPr>
                <w:rFonts w:ascii="Times New Roman" w:cs="Times New Roman" w:eastAsia="Times New Roman" w:hAnsi="Times New Roman"/>
                <w:sz w:val="20"/>
                <w:szCs w:val="20"/>
                <w:color w:val="auto"/>
              </w:rPr>
              <w:t>0%</w:t>
            </w:r>
          </w:p>
        </w:tc>
        <w:tc>
          <w:tcPr>
            <w:tcW w:w="124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3180" w:type="dxa"/>
            <w:vAlign w:val="bottom"/>
            <w:gridSpan w:val="2"/>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2 but less than 3</w:t>
            </w:r>
          </w:p>
        </w:tc>
        <w:tc>
          <w:tcPr>
            <w:tcW w:w="2500" w:type="dxa"/>
            <w:vAlign w:val="bottom"/>
            <w:gridSpan w:val="2"/>
          </w:tcPr>
          <w:p>
            <w:pPr>
              <w:jc w:val="center"/>
              <w:ind w:left="1641"/>
              <w:spacing w:after="0" w:line="216" w:lineRule="exact"/>
              <w:rPr>
                <w:sz w:val="20"/>
                <w:szCs w:val="20"/>
                <w:color w:val="auto"/>
              </w:rPr>
            </w:pPr>
            <w:r>
              <w:rPr>
                <w:rFonts w:ascii="Times New Roman" w:cs="Times New Roman" w:eastAsia="Times New Roman" w:hAnsi="Times New Roman"/>
                <w:sz w:val="20"/>
                <w:szCs w:val="20"/>
                <w:color w:val="auto"/>
                <w:w w:val="98"/>
              </w:rPr>
              <w:t>20%</w:t>
            </w:r>
          </w:p>
        </w:tc>
        <w:tc>
          <w:tcPr>
            <w:tcW w:w="124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3 but less than 4</w:t>
            </w:r>
          </w:p>
        </w:tc>
        <w:tc>
          <w:tcPr>
            <w:tcW w:w="2500" w:type="dxa"/>
            <w:vAlign w:val="bottom"/>
            <w:gridSpan w:val="2"/>
            <w:shd w:val="clear" w:color="auto" w:fill="CCEEFF"/>
          </w:tcPr>
          <w:p>
            <w:pPr>
              <w:jc w:val="center"/>
              <w:ind w:left="1641"/>
              <w:spacing w:after="0" w:line="216" w:lineRule="exact"/>
              <w:rPr>
                <w:sz w:val="20"/>
                <w:szCs w:val="20"/>
                <w:color w:val="auto"/>
              </w:rPr>
            </w:pPr>
            <w:r>
              <w:rPr>
                <w:rFonts w:ascii="Times New Roman" w:cs="Times New Roman" w:eastAsia="Times New Roman" w:hAnsi="Times New Roman"/>
                <w:sz w:val="20"/>
                <w:szCs w:val="20"/>
                <w:color w:val="auto"/>
                <w:w w:val="98"/>
              </w:rPr>
              <w:t>40%</w:t>
            </w:r>
          </w:p>
        </w:tc>
        <w:tc>
          <w:tcPr>
            <w:tcW w:w="124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3180" w:type="dxa"/>
            <w:vAlign w:val="bottom"/>
            <w:gridSpan w:val="2"/>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4 but less than 5</w:t>
            </w:r>
          </w:p>
        </w:tc>
        <w:tc>
          <w:tcPr>
            <w:tcW w:w="2500" w:type="dxa"/>
            <w:vAlign w:val="bottom"/>
            <w:gridSpan w:val="2"/>
          </w:tcPr>
          <w:p>
            <w:pPr>
              <w:jc w:val="center"/>
              <w:ind w:left="1641"/>
              <w:spacing w:after="0" w:line="216" w:lineRule="exact"/>
              <w:rPr>
                <w:sz w:val="20"/>
                <w:szCs w:val="20"/>
                <w:color w:val="auto"/>
              </w:rPr>
            </w:pPr>
            <w:r>
              <w:rPr>
                <w:rFonts w:ascii="Times New Roman" w:cs="Times New Roman" w:eastAsia="Times New Roman" w:hAnsi="Times New Roman"/>
                <w:sz w:val="20"/>
                <w:szCs w:val="20"/>
                <w:color w:val="auto"/>
                <w:w w:val="98"/>
              </w:rPr>
              <w:t>60%</w:t>
            </w:r>
          </w:p>
        </w:tc>
        <w:tc>
          <w:tcPr>
            <w:tcW w:w="124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5 but less than 6</w:t>
            </w:r>
          </w:p>
        </w:tc>
        <w:tc>
          <w:tcPr>
            <w:tcW w:w="2500" w:type="dxa"/>
            <w:vAlign w:val="bottom"/>
            <w:gridSpan w:val="2"/>
            <w:shd w:val="clear" w:color="auto" w:fill="CCEEFF"/>
          </w:tcPr>
          <w:p>
            <w:pPr>
              <w:jc w:val="center"/>
              <w:ind w:left="1641"/>
              <w:spacing w:after="0" w:line="216" w:lineRule="exact"/>
              <w:rPr>
                <w:sz w:val="20"/>
                <w:szCs w:val="20"/>
                <w:color w:val="auto"/>
              </w:rPr>
            </w:pPr>
            <w:r>
              <w:rPr>
                <w:rFonts w:ascii="Times New Roman" w:cs="Times New Roman" w:eastAsia="Times New Roman" w:hAnsi="Times New Roman"/>
                <w:sz w:val="20"/>
                <w:szCs w:val="20"/>
                <w:color w:val="auto"/>
                <w:w w:val="98"/>
              </w:rPr>
              <w:t>80%</w:t>
            </w:r>
          </w:p>
        </w:tc>
        <w:tc>
          <w:tcPr>
            <w:tcW w:w="1240" w:type="dxa"/>
            <w:vAlign w:val="bottom"/>
            <w:shd w:val="clear" w:color="auto" w:fill="CCEEFF"/>
          </w:tcPr>
          <w:p>
            <w:pPr>
              <w:spacing w:after="0"/>
              <w:rPr>
                <w:sz w:val="18"/>
                <w:szCs w:val="18"/>
                <w:color w:val="auto"/>
              </w:rPr>
            </w:pPr>
          </w:p>
        </w:tc>
      </w:tr>
      <w:tr>
        <w:trPr>
          <w:trHeight w:val="258"/>
        </w:trPr>
        <w:tc>
          <w:tcPr>
            <w:tcW w:w="1520" w:type="dxa"/>
            <w:vAlign w:val="bottom"/>
          </w:tcPr>
          <w:p>
            <w:pPr>
              <w:spacing w:after="0"/>
              <w:rPr>
                <w:sz w:val="22"/>
                <w:szCs w:val="22"/>
                <w:color w:val="auto"/>
              </w:rPr>
            </w:pPr>
          </w:p>
        </w:tc>
        <w:tc>
          <w:tcPr>
            <w:tcW w:w="3180" w:type="dxa"/>
            <w:vAlign w:val="bottom"/>
            <w:gridSpan w:val="2"/>
          </w:tcPr>
          <w:p>
            <w:pPr>
              <w:jc w:val="center"/>
              <w:ind w:right="1740"/>
              <w:spacing w:after="0"/>
              <w:rPr>
                <w:sz w:val="20"/>
                <w:szCs w:val="20"/>
                <w:color w:val="auto"/>
              </w:rPr>
            </w:pPr>
            <w:r>
              <w:rPr>
                <w:rFonts w:ascii="Times New Roman" w:cs="Times New Roman" w:eastAsia="Times New Roman" w:hAnsi="Times New Roman"/>
                <w:sz w:val="20"/>
                <w:szCs w:val="20"/>
                <w:color w:val="auto"/>
                <w:w w:val="97"/>
              </w:rPr>
              <w:t>6 or more</w:t>
            </w:r>
          </w:p>
        </w:tc>
        <w:tc>
          <w:tcPr>
            <w:tcW w:w="2500" w:type="dxa"/>
            <w:vAlign w:val="bottom"/>
            <w:gridSpan w:val="2"/>
          </w:tcPr>
          <w:p>
            <w:pPr>
              <w:jc w:val="center"/>
              <w:ind w:left="1661"/>
              <w:spacing w:after="0"/>
              <w:rPr>
                <w:sz w:val="20"/>
                <w:szCs w:val="20"/>
                <w:color w:val="auto"/>
              </w:rPr>
            </w:pPr>
            <w:r>
              <w:rPr>
                <w:rFonts w:ascii="Times New Roman" w:cs="Times New Roman" w:eastAsia="Times New Roman" w:hAnsi="Times New Roman"/>
                <w:sz w:val="20"/>
                <w:szCs w:val="20"/>
                <w:color w:val="auto"/>
                <w:w w:val="98"/>
              </w:rPr>
              <w:t>100%</w:t>
            </w:r>
          </w:p>
        </w:tc>
        <w:tc>
          <w:tcPr>
            <w:tcW w:w="1240" w:type="dxa"/>
            <w:vAlign w:val="bottom"/>
          </w:tcPr>
          <w:p>
            <w:pPr>
              <w:spacing w:after="0"/>
              <w:rPr>
                <w:sz w:val="22"/>
                <w:szCs w:val="22"/>
                <w:color w:val="auto"/>
              </w:rPr>
            </w:pPr>
          </w:p>
        </w:tc>
      </w:tr>
    </w:tbl>
    <w:p>
      <w:pPr>
        <w:spacing w:after="0" w:line="137" w:lineRule="exact"/>
        <w:rPr>
          <w:sz w:val="20"/>
          <w:szCs w:val="20"/>
          <w:color w:val="auto"/>
        </w:rPr>
      </w:pPr>
    </w:p>
    <w:p>
      <w:pPr>
        <w:jc w:val="both"/>
        <w:ind w:left="1300"/>
        <w:spacing w:after="0"/>
        <w:rPr>
          <w:sz w:val="20"/>
          <w:szCs w:val="20"/>
          <w:color w:val="auto"/>
        </w:rPr>
      </w:pPr>
      <w:r>
        <w:rPr>
          <w:rFonts w:ascii="Times New Roman" w:cs="Times New Roman" w:eastAsia="Times New Roman" w:hAnsi="Times New Roman"/>
          <w:sz w:val="20"/>
          <w:szCs w:val="20"/>
          <w:color w:val="auto"/>
        </w:rPr>
        <w:t>Delta covered employees become 100% vested in their Essential 401(k) Plan matching contribution accounts following the completion of three years of service**. Vesting for Delta covered employees’ Delta Plan matching contribution accounts is in accordance with the following schedule:</w:t>
      </w:r>
    </w:p>
    <w:p>
      <w:pPr>
        <w:spacing w:after="0" w:line="10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Years of Service</w:t>
            </w:r>
          </w:p>
        </w:tc>
        <w:tc>
          <w:tcPr>
            <w:tcW w:w="5520" w:type="dxa"/>
            <w:vAlign w:val="bottom"/>
            <w:gridSpan w:val="3"/>
          </w:tcPr>
          <w:p>
            <w:pPr>
              <w:ind w:left="3540"/>
              <w:spacing w:after="0"/>
              <w:rPr>
                <w:sz w:val="20"/>
                <w:szCs w:val="20"/>
                <w:color w:val="auto"/>
              </w:rPr>
            </w:pPr>
            <w:r>
              <w:rPr>
                <w:rFonts w:ascii="Times New Roman" w:cs="Times New Roman" w:eastAsia="Times New Roman" w:hAnsi="Times New Roman"/>
                <w:sz w:val="20"/>
                <w:szCs w:val="20"/>
                <w:color w:val="auto"/>
              </w:rPr>
              <w:t>% Vested</w:t>
            </w:r>
          </w:p>
        </w:tc>
      </w:tr>
      <w:tr>
        <w:trPr>
          <w:trHeight w:val="20"/>
        </w:trPr>
        <w:tc>
          <w:tcPr>
            <w:tcW w:w="15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Less than 1</w:t>
            </w:r>
          </w:p>
        </w:tc>
        <w:tc>
          <w:tcPr>
            <w:tcW w:w="4280" w:type="dxa"/>
            <w:vAlign w:val="bottom"/>
            <w:gridSpan w:val="2"/>
            <w:shd w:val="clear" w:color="auto" w:fill="CCEEFF"/>
          </w:tcPr>
          <w:p>
            <w:pPr>
              <w:jc w:val="center"/>
              <w:ind w:left="3421"/>
              <w:spacing w:after="0" w:line="216" w:lineRule="exact"/>
              <w:rPr>
                <w:sz w:val="20"/>
                <w:szCs w:val="20"/>
                <w:color w:val="auto"/>
              </w:rPr>
            </w:pPr>
            <w:r>
              <w:rPr>
                <w:rFonts w:ascii="Times New Roman" w:cs="Times New Roman" w:eastAsia="Times New Roman" w:hAnsi="Times New Roman"/>
                <w:sz w:val="20"/>
                <w:szCs w:val="20"/>
                <w:color w:val="auto"/>
              </w:rPr>
              <w:t>0%</w:t>
            </w:r>
          </w:p>
        </w:tc>
        <w:tc>
          <w:tcPr>
            <w:tcW w:w="12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1 but less than 2</w:t>
            </w:r>
          </w:p>
        </w:tc>
        <w:tc>
          <w:tcPr>
            <w:tcW w:w="4280" w:type="dxa"/>
            <w:vAlign w:val="bottom"/>
            <w:gridSpan w:val="2"/>
          </w:tcPr>
          <w:p>
            <w:pPr>
              <w:jc w:val="center"/>
              <w:ind w:left="3421"/>
              <w:spacing w:after="0" w:line="216" w:lineRule="exact"/>
              <w:rPr>
                <w:sz w:val="20"/>
                <w:szCs w:val="20"/>
                <w:color w:val="auto"/>
              </w:rPr>
            </w:pPr>
            <w:r>
              <w:rPr>
                <w:rFonts w:ascii="Times New Roman" w:cs="Times New Roman" w:eastAsia="Times New Roman" w:hAnsi="Times New Roman"/>
                <w:sz w:val="20"/>
                <w:szCs w:val="20"/>
                <w:color w:val="auto"/>
                <w:w w:val="98"/>
              </w:rPr>
              <w:t>20%</w:t>
            </w:r>
          </w:p>
        </w:tc>
        <w:tc>
          <w:tcPr>
            <w:tcW w:w="12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 but less than 3</w:t>
            </w:r>
          </w:p>
        </w:tc>
        <w:tc>
          <w:tcPr>
            <w:tcW w:w="4280" w:type="dxa"/>
            <w:vAlign w:val="bottom"/>
            <w:gridSpan w:val="2"/>
            <w:shd w:val="clear" w:color="auto" w:fill="CCEEFF"/>
          </w:tcPr>
          <w:p>
            <w:pPr>
              <w:jc w:val="center"/>
              <w:ind w:left="3421"/>
              <w:spacing w:after="0" w:line="216" w:lineRule="exact"/>
              <w:rPr>
                <w:sz w:val="20"/>
                <w:szCs w:val="20"/>
                <w:color w:val="auto"/>
              </w:rPr>
            </w:pPr>
            <w:r>
              <w:rPr>
                <w:rFonts w:ascii="Times New Roman" w:cs="Times New Roman" w:eastAsia="Times New Roman" w:hAnsi="Times New Roman"/>
                <w:sz w:val="20"/>
                <w:szCs w:val="20"/>
                <w:color w:val="auto"/>
                <w:w w:val="98"/>
              </w:rPr>
              <w:t>40%</w:t>
            </w:r>
          </w:p>
        </w:tc>
        <w:tc>
          <w:tcPr>
            <w:tcW w:w="12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3 but less than 4</w:t>
            </w:r>
          </w:p>
        </w:tc>
        <w:tc>
          <w:tcPr>
            <w:tcW w:w="4280" w:type="dxa"/>
            <w:vAlign w:val="bottom"/>
            <w:gridSpan w:val="2"/>
          </w:tcPr>
          <w:p>
            <w:pPr>
              <w:jc w:val="center"/>
              <w:ind w:left="3421"/>
              <w:spacing w:after="0" w:line="216" w:lineRule="exact"/>
              <w:rPr>
                <w:sz w:val="20"/>
                <w:szCs w:val="20"/>
                <w:color w:val="auto"/>
              </w:rPr>
            </w:pPr>
            <w:r>
              <w:rPr>
                <w:rFonts w:ascii="Times New Roman" w:cs="Times New Roman" w:eastAsia="Times New Roman" w:hAnsi="Times New Roman"/>
                <w:sz w:val="20"/>
                <w:szCs w:val="20"/>
                <w:color w:val="auto"/>
                <w:w w:val="98"/>
              </w:rPr>
              <w:t>60%</w:t>
            </w:r>
          </w:p>
        </w:tc>
        <w:tc>
          <w:tcPr>
            <w:tcW w:w="12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4 but less than 5</w:t>
            </w:r>
          </w:p>
        </w:tc>
        <w:tc>
          <w:tcPr>
            <w:tcW w:w="4280" w:type="dxa"/>
            <w:vAlign w:val="bottom"/>
            <w:gridSpan w:val="2"/>
            <w:shd w:val="clear" w:color="auto" w:fill="CCEEFF"/>
          </w:tcPr>
          <w:p>
            <w:pPr>
              <w:jc w:val="center"/>
              <w:ind w:left="3421"/>
              <w:spacing w:after="0" w:line="216" w:lineRule="exact"/>
              <w:rPr>
                <w:sz w:val="20"/>
                <w:szCs w:val="20"/>
                <w:color w:val="auto"/>
              </w:rPr>
            </w:pPr>
            <w:r>
              <w:rPr>
                <w:rFonts w:ascii="Times New Roman" w:cs="Times New Roman" w:eastAsia="Times New Roman" w:hAnsi="Times New Roman"/>
                <w:sz w:val="20"/>
                <w:szCs w:val="20"/>
                <w:color w:val="auto"/>
                <w:w w:val="98"/>
              </w:rPr>
              <w:t>80%</w:t>
            </w:r>
          </w:p>
        </w:tc>
        <w:tc>
          <w:tcPr>
            <w:tcW w:w="1240" w:type="dxa"/>
            <w:vAlign w:val="bottom"/>
            <w:shd w:val="clear" w:color="auto" w:fill="CCEEFF"/>
          </w:tcPr>
          <w:p>
            <w:pPr>
              <w:spacing w:after="0"/>
              <w:rPr>
                <w:sz w:val="18"/>
                <w:szCs w:val="18"/>
                <w:color w:val="auto"/>
              </w:rPr>
            </w:pPr>
          </w:p>
        </w:tc>
      </w:tr>
      <w:tr>
        <w:trPr>
          <w:trHeight w:val="258"/>
        </w:trPr>
        <w:tc>
          <w:tcPr>
            <w:tcW w:w="15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or more</w:t>
            </w:r>
          </w:p>
        </w:tc>
        <w:tc>
          <w:tcPr>
            <w:tcW w:w="4280" w:type="dxa"/>
            <w:vAlign w:val="bottom"/>
            <w:gridSpan w:val="2"/>
          </w:tcPr>
          <w:p>
            <w:pPr>
              <w:jc w:val="center"/>
              <w:ind w:left="3441"/>
              <w:spacing w:after="0"/>
              <w:rPr>
                <w:sz w:val="20"/>
                <w:szCs w:val="20"/>
                <w:color w:val="auto"/>
              </w:rPr>
            </w:pPr>
            <w:r>
              <w:rPr>
                <w:rFonts w:ascii="Times New Roman" w:cs="Times New Roman" w:eastAsia="Times New Roman" w:hAnsi="Times New Roman"/>
                <w:sz w:val="20"/>
                <w:szCs w:val="20"/>
                <w:color w:val="auto"/>
                <w:w w:val="98"/>
              </w:rPr>
              <w:t>100%</w:t>
            </w:r>
          </w:p>
        </w:tc>
        <w:tc>
          <w:tcPr>
            <w:tcW w:w="1240" w:type="dxa"/>
            <w:vAlign w:val="bottom"/>
          </w:tcPr>
          <w:p>
            <w:pPr>
              <w:spacing w:after="0"/>
              <w:rPr>
                <w:sz w:val="22"/>
                <w:szCs w:val="22"/>
                <w:color w:val="auto"/>
              </w:rPr>
            </w:pPr>
          </w:p>
        </w:tc>
      </w:tr>
    </w:tbl>
    <w:p>
      <w:pPr>
        <w:spacing w:after="0" w:line="137" w:lineRule="exact"/>
        <w:rPr>
          <w:sz w:val="20"/>
          <w:szCs w:val="20"/>
          <w:color w:val="auto"/>
        </w:rPr>
      </w:pPr>
    </w:p>
    <w:p>
      <w:pPr>
        <w:ind w:left="1300" w:right="260"/>
        <w:spacing w:after="0" w:line="255" w:lineRule="auto"/>
        <w:rPr>
          <w:sz w:val="20"/>
          <w:szCs w:val="20"/>
          <w:color w:val="auto"/>
        </w:rPr>
      </w:pPr>
      <w:r>
        <w:rPr>
          <w:rFonts w:ascii="Times New Roman" w:cs="Times New Roman" w:eastAsia="Times New Roman" w:hAnsi="Times New Roman"/>
          <w:sz w:val="20"/>
          <w:szCs w:val="20"/>
          <w:color w:val="auto"/>
        </w:rPr>
        <w:t>Vesting for Delta covered employees’ Delta Plan profit sharing contribution accounts is in accordance with the following schedule:</w:t>
      </w:r>
    </w:p>
    <w:p>
      <w:pPr>
        <w:spacing w:after="0" w:line="8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7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w w:val="96"/>
              </w:rPr>
              <w:t>Years of Service**</w:t>
            </w:r>
          </w:p>
        </w:tc>
        <w:tc>
          <w:tcPr>
            <w:tcW w:w="3720" w:type="dxa"/>
            <w:vAlign w:val="bottom"/>
            <w:gridSpan w:val="3"/>
          </w:tcPr>
          <w:p>
            <w:pPr>
              <w:ind w:left="1740"/>
              <w:spacing w:after="0"/>
              <w:rPr>
                <w:sz w:val="20"/>
                <w:szCs w:val="20"/>
                <w:color w:val="auto"/>
              </w:rPr>
            </w:pPr>
            <w:r>
              <w:rPr>
                <w:rFonts w:ascii="Times New Roman" w:cs="Times New Roman" w:eastAsia="Times New Roman" w:hAnsi="Times New Roman"/>
                <w:sz w:val="20"/>
                <w:szCs w:val="20"/>
                <w:color w:val="auto"/>
              </w:rPr>
              <w:t>% Vested</w:t>
            </w:r>
          </w:p>
        </w:tc>
      </w:tr>
      <w:tr>
        <w:trPr>
          <w:trHeight w:val="20"/>
        </w:trPr>
        <w:tc>
          <w:tcPr>
            <w:tcW w:w="150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1760"/>
              <w:spacing w:after="0" w:line="216" w:lineRule="exact"/>
              <w:rPr>
                <w:sz w:val="20"/>
                <w:szCs w:val="20"/>
                <w:color w:val="auto"/>
              </w:rPr>
            </w:pPr>
            <w:r>
              <w:rPr>
                <w:rFonts w:ascii="Times New Roman" w:cs="Times New Roman" w:eastAsia="Times New Roman" w:hAnsi="Times New Roman"/>
                <w:sz w:val="20"/>
                <w:szCs w:val="20"/>
                <w:color w:val="auto"/>
                <w:w w:val="98"/>
              </w:rPr>
              <w:t>Less than 2</w:t>
            </w:r>
          </w:p>
        </w:tc>
        <w:tc>
          <w:tcPr>
            <w:tcW w:w="2480" w:type="dxa"/>
            <w:vAlign w:val="bottom"/>
            <w:gridSpan w:val="2"/>
            <w:shd w:val="clear" w:color="auto" w:fill="CCEEFF"/>
          </w:tcPr>
          <w:p>
            <w:pPr>
              <w:jc w:val="center"/>
              <w:ind w:left="1621"/>
              <w:spacing w:after="0" w:line="216" w:lineRule="exact"/>
              <w:rPr>
                <w:sz w:val="20"/>
                <w:szCs w:val="20"/>
                <w:color w:val="auto"/>
              </w:rPr>
            </w:pPr>
            <w:r>
              <w:rPr>
                <w:rFonts w:ascii="Times New Roman" w:cs="Times New Roman" w:eastAsia="Times New Roman" w:hAnsi="Times New Roman"/>
                <w:sz w:val="20"/>
                <w:szCs w:val="20"/>
                <w:color w:val="auto"/>
              </w:rPr>
              <w:t>0%</w:t>
            </w:r>
          </w:p>
        </w:tc>
        <w:tc>
          <w:tcPr>
            <w:tcW w:w="124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20" w:type="dxa"/>
            <w:vAlign w:val="bottom"/>
            <w:gridSpan w:val="2"/>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2 but less than 3</w:t>
            </w:r>
          </w:p>
        </w:tc>
        <w:tc>
          <w:tcPr>
            <w:tcW w:w="2480" w:type="dxa"/>
            <w:vAlign w:val="bottom"/>
            <w:gridSpan w:val="2"/>
          </w:tcPr>
          <w:p>
            <w:pPr>
              <w:jc w:val="center"/>
              <w:ind w:left="1621"/>
              <w:spacing w:after="0" w:line="216" w:lineRule="exact"/>
              <w:rPr>
                <w:sz w:val="20"/>
                <w:szCs w:val="20"/>
                <w:color w:val="auto"/>
              </w:rPr>
            </w:pPr>
            <w:r>
              <w:rPr>
                <w:rFonts w:ascii="Times New Roman" w:cs="Times New Roman" w:eastAsia="Times New Roman" w:hAnsi="Times New Roman"/>
                <w:sz w:val="20"/>
                <w:szCs w:val="20"/>
                <w:color w:val="auto"/>
                <w:w w:val="98"/>
              </w:rPr>
              <w:t>20%</w:t>
            </w:r>
          </w:p>
        </w:tc>
        <w:tc>
          <w:tcPr>
            <w:tcW w:w="124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3 but less than 4</w:t>
            </w:r>
          </w:p>
        </w:tc>
        <w:tc>
          <w:tcPr>
            <w:tcW w:w="2480" w:type="dxa"/>
            <w:vAlign w:val="bottom"/>
            <w:gridSpan w:val="2"/>
            <w:shd w:val="clear" w:color="auto" w:fill="CCEEFF"/>
          </w:tcPr>
          <w:p>
            <w:pPr>
              <w:jc w:val="center"/>
              <w:ind w:left="1621"/>
              <w:spacing w:after="0" w:line="216" w:lineRule="exact"/>
              <w:rPr>
                <w:sz w:val="20"/>
                <w:szCs w:val="20"/>
                <w:color w:val="auto"/>
              </w:rPr>
            </w:pPr>
            <w:r>
              <w:rPr>
                <w:rFonts w:ascii="Times New Roman" w:cs="Times New Roman" w:eastAsia="Times New Roman" w:hAnsi="Times New Roman"/>
                <w:sz w:val="20"/>
                <w:szCs w:val="20"/>
                <w:color w:val="auto"/>
                <w:w w:val="98"/>
              </w:rPr>
              <w:t>40%</w:t>
            </w:r>
          </w:p>
        </w:tc>
        <w:tc>
          <w:tcPr>
            <w:tcW w:w="124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20" w:type="dxa"/>
            <w:vAlign w:val="bottom"/>
            <w:gridSpan w:val="2"/>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4 but less than 5</w:t>
            </w:r>
          </w:p>
        </w:tc>
        <w:tc>
          <w:tcPr>
            <w:tcW w:w="2480" w:type="dxa"/>
            <w:vAlign w:val="bottom"/>
            <w:gridSpan w:val="2"/>
          </w:tcPr>
          <w:p>
            <w:pPr>
              <w:jc w:val="center"/>
              <w:ind w:left="1621"/>
              <w:spacing w:after="0" w:line="216" w:lineRule="exact"/>
              <w:rPr>
                <w:sz w:val="20"/>
                <w:szCs w:val="20"/>
                <w:color w:val="auto"/>
              </w:rPr>
            </w:pPr>
            <w:r>
              <w:rPr>
                <w:rFonts w:ascii="Times New Roman" w:cs="Times New Roman" w:eastAsia="Times New Roman" w:hAnsi="Times New Roman"/>
                <w:sz w:val="20"/>
                <w:szCs w:val="20"/>
                <w:color w:val="auto"/>
                <w:w w:val="98"/>
              </w:rPr>
              <w:t>60%</w:t>
            </w:r>
          </w:p>
        </w:tc>
        <w:tc>
          <w:tcPr>
            <w:tcW w:w="124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1740"/>
              <w:spacing w:after="0" w:line="216" w:lineRule="exact"/>
              <w:rPr>
                <w:sz w:val="20"/>
                <w:szCs w:val="20"/>
                <w:color w:val="auto"/>
              </w:rPr>
            </w:pPr>
            <w:r>
              <w:rPr>
                <w:rFonts w:ascii="Times New Roman" w:cs="Times New Roman" w:eastAsia="Times New Roman" w:hAnsi="Times New Roman"/>
                <w:sz w:val="20"/>
                <w:szCs w:val="20"/>
                <w:color w:val="auto"/>
                <w:w w:val="98"/>
              </w:rPr>
              <w:t>5 but less than 6</w:t>
            </w:r>
          </w:p>
        </w:tc>
        <w:tc>
          <w:tcPr>
            <w:tcW w:w="2480" w:type="dxa"/>
            <w:vAlign w:val="bottom"/>
            <w:gridSpan w:val="2"/>
            <w:shd w:val="clear" w:color="auto" w:fill="CCEEFF"/>
          </w:tcPr>
          <w:p>
            <w:pPr>
              <w:jc w:val="center"/>
              <w:ind w:left="1621"/>
              <w:spacing w:after="0" w:line="216" w:lineRule="exact"/>
              <w:rPr>
                <w:sz w:val="20"/>
                <w:szCs w:val="20"/>
                <w:color w:val="auto"/>
              </w:rPr>
            </w:pPr>
            <w:r>
              <w:rPr>
                <w:rFonts w:ascii="Times New Roman" w:cs="Times New Roman" w:eastAsia="Times New Roman" w:hAnsi="Times New Roman"/>
                <w:sz w:val="20"/>
                <w:szCs w:val="20"/>
                <w:color w:val="auto"/>
                <w:w w:val="98"/>
              </w:rPr>
              <w:t>80%</w:t>
            </w:r>
          </w:p>
        </w:tc>
        <w:tc>
          <w:tcPr>
            <w:tcW w:w="1240" w:type="dxa"/>
            <w:vAlign w:val="bottom"/>
            <w:shd w:val="clear" w:color="auto" w:fill="CCEEFF"/>
          </w:tcPr>
          <w:p>
            <w:pPr>
              <w:spacing w:after="0"/>
              <w:rPr>
                <w:sz w:val="18"/>
                <w:szCs w:val="18"/>
                <w:color w:val="auto"/>
              </w:rPr>
            </w:pPr>
          </w:p>
        </w:tc>
      </w:tr>
      <w:tr>
        <w:trPr>
          <w:trHeight w:val="258"/>
        </w:trPr>
        <w:tc>
          <w:tcPr>
            <w:tcW w:w="1500" w:type="dxa"/>
            <w:vAlign w:val="bottom"/>
          </w:tcPr>
          <w:p>
            <w:pPr>
              <w:spacing w:after="0"/>
              <w:rPr>
                <w:sz w:val="22"/>
                <w:szCs w:val="22"/>
                <w:color w:val="auto"/>
              </w:rPr>
            </w:pPr>
          </w:p>
        </w:tc>
        <w:tc>
          <w:tcPr>
            <w:tcW w:w="3220" w:type="dxa"/>
            <w:vAlign w:val="bottom"/>
            <w:gridSpan w:val="2"/>
          </w:tcPr>
          <w:p>
            <w:pPr>
              <w:jc w:val="center"/>
              <w:ind w:right="1740"/>
              <w:spacing w:after="0"/>
              <w:rPr>
                <w:sz w:val="20"/>
                <w:szCs w:val="20"/>
                <w:color w:val="auto"/>
              </w:rPr>
            </w:pPr>
            <w:r>
              <w:rPr>
                <w:rFonts w:ascii="Times New Roman" w:cs="Times New Roman" w:eastAsia="Times New Roman" w:hAnsi="Times New Roman"/>
                <w:sz w:val="20"/>
                <w:szCs w:val="20"/>
                <w:color w:val="auto"/>
                <w:w w:val="97"/>
              </w:rPr>
              <w:t>6 or more</w:t>
            </w:r>
          </w:p>
        </w:tc>
        <w:tc>
          <w:tcPr>
            <w:tcW w:w="2480" w:type="dxa"/>
            <w:vAlign w:val="bottom"/>
            <w:gridSpan w:val="2"/>
          </w:tcPr>
          <w:p>
            <w:pPr>
              <w:jc w:val="center"/>
              <w:ind w:left="1641"/>
              <w:spacing w:after="0"/>
              <w:rPr>
                <w:sz w:val="20"/>
                <w:szCs w:val="20"/>
                <w:color w:val="auto"/>
              </w:rPr>
            </w:pPr>
            <w:r>
              <w:rPr>
                <w:rFonts w:ascii="Times New Roman" w:cs="Times New Roman" w:eastAsia="Times New Roman" w:hAnsi="Times New Roman"/>
                <w:sz w:val="20"/>
                <w:szCs w:val="20"/>
                <w:color w:val="auto"/>
                <w:w w:val="98"/>
              </w:rPr>
              <w:t>100%</w:t>
            </w:r>
          </w:p>
        </w:tc>
        <w:tc>
          <w:tcPr>
            <w:tcW w:w="1240" w:type="dxa"/>
            <w:vAlign w:val="bottom"/>
          </w:tcPr>
          <w:p>
            <w:pPr>
              <w:spacing w:after="0"/>
              <w:rPr>
                <w:sz w:val="22"/>
                <w:szCs w:val="22"/>
                <w:color w:val="auto"/>
              </w:rPr>
            </w:pPr>
          </w:p>
        </w:tc>
      </w:tr>
    </w:tbl>
    <w:p>
      <w:pPr>
        <w:spacing w:after="0" w:line="38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Effective July 1, 2022, a “year of service” for vesting purposes is based on anniversary date.</w:t>
      </w:r>
    </w:p>
    <w:p>
      <w:pPr>
        <w:spacing w:after="0" w:line="2" w:lineRule="exact"/>
        <w:rPr>
          <w:sz w:val="20"/>
          <w:szCs w:val="20"/>
          <w:color w:val="auto"/>
        </w:rPr>
      </w:pPr>
    </w:p>
    <w:p>
      <w:pPr>
        <w:ind w:left="1620" w:right="1840" w:hanging="225"/>
        <w:spacing w:after="0" w:line="233"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of service” for vesting purposes shall mean periods on or after July 1, 2022 and period of service for vesting credited under their predecessor plan as of June 30, 2022.</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Matching contributions and performance contributions are made in the form of cash.  Discretionary contributions may be</w:t>
      </w:r>
    </w:p>
    <w:p>
      <w:pPr>
        <w:spacing w:after="0" w:line="8" w:lineRule="exact"/>
        <w:rPr>
          <w:sz w:val="20"/>
          <w:szCs w:val="20"/>
          <w:color w:val="auto"/>
        </w:rPr>
      </w:pPr>
    </w:p>
    <w:p>
      <w:pPr>
        <w:jc w:val="both"/>
        <w:ind w:left="1300" w:right="20"/>
        <w:spacing w:after="0" w:line="228" w:lineRule="auto"/>
        <w:rPr>
          <w:sz w:val="20"/>
          <w:szCs w:val="20"/>
          <w:color w:val="auto"/>
        </w:rPr>
      </w:pPr>
      <w:r>
        <w:rPr>
          <w:rFonts w:ascii="Times New Roman" w:cs="Times New Roman" w:eastAsia="Times New Roman" w:hAnsi="Times New Roman"/>
          <w:sz w:val="20"/>
          <w:szCs w:val="20"/>
          <w:color w:val="auto"/>
        </w:rPr>
        <w:t>made in cash into participant directed accounts. Each participant may elect to transfer amounts in their account invested in common stock to another investment option under the Plan, subject to procedures established by the Plan Administrator.</w:t>
      </w:r>
    </w:p>
    <w:p>
      <w:pPr>
        <w:spacing w:after="0" w:line="176"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Participants who are 100% vested in employer contributions have an opportunity to elect that any dividends with respect to Essential Utilities, Inc. common stock held be paid in cash to the participant’s account or allocated to their investment mix held by the Trustee rather than allocated to their account for investment in additional shares of Essential Utilities, Inc. common stock.</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85" w:lineRule="exact"/>
        <w:rPr>
          <w:sz w:val="20"/>
          <w:szCs w:val="20"/>
          <w:color w:val="auto"/>
        </w:rPr>
      </w:pPr>
    </w:p>
    <w:p>
      <w:pPr>
        <w:jc w:val="both"/>
        <w:ind w:left="1300"/>
        <w:spacing w:after="0" w:line="230" w:lineRule="auto"/>
        <w:rPr>
          <w:sz w:val="20"/>
          <w:szCs w:val="20"/>
          <w:color w:val="auto"/>
        </w:rPr>
      </w:pPr>
      <w:r>
        <w:rPr>
          <w:rFonts w:ascii="Times New Roman" w:cs="Times New Roman" w:eastAsia="Times New Roman" w:hAnsi="Times New Roman"/>
          <w:sz w:val="20"/>
          <w:szCs w:val="20"/>
          <w:color w:val="auto"/>
        </w:rPr>
        <w:t>Distributions from the Plan are normally made shortly after the participant’s retirement, disability, or death. If the participant’s account balance does not exceed $1,000, the participant will receive a lump-sum distribution as soon as practicable following termination of employment. If the account balance is less than $5,000 and the participant does not elect to receive the distribution directly, then the Trustee will pay the distribution in a direct rollover to an individual retirement plan designated by the Plan Administrator. Withdrawals will be made in cash or shares of Essential Utilities, Inc.</w:t>
      </w:r>
    </w:p>
    <w:p>
      <w:pPr>
        <w:jc w:val="both"/>
        <w:ind w:left="1300"/>
        <w:spacing w:after="0" w:line="228" w:lineRule="auto"/>
        <w:rPr>
          <w:sz w:val="20"/>
          <w:szCs w:val="20"/>
          <w:color w:val="auto"/>
        </w:rPr>
      </w:pPr>
      <w:r>
        <w:rPr>
          <w:rFonts w:ascii="Times New Roman" w:cs="Times New Roman" w:eastAsia="Times New Roman" w:hAnsi="Times New Roman"/>
          <w:sz w:val="20"/>
          <w:szCs w:val="20"/>
          <w:color w:val="auto"/>
        </w:rPr>
        <w:t>common stock, to the extent permitted by law. Under certain circumstances, a participant may withdraw all or a portion of the employee contributions while still employed.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9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0"/>
          <w:szCs w:val="20"/>
          <w:color w:val="auto"/>
        </w:rPr>
        <w:t>Participants may borrow funds from their account balance in amounts that do not exceed the lesser of $50,000 or 50% of their vested account balance for a period not to exceed five years, unless the note is used to purchase the participant’s principal residence. Participants are only allowed to have one loan, with the exception of loans assumed from acquired</w:t>
      </w:r>
    </w:p>
    <w:p>
      <w:pPr>
        <w:jc w:val="both"/>
        <w:ind w:left="1300" w:right="20"/>
        <w:spacing w:after="0" w:line="218" w:lineRule="auto"/>
        <w:rPr>
          <w:sz w:val="20"/>
          <w:szCs w:val="20"/>
          <w:color w:val="auto"/>
        </w:rPr>
      </w:pPr>
      <w:r>
        <w:rPr>
          <w:rFonts w:ascii="Times New Roman" w:cs="Times New Roman" w:eastAsia="Times New Roman" w:hAnsi="Times New Roman"/>
          <w:sz w:val="20"/>
          <w:szCs w:val="20"/>
          <w:color w:val="auto"/>
        </w:rPr>
        <w:t>plans, in which the participant would be required to pay-off prior loans before taking new loan, and loans by 612 union participants, in which their collective bargaining agreements allows up to two loans. Repayment for active employees is</w:t>
      </w:r>
    </w:p>
    <w:p>
      <w:pPr>
        <w:spacing w:after="0" w:line="1" w:lineRule="exact"/>
        <w:rPr>
          <w:sz w:val="20"/>
          <w:szCs w:val="20"/>
          <w:color w:val="auto"/>
        </w:rPr>
      </w:pPr>
    </w:p>
    <w:p>
      <w:pPr>
        <w:jc w:val="both"/>
        <w:ind w:left="1300" w:right="20"/>
        <w:spacing w:after="0" w:line="236" w:lineRule="auto"/>
        <w:rPr>
          <w:sz w:val="20"/>
          <w:szCs w:val="20"/>
          <w:color w:val="auto"/>
        </w:rPr>
      </w:pPr>
      <w:r>
        <w:rPr>
          <w:rFonts w:ascii="Times New Roman" w:cs="Times New Roman" w:eastAsia="Times New Roman" w:hAnsi="Times New Roman"/>
          <w:sz w:val="20"/>
          <w:szCs w:val="20"/>
          <w:color w:val="auto"/>
        </w:rPr>
        <w:t>made through payroll deductions. The notes are secured by the balance in the participant’s account and bear interest based on the prime rate. As of December 31, 2025, the notes bear interest at rates that range from 4.25% to 8.50%.</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Plan Forfeitures</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Participants who take a distribution prior to being fully vested forfeit their portion of non-vested employer contributions</w:t>
      </w:r>
    </w:p>
    <w:p>
      <w:pPr>
        <w:spacing w:after="0" w:line="8" w:lineRule="exact"/>
        <w:rPr>
          <w:sz w:val="20"/>
          <w:szCs w:val="20"/>
          <w:color w:val="auto"/>
        </w:rPr>
      </w:pPr>
    </w:p>
    <w:p>
      <w:pPr>
        <w:jc w:val="both"/>
        <w:ind w:left="1300"/>
        <w:spacing w:after="0" w:line="229" w:lineRule="auto"/>
        <w:rPr>
          <w:sz w:val="20"/>
          <w:szCs w:val="20"/>
          <w:color w:val="auto"/>
        </w:rPr>
      </w:pPr>
      <w:r>
        <w:rPr>
          <w:rFonts w:ascii="Times New Roman" w:cs="Times New Roman" w:eastAsia="Times New Roman" w:hAnsi="Times New Roman"/>
          <w:sz w:val="19"/>
          <w:szCs w:val="19"/>
          <w:color w:val="auto"/>
        </w:rPr>
        <w:t>unless they resume employment as a Covered Employee and repay the full amount of the distribution to the Plan prior to the earlier of (a) five years after the date on which they were reemployed, or (b) the close of the first period of five consecutive</w:t>
      </w:r>
    </w:p>
    <w:p>
      <w:pPr>
        <w:spacing w:after="0" w:line="2"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one-year breaks in service, commencing after the distribution, in which case the non-vested amount, unadjusted by any subsequent gains or losses, shall be restored.</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Forfeited non-vested accounts are used first to restore any non-vested amounts and shall then be applied as promptly as</w:t>
      </w:r>
    </w:p>
    <w:p>
      <w:pPr>
        <w:spacing w:after="0" w:line="8" w:lineRule="exact"/>
        <w:rPr>
          <w:sz w:val="20"/>
          <w:szCs w:val="20"/>
          <w:color w:val="auto"/>
        </w:rPr>
      </w:pPr>
    </w:p>
    <w:p>
      <w:pPr>
        <w:jc w:val="both"/>
        <w:ind w:left="1300"/>
        <w:spacing w:after="0" w:line="218" w:lineRule="auto"/>
        <w:rPr>
          <w:sz w:val="20"/>
          <w:szCs w:val="20"/>
          <w:color w:val="auto"/>
        </w:rPr>
      </w:pPr>
      <w:r>
        <w:rPr>
          <w:rFonts w:ascii="Times New Roman" w:cs="Times New Roman" w:eastAsia="Times New Roman" w:hAnsi="Times New Roman"/>
          <w:sz w:val="20"/>
          <w:szCs w:val="20"/>
          <w:color w:val="auto"/>
        </w:rPr>
        <w:t>practicable to reduce employer contributions and/or to pay Plan administrative expenses. During the year ended December 31, 2025, employer matching contributions were reduced by $534,489, and administrative expenses were reduced by</w:t>
      </w:r>
    </w:p>
    <w:p>
      <w:pPr>
        <w:spacing w:after="0" w:line="1"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0"/>
          <w:szCs w:val="20"/>
          <w:color w:val="auto"/>
        </w:rPr>
        <w:t>$412,105 from forfeited non-vested accounts. As of December 31, 2025 and 2024, the balance in the forfeiture account was $110,378 and $226,464, respectively</w:t>
      </w:r>
      <w:r>
        <w:rPr>
          <w:rFonts w:ascii="Times New Roman" w:cs="Times New Roman" w:eastAsia="Times New Roman" w:hAnsi="Times New Roman"/>
          <w:sz w:val="16"/>
          <w:szCs w:val="16"/>
          <w:i w:val="1"/>
          <w:iCs w:val="1"/>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06"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20"/>
          <w:szCs w:val="20"/>
          <w:color w:val="auto"/>
        </w:rPr>
        <w:t>A summary of the significant accounting policies consistently applied in the preparation of the accompanying financial statements follows: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Basis of Accounting</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accompanying financial statements have been prepared using the accrual basis of accounting.</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9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0"/>
          <w:szCs w:val="20"/>
          <w:color w:val="auto"/>
        </w:rPr>
        <w:t>The preparation of the financial statements, in conformity with accounting principles generally accepted in the United States of America, requires Plan management to make estimates and assumptions that affect the reported amounts of assets and liabilities and disclosure at the date of the financial statements, as well as reported amounts of additions and deductions</w:t>
      </w:r>
    </w:p>
    <w:p>
      <w:pPr>
        <w:jc w:val="both"/>
        <w:ind w:left="1300"/>
        <w:spacing w:after="0" w:line="228" w:lineRule="auto"/>
        <w:rPr>
          <w:sz w:val="20"/>
          <w:szCs w:val="20"/>
          <w:color w:val="auto"/>
        </w:rPr>
      </w:pPr>
      <w:r>
        <w:rPr>
          <w:rFonts w:ascii="Times New Roman" w:cs="Times New Roman" w:eastAsia="Times New Roman" w:hAnsi="Times New Roman"/>
          <w:sz w:val="20"/>
          <w:szCs w:val="20"/>
          <w:color w:val="auto"/>
        </w:rPr>
        <w:t>during the reporting period. Significant estimates include the determination of the fair value of Plan assets. Actual results could differ from these estimates.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9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0"/>
          <w:szCs w:val="20"/>
          <w:color w:val="auto"/>
        </w:rPr>
        <w:t>The Plan is administered by the Retirement and Employee Benefits Committee (the “Committee”) consisting of three or more individuals selected by and who may be removed at any time by the Board of Directors of Essential Utilities, Inc. The Committee members may be employees of Essential Utilities, Inc. and may be participants in the Plan. The Committee</w:t>
      </w:r>
    </w:p>
    <w:p>
      <w:pPr>
        <w:jc w:val="both"/>
        <w:ind w:left="1300"/>
        <w:spacing w:after="0" w:line="218" w:lineRule="auto"/>
        <w:rPr>
          <w:sz w:val="20"/>
          <w:szCs w:val="20"/>
          <w:color w:val="auto"/>
        </w:rPr>
      </w:pPr>
      <w:r>
        <w:rPr>
          <w:rFonts w:ascii="Times New Roman" w:cs="Times New Roman" w:eastAsia="Times New Roman" w:hAnsi="Times New Roman"/>
          <w:sz w:val="20"/>
          <w:szCs w:val="20"/>
          <w:color w:val="auto"/>
        </w:rPr>
        <w:t>members receive no compensation from the Plan for their services in such capacity. The Committee has extensive administrative powers in connection with the Plan, including authority to interpret the provisions of the Plan, to adopt rules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its administration and to make other decisions with respect to the Plan.</w:t>
      </w:r>
    </w:p>
    <w:p>
      <w:pPr>
        <w:spacing w:after="0" w:line="180" w:lineRule="exact"/>
        <w:rPr>
          <w:sz w:val="20"/>
          <w:szCs w:val="20"/>
          <w:color w:val="auto"/>
        </w:rPr>
      </w:pPr>
    </w:p>
    <w:p>
      <w:pPr>
        <w:jc w:val="both"/>
        <w:ind w:left="1300" w:right="20"/>
        <w:spacing w:after="0" w:line="255" w:lineRule="auto"/>
        <w:rPr>
          <w:sz w:val="20"/>
          <w:szCs w:val="20"/>
          <w:color w:val="auto"/>
        </w:rPr>
      </w:pPr>
      <w:r>
        <w:rPr>
          <w:rFonts w:ascii="Times New Roman" w:cs="Times New Roman" w:eastAsia="Times New Roman" w:hAnsi="Times New Roman"/>
          <w:sz w:val="20"/>
          <w:szCs w:val="20"/>
          <w:color w:val="auto"/>
        </w:rPr>
        <w:t>The Trustee for the Plan invests the Plan’s funds as instructed by participants. The Trustee invests funds received from contributions, investment sales, interest, and dividend income and makes distribution payments to participants.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Certain administrative expenses of the Plan are paid by the Company.  The Company may, at its discretion, elect to have</w:t>
      </w:r>
    </w:p>
    <w:p>
      <w:pPr>
        <w:spacing w:after="0" w:line="8"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20"/>
          <w:szCs w:val="20"/>
          <w:color w:val="auto"/>
        </w:rPr>
        <w:t>certain administrative expenses reimbursed by the forfeiture account, Administrative Budget, or Revenue Credit Program account funded by the Trustee.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Investment Valuation and Income Recognition</w:t>
      </w:r>
    </w:p>
    <w:p>
      <w:pPr>
        <w:spacing w:after="0" w:line="98"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The Plan’s 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advisors and Trustee. See Note 3 – "Fair Value Measurements" for a discussion on fair value measurements.</w:t>
      </w:r>
    </w:p>
    <w:p>
      <w:pPr>
        <w:spacing w:after="0" w:line="162"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9"/>
          <w:szCs w:val="19"/>
          <w:color w:val="auto"/>
        </w:rPr>
        <w:t>On occasion, trades or fund exchanges initiated by a Plan participant may not settle by the last day of a calendar year but will settle in the subsequent Plan year. In that event, the participant’s account is credited with the cash value of such trades and fund exchanges and the cash is reported as cash and cash equivalents on the Statements of Net Assets Available for Benefits.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96"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Dividend income is recorded on the ex-dividend date. Interest income is recorded on the accrual basis. Realized gains and losses on the sale of Essential Utilities, Inc. common stock are based on average cost of the securities sold. Net appreciation</w:t>
      </w:r>
    </w:p>
    <w:p>
      <w:pPr>
        <w:spacing w:after="0" w:line="2" w:lineRule="exact"/>
        <w:rPr>
          <w:sz w:val="20"/>
          <w:szCs w:val="20"/>
          <w:color w:val="auto"/>
        </w:rPr>
      </w:pPr>
    </w:p>
    <w:p>
      <w:pPr>
        <w:jc w:val="both"/>
        <w:ind w:left="1300" w:right="20"/>
        <w:spacing w:after="0" w:line="228" w:lineRule="auto"/>
        <w:rPr>
          <w:sz w:val="20"/>
          <w:szCs w:val="20"/>
          <w:color w:val="auto"/>
        </w:rPr>
      </w:pPr>
      <w:r>
        <w:rPr>
          <w:rFonts w:ascii="Times New Roman" w:cs="Times New Roman" w:eastAsia="Times New Roman" w:hAnsi="Times New Roman"/>
          <w:sz w:val="20"/>
          <w:szCs w:val="20"/>
          <w:color w:val="auto"/>
        </w:rPr>
        <w:t>includes the gains and losses on investments bought and sold as well as held during the year. Purchases and sales are recorded on a trade-date basis.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Investment Fees</w:t>
      </w:r>
    </w:p>
    <w:p>
      <w:pPr>
        <w:spacing w:after="0" w:line="98" w:lineRule="exact"/>
        <w:rPr>
          <w:sz w:val="20"/>
          <w:szCs w:val="20"/>
          <w:color w:val="auto"/>
        </w:rPr>
      </w:pPr>
    </w:p>
    <w:p>
      <w:pPr>
        <w:jc w:val="both"/>
        <w:ind w:left="1300"/>
        <w:spacing w:after="0"/>
        <w:rPr>
          <w:sz w:val="20"/>
          <w:szCs w:val="20"/>
          <w:color w:val="auto"/>
        </w:rPr>
      </w:pPr>
      <w:r>
        <w:rPr>
          <w:rFonts w:ascii="Times New Roman" w:cs="Times New Roman" w:eastAsia="Times New Roman" w:hAnsi="Times New Roman"/>
          <w:sz w:val="20"/>
          <w:szCs w:val="20"/>
          <w:color w:val="auto"/>
        </w:rPr>
        <w:t>Net investment returns reflect certain fees paid to the investment advisors, transfer agents, and others as further described in each fund prospectus or other published documents. These fees are deducted prior to allocation of the Plan’s investment activity and thus are not separately identifiable as an expense.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Delinquent notes receivable are recorded as distributions based upon the terms of the Plan document.</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Excess Contributions Payable</w:t>
      </w:r>
    </w:p>
    <w:p>
      <w:pPr>
        <w:spacing w:after="0" w:line="98" w:lineRule="exact"/>
        <w:rPr>
          <w:sz w:val="20"/>
          <w:szCs w:val="20"/>
          <w:color w:val="auto"/>
        </w:rPr>
      </w:pPr>
    </w:p>
    <w:p>
      <w:pPr>
        <w:jc w:val="both"/>
        <w:ind w:left="1300" w:right="20"/>
        <w:spacing w:after="0" w:line="255" w:lineRule="auto"/>
        <w:rPr>
          <w:sz w:val="20"/>
          <w:szCs w:val="20"/>
          <w:color w:val="auto"/>
        </w:rPr>
      </w:pPr>
      <w:r>
        <w:rPr>
          <w:rFonts w:ascii="Times New Roman" w:cs="Times New Roman" w:eastAsia="Times New Roman" w:hAnsi="Times New Roman"/>
          <w:sz w:val="20"/>
          <w:szCs w:val="20"/>
          <w:color w:val="auto"/>
        </w:rPr>
        <w:t>Amounts payable to participants for contributions in excess of amounts allowed by the IRS are recorded as a liability with a corresponding reduction to contributions.</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Plan is exempt from federal income taxes under the IRC.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06"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19"/>
          <w:szCs w:val="19"/>
          <w:color w:val="auto"/>
        </w:rPr>
        <w:t>The framework that the authoritative guidance establishes for measuring fair value includes a hierarchy used to classify the valuation inputs used in measuring fair value. The hierarchy prioritizes the inputs used in determining valuations into three levels. The level in</w:t>
      </w:r>
    </w:p>
    <w:p>
      <w:pPr>
        <w:spacing w:after="0" w:line="2"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0"/>
          <w:szCs w:val="20"/>
          <w:color w:val="auto"/>
        </w:rPr>
        <w:t>the fair value hierarchy within which the fair value measurement falls is determined based on the lowest level input that is significant to the fair value measurement. The levels of the fair value hierarchy are as follows:</w:t>
      </w:r>
    </w:p>
    <w:p>
      <w:pPr>
        <w:spacing w:after="0" w:line="187" w:lineRule="exact"/>
        <w:rPr>
          <w:sz w:val="20"/>
          <w:szCs w:val="20"/>
          <w:color w:val="auto"/>
        </w:rPr>
      </w:pPr>
    </w:p>
    <w:p>
      <w:pPr>
        <w:ind w:left="1620"/>
        <w:spacing w:after="0" w:line="255" w:lineRule="auto"/>
        <w:rPr>
          <w:sz w:val="20"/>
          <w:szCs w:val="20"/>
          <w:color w:val="auto"/>
        </w:rPr>
      </w:pPr>
      <w:r>
        <w:rPr>
          <w:rFonts w:ascii="Times New Roman" w:cs="Times New Roman" w:eastAsia="Times New Roman" w:hAnsi="Times New Roman"/>
          <w:sz w:val="20"/>
          <w:szCs w:val="20"/>
          <w:color w:val="auto"/>
        </w:rPr>
        <w:t>Level 1 - Fair value is based on unadjusted quoted prices in active markets that are accessible to the Plan for identical assets. These generally provide the most reliable evidence and are used to measure fair value whenever available.</w:t>
      </w:r>
    </w:p>
    <w:p>
      <w:pPr>
        <w:spacing w:after="0" w:line="186" w:lineRule="exact"/>
        <w:rPr>
          <w:sz w:val="20"/>
          <w:szCs w:val="20"/>
          <w:color w:val="auto"/>
        </w:rPr>
      </w:pPr>
    </w:p>
    <w:p>
      <w:pPr>
        <w:ind w:left="1620"/>
        <w:spacing w:after="0" w:line="232" w:lineRule="auto"/>
        <w:rPr>
          <w:sz w:val="20"/>
          <w:szCs w:val="20"/>
          <w:color w:val="auto"/>
        </w:rPr>
      </w:pPr>
      <w:r>
        <w:rPr>
          <w:rFonts w:ascii="Times New Roman" w:cs="Times New Roman" w:eastAsia="Times New Roman" w:hAnsi="Times New Roman"/>
          <w:sz w:val="20"/>
          <w:szCs w:val="20"/>
          <w:color w:val="auto"/>
        </w:rPr>
        <w:t>Level 2 - Fair value is based on significant inputs, other than Level 1 inputs, that are observable either directly or indirectly for substantially the full term of the asset through corroboration with observable market data. Level 2 inputs include quoted market prices in active markets for similar assets or liabilities, quoted market prices in inactive markets for identical or similar assets, and other observable inputs.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20"/>
        <w:spacing w:after="0" w:line="255" w:lineRule="auto"/>
        <w:rPr>
          <w:sz w:val="20"/>
          <w:szCs w:val="20"/>
          <w:color w:val="auto"/>
        </w:rPr>
      </w:pPr>
      <w:r>
        <w:rPr>
          <w:rFonts w:ascii="Times New Roman" w:cs="Times New Roman" w:eastAsia="Times New Roman" w:hAnsi="Times New Roman"/>
          <w:sz w:val="20"/>
          <w:szCs w:val="20"/>
          <w:color w:val="auto"/>
        </w:rPr>
        <w:t>Level 3 - Fair value is based on significant unobservable inputs. Examples of valuation methodologies that would result in Level 3 classification include option pricing models, discounted cash flows, and similar techniques.</w:t>
      </w:r>
    </w:p>
    <w:p>
      <w:pPr>
        <w:spacing w:after="0" w:line="146"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valuation techniques used to measure fair value for the years ended December 31, 2025 and 2024.</w:t>
      </w:r>
    </w:p>
    <w:p>
      <w:pPr>
        <w:spacing w:after="0" w:line="172" w:lineRule="exact"/>
        <w:rPr>
          <w:sz w:val="20"/>
          <w:szCs w:val="20"/>
          <w:color w:val="auto"/>
        </w:rPr>
      </w:pPr>
    </w:p>
    <w:p>
      <w:pPr>
        <w:ind w:left="1620"/>
        <w:spacing w:after="0" w:line="255" w:lineRule="auto"/>
        <w:rPr>
          <w:sz w:val="20"/>
          <w:szCs w:val="20"/>
          <w:color w:val="auto"/>
        </w:rPr>
      </w:pPr>
      <w:r>
        <w:rPr>
          <w:rFonts w:ascii="Times New Roman" w:cs="Times New Roman" w:eastAsia="Times New Roman" w:hAnsi="Times New Roman"/>
          <w:sz w:val="20"/>
          <w:szCs w:val="20"/>
          <w:color w:val="auto"/>
        </w:rPr>
        <w:t>Essential Utilities, Inc., common stock is valued at the closing price reported on the active market on which the stock is traded.</w:t>
      </w:r>
    </w:p>
    <w:p>
      <w:pPr>
        <w:spacing w:after="0" w:line="159" w:lineRule="exact"/>
        <w:rPr>
          <w:sz w:val="20"/>
          <w:szCs w:val="20"/>
          <w:color w:val="auto"/>
        </w:rPr>
      </w:pPr>
    </w:p>
    <w:p>
      <w:pPr>
        <w:ind w:left="1620"/>
        <w:spacing w:after="0" w:line="236" w:lineRule="auto"/>
        <w:rPr>
          <w:sz w:val="20"/>
          <w:szCs w:val="20"/>
          <w:color w:val="auto"/>
        </w:rPr>
      </w:pPr>
      <w:r>
        <w:rPr>
          <w:rFonts w:ascii="Times New Roman" w:cs="Times New Roman" w:eastAsia="Times New Roman" w:hAnsi="Times New Roman"/>
          <w:sz w:val="20"/>
          <w:szCs w:val="20"/>
          <w:color w:val="auto"/>
        </w:rPr>
        <w:t>Mutual funds are valued at the daily closing price as reported by the fund. Mutual funds held by the Plan are open-end mutual funds that are registered with the U.S. Securities and Exchange Commission. These funds are required to publish their daily Net Asset Value (“NAV”) and to transact at that price. The mutual funds held by the Plan are deemed to be actively traded.</w:t>
      </w:r>
    </w:p>
    <w:p>
      <w:pPr>
        <w:spacing w:after="0" w:line="175" w:lineRule="exact"/>
        <w:rPr>
          <w:sz w:val="20"/>
          <w:szCs w:val="20"/>
          <w:color w:val="auto"/>
        </w:rPr>
      </w:pPr>
    </w:p>
    <w:p>
      <w:pPr>
        <w:ind w:left="1620"/>
        <w:spacing w:after="0" w:line="236" w:lineRule="auto"/>
        <w:rPr>
          <w:sz w:val="20"/>
          <w:szCs w:val="20"/>
          <w:color w:val="auto"/>
        </w:rPr>
      </w:pPr>
      <w:r>
        <w:rPr>
          <w:rFonts w:ascii="Times New Roman" w:cs="Times New Roman" w:eastAsia="Times New Roman" w:hAnsi="Times New Roman"/>
          <w:sz w:val="20"/>
          <w:szCs w:val="20"/>
          <w:color w:val="auto"/>
        </w:rPr>
        <w:t>The Stable Value Common Trust Fund (the “Trust”) is comprised primarily of investment contracts that are valued at the NAV of units of the Trust. The NAV is used as a practical expedient to estimate fair value. This practical expedient would not be used if it is determined to be probable that the fund will sell the investment for an amount different from the reported NAV. Participant transactions (purchases and sales) may occur daily.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3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Level 1</w:t>
            </w:r>
          </w:p>
        </w:tc>
        <w:tc>
          <w:tcPr>
            <w:tcW w:w="2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3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December 31, 2025</w:t>
            </w:r>
          </w:p>
        </w:tc>
        <w:tc>
          <w:tcPr>
            <w:tcW w:w="5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621"/>
              <w:spacing w:after="0" w:line="209" w:lineRule="exact"/>
              <w:rPr>
                <w:sz w:val="20"/>
                <w:szCs w:val="20"/>
                <w:color w:val="auto"/>
              </w:rPr>
            </w:pPr>
            <w:r>
              <w:rPr>
                <w:rFonts w:ascii="Times New Roman" w:cs="Times New Roman" w:eastAsia="Times New Roman" w:hAnsi="Times New Roman"/>
                <w:sz w:val="20"/>
                <w:szCs w:val="20"/>
                <w:color w:val="auto"/>
              </w:rPr>
              <w:t>December 31, 2024</w:t>
            </w:r>
          </w:p>
        </w:tc>
        <w:tc>
          <w:tcPr>
            <w:tcW w:w="2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Mutual funds</w:t>
            </w:r>
          </w:p>
        </w:tc>
        <w:tc>
          <w:tcPr>
            <w:tcW w:w="92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10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639,363,515</w:t>
            </w:r>
          </w:p>
        </w:tc>
        <w:tc>
          <w:tcPr>
            <w:tcW w:w="580" w:type="dxa"/>
            <w:vAlign w:val="bottom"/>
            <w:shd w:val="clear" w:color="auto" w:fill="CCEEFF"/>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5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546,520,034</w:t>
            </w:r>
          </w:p>
        </w:tc>
        <w:tc>
          <w:tcPr>
            <w:tcW w:w="20" w:type="dxa"/>
            <w:vAlign w:val="bottom"/>
          </w:tcPr>
          <w:p>
            <w:pPr>
              <w:spacing w:after="0"/>
              <w:rPr>
                <w:sz w:val="18"/>
                <w:szCs w:val="18"/>
                <w:color w:val="auto"/>
              </w:rPr>
            </w:pPr>
          </w:p>
        </w:tc>
      </w:tr>
      <w:tr>
        <w:trPr>
          <w:trHeight w:val="258"/>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Essential Utilities, Inc. common stock</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38,066,599</w:t>
            </w:r>
          </w:p>
        </w:tc>
        <w:tc>
          <w:tcPr>
            <w:tcW w:w="5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39,798,740</w:t>
            </w:r>
          </w:p>
        </w:tc>
        <w:tc>
          <w:tcPr>
            <w:tcW w:w="20" w:type="dxa"/>
            <w:vAlign w:val="bottom"/>
          </w:tcPr>
          <w:p>
            <w:pPr>
              <w:spacing w:after="0"/>
              <w:rPr>
                <w:sz w:val="22"/>
                <w:szCs w:val="22"/>
                <w:color w:val="auto"/>
              </w:rPr>
            </w:pPr>
          </w:p>
        </w:tc>
      </w:tr>
    </w:tbl>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85"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the NAV per share practical expedient as of December 31, 2025 and 2024, respectively. There are no participant redemption restrictions for these investments; the redemption notice period is applicable only to the Plan.</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Redemption</w:t>
            </w:r>
          </w:p>
        </w:tc>
        <w:tc>
          <w:tcPr>
            <w:tcW w:w="1440" w:type="dxa"/>
            <w:vAlign w:val="bottom"/>
          </w:tcPr>
          <w:p>
            <w:pPr>
              <w:spacing w:after="0"/>
              <w:rPr>
                <w:sz w:val="16"/>
                <w:szCs w:val="16"/>
                <w:color w:val="auto"/>
              </w:rPr>
            </w:pPr>
          </w:p>
        </w:tc>
      </w:tr>
      <w:tr>
        <w:trPr>
          <w:trHeight w:val="176"/>
        </w:trPr>
        <w:tc>
          <w:tcPr>
            <w:tcW w:w="1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Unfunded</w:t>
            </w:r>
          </w:p>
        </w:tc>
        <w:tc>
          <w:tcPr>
            <w:tcW w:w="80" w:type="dxa"/>
            <w:vAlign w:val="bottom"/>
          </w:tcPr>
          <w:p>
            <w:pPr>
              <w:spacing w:after="0"/>
              <w:rPr>
                <w:sz w:val="15"/>
                <w:szCs w:val="15"/>
                <w:color w:val="auto"/>
              </w:rPr>
            </w:pPr>
          </w:p>
        </w:tc>
        <w:tc>
          <w:tcPr>
            <w:tcW w:w="16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Frequency (if</w:t>
            </w:r>
          </w:p>
        </w:tc>
        <w:tc>
          <w:tcPr>
            <w:tcW w:w="1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Redemption</w:t>
            </w:r>
          </w:p>
        </w:tc>
      </w:tr>
      <w:tr>
        <w:trPr>
          <w:trHeight w:val="203"/>
        </w:trPr>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Fair Value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Commitment</w:t>
            </w: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currently eligible)</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Notice Period</w:t>
            </w:r>
          </w:p>
        </w:tc>
      </w:tr>
      <w:tr>
        <w:trPr>
          <w:trHeight w:val="169"/>
        </w:trPr>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257"/>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Trust Fund</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20,613,824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20,985,706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Daily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or 30 months</w:t>
            </w:r>
          </w:p>
        </w:tc>
      </w:tr>
      <w:tr>
        <w:trPr>
          <w:trHeight w:val="20"/>
        </w:trPr>
        <w:tc>
          <w:tcPr>
            <w:tcW w:w="18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-136525</wp:posOffset>
            </wp:positionV>
            <wp:extent cx="27089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and Party-in-Interest Transactions</w:t>
      </w:r>
    </w:p>
    <w:p>
      <w:pPr>
        <w:spacing w:after="0" w:line="206" w:lineRule="exact"/>
        <w:rPr>
          <w:sz w:val="20"/>
          <w:szCs w:val="20"/>
          <w:color w:val="auto"/>
        </w:rPr>
      </w:pPr>
    </w:p>
    <w:p>
      <w:pPr>
        <w:jc w:val="both"/>
        <w:ind w:left="660"/>
        <w:spacing w:after="0" w:line="229" w:lineRule="auto"/>
        <w:rPr>
          <w:sz w:val="20"/>
          <w:szCs w:val="20"/>
          <w:color w:val="auto"/>
        </w:rPr>
      </w:pPr>
      <w:r>
        <w:rPr>
          <w:rFonts w:ascii="Times New Roman" w:cs="Times New Roman" w:eastAsia="Times New Roman" w:hAnsi="Times New Roman"/>
          <w:sz w:val="20"/>
          <w:szCs w:val="20"/>
          <w:color w:val="auto"/>
        </w:rPr>
        <w:t>Certain of the Plan’s investments are shares of mutual funds managed by the Trustee, therefore, these transactions qualify as party-in-interest transactions. Investment management fees paid to the Trustee during 2025 were netted against investment returns.</w:t>
      </w:r>
    </w:p>
    <w:p>
      <w:pPr>
        <w:spacing w:after="0" w:line="2"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0"/>
          <w:szCs w:val="20"/>
          <w:color w:val="auto"/>
        </w:rPr>
        <w:t>Participants may also elect to invest in the common stock of the Plan Sponsor. These transactions qualify as related party and party-in-interest transactions. Total purchases at market value related to the common stock of the Plan Sponsor in 2025 were $2,341,893 (62,973 shares). Total sales at market value related to the common stock of the Plan Sponsor in 2025 were $6,375,945 (166,403 shares). As of December 31, 2025 and 2024, the market value of the Plan’s investment in the common stock of the Plan Sponsor</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20"/>
          <w:szCs w:val="20"/>
          <w:color w:val="auto"/>
        </w:rPr>
        <w:t>amounted to $38,066,599 (992,253 shares) and $39,798,740 (1,095,683 shares)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respectively. Additionally, the Plan issues loans to participants, which are secured by the participants’ account balances. These transactions qualify as party-in-interest transactions.</w:t>
      </w:r>
    </w:p>
    <w:p>
      <w:pPr>
        <w:spacing w:after="0" w:line="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0"/>
          <w:szCs w:val="20"/>
          <w:color w:val="auto"/>
        </w:rPr>
        <w:t>Certain members of Essential Utilities, Inc. management perform administrative and fiduciary duties for the Plan that qualify them as parties-in-interest and/or related parties of the Plan. Transactions between such members of management were routine in nature and conducted pursuant to the Plan’s provisions as of and during the year ended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Plan Termination</w:t>
      </w:r>
    </w:p>
    <w:p>
      <w:pPr>
        <w:spacing w:after="0" w:line="206"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to discontinue its contributions at any time and to terminate the Plan subject to the provisions of ERISA. In the event of Plan termination, participants will become 100% vested in their Company contributions.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Tax Status</w:t>
      </w:r>
    </w:p>
    <w:p>
      <w:pPr>
        <w:spacing w:after="0" w:line="98"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9"/>
          <w:szCs w:val="19"/>
          <w:color w:val="auto"/>
        </w:rPr>
        <w:t>The IRS issued a determination letter dated September 8, 2015, which stated that the Plan and related trust qualified under applicable provisions of the IRC and, therefore, are exempt from federal income taxes. The Plan has been amended since receiving the latest</w:t>
      </w:r>
    </w:p>
    <w:p>
      <w:pPr>
        <w:spacing w:after="0" w:line="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0"/>
          <w:szCs w:val="20"/>
          <w:color w:val="auto"/>
        </w:rPr>
        <w:t>determination letter. The Plan Administrator and the Plan’s counsel believe that the Plan is currently designed and operated in compliance with applicable requirements of the IRC.</w:t>
      </w:r>
    </w:p>
    <w:p>
      <w:pPr>
        <w:spacing w:after="0" w:line="174"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19"/>
          <w:szCs w:val="19"/>
          <w:color w:val="auto"/>
        </w:rPr>
        <w:t>Accounting principles generally accepted in the United States of America require management to evaluate tax positions taken by the Plan and recognize a tax liability if the Plan has taken an uncertain position that more likely than not would not be sustained upon</w:t>
      </w:r>
    </w:p>
    <w:p>
      <w:pPr>
        <w:spacing w:after="0" w:line="1"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20"/>
          <w:szCs w:val="20"/>
          <w:color w:val="auto"/>
        </w:rPr>
        <w:t>examination by the IRS. The Plan Administrator has analyzed the tax positions taken by the Plan and has concluded that as of December 31, 2025 and 2024, there are no uncertain positions taken, or expected to be taken, that would require recognition of a</w:t>
      </w:r>
    </w:p>
    <w:p>
      <w:pPr>
        <w:spacing w:after="0" w:line="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0"/>
          <w:szCs w:val="20"/>
          <w:color w:val="auto"/>
        </w:rPr>
        <w:t>liability or disclosure in the financial statements. The Plan is subject to routine audits by taxing jurisdictions; however, there are currently no audits for any tax periods in progress. The Plan Administrator believes it is no longer subject to income tax examinations for years prior to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Risks and Uncertainties</w:t>
      </w:r>
    </w:p>
    <w:p>
      <w:pPr>
        <w:spacing w:after="0" w:line="85"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0"/>
          <w:szCs w:val="20"/>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5500 - Schedule H, Line 4a</w:t>
      </w:r>
    </w:p>
    <w:p>
      <w:pPr>
        <w:spacing w:after="0" w:line="234" w:lineRule="auto"/>
        <w:rPr>
          <w:sz w:val="20"/>
          <w:szCs w:val="20"/>
          <w:color w:val="auto"/>
        </w:rPr>
      </w:pPr>
      <w:r>
        <w:rPr>
          <w:rFonts w:ascii="Times New Roman" w:cs="Times New Roman" w:eastAsia="Times New Roman" w:hAnsi="Times New Roman"/>
          <w:sz w:val="22"/>
          <w:szCs w:val="22"/>
          <w:b w:val="1"/>
          <w:bCs w:val="1"/>
          <w:color w:val="auto"/>
        </w:rPr>
        <w:t>Schedule of Delinquent Participant Contributions</w:t>
      </w:r>
    </w:p>
    <w:p>
      <w:pPr>
        <w:spacing w:after="0" w:line="218" w:lineRule="auto"/>
        <w:rPr>
          <w:sz w:val="20"/>
          <w:szCs w:val="20"/>
          <w:color w:val="auto"/>
        </w:rPr>
      </w:pPr>
      <w:r>
        <w:rPr>
          <w:rFonts w:ascii="Times New Roman" w:cs="Times New Roman" w:eastAsia="Times New Roman" w:hAnsi="Times New Roman"/>
          <w:sz w:val="22"/>
          <w:szCs w:val="22"/>
          <w:b w:val="1"/>
          <w:bCs w:val="1"/>
          <w:color w:val="auto"/>
        </w:rPr>
        <w:t>EIN: 23-1702594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PN: 005</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Transferred Late to Plan</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4"/>
          </w:tcPr>
          <w:p>
            <w:pPr>
              <w:jc w:val="center"/>
              <w:ind w:left="256"/>
              <w:spacing w:after="0"/>
              <w:rPr>
                <w:sz w:val="20"/>
                <w:szCs w:val="20"/>
                <w:color w:val="auto"/>
              </w:rPr>
            </w:pPr>
            <w:r>
              <w:rPr>
                <w:rFonts w:ascii="Times New Roman" w:cs="Times New Roman" w:eastAsia="Times New Roman" w:hAnsi="Times New Roman"/>
                <w:sz w:val="18"/>
                <w:szCs w:val="18"/>
                <w:color w:val="auto"/>
                <w:w w:val="99"/>
              </w:rPr>
              <w:t>Total that Constitute Nonexempt Prohibited Transactions</w:t>
            </w: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Check Here if Late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Contributions Corrected Outside</w:t>
            </w:r>
          </w:p>
        </w:tc>
        <w:tc>
          <w:tcPr>
            <w:tcW w:w="2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Contributions Pending</w:t>
            </w:r>
          </w:p>
        </w:tc>
        <w:tc>
          <w:tcPr>
            <w:tcW w:w="10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Total Fully Corrected</w:t>
            </w:r>
          </w:p>
        </w:tc>
        <w:tc>
          <w:tcPr>
            <w:tcW w:w="0" w:type="dxa"/>
            <w:vAlign w:val="bottom"/>
          </w:tcPr>
          <w:p>
            <w:pPr>
              <w:spacing w:after="0"/>
              <w:rPr>
                <w:sz w:val="1"/>
                <w:szCs w:val="1"/>
                <w:color w:val="auto"/>
              </w:rPr>
            </w:pPr>
          </w:p>
        </w:tc>
      </w:tr>
      <w:tr>
        <w:trPr>
          <w:trHeight w:val="17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Participant Loan</w:t>
            </w:r>
          </w:p>
        </w:tc>
        <w:tc>
          <w:tcPr>
            <w:tcW w:w="200" w:type="dxa"/>
            <w:vAlign w:val="bottom"/>
          </w:tcPr>
          <w:p>
            <w:pPr>
              <w:spacing w:after="0"/>
              <w:rPr>
                <w:sz w:val="15"/>
                <w:szCs w:val="15"/>
                <w:color w:val="auto"/>
              </w:rPr>
            </w:pPr>
          </w:p>
        </w:tc>
        <w:tc>
          <w:tcPr>
            <w:tcW w:w="152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rPr>
              <w:t>Contributions Not</w:t>
            </w:r>
          </w:p>
        </w:tc>
        <w:tc>
          <w:tcPr>
            <w:tcW w:w="32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1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restart"/>
          </w:tcPr>
          <w:p>
            <w:pPr>
              <w:jc w:val="center"/>
              <w:ind w:right="50"/>
              <w:spacing w:after="0" w:line="256" w:lineRule="exact"/>
              <w:rPr>
                <w:sz w:val="20"/>
                <w:szCs w:val="20"/>
                <w:color w:val="auto"/>
              </w:rPr>
            </w:pPr>
            <w:r>
              <w:rPr>
                <w:rFonts w:ascii="Times New Roman" w:cs="Times New Roman" w:eastAsia="Times New Roman" w:hAnsi="Times New Roman"/>
                <w:sz w:val="18"/>
                <w:szCs w:val="18"/>
                <w:color w:val="auto"/>
                <w:w w:val="96"/>
              </w:rPr>
              <w:t>Under VFCP</w:t>
            </w:r>
            <w:r>
              <w:rPr>
                <w:rFonts w:ascii="Times New Roman" w:cs="Times New Roman" w:eastAsia="Times New Roman" w:hAnsi="Times New Roman"/>
                <w:sz w:val="29"/>
                <w:szCs w:val="29"/>
                <w:color w:val="auto"/>
                <w:w w:val="96"/>
                <w:vertAlign w:val="superscript"/>
              </w:rPr>
              <w:t>(2)</w:t>
            </w:r>
            <w:r>
              <w:rPr>
                <w:rFonts w:ascii="Times New Roman" w:cs="Times New Roman" w:eastAsia="Times New Roman" w:hAnsi="Times New Roman"/>
                <w:sz w:val="18"/>
                <w:szCs w:val="18"/>
                <w:color w:val="auto"/>
                <w:w w:val="96"/>
              </w:rPr>
              <w:t xml:space="preserve"> and</w:t>
            </w:r>
          </w:p>
        </w:tc>
        <w:tc>
          <w:tcPr>
            <w:tcW w:w="0" w:type="dxa"/>
            <w:vAlign w:val="bottom"/>
          </w:tcPr>
          <w:p>
            <w:pPr>
              <w:spacing w:after="0"/>
              <w:rPr>
                <w:sz w:val="1"/>
                <w:szCs w:val="1"/>
                <w:color w:val="auto"/>
              </w:rPr>
            </w:pPr>
          </w:p>
        </w:tc>
      </w:tr>
      <w:tr>
        <w:trPr>
          <w:trHeight w:val="82"/>
        </w:trPr>
        <w:tc>
          <w:tcPr>
            <w:tcW w:w="60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520" w:type="dxa"/>
            <w:vAlign w:val="bottom"/>
            <w:vMerge w:val="restart"/>
          </w:tcPr>
          <w:p>
            <w:pPr>
              <w:jc w:val="center"/>
              <w:spacing w:after="0" w:line="217" w:lineRule="exact"/>
              <w:rPr>
                <w:sz w:val="20"/>
                <w:szCs w:val="20"/>
                <w:color w:val="auto"/>
              </w:rPr>
            </w:pPr>
            <w:r>
              <w:rPr>
                <w:rFonts w:ascii="Times New Roman" w:cs="Times New Roman" w:eastAsia="Times New Roman" w:hAnsi="Times New Roman"/>
                <w:sz w:val="16"/>
                <w:szCs w:val="16"/>
                <w:color w:val="auto"/>
              </w:rPr>
              <w:t>VFCP</w:t>
            </w:r>
            <w:r>
              <w:rPr>
                <w:rFonts w:ascii="Times New Roman" w:cs="Times New Roman" w:eastAsia="Times New Roman" w:hAnsi="Times New Roman"/>
                <w:sz w:val="25"/>
                <w:szCs w:val="25"/>
                <w:color w:val="auto"/>
                <w:vertAlign w:val="superscript"/>
              </w:rPr>
              <w:t>(2)</w:t>
            </w:r>
          </w:p>
        </w:tc>
        <w:tc>
          <w:tcPr>
            <w:tcW w:w="2140" w:type="dxa"/>
            <w:vAlign w:val="bottom"/>
            <w:gridSpan w:val="3"/>
            <w:vMerge w:val="restart"/>
          </w:tcPr>
          <w:p>
            <w:pPr>
              <w:jc w:val="right"/>
              <w:ind w:right="380"/>
              <w:spacing w:after="0" w:line="217" w:lineRule="exact"/>
              <w:rPr>
                <w:sz w:val="20"/>
                <w:szCs w:val="20"/>
                <w:color w:val="auto"/>
              </w:rPr>
            </w:pPr>
            <w:r>
              <w:rPr>
                <w:rFonts w:ascii="Times New Roman" w:cs="Times New Roman" w:eastAsia="Times New Roman" w:hAnsi="Times New Roman"/>
                <w:sz w:val="16"/>
                <w:szCs w:val="16"/>
                <w:color w:val="auto"/>
              </w:rPr>
              <w:t>Correction in VFCP</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Repayments are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236"/>
              <w:spacing w:after="0" w:line="135" w:lineRule="exact"/>
              <w:rPr>
                <w:sz w:val="20"/>
                <w:szCs w:val="20"/>
                <w:color w:val="auto"/>
              </w:rPr>
            </w:pPr>
            <w:r>
              <w:rPr>
                <w:rFonts w:ascii="Times New Roman" w:cs="Times New Roman" w:eastAsia="Times New Roman" w:hAnsi="Times New Roman"/>
                <w:sz w:val="15"/>
                <w:szCs w:val="15"/>
                <w:color w:val="auto"/>
              </w:rPr>
              <w:t>Corrected</w:t>
            </w:r>
          </w:p>
        </w:tc>
        <w:tc>
          <w:tcPr>
            <w:tcW w:w="3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PTE</w:t>
            </w:r>
            <w:r>
              <w:rPr>
                <w:rFonts w:ascii="Times New Roman" w:cs="Times New Roman" w:eastAsia="Times New Roman" w:hAnsi="Times New Roman"/>
                <w:sz w:val="29"/>
                <w:szCs w:val="29"/>
                <w:color w:val="auto"/>
                <w:w w:val="95"/>
                <w:vertAlign w:val="superscript"/>
              </w:rPr>
              <w:t>(3)</w:t>
            </w:r>
            <w:r>
              <w:rPr>
                <w:rFonts w:ascii="Times New Roman" w:cs="Times New Roman" w:eastAsia="Times New Roman" w:hAnsi="Times New Roman"/>
                <w:sz w:val="18"/>
                <w:szCs w:val="18"/>
                <w:color w:val="auto"/>
                <w:w w:val="95"/>
              </w:rPr>
              <w:t xml:space="preserve"> 2002-51</w:t>
            </w:r>
          </w:p>
        </w:tc>
        <w:tc>
          <w:tcPr>
            <w:tcW w:w="0" w:type="dxa"/>
            <w:vAlign w:val="bottom"/>
          </w:tcPr>
          <w:p>
            <w:pPr>
              <w:spacing w:after="0"/>
              <w:rPr>
                <w:sz w:val="1"/>
                <w:szCs w:val="1"/>
                <w:color w:val="auto"/>
              </w:rPr>
            </w:pPr>
          </w:p>
        </w:tc>
      </w:tr>
      <w:tr>
        <w:trPr>
          <w:trHeight w:val="283"/>
        </w:trPr>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Included:</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ind w:right="114"/>
              <w:spacing w:after="0" w:line="250" w:lineRule="exact"/>
              <w:rPr>
                <w:sz w:val="20"/>
                <w:szCs w:val="20"/>
                <w:color w:val="auto"/>
              </w:rPr>
            </w:pPr>
            <w:r>
              <w:rPr>
                <w:rFonts w:ascii="Times New Roman" w:cs="Times New Roman" w:eastAsia="Times New Roman" w:hAnsi="Times New Roman"/>
                <w:sz w:val="17"/>
                <w:szCs w:val="17"/>
                <w:color w:val="auto"/>
              </w:rPr>
              <w:t xml:space="preserve">4,281 </w:t>
            </w:r>
            <w:r>
              <w:rPr>
                <w:rFonts w:ascii="Times New Roman" w:cs="Times New Roman" w:eastAsia="Times New Roman" w:hAnsi="Times New Roman"/>
                <w:sz w:val="28"/>
                <w:szCs w:val="28"/>
                <w:color w:val="auto"/>
                <w:vertAlign w:val="superscript"/>
              </w:rPr>
              <w:t>(1)</w:t>
            </w:r>
          </w:p>
        </w:tc>
        <w:tc>
          <w:tcPr>
            <w:tcW w:w="124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8"/>
        <w:spacing w:after="0" w:line="218" w:lineRule="auto"/>
        <w:tabs>
          <w:tab w:leader="none" w:pos="19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Represents delinquent participant contributions and loan repayment for one particular instance for a certain pay group in 2024. The Company remitted the delinquent contributions to the Plan on June 9, 2025 and lost earnings on June 11, 2025.</w:t>
      </w:r>
    </w:p>
    <w:p>
      <w:pPr>
        <w:spacing w:after="0" w:line="1" w:lineRule="exact"/>
        <w:rPr>
          <w:rFonts w:ascii="Times New Roman" w:cs="Times New Roman" w:eastAsia="Times New Roman" w:hAnsi="Times New Roman"/>
          <w:sz w:val="23"/>
          <w:szCs w:val="23"/>
          <w:color w:val="auto"/>
          <w:vertAlign w:val="superscript"/>
        </w:rPr>
      </w:pPr>
    </w:p>
    <w:p>
      <w:pPr>
        <w:ind w:left="200" w:hanging="192"/>
        <w:spacing w:after="0" w:line="199" w:lineRule="auto"/>
        <w:tabs>
          <w:tab w:leader="none" w:pos="20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i w:val="1"/>
          <w:iCs w:val="1"/>
          <w:color w:val="auto"/>
        </w:rPr>
        <w:t>Voluntary Fiduciary Correction Program</w:t>
      </w:r>
    </w:p>
    <w:p>
      <w:pPr>
        <w:spacing w:after="0" w:line="37" w:lineRule="exact"/>
        <w:rPr>
          <w:rFonts w:ascii="Times New Roman" w:cs="Times New Roman" w:eastAsia="Times New Roman" w:hAnsi="Times New Roman"/>
          <w:sz w:val="24"/>
          <w:szCs w:val="24"/>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i w:val="1"/>
          <w:iCs w:val="1"/>
          <w:color w:val="auto"/>
        </w:rPr>
        <w:t>Prohibited Transaction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913130</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05"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5500 - Schedule H - Line 4i</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Schedule of Assets (Held at End of Year)</w:t>
      </w:r>
    </w:p>
    <w:p>
      <w:pPr>
        <w:spacing w:after="0" w:line="218" w:lineRule="auto"/>
        <w:rPr>
          <w:sz w:val="20"/>
          <w:szCs w:val="20"/>
          <w:color w:val="auto"/>
        </w:rPr>
      </w:pPr>
      <w:r>
        <w:rPr>
          <w:rFonts w:ascii="Times New Roman" w:cs="Times New Roman" w:eastAsia="Times New Roman" w:hAnsi="Times New Roman"/>
          <w:sz w:val="22"/>
          <w:szCs w:val="22"/>
          <w:b w:val="1"/>
          <w:bCs w:val="1"/>
          <w:color w:val="auto"/>
        </w:rPr>
        <w:t>EIN: 23-1702594</w:t>
      </w:r>
    </w:p>
    <w:p>
      <w:pPr>
        <w:spacing w:after="0" w:line="218" w:lineRule="auto"/>
        <w:rPr>
          <w:sz w:val="20"/>
          <w:szCs w:val="20"/>
          <w:color w:val="auto"/>
        </w:rPr>
      </w:pPr>
      <w:r>
        <w:rPr>
          <w:rFonts w:ascii="Times New Roman" w:cs="Times New Roman" w:eastAsia="Times New Roman" w:hAnsi="Times New Roman"/>
          <w:sz w:val="22"/>
          <w:szCs w:val="22"/>
          <w:b w:val="1"/>
          <w:bCs w:val="1"/>
          <w:color w:val="auto"/>
        </w:rPr>
        <w:t>PN: 005</w:t>
      </w:r>
    </w:p>
    <w:p>
      <w:pPr>
        <w:spacing w:after="0"/>
        <w:rPr>
          <w:sz w:val="20"/>
          <w:szCs w:val="20"/>
          <w:color w:val="auto"/>
        </w:rPr>
      </w:pPr>
      <w:r>
        <w:rPr>
          <w:rFonts w:ascii="Times New Roman" w:cs="Times New Roman" w:eastAsia="Times New Roman" w:hAnsi="Times New Roman"/>
          <w:sz w:val="22"/>
          <w:szCs w:val="22"/>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Identity of Issue ( b )</w:t>
            </w:r>
          </w:p>
        </w:tc>
        <w:tc>
          <w:tcPr>
            <w:tcW w:w="4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Description of Investment ( c )</w:t>
            </w:r>
          </w:p>
        </w:tc>
        <w:tc>
          <w:tcPr>
            <w:tcW w:w="16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Cost ( d )</w:t>
            </w:r>
          </w:p>
        </w:tc>
        <w:tc>
          <w:tcPr>
            <w:tcW w:w="24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Current Value ( e )</w:t>
            </w:r>
          </w:p>
        </w:tc>
      </w:tr>
      <w:tr>
        <w:trPr>
          <w:trHeight w:val="183"/>
        </w:trPr>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American Beacon Small Cap Value Fund Class R5</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1,201,159</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American Funds EuroPacific Growth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3,056,515</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Dodge &amp; Cox International Stock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9,726,580</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JP Morgan US Equity Fund R6</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9,279,424</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MFS Massachusetts Inv Gr Stk</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7,795,794</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Neuberger Berman Genesis Fund, Instl</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1,403,718</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Balanced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471,690</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2005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578,016</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2010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899,153</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2015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5,178,436</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2020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23,045,988</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2025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45,321,232</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2030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89,845,304</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2035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80,549,902</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2040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58,200,188</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2045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56,365,262</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2050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60,620,595</w:t>
            </w: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2055 Fund</w:t>
            </w:r>
          </w:p>
        </w:tc>
        <w:tc>
          <w:tcPr>
            <w:tcW w:w="166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45,442,601</w:t>
            </w:r>
          </w:p>
        </w:tc>
      </w:tr>
      <w:tr>
        <w:trPr>
          <w:trHeight w:val="189"/>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Retirement 2060 Fund</w:t>
            </w:r>
          </w:p>
        </w:tc>
        <w:tc>
          <w:tcPr>
            <w:tcW w:w="1660" w:type="dxa"/>
            <w:vAlign w:val="bottom"/>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23,615,894</w:t>
            </w: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Mutual Fund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Rowe Price Retirement 2065 Fund</w:t>
            </w:r>
          </w:p>
        </w:tc>
        <w:tc>
          <w:tcPr>
            <w:tcW w:w="16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9,433,087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31"/>
          <w:szCs w:val="31"/>
          <w:b w:val="1"/>
          <w:bCs w:val="1"/>
          <w:i w:val="1"/>
          <w:iCs w:val="1"/>
          <w:color w:val="auto"/>
        </w:rPr>
        <w:t>Essential Utilities, Inc.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5500 - Schedule H - Line 4i</w:t>
      </w:r>
    </w:p>
    <w:p>
      <w:pPr>
        <w:spacing w:after="0" w:line="222" w:lineRule="auto"/>
        <w:rPr>
          <w:sz w:val="20"/>
          <w:szCs w:val="20"/>
          <w:color w:val="auto"/>
        </w:rPr>
      </w:pPr>
      <w:r>
        <w:rPr>
          <w:rFonts w:ascii="Times New Roman" w:cs="Times New Roman" w:eastAsia="Times New Roman" w:hAnsi="Times New Roman"/>
          <w:sz w:val="22"/>
          <w:szCs w:val="22"/>
          <w:b w:val="1"/>
          <w:bCs w:val="1"/>
          <w:color w:val="auto"/>
        </w:rPr>
        <w:t>Schedule of Assets (Held at End of Year)</w:t>
      </w:r>
    </w:p>
    <w:p>
      <w:pPr>
        <w:spacing w:after="0" w:line="217" w:lineRule="auto"/>
        <w:rPr>
          <w:sz w:val="20"/>
          <w:szCs w:val="20"/>
          <w:color w:val="auto"/>
        </w:rPr>
      </w:pPr>
      <w:r>
        <w:rPr>
          <w:rFonts w:ascii="Times New Roman" w:cs="Times New Roman" w:eastAsia="Times New Roman" w:hAnsi="Times New Roman"/>
          <w:sz w:val="22"/>
          <w:szCs w:val="22"/>
          <w:b w:val="1"/>
          <w:bCs w:val="1"/>
          <w:color w:val="auto"/>
        </w:rPr>
        <w:t>EIN: 23-1702594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PN: 005</w:t>
      </w:r>
    </w:p>
    <w:p>
      <w:pPr>
        <w:spacing w:after="0"/>
        <w:rPr>
          <w:sz w:val="20"/>
          <w:szCs w:val="20"/>
          <w:color w:val="auto"/>
        </w:rPr>
      </w:pPr>
      <w:r>
        <w:rPr>
          <w:rFonts w:ascii="Times New Roman" w:cs="Times New Roman" w:eastAsia="Times New Roman" w:hAnsi="Times New Roman"/>
          <w:sz w:val="22"/>
          <w:szCs w:val="22"/>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 a )</w:t>
            </w: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Identity of Issue ( b )</w:t>
            </w:r>
          </w:p>
        </w:tc>
        <w:tc>
          <w:tcPr>
            <w:tcW w:w="55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Description of Investment ( c )</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Cost ( d )</w:t>
            </w: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Value ( e )</w:t>
            </w:r>
          </w:p>
        </w:tc>
        <w:tc>
          <w:tcPr>
            <w:tcW w:w="0" w:type="dxa"/>
            <w:vAlign w:val="bottom"/>
          </w:tcPr>
          <w:p>
            <w:pPr>
              <w:spacing w:after="0"/>
              <w:rPr>
                <w:sz w:val="1"/>
                <w:szCs w:val="1"/>
                <w:color w:val="auto"/>
              </w:rPr>
            </w:pPr>
          </w:p>
        </w:tc>
      </w:tr>
      <w:tr>
        <w:trPr>
          <w:trHeight w:val="183"/>
        </w:trPr>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 Rowe Price QM US Small Cap Growth Equity Fund</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2,525,894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Vanguard Small-Cap Index Fund, Admiral</w:t>
            </w: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4,797,014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Vanguard Treasury Money Market</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4,857,681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Vanguard Windsor II Fund</w:t>
            </w: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8,723,181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PGIM Total Return Bond Z (Prudential)</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11,872,857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American Century Heritage R6</w:t>
            </w: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4,832,349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Fidelity U.S. Bond Index Fund</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1,246,915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6"/>
                <w:szCs w:val="16"/>
                <w:color w:val="auto"/>
              </w:rPr>
            </w:pPr>
          </w:p>
        </w:tc>
        <w:tc>
          <w:tcPr>
            <w:tcW w:w="21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Fidelity 500 Index Fund</w:t>
            </w: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47,710,309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Fidelity Mid Cap Index Fund</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4,853,114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3"/>
                <w:szCs w:val="13"/>
                <w:color w:val="auto"/>
              </w:rPr>
            </w:pPr>
          </w:p>
        </w:tc>
        <w:tc>
          <w:tcPr>
            <w:tcW w:w="210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8"/>
                <w:szCs w:val="18"/>
                <w:color w:val="auto"/>
              </w:rPr>
              <w:t>Fidelity International Index Fund</w:t>
            </w:r>
          </w:p>
        </w:tc>
        <w:tc>
          <w:tcPr>
            <w:tcW w:w="110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3"/>
                <w:szCs w:val="13"/>
                <w:color w:val="auto"/>
              </w:rPr>
            </w:pPr>
          </w:p>
        </w:tc>
        <w:tc>
          <w:tcPr>
            <w:tcW w:w="17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6,825,685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Fidelity Value Fund – Class K</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Mutual Fund</w:t>
            </w:r>
          </w:p>
        </w:tc>
        <w:tc>
          <w:tcPr>
            <w:tcW w:w="5500" w:type="dxa"/>
            <w:vAlign w:val="bottom"/>
            <w:tcBorders>
              <w:bottom w:val="single" w:sz="8" w:color="CCEEFF"/>
            </w:tcBorders>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Fidelity Balanced K</w:t>
            </w:r>
          </w:p>
        </w:tc>
        <w:tc>
          <w:tcPr>
            <w:tcW w:w="110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6,145,127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639,363,515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Common Stock</w:t>
            </w:r>
          </w:p>
        </w:tc>
        <w:tc>
          <w:tcPr>
            <w:tcW w:w="5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Essential Utilities, Inc. common stock</w:t>
            </w: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38,066,599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Common Trust Fund</w:t>
            </w:r>
          </w:p>
        </w:tc>
        <w:tc>
          <w:tcPr>
            <w:tcW w:w="55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 Rowe Price Stable Value Common Trust Fund</w:t>
            </w:r>
          </w:p>
        </w:tc>
        <w:tc>
          <w:tcPr>
            <w:tcW w:w="110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20,613,824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Participant Loans**</w:t>
            </w:r>
          </w:p>
        </w:tc>
        <w:tc>
          <w:tcPr>
            <w:tcW w:w="550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Interest rates 4.25% to 8.50% (maturity date</w:t>
            </w:r>
          </w:p>
        </w:tc>
        <w:tc>
          <w:tcPr>
            <w:tcW w:w="94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12,530,695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through 2055)</w:t>
            </w: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710,574,633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60" w:hanging="176"/>
        <w:spacing w:after="0"/>
        <w:tabs>
          <w:tab w:leader="none" w:pos="1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party-in-interest as defined by ERISA</w:t>
      </w:r>
    </w:p>
    <w:p>
      <w:pPr>
        <w:spacing w:after="0" w:line="2" w:lineRule="exact"/>
        <w:rPr>
          <w:rFonts w:ascii="Times New Roman" w:cs="Times New Roman" w:eastAsia="Times New Roman" w:hAnsi="Times New Roman"/>
          <w:sz w:val="18"/>
          <w:szCs w:val="18"/>
          <w:color w:val="auto"/>
        </w:rPr>
      </w:pPr>
    </w:p>
    <w:p>
      <w:pPr>
        <w:ind w:left="1260" w:right="2220" w:firstLine="134"/>
        <w:spacing w:after="0" w:line="233" w:lineRule="auto"/>
        <w:tabs>
          <w:tab w:leader="none" w:pos="1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classify participant loans as notes receivable from participants N/A Cost information omitted for participant-directed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Plan Administrator has duly caused this annual report to be signed by the undersigned hereunto duly authorized.</w:t>
      </w:r>
    </w:p>
    <w:p>
      <w:pPr>
        <w:spacing w:after="0" w:line="38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Essential Utilities, Inc. 401(k) Plan</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 June 15, 2026</w:t>
      </w:r>
    </w:p>
    <w:p>
      <w:pPr>
        <w:spacing w:after="0" w:line="20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/s/ Christopher P. Luning</w:t>
      </w:r>
    </w:p>
    <w:p>
      <w:pPr>
        <w:spacing w:after="0" w:line="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Christopher P. Luning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-135890</wp:posOffset>
            </wp:positionV>
            <wp:extent cx="24174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color w:val="auto"/>
        </w:rPr>
        <w:t>Executive Vice President,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207010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580" w:top="855" w:right="739" w:bottom="1440" w:gutter="0" w:footer="0" w:header="0"/>
        </w:sectPr>
      </w:pPr>
    </w:p>
    <w:bookmarkStart w:id="23" w:name="page24"/>
    <w:bookmarkEnd w:id="23"/>
    <w:p>
      <w:pPr>
        <w:jc w:val="right"/>
        <w:ind w:right="373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1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16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Schneider Downs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-3810</wp:posOffset>
            </wp:positionV>
            <wp:extent cx="2030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30730" cy="8255"/>
                    </a:xfrm>
                    <a:prstGeom prst="rect">
                      <a:avLst/>
                    </a:prstGeom>
                    <a:noFill/>
                  </pic:spPr>
                </pic:pic>
              </a:graphicData>
            </a:graphic>
          </wp:anchor>
        </w:drawing>
      </w:r>
    </w:p>
    <w:p>
      <w:pPr>
        <w:spacing w:after="0" w:line="1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139"/>
          </w:cols>
          <w:pgMar w:left="320" w:top="1287" w:right="1440"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ind w:right="99"/>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333-148206) on Form S-8 of Essential Utilities, Inc. of our report dated June 15, 2026, with respect to the statements of net assets available for benefits of Essential Utilities, Inc. 401(k) Plan as of December 31, 2025 and 2024, the related statement of changes in net assets available for benefits for the year ended December 31, 2025, and the related supplemental schedules as of December 31, 2025, which report appears in the December 31, 2025 annual report on Form 11-K of the Essential Utilities, Inc. 401(k) Plan.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Schneider Downs &amp; Co.,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00011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sectPr>
      <w:pgSz w:w="11900" w:h="16838" w:orient="portrait"/>
      <w:cols w:equalWidth="0" w:num="1">
        <w:col w:w="9479"/>
      </w:cols>
      <w:pgMar w:left="9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
      <w:numFmt w:val="bullet"/>
      <w:start w:val="1"/>
    </w:lvl>
  </w:abstractNum>
  <w:abstractNum w:abstractNumId="3">
    <w:nsid w:val="12200854"/>
    <w:multiLevelType w:val="hybridMultilevel"/>
    <w:lvl w:ilvl="0">
      <w:lvlJc w:val="left"/>
      <w:lvlText w:val=" "/>
      <w:numFmt w:val="bullet"/>
      <w:start w:val="1"/>
    </w:lvl>
  </w:abstractNum>
  <w:abstractNum w:abstractNumId="4">
    <w:nsid w:val="4DB127F8"/>
    <w:multiLevelType w:val="hybridMultilevel"/>
    <w:lvl w:ilvl="0">
      <w:lvlJc w:val="left"/>
      <w:lvlText w:val=" "/>
      <w:numFmt w:val="bullet"/>
      <w:start w:val="1"/>
    </w:lvl>
  </w:abstractNum>
  <w:abstractNum w:abstractNumId="5">
    <w:nsid w:val="216231B"/>
    <w:multiLevelType w:val="hybridMultilevel"/>
    <w:lvl w:ilvl="0">
      <w:lvlJc w:val="left"/>
      <w:lvlText w:val=" "/>
      <w:numFmt w:val="bullet"/>
      <w:start w:val="1"/>
    </w:lvl>
    <w:lvl w:ilvl="1">
      <w:lvlJc w:val="left"/>
      <w:lvlText w:val="(%2)"/>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
      <w:numFmt w:val="bullet"/>
      <w:start w:val="1"/>
    </w:lvl>
  </w:abstractNum>
  <w:abstractNum w:abstractNumId="11">
    <w:nsid w:val="109CF92E"/>
    <w:multiLevelType w:val="hybridMultilevel"/>
    <w:lvl w:ilvl="0">
      <w:lvlJc w:val="left"/>
      <w:lvlText w:val=" "/>
      <w:numFmt w:val="bullet"/>
      <w:start w:val="1"/>
    </w:lvl>
  </w:abstractNum>
  <w:abstractNum w:abstractNumId="12">
    <w:nsid w:val="DED7263"/>
    <w:multiLevelType w:val="hybridMultilevel"/>
    <w:lvl w:ilvl="0">
      <w:lvlJc w:val="left"/>
      <w:lvlText w:val=" "/>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2026-06-15T15:35:12Z</dcterms:created>
  <dcterms:modified xsi:type="dcterms:W3CDTF">2026-06-15T15:35:12Z</dcterms:modified>
</cp:coreProperties>
</file>