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rPr>
      </w:pPr>
      <w:bookmarkStart w:id="0" w:name="e26327_wtrg-8k.htm"/>
      <w:bookmarkStart w:id="1" w:name="kse26327_wtrg8k"/>
      <w:bookmarkEnd w:id="0"/>
      <w:bookmarkEnd w:id="1"/>
      <w:r>
        <w:rPr>
          <w:caps w:val="false"/>
          <w:smallCaps w:val="false"/>
        </w:rPr>
        <w:t> </w:t>
      </w:r>
    </w:p>
    <w:p>
      <w:pPr>
        <w:pStyle w:val="TextBody"/>
        <w:bidi w:val="0"/>
        <w:spacing w:before="0" w:after="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br/>
        <w:t>_____________</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9_edei--DocumentType_c20260804__20"/>
      <w:bookmarkEnd w:id="2"/>
      <w:r>
        <w:rPr>
          <w:rFonts w:ascii="Times New Roman;Times;Serif" w:hAnsi="Times New Roman;Times;Serif"/>
          <w:b/>
          <w:i w:val="false"/>
          <w:caps w:val="false"/>
          <w:smallCaps w:val="false"/>
          <w:sz w:val="20"/>
        </w:rPr>
        <w:t>8-K</w:t>
      </w:r>
    </w:p>
    <w:p>
      <w:pPr>
        <w:pStyle w:val="TextBody"/>
        <w:bidi w:val="0"/>
        <w:jc w:val="center"/>
        <w:rPr>
          <w:caps w:val="false"/>
          <w:smallCaps w:val="false"/>
        </w:rPr>
      </w:pPr>
      <w:r>
        <w:rPr>
          <w:caps w:val="false"/>
          <w:smallCaps w:val="false"/>
        </w:rPr>
        <w:t> </w:t>
      </w:r>
    </w:p>
    <w:p>
      <w:pPr>
        <w:pStyle w:val="TextBody"/>
        <w:bidi w:val="0"/>
        <w:spacing w:before="0" w:after="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br/>
        <w:t>PURSUANT TO SECTION 13 OR 15(d)</w:t>
        <w:br/>
        <w:t>OF THE SECURITIES EXCHANGE ACT OF 1934</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0_edei--DocumentPeriodEndDate_c202"/>
      <w:bookmarkEnd w:id="3"/>
      <w:r>
        <w:rPr>
          <w:rFonts w:ascii="Times New Roman;Times;Serif" w:hAnsi="Times New Roman;Times;Serif"/>
          <w:b w:val="false"/>
          <w:i w:val="false"/>
          <w:caps w:val="false"/>
          <w:smallCaps w:val="false"/>
          <w:sz w:val="20"/>
          <w:u w:val="single"/>
        </w:rPr>
        <w:t>August 4, 2026</w:t>
      </w:r>
    </w:p>
    <w:p>
      <w:pPr>
        <w:pStyle w:val="TextBody"/>
        <w:bidi w:val="0"/>
        <w:jc w:val="center"/>
        <w:rPr>
          <w:caps w:val="false"/>
          <w:smallCaps w:val="false"/>
        </w:rPr>
      </w:pPr>
      <w:r>
        <w:rPr>
          <w:caps w:val="false"/>
          <w:smallCaps w:val="false"/>
        </w:rPr>
        <w:t> </w:t>
      </w:r>
    </w:p>
    <w:p>
      <w:pPr>
        <w:pStyle w:val="TextBody"/>
        <w:bidi w:val="0"/>
        <w:spacing w:before="0" w:after="240"/>
        <w:jc w:val="center"/>
        <w:rPr>
          <w:rFonts w:ascii="Times New Roman;Times;Serif" w:hAnsi="Times New Roman;Times;Serif"/>
          <w:b w:val="false"/>
          <w:i w:val="false"/>
          <w:caps w:val="false"/>
          <w:smallCaps w:val="false"/>
          <w:sz w:val="20"/>
        </w:rPr>
      </w:pPr>
      <w:bookmarkStart w:id="4" w:name="xdx_90F_edei--EntityRegistrantName_c2026"/>
      <w:bookmarkEnd w:id="4"/>
      <w:r>
        <w:rPr>
          <w:rFonts w:ascii="Times New Roman;Times;Serif" w:hAnsi="Times New Roman;Times;Serif"/>
          <w:b w:val="false"/>
          <w:i w:val="false"/>
          <w:caps w:val="false"/>
          <w:smallCaps w:val="false"/>
          <w:sz w:val="20"/>
          <w:u w:val="single"/>
        </w:rPr>
        <w:t>Essential Utilities, Inc.</w:t>
      </w:r>
      <w:r>
        <w:rPr>
          <w:rFonts w:ascii="Times New Roman;Times;Serif" w:hAnsi="Times New Roman;Times;Serif"/>
          <w:b w:val="false"/>
          <w:i w:val="false"/>
          <w:caps w:val="false"/>
          <w:smallCaps w:val="false"/>
          <w:sz w:val="20"/>
        </w:rPr>
        <w:br/>
        <w:t>(Exact Name of Registrant Specified in Charter)</w:t>
      </w:r>
    </w:p>
    <w:tbl>
      <w:tblPr>
        <w:tblW w:w="4935" w:type="dxa"/>
        <w:jc w:val="left"/>
        <w:tblInd w:w="0" w:type="dxa"/>
        <w:tblLayout w:type="fixed"/>
        <w:tblCellMar>
          <w:top w:w="0" w:type="dxa"/>
          <w:left w:w="0" w:type="dxa"/>
          <w:bottom w:w="0" w:type="dxa"/>
          <w:right w:w="0" w:type="dxa"/>
        </w:tblCellMar>
      </w:tblPr>
      <w:tblGrid>
        <w:gridCol w:w="2255"/>
        <w:gridCol w:w="1145"/>
        <w:gridCol w:w="1535"/>
      </w:tblGrid>
      <w:tr>
        <w:trPr/>
        <w:tc>
          <w:tcPr>
            <w:tcW w:w="22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bookmarkStart w:id="5" w:name="xdx_90C_edei--EntityIncorporationStateCo"/>
            <w:bookmarkEnd w:id="5"/>
            <w:r>
              <w:rPr>
                <w:rFonts w:ascii="Times New Roman;Times;Serif" w:hAnsi="Times New Roman;Times;Serif"/>
                <w:b w:val="false"/>
                <w:i w:val="false"/>
                <w:caps w:val="false"/>
                <w:smallCaps w:val="false"/>
                <w:sz w:val="20"/>
                <w:u w:val="single"/>
              </w:rPr>
              <w:t>Pennsylvania</w:t>
            </w:r>
          </w:p>
        </w:tc>
        <w:tc>
          <w:tcPr>
            <w:tcW w:w="11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bookmarkStart w:id="6" w:name="xdx_90D_edei--EntityFileNumber_c20260804"/>
            <w:bookmarkEnd w:id="6"/>
            <w:r>
              <w:rPr>
                <w:rFonts w:ascii="Times New Roman;Times;Serif" w:hAnsi="Times New Roman;Times;Serif"/>
                <w:b w:val="false"/>
                <w:i w:val="false"/>
                <w:caps w:val="false"/>
                <w:smallCaps w:val="false"/>
                <w:sz w:val="20"/>
                <w:u w:val="single"/>
              </w:rPr>
              <w:t>001-06659</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bookmarkStart w:id="7" w:name="xdx_90D_edei--EntityTaxIdentificationNum"/>
            <w:bookmarkEnd w:id="7"/>
            <w:r>
              <w:rPr>
                <w:rFonts w:ascii="Times New Roman;Times;Serif" w:hAnsi="Times New Roman;Times;Serif"/>
                <w:b w:val="false"/>
                <w:i w:val="false"/>
                <w:caps w:val="false"/>
                <w:smallCaps w:val="false"/>
                <w:sz w:val="20"/>
                <w:u w:val="single"/>
              </w:rPr>
              <w:t>23-1702594</w:t>
            </w:r>
          </w:p>
        </w:tc>
      </w:tr>
      <w:tr>
        <w:trPr/>
        <w:tc>
          <w:tcPr>
            <w:tcW w:w="22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(State or Other Jurisdiction </w:t>
              <w:br/>
              <w:t>of Incorporation)</w:t>
            </w:r>
          </w:p>
        </w:tc>
        <w:tc>
          <w:tcPr>
            <w:tcW w:w="11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w:t>
              <w:br/>
              <w:t>File Number)</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(I.R.S. Employer </w:t>
              <w:br/>
              <w:t>Identification No.)</w:t>
            </w:r>
          </w:p>
        </w:tc>
      </w:tr>
    </w:tbl>
    <w:p>
      <w:pPr>
        <w:pStyle w:val="TextBody"/>
        <w:bidi w:val="0"/>
        <w:jc w:val="left"/>
        <w:rPr>
          <w:caps w:val="false"/>
          <w:smallCaps w:val="false"/>
        </w:rPr>
      </w:pPr>
      <w:r>
        <w:rPr>
          <w:caps w:val="false"/>
          <w:smallCaps w:val="false"/>
        </w:rPr>
        <w:t> </w:t>
      </w:r>
    </w:p>
    <w:tbl>
      <w:tblPr>
        <w:tblW w:w="4375" w:type="dxa"/>
        <w:jc w:val="left"/>
        <w:tblInd w:w="0" w:type="dxa"/>
        <w:tblLayout w:type="fixed"/>
        <w:tblCellMar>
          <w:top w:w="0" w:type="dxa"/>
          <w:left w:w="0" w:type="dxa"/>
          <w:bottom w:w="0" w:type="dxa"/>
          <w:right w:w="0" w:type="dxa"/>
        </w:tblCellMar>
      </w:tblPr>
      <w:tblGrid>
        <w:gridCol w:w="3275"/>
        <w:gridCol w:w="60"/>
        <w:gridCol w:w="1040"/>
      </w:tblGrid>
      <w:tr>
        <w:trPr/>
        <w:tc>
          <w:tcPr>
            <w:tcW w:w="32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8" w:name="xdx_90B_edei--EntityAddressAddressLine1_"/>
            <w:bookmarkEnd w:id="8"/>
            <w:r>
              <w:rPr>
                <w:rFonts w:ascii="Times New Roman;Times;Serif" w:hAnsi="Times New Roman;Times;Serif"/>
                <w:b w:val="false"/>
                <w:i w:val="false"/>
                <w:caps w:val="false"/>
                <w:smallCaps w:val="false"/>
                <w:sz w:val="20"/>
              </w:rPr>
              <w:t>762 West Lancaster Avenue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4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2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9" w:name="xdx_906_edei--EntityAddressCityOrTown_c2"/>
            <w:bookmarkEnd w:id="9"/>
            <w:r>
              <w:rPr>
                <w:rFonts w:ascii="Times New Roman;Times;Serif" w:hAnsi="Times New Roman;Times;Serif"/>
                <w:b w:val="false"/>
                <w:i w:val="false"/>
                <w:caps w:val="false"/>
                <w:smallCaps w:val="false"/>
                <w:sz w:val="20"/>
                <w:u w:val="single"/>
              </w:rPr>
              <w:t>Bryn Mawr,</w:t>
            </w:r>
            <w:bookmarkStart w:id="10" w:name="xdx_902_edei--EntityAddressStateOrProvin"/>
            <w:bookmarkEnd w:id="10"/>
            <w:r>
              <w:rPr>
                <w:rFonts w:ascii="Times New Roman;Times;Serif" w:hAnsi="Times New Roman;Times;Serif"/>
                <w:b w:val="false"/>
                <w:i w:val="false"/>
                <w:caps w:val="false"/>
                <w:smallCaps w:val="false"/>
                <w:sz w:val="20"/>
                <w:u w:val="single"/>
              </w:rPr>
              <w:t xml:space="preserve"> Pennsylvania</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4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bookmarkStart w:id="11" w:name="xdx_90D_edei--EntityAddressPostalZipCode"/>
            <w:bookmarkEnd w:id="11"/>
            <w:r>
              <w:rPr>
                <w:rFonts w:ascii="Times New Roman;Times;Serif" w:hAnsi="Times New Roman;Times;Serif"/>
                <w:b w:val="false"/>
                <w:i w:val="false"/>
                <w:caps w:val="false"/>
                <w:smallCaps w:val="false"/>
                <w:sz w:val="20"/>
                <w:u w:val="single"/>
              </w:rPr>
              <w:t>19010-3489</w:t>
            </w:r>
          </w:p>
        </w:tc>
      </w:tr>
      <w:tr>
        <w:trPr/>
        <w:tc>
          <w:tcPr>
            <w:tcW w:w="32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4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2" w:name="xdx_90B_edei--CityAreaCode_c20260804__20"/>
      <w:bookmarkEnd w:id="12"/>
      <w:r>
        <w:rPr>
          <w:rFonts w:ascii="Times New Roman;Times;Serif" w:hAnsi="Times New Roman;Times;Serif"/>
          <w:b w:val="false"/>
          <w:i w:val="false"/>
          <w:caps w:val="false"/>
          <w:smallCaps w:val="false"/>
          <w:sz w:val="20"/>
          <w:u w:val="single"/>
        </w:rPr>
        <w:t xml:space="preserve">(610) </w:t>
      </w:r>
      <w:bookmarkStart w:id="13" w:name="xdx_90A_edei--LocalPhoneNumber_c20260804"/>
      <w:bookmarkEnd w:id="13"/>
      <w:r>
        <w:rPr>
          <w:rFonts w:ascii="Times New Roman;Times;Serif" w:hAnsi="Times New Roman;Times;Serif"/>
          <w:b w:val="false"/>
          <w:i w:val="false"/>
          <w:caps w:val="false"/>
          <w:smallCaps w:val="false"/>
          <w:sz w:val="20"/>
          <w:u w:val="single"/>
        </w:rPr>
        <w:t>527-8000</w:t>
      </w:r>
    </w:p>
    <w:p>
      <w:pPr>
        <w:pStyle w:val="TextBody"/>
        <w:bidi w:val="0"/>
        <w:spacing w:before="0" w:after="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jc w:val="center"/>
        <w:rPr>
          <w:caps w:val="false"/>
          <w:smallCaps w:val="false"/>
        </w:rPr>
      </w:pPr>
      <w:r>
        <w:rPr>
          <w:caps w:val="false"/>
          <w:smallCaps w:val="false"/>
        </w:rPr>
        <w:t> </w:t>
      </w:r>
    </w:p>
    <w:p>
      <w:pPr>
        <w:pStyle w:val="TextBody"/>
        <w:bidi w:val="0"/>
        <w:spacing w:before="0" w:after="1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120"/>
        <w:ind w:left="360" w:right="0" w:hanging="0"/>
        <w:jc w:val="left"/>
        <w:rPr>
          <w:caps w:val="false"/>
          <w:smallCaps w:val="false"/>
        </w:rPr>
      </w:pPr>
      <w:bookmarkStart w:id="14" w:name="xdx_908_edei--WrittenCommunications_c202"/>
      <w:bookmarkEnd w:id="14"/>
      <w:r>
        <w:rPr>
          <w:caps w:val="false"/>
          <w:smallCaps w:val="false"/>
        </w:rPr>
        <w:t>☐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120"/>
        <w:ind w:left="360" w:right="0" w:hanging="0"/>
        <w:jc w:val="left"/>
        <w:rPr>
          <w:caps w:val="false"/>
          <w:smallCaps w:val="false"/>
        </w:rPr>
      </w:pPr>
      <w:bookmarkStart w:id="15" w:name="xdx_906_edei--SolicitingMaterial_c202608"/>
      <w:bookmarkEnd w:id="15"/>
      <w:r>
        <w:rPr>
          <w:caps w:val="false"/>
          <w:smallCaps w:val="false"/>
        </w:rPr>
        <w:t>☐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120"/>
        <w:ind w:left="360" w:right="0" w:hanging="0"/>
        <w:jc w:val="left"/>
        <w:rPr>
          <w:caps w:val="false"/>
          <w:smallCaps w:val="false"/>
        </w:rPr>
      </w:pPr>
      <w:bookmarkStart w:id="16" w:name="xdx_90F_edei--PreCommencementTenderOffer"/>
      <w:bookmarkEnd w:id="16"/>
      <w:r>
        <w:rPr>
          <w:caps w:val="false"/>
          <w:smallCaps w:val="false"/>
        </w:rPr>
        <w:t>☐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ind w:left="360" w:right="0" w:hanging="0"/>
        <w:jc w:val="left"/>
        <w:rPr>
          <w:caps w:val="false"/>
          <w:smallCaps w:val="false"/>
        </w:rPr>
      </w:pPr>
      <w:bookmarkStart w:id="17" w:name="xdx_908_edei--PreCommencementIssuerTende"/>
      <w:bookmarkEnd w:id="17"/>
      <w:r>
        <w:rPr>
          <w:caps w:val="false"/>
          <w:smallCaps w:val="false"/>
        </w:rPr>
        <w:t>☐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jc w:val="left"/>
        <w:rPr>
          <w:caps w:val="false"/>
          <w:smallCaps w:val="false"/>
        </w:rPr>
      </w:pPr>
      <w:r>
        <w:rPr>
          <w:caps w:val="false"/>
          <w:smallCaps w:val="false"/>
        </w:rPr>
        <w:t> </w:t>
      </w:r>
    </w:p>
    <w:p>
      <w:pPr>
        <w:pStyle w:val="TextBody"/>
        <w:bidi w:val="0"/>
        <w:spacing w:before="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tbl>
      <w:tblPr>
        <w:tblW w:w="7860" w:type="dxa"/>
        <w:jc w:val="left"/>
        <w:tblInd w:w="0" w:type="dxa"/>
        <w:tblLayout w:type="fixed"/>
        <w:tblCellMar>
          <w:top w:w="0" w:type="dxa"/>
          <w:left w:w="0" w:type="dxa"/>
          <w:bottom w:w="28" w:type="dxa"/>
          <w:right w:w="0" w:type="dxa"/>
        </w:tblCellMar>
      </w:tblPr>
      <w:tblGrid>
        <w:gridCol w:w="2615"/>
        <w:gridCol w:w="60"/>
        <w:gridCol w:w="1535"/>
        <w:gridCol w:w="60"/>
        <w:gridCol w:w="3590"/>
      </w:tblGrid>
      <w:tr>
        <w:trPr/>
        <w:tc>
          <w:tcPr>
            <w:tcW w:w="261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26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1_edei--Security12bTitle_c20260804"/>
            <w:bookmarkEnd w:id="18"/>
            <w:r>
              <w:rPr>
                <w:rFonts w:ascii="Times New Roman;Times;Serif" w:hAnsi="Times New Roman;Times;Serif"/>
                <w:b w:val="false"/>
                <w:i w:val="false"/>
                <w:caps w:val="false"/>
                <w:smallCaps w:val="false"/>
                <w:sz w:val="20"/>
              </w:rPr>
              <w:t>Common stock, $0.50 par value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3_edei--TradingSymbol_c20260804__2"/>
            <w:bookmarkEnd w:id="19"/>
            <w:r>
              <w:rPr>
                <w:rFonts w:ascii="Times New Roman;Times;Serif" w:hAnsi="Times New Roman;Times;Serif"/>
                <w:b w:val="false"/>
                <w:i w:val="false"/>
                <w:caps w:val="false"/>
                <w:smallCaps w:val="false"/>
                <w:sz w:val="20"/>
              </w:rPr>
              <w:t>WTRG</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8_edei--SecurityExchangeName_c2026"/>
            <w:bookmarkEnd w:id="20"/>
            <w:r>
              <w:rPr>
                <w:rFonts w:ascii="Times New Roman;Times;Serif" w:hAnsi="Times New Roman;Times;Serif"/>
                <w:b w:val="false"/>
                <w:i w:val="false"/>
                <w:caps w:val="false"/>
                <w:smallCaps w:val="false"/>
                <w:sz w:val="20"/>
              </w:rPr>
              <w:t>New York Stock Exchange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1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2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1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bdr w:val="single" w:sz="8" w:space="1" w:color="C0C0C0"/>
        </w:rPr>
      </w:pPr>
      <w:r>
        <w:rPr>
          <w:bdr w:val="single" w:sz="8" w:space="1" w:color="C0C0C0"/>
        </w:rPr>
        <w:t> </w:t>
      </w:r>
    </w:p>
    <w:p>
      <w:pPr>
        <w:pStyle w:val="TextBody"/>
        <w:bidi w:val="0"/>
        <w:spacing w:before="0" w:after="0"/>
        <w:ind w:left="0" w:right="0" w:hanging="0"/>
        <w:jc w:val="left"/>
        <w:rPr/>
      </w:pPr>
      <w:r>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4, 2026, Essential Utilities, Inc. issued a press release announcing its financial results for the quarter ended and six months ended June 30, 2026. The full text of such press release is furnished as Exhibit 99.1 to this Form 8-K.</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ind w:left="2160" w:right="720" w:hanging="0"/>
        <w:jc w:val="left"/>
        <w:rPr>
          <w:caps w:val="false"/>
          <w:smallCaps w:val="false"/>
        </w:rPr>
      </w:pPr>
      <w:r>
        <w:rPr>
          <w:caps w:val="false"/>
          <w:smallCaps w:val="false"/>
        </w:rPr>
        <w:t> </w:t>
      </w:r>
    </w:p>
    <w:tbl>
      <w:tblPr>
        <w:tblW w:w="1053" w:type="dxa"/>
        <w:jc w:val="left"/>
        <w:tblInd w:w="0" w:type="dxa"/>
        <w:tblLayout w:type="fixed"/>
        <w:tblCellMar>
          <w:top w:w="0" w:type="dxa"/>
          <w:left w:w="0" w:type="dxa"/>
          <w:bottom w:w="0" w:type="dxa"/>
          <w:right w:w="0" w:type="dxa"/>
        </w:tblCellMar>
      </w:tblPr>
      <w:tblGrid>
        <w:gridCol w:w="38"/>
        <w:gridCol w:w="245"/>
        <w:gridCol w:w="77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7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Exhibits.</w:t>
            </w:r>
          </w:p>
        </w:tc>
      </w:tr>
    </w:tbl>
    <w:p>
      <w:pPr>
        <w:pStyle w:val="TextBody"/>
        <w:bidi w:val="0"/>
        <w:ind w:left="2160" w:right="0" w:hanging="720"/>
        <w:jc w:val="left"/>
        <w:rPr>
          <w:caps w:val="false"/>
          <w:smallCaps w:val="false"/>
        </w:rPr>
      </w:pPr>
      <w:r>
        <w:rPr>
          <w:caps w:val="false"/>
          <w:smallCaps w:val="false"/>
        </w:rPr>
        <w:t> </w:t>
      </w:r>
    </w:p>
    <w:tbl>
      <w:tblPr>
        <w:tblW w:w="5553" w:type="dxa"/>
        <w:jc w:val="left"/>
        <w:tblInd w:w="0" w:type="dxa"/>
        <w:tblLayout w:type="fixed"/>
        <w:tblCellMar>
          <w:top w:w="0" w:type="dxa"/>
          <w:left w:w="0" w:type="dxa"/>
          <w:bottom w:w="0" w:type="dxa"/>
          <w:right w:w="0" w:type="dxa"/>
        </w:tblCellMar>
      </w:tblPr>
      <w:tblGrid>
        <w:gridCol w:w="38"/>
        <w:gridCol w:w="380"/>
        <w:gridCol w:w="513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5135" w:type="dxa"/>
            <w:tcBorders/>
            <w:vAlign w:val="center"/>
          </w:tcPr>
          <w:p>
            <w:pPr>
              <w:pStyle w:val="TableContents"/>
              <w:bidi w:val="0"/>
              <w:spacing w:before="0" w:after="283"/>
              <w:jc w:val="left"/>
              <w:rPr/>
            </w:pPr>
            <w:hyperlink w:anchor="e26327_ex99-1.htm">
              <w:r>
                <w:rPr>
                  <w:rStyle w:val="InternetLink"/>
                  <w:rFonts w:ascii="Times New Roman;Times;Serif" w:hAnsi="Times New Roman;Times;Serif"/>
                  <w:b w:val="false"/>
                  <w:i w:val="false"/>
                  <w:caps w:val="false"/>
                  <w:smallCaps w:val="false"/>
                  <w:sz w:val="20"/>
                </w:rPr>
                <w:t>Press Release issued by Essential Utilities, Inc., August 4, 2026</w:t>
              </w:r>
            </w:hyperlink>
          </w:p>
        </w:tc>
      </w:tr>
    </w:tbl>
    <w:p>
      <w:pPr>
        <w:pStyle w:val="TextBody"/>
        <w:bidi w:val="0"/>
        <w:ind w:left="1440" w:right="0" w:hanging="720"/>
        <w:jc w:val="left"/>
        <w:rPr>
          <w:caps w:val="false"/>
          <w:smallCaps w:val="false"/>
        </w:rPr>
      </w:pPr>
      <w:r>
        <w:rPr>
          <w:caps w:val="false"/>
          <w:smallCaps w:val="false"/>
        </w:rPr>
        <w:t> </w:t>
      </w:r>
    </w:p>
    <w:tbl>
      <w:tblPr>
        <w:tblW w:w="5283" w:type="dxa"/>
        <w:jc w:val="left"/>
        <w:tblInd w:w="0" w:type="dxa"/>
        <w:tblLayout w:type="fixed"/>
        <w:tblCellMar>
          <w:top w:w="0" w:type="dxa"/>
          <w:left w:w="0" w:type="dxa"/>
          <w:bottom w:w="0" w:type="dxa"/>
          <w:right w:w="0" w:type="dxa"/>
        </w:tblCellMar>
      </w:tblPr>
      <w:tblGrid>
        <w:gridCol w:w="38"/>
        <w:gridCol w:w="335"/>
        <w:gridCol w:w="4910"/>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4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(formatted as inline XBRL)</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bdr w:val="single" w:sz="8" w:space="1" w:color="C0C0C0"/>
        </w:rPr>
      </w:pPr>
      <w:r>
        <w:rPr>
          <w:bdr w:val="single" w:sz="8" w:space="1" w:color="C0C0C0"/>
        </w:rPr>
        <w:t> </w:t>
      </w:r>
    </w:p>
    <w:p>
      <w:pPr>
        <w:pStyle w:val="TextBody"/>
        <w:bidi w:val="0"/>
        <w:spacing w:before="0" w:after="0"/>
        <w:ind w:left="0" w:right="0" w:hanging="0"/>
        <w:jc w:val="left"/>
        <w:rPr/>
      </w:pPr>
      <w:r>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ind w:left="0" w:right="0" w:firstLine="720"/>
        <w:jc w:val="left"/>
        <w:rPr>
          <w:caps w:val="false"/>
          <w:smallCaps w:val="false"/>
        </w:rPr>
      </w:pPr>
      <w:r>
        <w:rPr>
          <w:caps w:val="false"/>
          <w:smallCaps w:val="false"/>
        </w:rPr>
        <w:t> </w:t>
      </w:r>
    </w:p>
    <w:tbl>
      <w:tblPr>
        <w:tblW w:w="4165" w:type="dxa"/>
        <w:jc w:val="left"/>
        <w:tblInd w:w="0" w:type="dxa"/>
        <w:tblLayout w:type="fixed"/>
        <w:tblCellMar>
          <w:top w:w="0" w:type="dxa"/>
          <w:left w:w="0" w:type="dxa"/>
          <w:bottom w:w="0" w:type="dxa"/>
          <w:right w:w="0" w:type="dxa"/>
        </w:tblCellMar>
      </w:tblPr>
      <w:tblGrid>
        <w:gridCol w:w="195"/>
        <w:gridCol w:w="455"/>
        <w:gridCol w:w="3515"/>
      </w:tblGrid>
      <w:tr>
        <w:trPr/>
        <w:tc>
          <w:tcPr>
            <w:tcW w:w="195" w:type="dxa"/>
            <w:tcBorders/>
            <w:vAlign w:val="center"/>
          </w:tcPr>
          <w:p>
            <w:pPr>
              <w:pStyle w:val="TableContents"/>
              <w:bidi w:val="0"/>
              <w:spacing w:before="0" w:after="283"/>
              <w:jc w:val="left"/>
              <w:rPr/>
            </w:pPr>
            <w:r>
              <w:rPr/>
              <w:t> </w:t>
            </w:r>
          </w:p>
        </w:tc>
        <w:tc>
          <w:tcPr>
            <w:tcW w:w="397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ESSENTIAL UTILITIES, INC.</w:t>
            </w:r>
          </w:p>
        </w:tc>
      </w:tr>
      <w:tr>
        <w:trPr/>
        <w:tc>
          <w:tcPr>
            <w:tcW w:w="19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caps w:val="false"/>
                <w:smallCaps w:val="false"/>
              </w:rPr>
            </w:pPr>
            <w:r>
              <w:rPr>
                <w:caps w:val="false"/>
                <w:smallCaps w:val="false"/>
              </w:rPr>
              <w:t> </w:t>
            </w:r>
          </w:p>
        </w:tc>
        <w:tc>
          <w:tcPr>
            <w:tcW w:w="351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r>
          </w:p>
        </w:tc>
        <w:tc>
          <w:tcPr>
            <w:tcW w:w="351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Christopher P. Luning</w:t>
            </w:r>
          </w:p>
        </w:tc>
      </w:tr>
      <w:tr>
        <w:trPr/>
        <w:tc>
          <w:tcPr>
            <w:tcW w:w="19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caps w:val="false"/>
                <w:smallCaps w:val="false"/>
              </w:rPr>
            </w:pPr>
            <w:r>
              <w:rPr>
                <w:caps w:val="false"/>
                <w:smallCaps w:val="false"/>
              </w:rPr>
              <w:t>   </w:t>
            </w:r>
          </w:p>
        </w:tc>
        <w:tc>
          <w:tcPr>
            <w:tcW w:w="35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Christopher P. Luning</w:t>
            </w:r>
          </w:p>
        </w:tc>
      </w:tr>
      <w:tr>
        <w:trPr/>
        <w:tc>
          <w:tcPr>
            <w:tcW w:w="19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caps w:val="false"/>
                <w:smallCaps w:val="false"/>
              </w:rPr>
            </w:pPr>
            <w:r>
              <w:rPr>
                <w:caps w:val="false"/>
                <w:smallCaps w:val="false"/>
              </w:rPr>
              <w:t> </w:t>
            </w:r>
          </w:p>
        </w:tc>
        <w:tc>
          <w:tcPr>
            <w:tcW w:w="35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 General Counsel</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5, 2026</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bdr w:val="single" w:sz="8" w:space="1" w:color="C0C0C0"/>
        </w:rPr>
      </w:pPr>
      <w:r>
        <w:rPr>
          <w:bdr w:val="single" w:sz="8" w:space="1" w:color="C0C0C0"/>
        </w:rPr>
        <w:t> </w:t>
      </w:r>
    </w:p>
    <w:p>
      <w:pPr>
        <w:pStyle w:val="TextBody"/>
        <w:bidi w:val="0"/>
        <w:jc w:val="right"/>
        <w:rPr>
          <w:rFonts w:ascii="Times New Roman;Times;Serif" w:hAnsi="Times New Roman;Times;Serif"/>
          <w:b/>
          <w:i w:val="false"/>
          <w:caps w:val="false"/>
          <w:smallCaps w:val="false"/>
          <w:sz w:val="20"/>
        </w:rPr>
      </w:pPr>
      <w:bookmarkStart w:id="22" w:name="e26327_ex99-1.htm"/>
      <w:bookmarkStart w:id="23" w:name="kse26327_ex991"/>
      <w:bookmarkEnd w:id="22"/>
      <w:bookmarkEnd w:id="23"/>
      <w:r>
        <w:rPr>
          <w:rFonts w:ascii="Times New Roman;Times;Serif" w:hAnsi="Times New Roman;Times;Serif"/>
          <w:b/>
          <w:i w:val="false"/>
          <w:caps w:val="false"/>
          <w:smallCaps w:val="false"/>
          <w:sz w:val="20"/>
        </w:rPr>
        <w:t>Exhibit 99.1</w:t>
      </w:r>
      <w:r>
        <w:br w:type="page"/>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drawing>
          <wp:inline distT="0" distB="0" distL="0" distR="0">
            <wp:extent cx="8172450" cy="1257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172450" cy="1257300"/>
                    </a:xfrm>
                    <a:prstGeom prst="rect">
                      <a:avLst/>
                    </a:prstGeom>
                  </pic:spPr>
                </pic:pic>
              </a:graphicData>
            </a:graphic>
          </wp:inline>
        </w:drawing>
      </w:r>
    </w:p>
    <w:p>
      <w:pPr>
        <w:pStyle w:val="TextBody"/>
        <w:bidi w:val="0"/>
        <w:jc w:val="center"/>
        <w:rPr>
          <w:caps w:val="false"/>
          <w:smallCaps w:val="false"/>
        </w:rPr>
      </w:pPr>
      <w:r>
        <w:rPr>
          <w:caps w:val="false"/>
          <w:smallCaps w:val="false"/>
        </w:rPr>
        <w:t> </w:t>
      </w:r>
    </w:p>
    <w:p>
      <w:pPr>
        <w:pStyle w:val="TextBody"/>
        <w:bidi w:val="0"/>
        <w:spacing w:before="0" w:after="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Essential Utilities Reports Q2 2026 Results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Affirms Financial and Growth Guidance</w:t>
      </w:r>
    </w:p>
    <w:p>
      <w:pPr>
        <w:pStyle w:val="TextBody"/>
        <w:bidi w:val="0"/>
        <w:spacing w:before="0" w:after="0"/>
        <w:jc w:val="center"/>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125"/>
        <w:gridCol w:w="10043"/>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43" w:type="dxa"/>
            <w:tcBorders/>
            <w:shd w:fill="FFFFFF" w:val="clear"/>
            <w:vAlign w:val="center"/>
          </w:tcPr>
          <w:p>
            <w:pPr>
              <w:pStyle w:val="TableContents"/>
              <w:bidi w:val="0"/>
              <w:spacing w:before="0" w:after="283"/>
              <w:jc w:val="left"/>
              <w:rPr>
                <w:b/>
                <w:i/>
              </w:rPr>
            </w:pPr>
            <w:r>
              <w:rPr>
                <w:b/>
                <w:i/>
              </w:rPr>
              <w:t>GAAP Earnings of $0.37 per share for Q2 2026 and adjusted earnings per share of $0.38 (non-GAAP) which exclude transaction costs associated with the pending merger with American Water</w:t>
            </w:r>
          </w:p>
        </w:tc>
      </w:tr>
    </w:tbl>
    <w:tbl>
      <w:tblPr>
        <w:tblW w:w="5000" w:type="pct"/>
        <w:jc w:val="left"/>
        <w:tblInd w:w="0" w:type="dxa"/>
        <w:shd w:fill="FFFFFF" w:val="clear"/>
        <w:tblLayout w:type="fixed"/>
        <w:tblCellMar>
          <w:top w:w="0" w:type="dxa"/>
          <w:left w:w="0" w:type="dxa"/>
          <w:bottom w:w="0" w:type="dxa"/>
          <w:right w:w="0" w:type="dxa"/>
        </w:tblCellMar>
      </w:tblPr>
      <w:tblGrid>
        <w:gridCol w:w="40"/>
        <w:gridCol w:w="134"/>
        <w:gridCol w:w="10031"/>
      </w:tblGrid>
      <w:tr>
        <w:trPr/>
        <w:tc>
          <w:tcPr>
            <w:tcW w:w="40" w:type="dxa"/>
            <w:tcBorders/>
            <w:shd w:fill="FFFFFF" w:val="clear"/>
            <w:vAlign w:val="center"/>
          </w:tcPr>
          <w:p>
            <w:pPr>
              <w:pStyle w:val="TableContents"/>
              <w:bidi w:val="0"/>
              <w:spacing w:before="0" w:after="283"/>
              <w:jc w:val="left"/>
              <w:rPr>
                <w:sz w:val="4"/>
                <w:szCs w:val="4"/>
              </w:rPr>
            </w:pPr>
            <w:r>
              <w:rPr>
                <w:sz w:val="4"/>
                <w:szCs w:val="4"/>
              </w:rPr>
            </w:r>
          </w:p>
        </w:tc>
        <w:tc>
          <w:tcPr>
            <w:tcW w:w="134"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31" w:type="dxa"/>
            <w:tcBorders/>
            <w:shd w:fill="FFFFFF" w:val="clear"/>
            <w:vAlign w:val="center"/>
          </w:tcPr>
          <w:p>
            <w:pPr>
              <w:pStyle w:val="TableContents"/>
              <w:bidi w:val="0"/>
              <w:spacing w:before="0" w:after="283"/>
              <w:jc w:val="left"/>
              <w:rPr>
                <w:b/>
                <w:i/>
              </w:rPr>
            </w:pPr>
            <w:r>
              <w:rPr>
                <w:b/>
                <w:i/>
              </w:rPr>
              <w:t xml:space="preserve">Affirms anticipated growth in earnings per share at a compound annual growth rate of 5 to 7% </w:t>
            </w:r>
          </w:p>
        </w:tc>
      </w:tr>
    </w:tbl>
    <w:tbl>
      <w:tblPr>
        <w:tblW w:w="5000" w:type="pct"/>
        <w:jc w:val="left"/>
        <w:tblInd w:w="0" w:type="dxa"/>
        <w:shd w:fill="FFFFFF" w:val="clear"/>
        <w:tblLayout w:type="fixed"/>
        <w:tblCellMar>
          <w:top w:w="0" w:type="dxa"/>
          <w:left w:w="0" w:type="dxa"/>
          <w:bottom w:w="0" w:type="dxa"/>
          <w:right w:w="0" w:type="dxa"/>
        </w:tblCellMar>
      </w:tblPr>
      <w:tblGrid>
        <w:gridCol w:w="105"/>
        <w:gridCol w:w="348"/>
        <w:gridCol w:w="9752"/>
      </w:tblGrid>
      <w:tr>
        <w:trPr/>
        <w:tc>
          <w:tcPr>
            <w:tcW w:w="105" w:type="dxa"/>
            <w:tcBorders/>
            <w:shd w:fill="FFFFFF" w:val="clear"/>
            <w:vAlign w:val="center"/>
          </w:tcPr>
          <w:p>
            <w:pPr>
              <w:pStyle w:val="TableContents"/>
              <w:bidi w:val="0"/>
              <w:spacing w:before="0" w:after="283"/>
              <w:jc w:val="left"/>
              <w:rPr>
                <w:sz w:val="4"/>
                <w:szCs w:val="4"/>
              </w:rPr>
            </w:pPr>
            <w:r>
              <w:rPr>
                <w:sz w:val="4"/>
                <w:szCs w:val="4"/>
              </w:rPr>
            </w:r>
          </w:p>
        </w:tc>
        <w:tc>
          <w:tcPr>
            <w:tcW w:w="348"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9752" w:type="dxa"/>
            <w:tcBorders/>
            <w:shd w:fill="FFFFFF" w:val="clear"/>
            <w:vAlign w:val="center"/>
          </w:tcPr>
          <w:p>
            <w:pPr>
              <w:pStyle w:val="TableContents"/>
              <w:bidi w:val="0"/>
              <w:spacing w:before="0" w:after="283"/>
              <w:jc w:val="left"/>
              <w:rPr>
                <w:b/>
                <w:i/>
              </w:rPr>
            </w:pPr>
            <w:r>
              <w:rPr>
                <w:b/>
                <w:i/>
              </w:rPr>
              <w:t>Increased quarterly dividend 5.25%</w:t>
            </w:r>
          </w:p>
        </w:tc>
      </w:tr>
    </w:tbl>
    <w:tbl>
      <w:tblPr>
        <w:tblW w:w="5000" w:type="pct"/>
        <w:jc w:val="left"/>
        <w:tblInd w:w="0" w:type="dxa"/>
        <w:shd w:fill="FFFFFF" w:val="clear"/>
        <w:tblLayout w:type="fixed"/>
        <w:tblCellMar>
          <w:top w:w="0" w:type="dxa"/>
          <w:left w:w="0" w:type="dxa"/>
          <w:bottom w:w="0" w:type="dxa"/>
          <w:right w:w="0" w:type="dxa"/>
        </w:tblCellMar>
      </w:tblPr>
      <w:tblGrid>
        <w:gridCol w:w="37"/>
        <w:gridCol w:w="125"/>
        <w:gridCol w:w="10043"/>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43" w:type="dxa"/>
            <w:tcBorders/>
            <w:shd w:fill="FFFFFF" w:val="clear"/>
            <w:vAlign w:val="center"/>
          </w:tcPr>
          <w:p>
            <w:pPr>
              <w:pStyle w:val="TableContents"/>
              <w:bidi w:val="0"/>
              <w:spacing w:before="0" w:after="283"/>
              <w:jc w:val="left"/>
              <w:rPr>
                <w:b/>
              </w:rPr>
            </w:pPr>
            <w:r>
              <w:rPr>
                <w:b/>
                <w:i/>
              </w:rPr>
              <w:t>Invested $662.2 million in infrastructure in the first six months of the year; on track to invest $1.7 billion in 2026</w:t>
            </w:r>
            <w:r>
              <w:rPr>
                <w:b/>
              </w:rPr>
              <w:t> </w:t>
            </w:r>
          </w:p>
        </w:tc>
      </w:tr>
    </w:tbl>
    <w:tbl>
      <w:tblPr>
        <w:tblW w:w="5000" w:type="pct"/>
        <w:jc w:val="left"/>
        <w:tblInd w:w="0" w:type="dxa"/>
        <w:shd w:fill="FFFFFF" w:val="clear"/>
        <w:tblLayout w:type="fixed"/>
        <w:tblCellMar>
          <w:top w:w="0" w:type="dxa"/>
          <w:left w:w="0" w:type="dxa"/>
          <w:bottom w:w="0" w:type="dxa"/>
          <w:right w:w="0" w:type="dxa"/>
        </w:tblCellMar>
      </w:tblPr>
      <w:tblGrid>
        <w:gridCol w:w="37"/>
        <w:gridCol w:w="125"/>
        <w:gridCol w:w="10043"/>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43" w:type="dxa"/>
            <w:tcBorders/>
            <w:shd w:fill="FFFFFF" w:val="clear"/>
            <w:vAlign w:val="center"/>
          </w:tcPr>
          <w:p>
            <w:pPr>
              <w:pStyle w:val="TableContents"/>
              <w:bidi w:val="0"/>
              <w:spacing w:before="0" w:after="283"/>
              <w:jc w:val="left"/>
              <w:rPr>
                <w:b/>
                <w:i/>
              </w:rPr>
            </w:pPr>
            <w:r>
              <w:rPr>
                <w:b/>
                <w:i/>
              </w:rPr>
              <w:t>Received orders from Public Utilities Commission of Ohio and the Virginia State Corporation Commission approving merger with American Water</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ind w:left="72"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BRYN MAWR, Pa. (August 4, 2026) – </w:t>
      </w:r>
      <w:r>
        <w:rPr>
          <w:rFonts w:ascii="Times New Roman;Times;Serif" w:hAnsi="Times New Roman;Times;Serif"/>
          <w:b w:val="false"/>
          <w:i w:val="false"/>
          <w:caps w:val="false"/>
          <w:smallCaps w:val="false"/>
          <w:sz w:val="20"/>
        </w:rPr>
        <w:t>Essential Utilities Inc. (NYSE: WTRG) today reported results for the second quarter ended June 30, 2026.</w:t>
      </w:r>
    </w:p>
    <w:p>
      <w:pPr>
        <w:pStyle w:val="TextBody"/>
        <w:bidi w:val="0"/>
        <w:ind w:left="72" w:right="0" w:hanging="0"/>
        <w:jc w:val="left"/>
        <w:rPr>
          <w:caps w:val="false"/>
          <w:smallCaps w:val="false"/>
        </w:rPr>
      </w:pPr>
      <w:r>
        <w:rPr>
          <w:caps w:val="false"/>
          <w:smallCaps w:val="false"/>
        </w:rPr>
        <w:t> </w:t>
      </w:r>
    </w:p>
    <w:p>
      <w:pPr>
        <w:pStyle w:val="TextBody"/>
        <w:bidi w:val="0"/>
        <w:ind w:left="72"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Highlights</w:t>
      </w:r>
    </w:p>
    <w:p>
      <w:pPr>
        <w:pStyle w:val="TextBody"/>
        <w:bidi w:val="0"/>
        <w:spacing w:before="147" w:after="147"/>
        <w:ind w:left="72" w:right="144"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Our commitment to operational efficiency, proactive cost optimization, and value driven customer experience investments underpins our confidence in driving strong performance for 2026. While our organization transitions towards the targeted Q1 2027 merger with American Water, we remain steadfast in our commitment to driving peak operational performance,” said Essential Utilities Chairman and Chief Executive Officer Christopher Franklin. “We are confident that the combination with American Water will bring exciting new opportunities, and we believe that, together, we will deliver significant benefits to our combined customers and shareholders. Crucially, both companies share a dedicated focus on smart capital deployment targeting measurable reliability and quality service. This will allow us to uphold our strong safety and reliability metrics while continuing to deliver affordable, cost-effective utility solutions,” Franklin added.</w:t>
      </w:r>
    </w:p>
    <w:p>
      <w:pPr>
        <w:pStyle w:val="TextBody"/>
        <w:bidi w:val="0"/>
        <w:spacing w:before="120" w:after="160"/>
        <w:ind w:left="120" w:right="12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The regulatory approval processes for our merger with American Water continue to progress. On June 22nd, we received approval of the merger from the Virginia State Corporation Commission, and on May 14</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we received approval from the Public Utilities Commission of Ohio. Previously, we received regulatory approval for the merger from the Kentucky Public Service Commission.</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reminder, we filed in all pertinent states before the end of 2025. In February, at the special shareholder meeting to approve the merger, approximately 95% of the voted shares were cast in favor of the transaction. This overwhelming mandate supports what we have believed from the start: that this combination creates a premier, multi-state utility with a high growth profile,” Franklin added.</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Operating Results</w:t>
      </w:r>
    </w:p>
    <w:p>
      <w:pPr>
        <w:pStyle w:val="TextBody"/>
        <w:bidi w:val="0"/>
        <w:jc w:val="left"/>
        <w:rPr>
          <w:caps w:val="false"/>
          <w:smallCaps w:val="false"/>
        </w:rPr>
      </w:pPr>
      <w:r>
        <w:rPr>
          <w:caps w:val="false"/>
          <w:smallCaps w:val="false"/>
        </w:rPr>
        <w:t> </w:t>
      </w:r>
    </w:p>
    <w:p>
      <w:pPr>
        <w:pStyle w:val="TextBody"/>
        <w:shd w:fill="FFFFFF" w:val="clear"/>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Essential reported GAAP net income of $105.7 million and earnings per share of $0.37 for the second quarter of 2026, compared to GAAP net income of $107.8 million and earnings per share of $0.38 for the same period in 2025.</w:t>
      </w:r>
    </w:p>
    <w:p>
      <w:pPr>
        <w:pStyle w:val="TextBody"/>
        <w:shd w:fill="FFFFFF" w:val="clear"/>
        <w:bidi w:val="0"/>
        <w:jc w:val="left"/>
        <w:rPr>
          <w:caps w:val="false"/>
          <w:smallCaps w:val="false"/>
        </w:rPr>
      </w:pPr>
      <w:r>
        <w:rPr>
          <w:caps w:val="false"/>
          <w:smallCaps w:val="false"/>
        </w:rPr>
        <w:t> </w:t>
      </w:r>
    </w:p>
    <w:p>
      <w:pPr>
        <w:pStyle w:val="TextBody"/>
        <w:shd w:fill="FFFFFF" w:val="clear"/>
        <w:bidi w:val="0"/>
        <w:spacing w:before="0" w:after="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second quarter Q2 2026 non-GAAP EPS of $0.38, reflects business results without the impact of merger-related expenses incurred in the quarter.</w:t>
      </w:r>
    </w:p>
    <w:p>
      <w:pPr>
        <w:pStyle w:val="TextBody"/>
        <w:bidi w:val="0"/>
        <w:ind w:left="72" w:right="72"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for the quarter were $530.9 million compared to $514.9 million in the second quarter of 2025, an increase of 3%. Additional revenues from regulatory recoveries and purchased gas costs were the main revenue drivers. Operations and maintenance expenses were $153.6 million for the second quarter of 2026, compared to $148.5 million in the second quarter of 2025, an increase of 3.5%, primarily due to increases in employee-related costs of $5.9 million, including annual merit increases and higher medical claims, and an increase in production costs for water and wastewater operations of $2.3 million, offset by a decrease in insurance expenses of $4.9 million primarily due to insurance recoveries, a decrease in bad debt expense of $2.9 million, a decrease in customer assistance surcharge costs of $1.5 million, which generally has an offsetting amount in revenues, and merger-related expenses of $1.2 million. Excluding merger related costs, O&amp;M expenses increased by 2.6%.</w:t>
      </w:r>
    </w:p>
    <w:p>
      <w:pPr>
        <w:pStyle w:val="TextBody"/>
        <w:bidi w:val="0"/>
        <w:spacing w:before="143" w:after="143"/>
        <w:ind w:left="72" w:right="72"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Essential’s regulated water segment reported revenues for the quarter of $357.5 million, an increase of 7.6% compared to $332.3 million in the second quarter of 2026. Regulatory recoveries and increased volume were the largest contributors to the increase in revenues for the period. Operations and maintenance expenses for Essential’s regulated water segment increased to $109.4 million for the second quarter of 2026 compared to $100.1 million in the second quarter of 2025, driven by increased employee-related costs, increases in production costs for water and wastewater operations particularly purchased water and chemical costs, and additional operating costs associated with acquisitions of water and wastewater systems. Excluding the one-time items and the impact of abnormal weather, operations and maintenance expenses for the full year are expected to be in line with historic norms.</w:t>
      </w:r>
    </w:p>
    <w:p>
      <w:pPr>
        <w:pStyle w:val="TextBody"/>
        <w:bidi w:val="0"/>
        <w:spacing w:before="143" w:after="143"/>
        <w:ind w:left="72" w:right="72"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Essential’s regulated natural gas segment reported revenues for the quarter of $169.3 million, compared to $177.3 million in the second quarter of 2025, driven primarily by higher rates and surcharges, a decrease in purchased gas costs, and lower volumes due to warm weather conditions during the second quarter of 2026 as compared to 2025. Operations and maintenance expenses for Essential’s regulated natural gas segment were essentially flat at $49.9 million for the second quarter of 2026 compared to $49.8 million in the second quarter of 2025.</w:t>
      </w:r>
    </w:p>
    <w:p>
      <w:pPr>
        <w:pStyle w:val="TextBody"/>
        <w:bidi w:val="0"/>
        <w:spacing w:before="143" w:after="143"/>
        <w:ind w:left="72" w:right="72"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first six months of 2026, the Company reported revenues of $1,392.6 million, a 7.2% increase, primarily due to regulatory recoveries, increased purchased gas costs, and higher volumes in the regulated natural gas segment, compared to $1,298.5 million in the first half of 2025. Operations and maintenance expenses for the first half of 2026 totaled $329.4 million, compared to $286.3 million in 2025, including $17.5 million of merger related expenses in 2026. Net Income for the first half of 2026 totaled $330.1 million, or $1.16 per share, compared to $391.6 million, or $1.41 per share for the same period of 2025.</w:t>
      </w:r>
    </w:p>
    <w:p>
      <w:pPr>
        <w:pStyle w:val="TextBody"/>
        <w:bidi w:val="0"/>
        <w:spacing w:before="240" w:after="240"/>
        <w:ind w:left="240" w:right="24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announced on July 29, 2026, Essential’s board of directors increased the quarterly cash dividend, 5.25% to $0.3606 per share of common stock. This dividend will be payable on September 1, 2026, to shareholders of record on August 11, 2026.</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Essential Utilities has paid consecutive quarterly cash dividends for over 80 years and has increased the dividend 36 times in the last 35 years.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Financing</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Essential’s weighted average cost of fixed-rate long-term debt was 4.16%, and the company had $960 million available on its credit lines.</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Rate Activity</w:t>
      </w:r>
    </w:p>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Thus far in 2026, the Company’s regulated water segment received rate awards or infrastructure surcharges that will increase annual revenues in Pennsylvania, Illinois, Ohio, North Carolina and Indiana by $43.9 million, and its regulated natural gas segment received rate awards or infrastructure surcharges in Kentucky and Pennsylvania of $12.7 million.</w:t>
      </w:r>
    </w:p>
    <w:p>
      <w:pPr>
        <w:pStyle w:val="TextBody"/>
        <w:bidi w:val="0"/>
        <w:spacing w:before="143" w:after="143"/>
        <w:ind w:left="143" w:right="143"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currently has base rate cases or infrastructure surcharges pending in Texas, Virginia, Illinois, Indiana and New Jersey for its regulated water and wastewater segment for an estimated $79.7 million in incremental annual revenues. The company currently has a base rate case pending in Pennsylvania for its natural gas segment with a requested revenue increase of $163.2 million to support its Long-Term Infrastructure Improvement Plan, which involves the replacement and retirement of aging gas mains and the associated reduction of greenhouse gas emissions.</w:t>
      </w:r>
    </w:p>
    <w:p>
      <w:pPr>
        <w:pStyle w:val="TextBody"/>
        <w:bidi w:val="0"/>
        <w:jc w:val="left"/>
        <w:rPr>
          <w:caps w:val="false"/>
          <w:smallCaps w:val="false"/>
          <w:color w:val="FF0000"/>
        </w:rPr>
      </w:pPr>
      <w:r>
        <w:rPr>
          <w:caps w:val="false"/>
          <w:smallCaps w:val="false"/>
          <w:color w:val="FF0000"/>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Capital Expenditures </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Essential invested approximately $662.2 million in the first six months of 2026 to improve its regulated water and natural gas infrastructure systems and to enhance customer service across its operations. The Company continues to be a leader in the United States at replacing miles of aged underground utility pipes and is committed to maintaining elevated levels of infrastructure investment. Essential is on track to invest $1.7 billion in needed infrastructure investments in 2026.</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Water Utility Growth by Acquisition</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Essential’s continued growth by acquisition allows the company to provide safe and reliable water and wastewater service to a larger customer base than it could from organic customer growth alone.</w:t>
      </w:r>
    </w:p>
    <w:p>
      <w:pPr>
        <w:pStyle w:val="TextBody"/>
        <w:bidi w:val="0"/>
        <w:spacing w:before="143" w:after="143"/>
        <w:ind w:left="143" w:right="143"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2015, Essential has acquired approximately $570 million in rate base and added more than 138,000 new customers or equivalent dwelling units to the company’s footprint.</w:t>
      </w:r>
    </w:p>
    <w:p>
      <w:pPr>
        <w:pStyle w:val="TextBody"/>
        <w:bidi w:val="0"/>
        <w:spacing w:before="143" w:after="143"/>
        <w:ind w:left="143" w:right="143"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2026, the Company acquired Integra Water Texas, LLC’s wastewater system in Bastrop County, Texas, for approximately $4.9 million. The Company has signed purchase agreements for additional water and wastewater systems in Pennsylvania, Texas, North Carolina and New Jersey that are pending closing and are expected to serve over 200,000 customers or equivalent dwelling units and total approximately $282 million in purchase price. The Company’s $276.5 million agreement to acquire the Delaware County Regional Water Quality Control Authority (DELCORA), a Pennsylvania sewer authority that serves approximately 198,000 equivalent dwelling units in the Philadelphia suburbs, is included among these signed purchase agreements.</w:t>
      </w:r>
    </w:p>
    <w:p>
      <w:pPr>
        <w:pStyle w:val="TextBody"/>
        <w:bidi w:val="0"/>
        <w:spacing w:before="260" w:after="260"/>
        <w:ind w:left="260" w:right="26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pipeline of potential water and wastewater municipal acquisitions the Company is actively pursuing represents approximately 400,000 total customers.</w:t>
      </w:r>
    </w:p>
    <w:p>
      <w:pPr>
        <w:pStyle w:val="TextBody"/>
        <w:bidi w:val="0"/>
        <w:jc w:val="left"/>
        <w:rPr>
          <w:caps w:val="false"/>
          <w:smallCaps w:val="false"/>
        </w:rPr>
      </w:pPr>
      <w:r>
        <w:rPr>
          <w:caps w:val="false"/>
          <w:smallCaps w:val="false"/>
        </w:rPr>
        <w:t> </w:t>
      </w:r>
    </w:p>
    <w:p>
      <w:pPr>
        <w:pStyle w:val="TextBody"/>
        <w:bidi w:val="0"/>
        <w:spacing w:before="60" w:after="60"/>
        <w:ind w:left="60" w:right="6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Merger with American Water Works Company, Inc.</w:t>
      </w:r>
    </w:p>
    <w:p>
      <w:pPr>
        <w:pStyle w:val="TextBody"/>
        <w:bidi w:val="0"/>
        <w:spacing w:before="240" w:after="16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continuing to progress through the process of obtaining the consents and approvals needed to successfully consummate the proposed merger with American Water. On February 10, 2026, shareholders of both companies voted overwhelmingly in favor of merger-related proposals. In 2025, Essential submitted applications for required regulatory approval in all states where applicable. On June 22, 2026, we received an order from the Virginia State Corporation Commission approving the merger. Previously we had obtained regulatory approval for the merger from public utility commissions in Kentucky and Ohio.</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 to expect the merger to close in the first quarter of 2027.</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and Growth Guidance</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latest expectations are the following:</w:t>
      </w:r>
    </w:p>
    <w:tbl>
      <w:tblPr>
        <w:tblW w:w="10205" w:type="dxa"/>
        <w:jc w:val="left"/>
        <w:tblInd w:w="0" w:type="dxa"/>
        <w:shd w:fill="FFFFFF" w:val="clear"/>
        <w:tblLayout w:type="fixed"/>
        <w:tblCellMar>
          <w:top w:w="0" w:type="dxa"/>
          <w:left w:w="0" w:type="dxa"/>
          <w:bottom w:w="0" w:type="dxa"/>
          <w:right w:w="0" w:type="dxa"/>
        </w:tblCellMar>
      </w:tblPr>
      <w:tblGrid>
        <w:gridCol w:w="38"/>
        <w:gridCol w:w="110"/>
        <w:gridCol w:w="10057"/>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10" w:type="dxa"/>
            <w:tcBorders/>
            <w:shd w:fill="FFFFFF" w:val="clear"/>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Anticipated growth in long-term earnings per share at a compound annual growth rate of 5% to 7% from the adjusted 2024 earnings per share of $1.97 (non-GAAP) for the three-year period through 2027. </w:t>
            </w:r>
          </w:p>
        </w:tc>
      </w:tr>
    </w:tbl>
    <w:tbl>
      <w:tblPr>
        <w:tblW w:w="6378" w:type="dxa"/>
        <w:jc w:val="left"/>
        <w:tblInd w:w="0" w:type="dxa"/>
        <w:shd w:fill="FFFFFF" w:val="clear"/>
        <w:tblLayout w:type="fixed"/>
        <w:tblCellMar>
          <w:top w:w="0" w:type="dxa"/>
          <w:left w:w="0" w:type="dxa"/>
          <w:bottom w:w="0" w:type="dxa"/>
          <w:right w:w="0" w:type="dxa"/>
        </w:tblCellMar>
      </w:tblPr>
      <w:tblGrid>
        <w:gridCol w:w="38"/>
        <w:gridCol w:w="110"/>
        <w:gridCol w:w="6230"/>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10" w:type="dxa"/>
            <w:tcBorders/>
            <w:shd w:fill="FFFFFF" w:val="clear"/>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6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2026, regulated infrastructure investments are expected to be $1.7 billion.</w:t>
            </w:r>
          </w:p>
        </w:tc>
      </w:tr>
    </w:tbl>
    <w:tbl>
      <w:tblPr>
        <w:tblW w:w="10205" w:type="dxa"/>
        <w:jc w:val="left"/>
        <w:tblInd w:w="0" w:type="dxa"/>
        <w:shd w:fill="FFFFFF" w:val="clear"/>
        <w:tblLayout w:type="fixed"/>
        <w:tblCellMar>
          <w:top w:w="0" w:type="dxa"/>
          <w:left w:w="0" w:type="dxa"/>
          <w:bottom w:w="0" w:type="dxa"/>
          <w:right w:w="0" w:type="dxa"/>
        </w:tblCellMar>
      </w:tblPr>
      <w:tblGrid>
        <w:gridCol w:w="38"/>
        <w:gridCol w:w="110"/>
        <w:gridCol w:w="10057"/>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10" w:type="dxa"/>
            <w:tcBorders/>
            <w:shd w:fill="FFFFFF" w:val="clear"/>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Multiyear plan to ensure that finished water does not exceed the federal maximum contaminant level of the six EPA-regulated PFAS chemicals.</w:t>
            </w:r>
          </w:p>
        </w:tc>
      </w:tr>
    </w:tbl>
    <w:p>
      <w:pPr>
        <w:pStyle w:val="TextBody"/>
        <w:bidi w:val="0"/>
        <w:spacing w:before="240" w:after="240"/>
        <w:ind w:left="240" w:right="24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Guidance Assumptions</w:t>
      </w:r>
    </w:p>
    <w:p>
      <w:pPr>
        <w:pStyle w:val="TextBody"/>
        <w:shd w:fill="FFFFFF" w:val="clear"/>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Essential Utilities does not guarantee future results of any kind. Guidance is subject to risks and uncertainties, including, without limitation, those factors outlined in the “Forward Looking Statements” of this release and the “Risk Factors” section of the company’s annual and quarterly reports filed with the Securities and Exchange Commission. The earnings per share and infrastructure investment include the municipal water and wastewater acquisitions for which the company has entered into signed purchase agreements as of the date the guidance was announced, but do not include DELCORA or other potential acquisitions from the company’s list of acquisition opportunities that currently represents over 400,000 customer equivalents. While the company remains confident in its ability to close DELCORA, for guidance purposes, DELCORA has been removed from all guidance metrics. The company’s guidance includes the expectation that the company will continue to issue equity and debt on an as-needed basis to support acquisitions and capital investment plans.</w:t>
      </w:r>
    </w:p>
    <w:p>
      <w:pPr>
        <w:pStyle w:val="TextBody"/>
        <w:shd w:fill="FFFFFF" w:val="clear"/>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Essential Utilities believes that the non-GAAP financial measure “adjusted earnings per share” used for 2024 and identified as part of its multi-year financial and growth guidance supplements investors the ability to measure the company’s financial operating performance for 2024, including by adjustment, as compared to the Company’s operating performance in 2024.</w:t>
      </w:r>
    </w:p>
    <w:p>
      <w:pPr>
        <w:pStyle w:val="TextBody"/>
        <w:shd w:fill="FFFFFF" w:val="clear"/>
        <w:bidi w:val="0"/>
        <w:spacing w:before="0" w:after="2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2Q 2026 Earnings Call Information</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2026</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11 a.m. EDT (please dial in by 10:45 a.m.)</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Webcast and slide presentation link: https://www.essential.co/events-and-presentations/events-calendar</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call and presentation will be webcast live so interested parties may listen over the internet by logging on to Essential.co and following the link for Investors. The conference call will be archived in the Investor Relations section of the company’s website following the call.</w:t>
      </w:r>
    </w:p>
    <w:p>
      <w:pPr>
        <w:pStyle w:val="TextBody"/>
        <w:bidi w:val="0"/>
        <w:spacing w:before="240" w:after="240"/>
        <w:ind w:left="240" w:right="24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Essential</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Essential Utilities, Inc. (NYSE: WTRG) delivers safe, clean, reliable services that improve quality of life for individuals, families, and entire communities. With a focus on water, </w:t>
      </w:r>
      <w:r>
        <w:rPr>
          <w:rFonts w:ascii="Times New Roman;Times;Serif" w:hAnsi="Times New Roman;Times;Serif"/>
          <w:b w:val="false"/>
          <w:i w:val="false"/>
          <w:caps w:val="false"/>
          <w:smallCaps w:val="false"/>
          <w:sz w:val="20"/>
        </w:rPr>
        <w:t xml:space="preserve">wastewater, and natural gas, Essential is committed to sustainable growth, operational excellence, a superior customer experience, and premier employer status. We are advocates for the communities we serve and are </w:t>
      </w:r>
      <w:r>
        <w:rPr>
          <w:rFonts w:ascii="Times New Roman;Times;Serif" w:hAnsi="Times New Roman;Times;Serif"/>
          <w:b w:val="false"/>
          <w:i w:val="false"/>
          <w:caps w:val="false"/>
          <w:smallCaps w:val="false"/>
          <w:sz w:val="20"/>
          <w:shd w:fill="FFFFFF" w:val="clear"/>
        </w:rPr>
        <w:t xml:space="preserve">dedicated stewards of natural lands, protecting </w:t>
      </w:r>
      <w:r>
        <w:rPr>
          <w:rFonts w:ascii="Times New Roman;Times;Serif" w:hAnsi="Times New Roman;Times;Serif"/>
          <w:b w:val="false"/>
          <w:i w:val="false"/>
          <w:caps w:val="false"/>
          <w:smallCaps w:val="false"/>
          <w:sz w:val="20"/>
        </w:rPr>
        <w:t>thousands of acres of forests and other habitats throughout our footprint.</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as the Aqua and Peoples brands, Essential serves approximately 5.5 million people across nine states. Essential is one of the most significant publicly traded water, wastewater service and natural gas providers in the U.S. Learn more at www.essential.co.</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This release contains forward-looking statements within the meaning of the Private Securities Litigation Reform Act of 1995, which generally include words such as “believes,” “expects,” “intends,” “anticipates,” “estimates,” and similar expressions. The Company can give no assurance that any actual or future results or events discussed in these statements will be achieved. Any forward-looking statements represent its views only as of today and should not be relied upon as representing its views as of any subsequent date. Readers are cautioned that such forward-looking statements are subject to a variety of risks and uncertainties that could cause the company’s actual results to differ materially from the statements contained in this release. Such forward-looking statements include, among others: </w:t>
      </w:r>
      <w:r>
        <w:rPr>
          <w:rFonts w:ascii="Times New Roman;Times;Serif" w:hAnsi="Times New Roman;Times;Serif"/>
          <w:b w:val="false"/>
          <w:i w:val="false"/>
          <w:caps w:val="false"/>
          <w:smallCaps w:val="false"/>
          <w:sz w:val="20"/>
        </w:rPr>
        <w:t xml:space="preserve">the anticipated receipt of regulatory approvals for, and closing of, the company’s proposed merger with American Water; </w:t>
      </w:r>
      <w:r>
        <w:rPr>
          <w:rFonts w:ascii="Times New Roman;Times;Serif" w:hAnsi="Times New Roman;Times;Serif"/>
          <w:b w:val="false"/>
          <w:i w:val="false"/>
          <w:caps w:val="false"/>
          <w:smallCaps w:val="false"/>
          <w:sz w:val="20"/>
          <w:shd w:fill="FFFFFF" w:val="clear"/>
        </w:rPr>
        <w:t xml:space="preserve">the guidance range of net income per diluted common share; the anticipated amount of infrastructure investment in </w:t>
      </w:r>
      <w:r>
        <w:rPr>
          <w:rFonts w:ascii="Times New Roman;Times;Serif" w:hAnsi="Times New Roman;Times;Serif"/>
          <w:b w:val="false"/>
          <w:i w:val="false"/>
          <w:caps w:val="false"/>
          <w:smallCaps w:val="false"/>
          <w:sz w:val="20"/>
        </w:rPr>
        <w:t>2026</w:t>
      </w:r>
      <w:r>
        <w:rPr>
          <w:rFonts w:ascii="Times New Roman;Times;Serif" w:hAnsi="Times New Roman;Times;Serif"/>
          <w:b w:val="false"/>
          <w:i w:val="false"/>
          <w:caps w:val="false"/>
          <w:smallCaps w:val="false"/>
          <w:sz w:val="20"/>
          <w:shd w:fill="FFFFFF" w:val="clear"/>
        </w:rPr>
        <w:t xml:space="preserve">; and the Company’s anticipated use of </w:t>
      </w:r>
      <w:r>
        <w:rPr>
          <w:rFonts w:ascii="Times New Roman;Times;Serif" w:hAnsi="Times New Roman;Times;Serif"/>
          <w:b w:val="false"/>
          <w:i w:val="false"/>
          <w:caps w:val="false"/>
          <w:smallCaps w:val="false"/>
          <w:sz w:val="20"/>
        </w:rPr>
        <w:t>equity and debt financing</w:t>
      </w:r>
      <w:r>
        <w:rPr>
          <w:rFonts w:ascii="Times New Roman;Times;Serif" w:hAnsi="Times New Roman;Times;Serif"/>
          <w:b w:val="false"/>
          <w:i w:val="false"/>
          <w:caps w:val="false"/>
          <w:smallCaps w:val="false"/>
          <w:sz w:val="20"/>
          <w:shd w:fill="FFFFFF" w:val="clear"/>
        </w:rPr>
        <w:t>. There are important factors that could cause actual results to differ materially from those expressed or implied by such forward-looking statements including: the expected timing and likelihood of completion of our proposed merger with American Water; changes in the EPAs regulations; changes in the United States’ governmental policies, including those from the Executive Branch; disruptions in the global economy; potential disruptions in the supply chain for raw and finished materials; the continuation of the company’s growth-through-acquisition program; general economic business conditions; the company’s ability to successfully execute any equity or debt financing transactions, including on an as needed basis; housing and customer growth trends; unfavorable weather conditions; the success of certain cost-containment initiatives; changes in regulations or regulatory treatment; the company’s ability to successfully close municipally owned systems presently under agreement and successfully complete other acquisitions and dispositions; and other factors discussed in our Annual Report on Form 10-K and our Quarterly Reports on Form 10-Q, which are filed with the Securities and Exchange Commission. For more information regarding risks and uncertainties associated with Essential’s business, please refer to Essential’s annual, quarterly, and other SEC filings. Essential is not under any obligation - and expressly disclaims any such obligation - to update or alter its forward-looking statements whether as a result of new information, future events, or otherwise.</w:t>
      </w:r>
    </w:p>
    <w:p>
      <w:pPr>
        <w:pStyle w:val="TextBody"/>
        <w:bidi w:val="0"/>
        <w:jc w:val="left"/>
        <w:rPr>
          <w:caps w:val="false"/>
          <w:smallCaps w:val="false"/>
          <w:shd w:fill="FFFFFF" w:val="clear"/>
        </w:rPr>
      </w:pPr>
      <w:r>
        <w:rPr>
          <w:caps w:val="false"/>
          <w:smallCaps w:val="false"/>
          <w:shd w:fill="FFFFFF" w:val="clea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Essential Utilities, Inc. and Subsidiaries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Selected Operating Data</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per share amounts)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283"/>
        <w:jc w:val="left"/>
        <w:rPr/>
      </w:pPr>
      <w:r>
        <w:rPr/>
        <w:t> </w:t>
      </w:r>
    </w:p>
    <w:tbl>
      <w:tblPr>
        <w:tblW w:w="8835" w:type="dxa"/>
        <w:jc w:val="left"/>
        <w:tblInd w:w="0" w:type="dxa"/>
        <w:tblLayout w:type="fixed"/>
        <w:tblCellMar>
          <w:top w:w="0" w:type="dxa"/>
          <w:left w:w="0" w:type="dxa"/>
          <w:bottom w:w="0" w:type="dxa"/>
          <w:right w:w="0" w:type="dxa"/>
        </w:tblCellMar>
      </w:tblPr>
      <w:tblGrid>
        <w:gridCol w:w="4220"/>
        <w:gridCol w:w="60"/>
        <w:gridCol w:w="140"/>
        <w:gridCol w:w="800"/>
        <w:gridCol w:w="60"/>
        <w:gridCol w:w="60"/>
        <w:gridCol w:w="140"/>
        <w:gridCol w:w="800"/>
        <w:gridCol w:w="60"/>
        <w:gridCol w:w="60"/>
        <w:gridCol w:w="140"/>
        <w:gridCol w:w="980"/>
        <w:gridCol w:w="60"/>
        <w:gridCol w:w="60"/>
        <w:gridCol w:w="140"/>
        <w:gridCol w:w="980"/>
        <w:gridCol w:w="75"/>
      </w:tblGrid>
      <w:tr>
        <w:trPr/>
        <w:tc>
          <w:tcPr>
            <w:tcW w:w="42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000" w:type="dxa"/>
            <w:gridSpan w:val="6"/>
            <w:tcBorders/>
            <w:vAlign w:val="center"/>
          </w:tcPr>
          <w:p>
            <w:pPr>
              <w:pStyle w:val="TableContents"/>
              <w:bidi w:val="0"/>
              <w:spacing w:before="0" w:after="283"/>
              <w:jc w:val="center"/>
              <w:rPr/>
            </w:pPr>
            <w:r>
              <w:rPr/>
              <w:t>Quarter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0" w:type="dxa"/>
            <w:gridSpan w:val="6"/>
            <w:tcBorders/>
            <w:vAlign w:val="center"/>
          </w:tcPr>
          <w:p>
            <w:pPr>
              <w:pStyle w:val="TableContents"/>
              <w:bidi w:val="0"/>
              <w:spacing w:before="0" w:after="283"/>
              <w:jc w:val="center"/>
              <w:rPr/>
            </w:pPr>
            <w:r>
              <w:rPr/>
              <w:t>Six Months Ended</w:t>
            </w:r>
          </w:p>
        </w:tc>
        <w:tc>
          <w:tcPr>
            <w:tcW w:w="75" w:type="dxa"/>
            <w:tcBorders/>
            <w:vAlign w:val="center"/>
          </w:tcPr>
          <w:p>
            <w:pPr>
              <w:pStyle w:val="TableContents"/>
              <w:bidi w:val="0"/>
              <w:spacing w:before="0" w:after="283"/>
              <w:jc w:val="left"/>
              <w:rPr/>
            </w:pPr>
            <w:r>
              <w:rPr/>
              <w:t> </w:t>
            </w:r>
          </w:p>
        </w:tc>
      </w:tr>
      <w:tr>
        <w:trPr/>
        <w:tc>
          <w:tcPr>
            <w:tcW w:w="42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000" w:type="dxa"/>
            <w:gridSpan w:val="6"/>
            <w:tcBorders>
              <w:bottom w:val="single" w:sz="8" w:space="0" w:color="000000"/>
            </w:tcBorders>
            <w:tcMar>
              <w:bottom w:w="28" w:type="dxa"/>
            </w:tcMar>
            <w:vAlign w:val="center"/>
          </w:tcPr>
          <w:p>
            <w:pPr>
              <w:pStyle w:val="TableContents"/>
              <w:bidi w:val="0"/>
              <w:spacing w:before="0" w:after="283"/>
              <w:jc w:val="center"/>
              <w:rPr/>
            </w:pPr>
            <w:r>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0" w:type="dxa"/>
            <w:gridSpan w:val="6"/>
            <w:tcBorders>
              <w:bottom w:val="single" w:sz="8" w:space="0" w:color="000000"/>
            </w:tcBorders>
            <w:tcMar>
              <w:bottom w:w="28" w:type="dxa"/>
            </w:tcMar>
            <w:vAlign w:val="center"/>
          </w:tcPr>
          <w:p>
            <w:pPr>
              <w:pStyle w:val="TableContents"/>
              <w:bidi w:val="0"/>
              <w:spacing w:before="0" w:after="283"/>
              <w:jc w:val="center"/>
              <w:rPr/>
            </w:pPr>
            <w:r>
              <w:rPr/>
              <w:t>June 30,</w:t>
            </w:r>
          </w:p>
        </w:tc>
        <w:tc>
          <w:tcPr>
            <w:tcW w:w="75" w:type="dxa"/>
            <w:tcBorders/>
            <w:vAlign w:val="center"/>
          </w:tcPr>
          <w:p>
            <w:pPr>
              <w:pStyle w:val="TableContents"/>
              <w:bidi w:val="0"/>
              <w:spacing w:before="0" w:after="283"/>
              <w:jc w:val="left"/>
              <w:rPr/>
            </w:pPr>
            <w:r>
              <w:rPr/>
              <w:t> </w:t>
            </w:r>
          </w:p>
        </w:tc>
      </w:tr>
      <w:tr>
        <w:trPr/>
        <w:tc>
          <w:tcPr>
            <w:tcW w:w="42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pPr>
            <w:r>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pPr>
            <w:r>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75" w:type="dxa"/>
            <w:tcBorders/>
            <w:vAlign w:val="center"/>
          </w:tcPr>
          <w:p>
            <w:pPr>
              <w:pStyle w:val="TableContents"/>
              <w:bidi w:val="0"/>
              <w:spacing w:before="0" w:after="283"/>
              <w:jc w:val="left"/>
              <w:rPr/>
            </w:pPr>
            <w:r>
              <w:rPr/>
              <w:t> </w:t>
            </w:r>
          </w:p>
        </w:tc>
      </w:tr>
      <w:tr>
        <w:trPr/>
        <w:tc>
          <w:tcPr>
            <w:tcW w:w="42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pPr>
            <w:r>
              <w:rPr/>
              <w:t>Operating revenues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530,854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514,907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1,392,613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1,298,533</w:t>
            </w:r>
          </w:p>
        </w:tc>
        <w:tc>
          <w:tcPr>
            <w:tcW w:w="75"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283"/>
              <w:jc w:val="left"/>
              <w:rPr/>
            </w:pPr>
            <w:r>
              <w:rPr/>
              <w:t>Operations and maintenance 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153,635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148,510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329,430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286,334</w:t>
            </w:r>
          </w:p>
        </w:tc>
        <w:tc>
          <w:tcPr>
            <w:tcW w:w="75" w:type="dxa"/>
            <w:tcBorders/>
            <w:shd w:fill="FFFFFF" w:val="clear"/>
            <w:vAlign w:val="center"/>
          </w:tcPr>
          <w:p>
            <w:pPr>
              <w:pStyle w:val="TableContents"/>
              <w:bidi w:val="0"/>
              <w:spacing w:before="0" w:after="283"/>
              <w:jc w:val="left"/>
              <w:rPr/>
            </w:pPr>
            <w:r>
              <w:rPr/>
              <w:t> </w:t>
            </w:r>
          </w:p>
        </w:tc>
      </w:tr>
      <w:tr>
        <w:trPr/>
        <w:tc>
          <w:tcPr>
            <w:tcW w:w="4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pPr>
            <w:r>
              <w:rPr/>
              <w:t>Net income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105,725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107,827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330,117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391,616</w:t>
            </w:r>
          </w:p>
        </w:tc>
        <w:tc>
          <w:tcPr>
            <w:tcW w:w="75" w:type="dxa"/>
            <w:tcBorders/>
            <w:shd w:fill="CCEEFF" w:val="clear"/>
            <w:vAlign w:val="center"/>
          </w:tcPr>
          <w:p>
            <w:pPr>
              <w:pStyle w:val="TableContents"/>
              <w:bidi w:val="0"/>
              <w:spacing w:before="0" w:after="283"/>
              <w:jc w:val="left"/>
              <w:rPr/>
            </w:pPr>
            <w:r>
              <w:rPr/>
              <w:t> </w:t>
            </w:r>
          </w:p>
        </w:tc>
      </w:tr>
      <w:tr>
        <w:trPr/>
        <w:tc>
          <w:tcPr>
            <w:tcW w:w="4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283"/>
              <w:jc w:val="left"/>
              <w:rPr/>
            </w:pPr>
            <w:r>
              <w:rPr/>
              <w:t>Basic net income per common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0.37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0.38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1.16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1.41</w:t>
            </w:r>
          </w:p>
        </w:tc>
        <w:tc>
          <w:tcPr>
            <w:tcW w:w="75"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pPr>
            <w:r>
              <w:rPr/>
              <w:t>Diluted net income per common share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0.37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0.38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1.41</w:t>
            </w:r>
          </w:p>
        </w:tc>
        <w:tc>
          <w:tcPr>
            <w:tcW w:w="75" w:type="dxa"/>
            <w:tcBorders/>
            <w:shd w:fill="CCEEFF" w:val="clear"/>
            <w:vAlign w:val="center"/>
          </w:tcPr>
          <w:p>
            <w:pPr>
              <w:pStyle w:val="TableContents"/>
              <w:bidi w:val="0"/>
              <w:spacing w:before="0" w:after="283"/>
              <w:jc w:val="left"/>
              <w:rPr/>
            </w:pPr>
            <w:r>
              <w:rPr/>
              <w:t> </w:t>
            </w:r>
          </w:p>
        </w:tc>
      </w:tr>
      <w:tr>
        <w:trPr/>
        <w:tc>
          <w:tcPr>
            <w:tcW w:w="4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283"/>
              <w:jc w:val="left"/>
              <w:rPr/>
            </w:pPr>
            <w:r>
              <w:rPr/>
              <w:t>Basic average common shares outstanding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283,655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280,275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283,419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277,748</w:t>
            </w:r>
          </w:p>
        </w:tc>
        <w:tc>
          <w:tcPr>
            <w:tcW w:w="75"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pPr>
            <w:r>
              <w:rPr/>
              <w:t>Diluted average common shares outstanding</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284,088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280,725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283,998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278,335</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Essential Utilities, Inc. and Subsidiaries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Statement of Operations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per share amounts)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283"/>
        <w:jc w:val="left"/>
        <w:rPr/>
      </w:pPr>
      <w:r>
        <w:rPr/>
        <w:t> </w:t>
      </w:r>
    </w:p>
    <w:tbl>
      <w:tblPr>
        <w:tblW w:w="9325" w:type="dxa"/>
        <w:jc w:val="left"/>
        <w:tblInd w:w="0" w:type="dxa"/>
        <w:tblLayout w:type="fixed"/>
        <w:tblCellMar>
          <w:top w:w="0" w:type="dxa"/>
          <w:left w:w="0" w:type="dxa"/>
          <w:bottom w:w="0" w:type="dxa"/>
          <w:right w:w="0" w:type="dxa"/>
        </w:tblCellMar>
      </w:tblPr>
      <w:tblGrid>
        <w:gridCol w:w="4370"/>
        <w:gridCol w:w="60"/>
        <w:gridCol w:w="140"/>
        <w:gridCol w:w="800"/>
        <w:gridCol w:w="95"/>
        <w:gridCol w:w="60"/>
        <w:gridCol w:w="140"/>
        <w:gridCol w:w="800"/>
        <w:gridCol w:w="95"/>
        <w:gridCol w:w="60"/>
        <w:gridCol w:w="140"/>
        <w:gridCol w:w="980"/>
        <w:gridCol w:w="95"/>
        <w:gridCol w:w="60"/>
        <w:gridCol w:w="140"/>
        <w:gridCol w:w="980"/>
        <w:gridCol w:w="310"/>
      </w:tblGrid>
      <w:tr>
        <w:trPr/>
        <w:tc>
          <w:tcPr>
            <w:tcW w:w="43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035" w:type="dxa"/>
            <w:gridSpan w:val="6"/>
            <w:tcBorders/>
            <w:vAlign w:val="center"/>
          </w:tcPr>
          <w:p>
            <w:pPr>
              <w:pStyle w:val="TableContents"/>
              <w:bidi w:val="0"/>
              <w:spacing w:before="0" w:after="283"/>
              <w:jc w:val="center"/>
              <w:rPr/>
            </w:pPr>
            <w:r>
              <w:rPr/>
              <w:t>Quarter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5" w:type="dxa"/>
            <w:gridSpan w:val="6"/>
            <w:tcBorders/>
            <w:vAlign w:val="center"/>
          </w:tcPr>
          <w:p>
            <w:pPr>
              <w:pStyle w:val="TableContents"/>
              <w:bidi w:val="0"/>
              <w:spacing w:before="0" w:after="283"/>
              <w:jc w:val="center"/>
              <w:rPr/>
            </w:pPr>
            <w:r>
              <w:rPr/>
              <w:t>Six Months Ended</w:t>
            </w:r>
          </w:p>
        </w:tc>
        <w:tc>
          <w:tcPr>
            <w:tcW w:w="310" w:type="dxa"/>
            <w:tcBorders/>
            <w:vAlign w:val="center"/>
          </w:tcPr>
          <w:p>
            <w:pPr>
              <w:pStyle w:val="TableContents"/>
              <w:bidi w:val="0"/>
              <w:spacing w:before="0" w:after="283"/>
              <w:jc w:val="left"/>
              <w:rPr/>
            </w:pPr>
            <w:r>
              <w:rPr/>
              <w:t> </w:t>
            </w:r>
          </w:p>
        </w:tc>
      </w:tr>
      <w:tr>
        <w:trPr/>
        <w:tc>
          <w:tcPr>
            <w:tcW w:w="43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035" w:type="dxa"/>
            <w:gridSpan w:val="6"/>
            <w:tcBorders>
              <w:bottom w:val="single" w:sz="8" w:space="0" w:color="000000"/>
            </w:tcBorders>
            <w:tcMar>
              <w:bottom w:w="28" w:type="dxa"/>
            </w:tcMar>
            <w:vAlign w:val="center"/>
          </w:tcPr>
          <w:p>
            <w:pPr>
              <w:pStyle w:val="TableContents"/>
              <w:bidi w:val="0"/>
              <w:spacing w:before="0" w:after="283"/>
              <w:jc w:val="center"/>
              <w:rPr/>
            </w:pPr>
            <w:r>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5" w:type="dxa"/>
            <w:gridSpan w:val="6"/>
            <w:tcBorders>
              <w:bottom w:val="single" w:sz="8" w:space="0" w:color="000000"/>
            </w:tcBorders>
            <w:tcMar>
              <w:bottom w:w="28" w:type="dxa"/>
            </w:tcMar>
            <w:vAlign w:val="center"/>
          </w:tcPr>
          <w:p>
            <w:pPr>
              <w:pStyle w:val="TableContents"/>
              <w:bidi w:val="0"/>
              <w:spacing w:before="0" w:after="283"/>
              <w:jc w:val="center"/>
              <w:rPr/>
            </w:pPr>
            <w:r>
              <w:rPr/>
              <w:t>June 30,</w:t>
            </w:r>
          </w:p>
        </w:tc>
        <w:tc>
          <w:tcPr>
            <w:tcW w:w="310" w:type="dxa"/>
            <w:tcBorders/>
            <w:vAlign w:val="center"/>
          </w:tcPr>
          <w:p>
            <w:pPr>
              <w:pStyle w:val="TableContents"/>
              <w:bidi w:val="0"/>
              <w:spacing w:before="0" w:after="283"/>
              <w:jc w:val="left"/>
              <w:rPr/>
            </w:pPr>
            <w:r>
              <w:rPr/>
              <w:t> </w:t>
            </w:r>
          </w:p>
        </w:tc>
      </w:tr>
      <w:tr>
        <w:trPr/>
        <w:tc>
          <w:tcPr>
            <w:tcW w:w="43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pPr>
            <w:r>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pPr>
            <w:r>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310" w:type="dxa"/>
            <w:tcBorders/>
            <w:vAlign w:val="center"/>
          </w:tcPr>
          <w:p>
            <w:pPr>
              <w:pStyle w:val="TableContents"/>
              <w:bidi w:val="0"/>
              <w:spacing w:before="0" w:after="283"/>
              <w:jc w:val="left"/>
              <w:rPr/>
            </w:pPr>
            <w:r>
              <w:rPr/>
              <w:t> </w:t>
            </w:r>
          </w:p>
        </w:tc>
      </w:tr>
      <w:tr>
        <w:trPr/>
        <w:tc>
          <w:tcPr>
            <w:tcW w:w="43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pPr>
            <w:r>
              <w:rPr/>
              <w:t> </w:t>
            </w:r>
          </w:p>
        </w:tc>
        <w:tc>
          <w:tcPr>
            <w:tcW w:w="310" w:type="dxa"/>
            <w:tcBorders/>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283"/>
              <w:jc w:val="left"/>
              <w:rPr/>
            </w:pPr>
            <w:r>
              <w:rPr/>
              <w:t>Operating 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530,854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514,907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1,392,613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1,298,533</w:t>
            </w:r>
          </w:p>
        </w:tc>
        <w:tc>
          <w:tcPr>
            <w:tcW w:w="310" w:type="dxa"/>
            <w:tcBorders/>
            <w:shd w:fill="CCEEFF" w:val="clear"/>
            <w:vAlign w:val="center"/>
          </w:tcPr>
          <w:p>
            <w:pPr>
              <w:pStyle w:val="TableContents"/>
              <w:bidi w:val="0"/>
              <w:spacing w:before="0" w:after="283"/>
              <w:jc w:val="left"/>
              <w:rPr/>
            </w:pPr>
            <w:r>
              <w:rPr/>
              <w:t> </w:t>
            </w:r>
          </w:p>
        </w:tc>
      </w:tr>
      <w:tr>
        <w:trPr/>
        <w:tc>
          <w:tcPr>
            <w:tcW w:w="4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310" w:type="dxa"/>
            <w:tcBorders/>
            <w:vAlign w:val="center"/>
          </w:tcPr>
          <w:p>
            <w:pPr>
              <w:pStyle w:val="TableContents"/>
              <w:bidi w:val="0"/>
              <w:spacing w:before="0" w:after="283"/>
              <w:jc w:val="left"/>
              <w:rPr/>
            </w:pPr>
            <w:r>
              <w:rPr/>
              <w:t> </w:t>
            </w:r>
          </w:p>
        </w:tc>
      </w:tr>
      <w:tr>
        <w:trPr/>
        <w:tc>
          <w:tcPr>
            <w:tcW w:w="4370" w:type="dxa"/>
            <w:tcBorders/>
            <w:shd w:fill="FFFFFF" w:val="clear"/>
            <w:vAlign w:val="center"/>
          </w:tcPr>
          <w:p>
            <w:pPr>
              <w:pStyle w:val="TableContents"/>
              <w:bidi w:val="0"/>
              <w:spacing w:before="0" w:after="283"/>
              <w:jc w:val="left"/>
              <w:rPr/>
            </w:pPr>
            <w:r>
              <w:rPr/>
              <w:t>Cost &amp;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310" w:type="dxa"/>
            <w:tcBorders/>
            <w:shd w:fill="FFFFFF" w:val="clear"/>
            <w:vAlign w:val="center"/>
          </w:tcPr>
          <w:p>
            <w:pPr>
              <w:pStyle w:val="TableContents"/>
              <w:bidi w:val="0"/>
              <w:spacing w:before="0" w:after="283"/>
              <w:ind w:left="0" w:right="0" w:firstLine="200"/>
              <w:jc w:val="left"/>
              <w:rPr/>
            </w:pPr>
            <w:r>
              <w:rPr/>
              <w:t> </w:t>
            </w:r>
          </w:p>
        </w:tc>
      </w:tr>
      <w:tr>
        <w:trPr/>
        <w:tc>
          <w:tcPr>
            <w:tcW w:w="4370" w:type="dxa"/>
            <w:tcBorders/>
            <w:shd w:fill="CCEEFF" w:val="clear"/>
            <w:vAlign w:val="center"/>
          </w:tcPr>
          <w:p>
            <w:pPr>
              <w:pStyle w:val="TableContents"/>
              <w:bidi w:val="0"/>
              <w:spacing w:before="0" w:after="283"/>
              <w:jc w:val="left"/>
              <w:rPr/>
            </w:pPr>
            <w:r>
              <w:rPr/>
              <w:t>Operations and maintenance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153,635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148,510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329,430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286,334</w:t>
            </w:r>
          </w:p>
        </w:tc>
        <w:tc>
          <w:tcPr>
            <w:tcW w:w="310" w:type="dxa"/>
            <w:tcBorders/>
            <w:shd w:fill="CCEEFF" w:val="clear"/>
            <w:vAlign w:val="center"/>
          </w:tcPr>
          <w:p>
            <w:pPr>
              <w:pStyle w:val="TableContents"/>
              <w:bidi w:val="0"/>
              <w:spacing w:before="0" w:after="283"/>
              <w:ind w:left="0" w:right="0" w:firstLine="200"/>
              <w:jc w:val="left"/>
              <w:rPr/>
            </w:pPr>
            <w:r>
              <w:rPr/>
              <w:t> </w:t>
            </w:r>
          </w:p>
        </w:tc>
      </w:tr>
      <w:tr>
        <w:trPr/>
        <w:tc>
          <w:tcPr>
            <w:tcW w:w="4370" w:type="dxa"/>
            <w:tcBorders/>
            <w:shd w:fill="FFFFFF" w:val="clear"/>
            <w:vAlign w:val="center"/>
          </w:tcPr>
          <w:p>
            <w:pPr>
              <w:pStyle w:val="TableContents"/>
              <w:bidi w:val="0"/>
              <w:spacing w:before="0" w:after="283"/>
              <w:jc w:val="left"/>
              <w:rPr/>
            </w:pPr>
            <w:r>
              <w:rPr/>
              <w:t>Purchased gas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46,201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56,735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284,816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241,376</w:t>
            </w:r>
          </w:p>
        </w:tc>
        <w:tc>
          <w:tcPr>
            <w:tcW w:w="310" w:type="dxa"/>
            <w:tcBorders/>
            <w:shd w:fill="FFFFFF" w:val="clear"/>
            <w:vAlign w:val="center"/>
          </w:tcPr>
          <w:p>
            <w:pPr>
              <w:pStyle w:val="TableContents"/>
              <w:bidi w:val="0"/>
              <w:spacing w:before="0" w:after="283"/>
              <w:ind w:left="0" w:right="0" w:firstLine="200"/>
              <w:jc w:val="left"/>
              <w:rPr/>
            </w:pPr>
            <w:r>
              <w:rPr/>
              <w:t> </w:t>
            </w:r>
          </w:p>
        </w:tc>
      </w:tr>
      <w:tr>
        <w:trPr/>
        <w:tc>
          <w:tcPr>
            <w:tcW w:w="4370" w:type="dxa"/>
            <w:tcBorders/>
            <w:shd w:fill="CCEEFF" w:val="clear"/>
            <w:vAlign w:val="center"/>
          </w:tcPr>
          <w:p>
            <w:pPr>
              <w:pStyle w:val="TableContents"/>
              <w:bidi w:val="0"/>
              <w:spacing w:before="0" w:after="283"/>
              <w:jc w:val="left"/>
              <w:rPr/>
            </w:pPr>
            <w:r>
              <w:rPr/>
              <w:t>Depreciation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109,578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99,542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216,687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196,306</w:t>
            </w:r>
          </w:p>
        </w:tc>
        <w:tc>
          <w:tcPr>
            <w:tcW w:w="310" w:type="dxa"/>
            <w:tcBorders/>
            <w:shd w:fill="CCEEFF" w:val="clear"/>
            <w:vAlign w:val="center"/>
          </w:tcPr>
          <w:p>
            <w:pPr>
              <w:pStyle w:val="TableContents"/>
              <w:bidi w:val="0"/>
              <w:spacing w:before="0" w:after="283"/>
              <w:ind w:left="0" w:right="0" w:firstLine="200"/>
              <w:jc w:val="left"/>
              <w:rPr/>
            </w:pPr>
            <w:r>
              <w:rPr/>
              <w:t> </w:t>
            </w:r>
          </w:p>
        </w:tc>
      </w:tr>
      <w:tr>
        <w:trPr/>
        <w:tc>
          <w:tcPr>
            <w:tcW w:w="4370" w:type="dxa"/>
            <w:tcBorders/>
            <w:shd w:fill="FFFFFF" w:val="clear"/>
            <w:vAlign w:val="center"/>
          </w:tcPr>
          <w:p>
            <w:pPr>
              <w:pStyle w:val="TableContents"/>
              <w:bidi w:val="0"/>
              <w:spacing w:before="0" w:after="283"/>
              <w:jc w:val="left"/>
              <w:rPr/>
            </w:pPr>
            <w:r>
              <w:rPr/>
              <w:t>Amortization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3,714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3,977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7,334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6,590</w:t>
            </w:r>
          </w:p>
        </w:tc>
        <w:tc>
          <w:tcPr>
            <w:tcW w:w="310" w:type="dxa"/>
            <w:tcBorders/>
            <w:shd w:fill="FFFFFF" w:val="clear"/>
            <w:vAlign w:val="center"/>
          </w:tcPr>
          <w:p>
            <w:pPr>
              <w:pStyle w:val="TableContents"/>
              <w:bidi w:val="0"/>
              <w:spacing w:before="0" w:after="283"/>
              <w:ind w:left="0" w:right="0" w:firstLine="200"/>
              <w:jc w:val="left"/>
              <w:rPr/>
            </w:pPr>
            <w:r>
              <w:rPr/>
              <w:t> </w:t>
            </w:r>
          </w:p>
        </w:tc>
      </w:tr>
      <w:tr>
        <w:trPr/>
        <w:tc>
          <w:tcPr>
            <w:tcW w:w="4370" w:type="dxa"/>
            <w:tcBorders/>
            <w:shd w:fill="CCEEFF" w:val="clear"/>
            <w:vAlign w:val="center"/>
          </w:tcPr>
          <w:p>
            <w:pPr>
              <w:pStyle w:val="TableContents"/>
              <w:bidi w:val="0"/>
              <w:spacing w:before="0" w:after="283"/>
              <w:jc w:val="left"/>
              <w:rPr/>
            </w:pPr>
            <w:r>
              <w:rPr/>
              <w:t>Taxes other than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24,453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20,872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50,433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43,751</w:t>
            </w:r>
          </w:p>
        </w:tc>
        <w:tc>
          <w:tcPr>
            <w:tcW w:w="310" w:type="dxa"/>
            <w:tcBorders/>
            <w:shd w:fill="CCEEFF" w:val="clear"/>
            <w:vAlign w:val="center"/>
          </w:tcPr>
          <w:p>
            <w:pPr>
              <w:pStyle w:val="TableContents"/>
              <w:bidi w:val="0"/>
              <w:spacing w:before="0" w:after="283"/>
              <w:jc w:val="left"/>
              <w:rPr/>
            </w:pPr>
            <w:r>
              <w:rPr/>
              <w:t> </w:t>
            </w:r>
          </w:p>
        </w:tc>
      </w:tr>
      <w:tr>
        <w:trPr/>
        <w:tc>
          <w:tcPr>
            <w:tcW w:w="4370"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337,581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329,636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888,700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774,357</w:t>
            </w:r>
          </w:p>
        </w:tc>
        <w:tc>
          <w:tcPr>
            <w:tcW w:w="310" w:type="dxa"/>
            <w:tcBorders/>
            <w:shd w:fill="FFFFFF" w:val="clear"/>
            <w:vAlign w:val="center"/>
          </w:tcPr>
          <w:p>
            <w:pPr>
              <w:pStyle w:val="TableContents"/>
              <w:bidi w:val="0"/>
              <w:spacing w:before="0" w:after="283"/>
              <w:jc w:val="left"/>
              <w:rPr/>
            </w:pPr>
            <w:r>
              <w:rPr/>
              <w:t> </w:t>
            </w:r>
          </w:p>
        </w:tc>
      </w:tr>
      <w:tr>
        <w:trPr/>
        <w:tc>
          <w:tcPr>
            <w:tcW w:w="4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310" w:type="dxa"/>
            <w:tcBorders/>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283"/>
              <w:jc w:val="left"/>
              <w:rPr/>
            </w:pPr>
            <w:r>
              <w:rPr/>
              <w:t>Operating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193,273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185,271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503,913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524,176</w:t>
            </w:r>
          </w:p>
        </w:tc>
        <w:tc>
          <w:tcPr>
            <w:tcW w:w="310" w:type="dxa"/>
            <w:tcBorders/>
            <w:shd w:fill="CCEEFF" w:val="clear"/>
            <w:vAlign w:val="center"/>
          </w:tcPr>
          <w:p>
            <w:pPr>
              <w:pStyle w:val="TableContents"/>
              <w:bidi w:val="0"/>
              <w:spacing w:before="0" w:after="283"/>
              <w:jc w:val="left"/>
              <w:rPr/>
            </w:pPr>
            <w:r>
              <w:rPr/>
              <w:t> </w:t>
            </w:r>
          </w:p>
        </w:tc>
      </w:tr>
      <w:tr>
        <w:trPr/>
        <w:tc>
          <w:tcPr>
            <w:tcW w:w="4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310" w:type="dxa"/>
            <w:tcBorders/>
            <w:vAlign w:val="center"/>
          </w:tcPr>
          <w:p>
            <w:pPr>
              <w:pStyle w:val="TableContents"/>
              <w:bidi w:val="0"/>
              <w:spacing w:before="0" w:after="283"/>
              <w:jc w:val="left"/>
              <w:rPr/>
            </w:pPr>
            <w:r>
              <w:rPr/>
              <w:t> </w:t>
            </w:r>
          </w:p>
        </w:tc>
      </w:tr>
      <w:tr>
        <w:trPr/>
        <w:tc>
          <w:tcPr>
            <w:tcW w:w="4370" w:type="dxa"/>
            <w:tcBorders/>
            <w:shd w:fill="FFFFFF" w:val="clear"/>
            <w:vAlign w:val="center"/>
          </w:tcPr>
          <w:p>
            <w:pPr>
              <w:pStyle w:val="TableContents"/>
              <w:bidi w:val="0"/>
              <w:spacing w:before="0" w:after="283"/>
              <w:jc w:val="left"/>
              <w:rPr/>
            </w:pPr>
            <w:r>
              <w:rPr/>
              <w:t>Other expense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310" w:type="dxa"/>
            <w:tcBorders/>
            <w:shd w:fill="FFFFFF" w:val="clear"/>
            <w:vAlign w:val="center"/>
          </w:tcPr>
          <w:p>
            <w:pPr>
              <w:pStyle w:val="TableContents"/>
              <w:bidi w:val="0"/>
              <w:spacing w:before="0" w:after="283"/>
              <w:ind w:left="0" w:right="0" w:firstLine="200"/>
              <w:jc w:val="left"/>
              <w:rPr/>
            </w:pPr>
            <w:r>
              <w:rPr/>
              <w:t> </w:t>
            </w:r>
          </w:p>
        </w:tc>
      </w:tr>
      <w:tr>
        <w:trPr/>
        <w:tc>
          <w:tcPr>
            <w:tcW w:w="4370"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89,111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79,809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176,418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161,874</w:t>
            </w:r>
          </w:p>
        </w:tc>
        <w:tc>
          <w:tcPr>
            <w:tcW w:w="310" w:type="dxa"/>
            <w:tcBorders/>
            <w:shd w:fill="CCEEFF" w:val="clear"/>
            <w:vAlign w:val="center"/>
          </w:tcPr>
          <w:p>
            <w:pPr>
              <w:pStyle w:val="TableContents"/>
              <w:bidi w:val="0"/>
              <w:spacing w:before="0" w:after="283"/>
              <w:ind w:left="0" w:right="0" w:firstLine="200"/>
              <w:jc w:val="left"/>
              <w:rPr/>
            </w:pPr>
            <w:r>
              <w:rPr/>
              <w:t> </w:t>
            </w:r>
          </w:p>
        </w:tc>
      </w:tr>
      <w:tr>
        <w:trPr/>
        <w:tc>
          <w:tcPr>
            <w:tcW w:w="4370"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(510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(2,121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(530</w:t>
            </w:r>
          </w:p>
        </w:tc>
        <w:tc>
          <w:tcPr>
            <w:tcW w:w="310" w:type="dxa"/>
            <w:tcBorders/>
            <w:shd w:fill="FFFFFF" w:val="clear"/>
            <w:vAlign w:val="center"/>
          </w:tcPr>
          <w:p>
            <w:pPr>
              <w:pStyle w:val="TableContents"/>
              <w:bidi w:val="0"/>
              <w:spacing w:before="0" w:after="283"/>
              <w:ind w:left="0" w:right="0" w:firstLine="200"/>
              <w:jc w:val="left"/>
              <w:rPr/>
            </w:pPr>
            <w:r>
              <w:rPr/>
              <w:t>)</w:t>
            </w:r>
          </w:p>
        </w:tc>
      </w:tr>
      <w:tr>
        <w:trPr/>
        <w:tc>
          <w:tcPr>
            <w:tcW w:w="4370" w:type="dxa"/>
            <w:tcBorders/>
            <w:shd w:fill="CCEEFF" w:val="clear"/>
            <w:vAlign w:val="center"/>
          </w:tcPr>
          <w:p>
            <w:pPr>
              <w:pStyle w:val="TableContents"/>
              <w:bidi w:val="0"/>
              <w:spacing w:before="0" w:after="283"/>
              <w:jc w:val="left"/>
              <w:rPr/>
            </w:pPr>
            <w:r>
              <w:rPr/>
              <w:t>Allowance for funds used during construction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(5,739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(7,027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(11,499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(12,859</w:t>
            </w:r>
          </w:p>
        </w:tc>
        <w:tc>
          <w:tcPr>
            <w:tcW w:w="310" w:type="dxa"/>
            <w:tcBorders/>
            <w:shd w:fill="CCEEFF" w:val="clear"/>
            <w:vAlign w:val="center"/>
          </w:tcPr>
          <w:p>
            <w:pPr>
              <w:pStyle w:val="TableContents"/>
              <w:bidi w:val="0"/>
              <w:spacing w:before="0" w:after="283"/>
              <w:ind w:left="0" w:right="0" w:firstLine="200"/>
              <w:jc w:val="left"/>
              <w:rPr/>
            </w:pPr>
            <w:r>
              <w:rPr/>
              <w:t>)</w:t>
            </w:r>
          </w:p>
        </w:tc>
      </w:tr>
      <w:tr>
        <w:trPr/>
        <w:tc>
          <w:tcPr>
            <w:tcW w:w="4370" w:type="dxa"/>
            <w:tcBorders/>
            <w:shd w:fill="FFFFFF" w:val="clear"/>
            <w:vAlign w:val="center"/>
          </w:tcPr>
          <w:p>
            <w:pPr>
              <w:pStyle w:val="TableContents"/>
              <w:bidi w:val="0"/>
              <w:spacing w:before="0" w:after="283"/>
              <w:jc w:val="left"/>
              <w:rPr/>
            </w:pPr>
            <w:r>
              <w:rPr/>
              <w:t>Other,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1,295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391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1,220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98</w:t>
            </w:r>
          </w:p>
        </w:tc>
        <w:tc>
          <w:tcPr>
            <w:tcW w:w="310" w:type="dxa"/>
            <w:tcBorders/>
            <w:shd w:fill="FFFFFF" w:val="clear"/>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283"/>
              <w:jc w:val="left"/>
              <w:rPr/>
            </w:pPr>
            <w:r>
              <w:rPr/>
              <w:t>Income before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109,116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112,399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339,895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375,593</w:t>
            </w:r>
          </w:p>
        </w:tc>
        <w:tc>
          <w:tcPr>
            <w:tcW w:w="310" w:type="dxa"/>
            <w:tcBorders/>
            <w:shd w:fill="CCEEFF" w:val="clear"/>
            <w:vAlign w:val="center"/>
          </w:tcPr>
          <w:p>
            <w:pPr>
              <w:pStyle w:val="TableContents"/>
              <w:bidi w:val="0"/>
              <w:spacing w:before="0" w:after="283"/>
              <w:jc w:val="left"/>
              <w:rPr/>
            </w:pPr>
            <w:r>
              <w:rPr/>
              <w:t> </w:t>
            </w:r>
          </w:p>
        </w:tc>
      </w:tr>
      <w:tr>
        <w:trPr/>
        <w:tc>
          <w:tcPr>
            <w:tcW w:w="4370" w:type="dxa"/>
            <w:tcBorders/>
            <w:shd w:fill="FFFFFF" w:val="clear"/>
            <w:vAlign w:val="center"/>
          </w:tcPr>
          <w:p>
            <w:pPr>
              <w:pStyle w:val="TableContents"/>
              <w:bidi w:val="0"/>
              <w:spacing w:before="0" w:after="283"/>
              <w:jc w:val="left"/>
              <w:rPr/>
            </w:pPr>
            <w:r>
              <w:rPr/>
              <w:t>Income tax expense (benefit)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3,391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4,572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9,778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(16,023</w:t>
            </w:r>
          </w:p>
        </w:tc>
        <w:tc>
          <w:tcPr>
            <w:tcW w:w="310" w:type="dxa"/>
            <w:tcBorders/>
            <w:shd w:fill="FFFFFF" w:val="clear"/>
            <w:vAlign w:val="center"/>
          </w:tcPr>
          <w:p>
            <w:pPr>
              <w:pStyle w:val="TableContents"/>
              <w:bidi w:val="0"/>
              <w:spacing w:before="0" w:after="283"/>
              <w:jc w:val="left"/>
              <w:rPr/>
            </w:pPr>
            <w:r>
              <w:rPr/>
              <w:t>)</w:t>
            </w:r>
          </w:p>
        </w:tc>
      </w:tr>
      <w:tr>
        <w:trPr/>
        <w:tc>
          <w:tcPr>
            <w:tcW w:w="4370" w:type="dxa"/>
            <w:tcBorders/>
            <w:shd w:fill="CCEEFF" w:val="clear"/>
            <w:vAlign w:val="center"/>
          </w:tcPr>
          <w:p>
            <w:pPr>
              <w:pStyle w:val="TableContents"/>
              <w:bidi w:val="0"/>
              <w:spacing w:before="0" w:after="283"/>
              <w:jc w:val="left"/>
              <w:rPr/>
            </w:pPr>
            <w:r>
              <w:rPr/>
              <w:t>Net income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105,725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107,827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330,117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391,616</w:t>
            </w:r>
          </w:p>
        </w:tc>
        <w:tc>
          <w:tcPr>
            <w:tcW w:w="310" w:type="dxa"/>
            <w:tcBorders/>
            <w:shd w:fill="CCEEFF" w:val="clear"/>
            <w:vAlign w:val="center"/>
          </w:tcPr>
          <w:p>
            <w:pPr>
              <w:pStyle w:val="TableContents"/>
              <w:bidi w:val="0"/>
              <w:spacing w:before="0" w:after="283"/>
              <w:jc w:val="left"/>
              <w:rPr/>
            </w:pPr>
            <w:r>
              <w:rPr/>
              <w:t> </w:t>
            </w:r>
          </w:p>
        </w:tc>
      </w:tr>
      <w:tr>
        <w:trPr/>
        <w:tc>
          <w:tcPr>
            <w:tcW w:w="4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310" w:type="dxa"/>
            <w:tcBorders/>
            <w:vAlign w:val="center"/>
          </w:tcPr>
          <w:p>
            <w:pPr>
              <w:pStyle w:val="TableContents"/>
              <w:bidi w:val="0"/>
              <w:spacing w:before="0" w:after="283"/>
              <w:jc w:val="left"/>
              <w:rPr/>
            </w:pPr>
            <w:r>
              <w:rPr/>
              <w:t> </w:t>
            </w:r>
          </w:p>
        </w:tc>
      </w:tr>
      <w:tr>
        <w:trPr/>
        <w:tc>
          <w:tcPr>
            <w:tcW w:w="4370" w:type="dxa"/>
            <w:tcBorders/>
            <w:shd w:fill="FFFFFF" w:val="clear"/>
            <w:vAlign w:val="center"/>
          </w:tcPr>
          <w:p>
            <w:pPr>
              <w:pStyle w:val="TableContents"/>
              <w:bidi w:val="0"/>
              <w:spacing w:before="0" w:after="283"/>
              <w:jc w:val="left"/>
              <w:rPr/>
            </w:pPr>
            <w:r>
              <w:rPr/>
              <w:t>Net income per common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310" w:type="dxa"/>
            <w:tcBorders/>
            <w:shd w:fill="FFFFFF" w:val="clear"/>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283"/>
              <w:jc w:val="left"/>
              <w:rPr/>
            </w:pPr>
            <w:r>
              <w:rPr/>
              <w:t>   </w:t>
            </w:r>
            <w:r>
              <w:rPr/>
              <w:t>Basic</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0.37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0.38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1.41</w:t>
            </w:r>
          </w:p>
        </w:tc>
        <w:tc>
          <w:tcPr>
            <w:tcW w:w="310" w:type="dxa"/>
            <w:tcBorders/>
            <w:shd w:fill="CCEEFF" w:val="clear"/>
            <w:vAlign w:val="center"/>
          </w:tcPr>
          <w:p>
            <w:pPr>
              <w:pStyle w:val="TableContents"/>
              <w:bidi w:val="0"/>
              <w:spacing w:before="0" w:after="283"/>
              <w:jc w:val="left"/>
              <w:rPr/>
            </w:pPr>
            <w:r>
              <w:rPr/>
              <w:t> </w:t>
            </w:r>
          </w:p>
        </w:tc>
      </w:tr>
      <w:tr>
        <w:trPr/>
        <w:tc>
          <w:tcPr>
            <w:tcW w:w="4370" w:type="dxa"/>
            <w:tcBorders/>
            <w:shd w:fill="FFFFFF" w:val="clear"/>
            <w:vAlign w:val="center"/>
          </w:tcPr>
          <w:p>
            <w:pPr>
              <w:pStyle w:val="TableContents"/>
              <w:bidi w:val="0"/>
              <w:spacing w:before="0" w:after="283"/>
              <w:jc w:val="left"/>
              <w:rPr/>
            </w:pPr>
            <w:r>
              <w:rPr/>
              <w:t>   </w:t>
            </w:r>
            <w:r>
              <w:rPr/>
              <w:t>Diluted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0.37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0.38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1.16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1.41</w:t>
            </w:r>
          </w:p>
        </w:tc>
        <w:tc>
          <w:tcPr>
            <w:tcW w:w="310" w:type="dxa"/>
            <w:tcBorders/>
            <w:shd w:fill="FFFFFF" w:val="clear"/>
            <w:vAlign w:val="center"/>
          </w:tcPr>
          <w:p>
            <w:pPr>
              <w:pStyle w:val="TableContents"/>
              <w:bidi w:val="0"/>
              <w:spacing w:before="0" w:after="283"/>
              <w:jc w:val="left"/>
              <w:rPr/>
            </w:pPr>
            <w:r>
              <w:rPr/>
              <w:t> </w:t>
            </w:r>
          </w:p>
        </w:tc>
      </w:tr>
      <w:tr>
        <w:trPr/>
        <w:tc>
          <w:tcPr>
            <w:tcW w:w="4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310" w:type="dxa"/>
            <w:tcBorders/>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283"/>
              <w:jc w:val="left"/>
              <w:rPr/>
            </w:pPr>
            <w:r>
              <w:rPr/>
              <w:t>Average common shares outstanding: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310" w:type="dxa"/>
            <w:tcBorders/>
            <w:shd w:fill="CCEEFF" w:val="clear"/>
            <w:vAlign w:val="center"/>
          </w:tcPr>
          <w:p>
            <w:pPr>
              <w:pStyle w:val="TableContents"/>
              <w:bidi w:val="0"/>
              <w:spacing w:before="0" w:after="283"/>
              <w:jc w:val="left"/>
              <w:rPr/>
            </w:pPr>
            <w:r>
              <w:rPr/>
              <w:t> </w:t>
            </w:r>
          </w:p>
        </w:tc>
      </w:tr>
      <w:tr>
        <w:trPr/>
        <w:tc>
          <w:tcPr>
            <w:tcW w:w="4370" w:type="dxa"/>
            <w:tcBorders/>
            <w:shd w:fill="FFFFFF" w:val="clear"/>
            <w:vAlign w:val="center"/>
          </w:tcPr>
          <w:p>
            <w:pPr>
              <w:pStyle w:val="TableContents"/>
              <w:bidi w:val="0"/>
              <w:spacing w:before="0" w:after="283"/>
              <w:jc w:val="left"/>
              <w:rPr/>
            </w:pPr>
            <w:r>
              <w:rPr/>
              <w:t>   </w:t>
            </w:r>
            <w:r>
              <w:rPr/>
              <w:t>Basic</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283,655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280,275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283,419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277,748</w:t>
            </w:r>
          </w:p>
        </w:tc>
        <w:tc>
          <w:tcPr>
            <w:tcW w:w="310" w:type="dxa"/>
            <w:tcBorders/>
            <w:shd w:fill="FFFFFF" w:val="clear"/>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283"/>
              <w:jc w:val="left"/>
              <w:rPr/>
            </w:pPr>
            <w:r>
              <w:rPr/>
              <w:t>   </w:t>
            </w:r>
            <w:r>
              <w:rPr/>
              <w:t>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284,088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280,725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283,998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278,335</w:t>
            </w:r>
          </w:p>
        </w:tc>
        <w:tc>
          <w:tcPr>
            <w:tcW w:w="310"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Essential Utilities, Inc. and Subsidiaries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Condensed Consolidated Balance Sheets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of dollars)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435"/>
        <w:gridCol w:w="60"/>
        <w:gridCol w:w="60"/>
        <w:gridCol w:w="1100"/>
        <w:gridCol w:w="60"/>
        <w:gridCol w:w="60"/>
        <w:gridCol w:w="70"/>
        <w:gridCol w:w="1285"/>
        <w:gridCol w:w="75"/>
      </w:tblGrid>
      <w:tr>
        <w:trPr/>
        <w:tc>
          <w:tcPr>
            <w:tcW w:w="74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center"/>
              <w:rPr/>
            </w:pPr>
            <w:r>
              <w:rPr/>
              <w:t>December 31,</w:t>
            </w:r>
          </w:p>
        </w:tc>
        <w:tc>
          <w:tcPr>
            <w:tcW w:w="75" w:type="dxa"/>
            <w:tcBorders/>
            <w:vAlign w:val="center"/>
          </w:tcPr>
          <w:p>
            <w:pPr>
              <w:pStyle w:val="TableContents"/>
              <w:bidi w:val="0"/>
              <w:spacing w:before="0" w:after="283"/>
              <w:jc w:val="left"/>
              <w:rPr/>
            </w:pPr>
            <w:r>
              <w:rPr/>
              <w:t> </w:t>
            </w:r>
          </w:p>
        </w:tc>
      </w:tr>
      <w:tr>
        <w:trPr/>
        <w:tc>
          <w:tcPr>
            <w:tcW w:w="74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pPr>
            <w:r>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75" w:type="dxa"/>
            <w:tcBorders/>
            <w:vAlign w:val="center"/>
          </w:tcPr>
          <w:p>
            <w:pPr>
              <w:pStyle w:val="TableContents"/>
              <w:bidi w:val="0"/>
              <w:spacing w:before="0" w:after="283"/>
              <w:jc w:val="left"/>
              <w:rPr/>
            </w:pPr>
            <w:r>
              <w:rPr/>
              <w:t> </w:t>
            </w:r>
          </w:p>
        </w:tc>
      </w:tr>
      <w:tr>
        <w:trPr/>
        <w:tc>
          <w:tcPr>
            <w:tcW w:w="74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left"/>
              <w:rPr/>
            </w:pPr>
            <w:r>
              <w:rPr/>
              <w:t>Net property, plant and equipment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14,746,257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14,263,682</w:t>
            </w:r>
          </w:p>
        </w:tc>
        <w:tc>
          <w:tcPr>
            <w:tcW w:w="75" w:type="dxa"/>
            <w:tcBorders/>
            <w:shd w:fill="CCEEFF" w:val="clear"/>
            <w:vAlign w:val="center"/>
          </w:tcPr>
          <w:p>
            <w:pPr>
              <w:pStyle w:val="TableContents"/>
              <w:bidi w:val="0"/>
              <w:spacing w:before="0" w:after="283"/>
              <w:jc w:val="left"/>
              <w:rPr/>
            </w:pPr>
            <w:r>
              <w:rPr/>
              <w:t> </w:t>
            </w:r>
          </w:p>
        </w:tc>
      </w:tr>
      <w:tr>
        <w:trPr/>
        <w:tc>
          <w:tcPr>
            <w:tcW w:w="7435" w:type="dxa"/>
            <w:tcBorders/>
            <w:shd w:fill="FFFFFF" w:val="clear"/>
            <w:vAlign w:val="center"/>
          </w:tcPr>
          <w:p>
            <w:pPr>
              <w:pStyle w:val="TableContents"/>
              <w:bidi w:val="0"/>
              <w:spacing w:before="0" w:after="283"/>
              <w:jc w:val="left"/>
              <w:rPr/>
            </w:pPr>
            <w:r>
              <w:rPr/>
              <w:t>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465,309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610,396</w:t>
            </w:r>
          </w:p>
        </w:tc>
        <w:tc>
          <w:tcPr>
            <w:tcW w:w="75"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left"/>
              <w:rPr/>
            </w:pPr>
            <w:r>
              <w:rPr/>
              <w:t>Regulatory assets and other assets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4,730,421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5" w:type="dxa"/>
            <w:tcBorders>
              <w:bottom w:val="single" w:sz="8" w:space="0" w:color="000000"/>
            </w:tcBorders>
            <w:shd w:fill="CCEEFF" w:val="clear"/>
            <w:tcMar>
              <w:bottom w:w="28" w:type="dxa"/>
            </w:tcMar>
            <w:vAlign w:val="center"/>
          </w:tcPr>
          <w:p>
            <w:pPr>
              <w:pStyle w:val="TableContents"/>
              <w:bidi w:val="0"/>
              <w:spacing w:before="0" w:after="283"/>
              <w:jc w:val="right"/>
              <w:rPr/>
            </w:pPr>
            <w:r>
              <w:rPr/>
              <w:t>4,590,767</w:t>
            </w:r>
          </w:p>
        </w:tc>
        <w:tc>
          <w:tcPr>
            <w:tcW w:w="75" w:type="dxa"/>
            <w:tcBorders/>
            <w:shd w:fill="CCEEFF" w:val="clear"/>
            <w:vAlign w:val="center"/>
          </w:tcPr>
          <w:p>
            <w:pPr>
              <w:pStyle w:val="TableContents"/>
              <w:bidi w:val="0"/>
              <w:spacing w:before="0" w:after="283"/>
              <w:jc w:val="left"/>
              <w:rPr/>
            </w:pPr>
            <w:r>
              <w:rPr/>
              <w:t> </w:t>
            </w:r>
          </w:p>
        </w:tc>
      </w:tr>
      <w:tr>
        <w:trPr/>
        <w:tc>
          <w:tcPr>
            <w:tcW w:w="74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19,941,987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85" w:type="dxa"/>
            <w:tcBorders>
              <w:bottom w:val="double" w:sz="6" w:space="0" w:color="000000"/>
            </w:tcBorders>
            <w:shd w:fill="FFFFFF" w:val="clear"/>
            <w:tcMar>
              <w:bottom w:w="28" w:type="dxa"/>
            </w:tcMar>
            <w:vAlign w:val="center"/>
          </w:tcPr>
          <w:p>
            <w:pPr>
              <w:pStyle w:val="TableContents"/>
              <w:bidi w:val="0"/>
              <w:spacing w:before="0" w:after="283"/>
              <w:jc w:val="right"/>
              <w:rPr/>
            </w:pPr>
            <w:r>
              <w:rPr/>
              <w:t>19,464,845</w:t>
            </w:r>
          </w:p>
        </w:tc>
        <w:tc>
          <w:tcPr>
            <w:tcW w:w="75" w:type="dxa"/>
            <w:tcBorders/>
            <w:shd w:fill="FFFFFF" w:val="clear"/>
            <w:vAlign w:val="center"/>
          </w:tcPr>
          <w:p>
            <w:pPr>
              <w:pStyle w:val="TableContents"/>
              <w:bidi w:val="0"/>
              <w:spacing w:before="0" w:after="283"/>
              <w:jc w:val="left"/>
              <w:rPr/>
            </w:pPr>
            <w:r>
              <w:rPr/>
              <w:t> </w:t>
            </w:r>
          </w:p>
        </w:tc>
      </w:tr>
      <w:tr>
        <w:trPr/>
        <w:tc>
          <w:tcPr>
            <w:tcW w:w="74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285"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74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285"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left"/>
              <w:rPr/>
            </w:pPr>
            <w:r>
              <w:rPr/>
              <w:t>Total equity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7,018,256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6,857,456</w:t>
            </w:r>
          </w:p>
        </w:tc>
        <w:tc>
          <w:tcPr>
            <w:tcW w:w="75" w:type="dxa"/>
            <w:tcBorders/>
            <w:shd w:fill="CCEEFF" w:val="clear"/>
            <w:vAlign w:val="center"/>
          </w:tcPr>
          <w:p>
            <w:pPr>
              <w:pStyle w:val="TableContents"/>
              <w:bidi w:val="0"/>
              <w:spacing w:before="0" w:after="283"/>
              <w:jc w:val="left"/>
              <w:rPr/>
            </w:pPr>
            <w:r>
              <w:rPr/>
              <w:t> </w:t>
            </w:r>
          </w:p>
        </w:tc>
      </w:tr>
      <w:tr>
        <w:trPr/>
        <w:tc>
          <w:tcPr>
            <w:tcW w:w="7435" w:type="dxa"/>
            <w:tcBorders/>
            <w:shd w:fill="FFFFFF" w:val="clear"/>
            <w:vAlign w:val="center"/>
          </w:tcPr>
          <w:p>
            <w:pPr>
              <w:pStyle w:val="TableContents"/>
              <w:bidi w:val="0"/>
              <w:spacing w:before="0" w:after="283"/>
              <w:jc w:val="left"/>
              <w:rPr/>
            </w:pPr>
            <w:r>
              <w:rPr/>
              <w:t>Long-term debt, excluding current portion, net of debt issuance costs and unamortized discount on debt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8,421,198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8,110,167</w:t>
            </w:r>
          </w:p>
        </w:tc>
        <w:tc>
          <w:tcPr>
            <w:tcW w:w="75"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left"/>
              <w:rPr/>
            </w:pPr>
            <w:r>
              <w:rPr/>
              <w:t>Current portion of long-term debt and loans payable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83,312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171,961</w:t>
            </w:r>
          </w:p>
        </w:tc>
        <w:tc>
          <w:tcPr>
            <w:tcW w:w="75" w:type="dxa"/>
            <w:tcBorders/>
            <w:shd w:fill="CCEEFF" w:val="clear"/>
            <w:vAlign w:val="center"/>
          </w:tcPr>
          <w:p>
            <w:pPr>
              <w:pStyle w:val="TableContents"/>
              <w:bidi w:val="0"/>
              <w:spacing w:before="0" w:after="283"/>
              <w:jc w:val="left"/>
              <w:rPr/>
            </w:pPr>
            <w:r>
              <w:rPr/>
              <w:t> </w:t>
            </w:r>
          </w:p>
        </w:tc>
      </w:tr>
      <w:tr>
        <w:trPr/>
        <w:tc>
          <w:tcPr>
            <w:tcW w:w="7435" w:type="dxa"/>
            <w:tcBorders/>
            <w:shd w:fill="FFFFFF" w:val="clear"/>
            <w:vAlign w:val="center"/>
          </w:tcPr>
          <w:p>
            <w:pPr>
              <w:pStyle w:val="TableContents"/>
              <w:bidi w:val="0"/>
              <w:spacing w:before="0" w:after="283"/>
              <w:jc w:val="left"/>
              <w:rPr/>
            </w:pPr>
            <w:r>
              <w:rPr/>
              <w:t>Other 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515,677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592,522</w:t>
            </w:r>
          </w:p>
        </w:tc>
        <w:tc>
          <w:tcPr>
            <w:tcW w:w="75"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left"/>
              <w:rPr/>
            </w:pPr>
            <w:r>
              <w:rPr/>
              <w:t>Deferred credits and other liabilities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3,903,544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5" w:type="dxa"/>
            <w:tcBorders>
              <w:bottom w:val="single" w:sz="8" w:space="0" w:color="000000"/>
            </w:tcBorders>
            <w:shd w:fill="CCEEFF" w:val="clear"/>
            <w:tcMar>
              <w:bottom w:w="28" w:type="dxa"/>
            </w:tcMar>
            <w:vAlign w:val="center"/>
          </w:tcPr>
          <w:p>
            <w:pPr>
              <w:pStyle w:val="TableContents"/>
              <w:bidi w:val="0"/>
              <w:spacing w:before="0" w:after="283"/>
              <w:jc w:val="right"/>
              <w:rPr/>
            </w:pPr>
            <w:r>
              <w:rPr/>
              <w:t>3,732,739</w:t>
            </w:r>
          </w:p>
        </w:tc>
        <w:tc>
          <w:tcPr>
            <w:tcW w:w="75" w:type="dxa"/>
            <w:tcBorders/>
            <w:shd w:fill="CCEEFF" w:val="clear"/>
            <w:vAlign w:val="center"/>
          </w:tcPr>
          <w:p>
            <w:pPr>
              <w:pStyle w:val="TableContents"/>
              <w:bidi w:val="0"/>
              <w:spacing w:before="0" w:after="283"/>
              <w:jc w:val="left"/>
              <w:rPr/>
            </w:pPr>
            <w:r>
              <w:rPr/>
              <w:t> </w:t>
            </w:r>
          </w:p>
        </w:tc>
      </w:tr>
      <w:tr>
        <w:trPr/>
        <w:tc>
          <w:tcPr>
            <w:tcW w:w="74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19,941,987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85" w:type="dxa"/>
            <w:tcBorders>
              <w:bottom w:val="double" w:sz="6" w:space="0" w:color="000000"/>
            </w:tcBorders>
            <w:shd w:fill="FFFFFF" w:val="clear"/>
            <w:tcMar>
              <w:bottom w:w="28" w:type="dxa"/>
            </w:tcMar>
            <w:vAlign w:val="center"/>
          </w:tcPr>
          <w:p>
            <w:pPr>
              <w:pStyle w:val="TableContents"/>
              <w:bidi w:val="0"/>
              <w:spacing w:before="0" w:after="283"/>
              <w:jc w:val="right"/>
              <w:rPr/>
            </w:pPr>
            <w:r>
              <w:rPr/>
              <w:t>19,464,845</w:t>
            </w:r>
          </w:p>
        </w:tc>
        <w:tc>
          <w:tcPr>
            <w:tcW w:w="75"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Essential Utilities, Inc. and Subsidiaries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Reconciliation of GAAP to Non-GAAP Financial Measures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per share amounts)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providing disclosure of the reconciliation of the non-GAAP financial measures to the most comparable GAAP financial measures. The Company believes that the non-GAAP financial measures “adjusted income” and “adjusted diluted income per common share” provide investors the ability to measure the Company’s financial operating performance by adjustment, which is more indicative of the Company’s ongoing operating performance. The Company further believes that the presentation of these non-GAAP financial measures is useful to investors as a more meaningful way to compare the Company’s operating performance against its guidance range for 2024.</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reconciliation includes a presentation of the non-GAAP financial measures “adjusted income” and “adjusted diluted income per common share” and have been adjusted for the following items: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During the first quarter of 2024, the Company completed the sale of its interest in three non-utility local microgrids and distributed energy projects and recognized a gain of $91,236, net of transaction expenses. In October 2023, the Company completed the sale of its regulated natural gas utility assets in West Virginia. In 2024, the Company received additional proceeds from the sale of regulated natural gas utility assets in West Virginia and post-transaction activities.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Estimated impact to Peoples Natural Gas (PNG) operating revenues from warmer than normal weather conditions during 2024 and nonrecurring usage. These impacts are partially offset by favorable water consumption in 2024 due to drier than normal weather conditions.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income tax impact of the non-GAAP adjustments described above.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measures are measures of the Company’s operating performance that do not comply with U.S. generally accepted accounting principles (GAAP), and are thus considered to be “non-GAAP financial measures” under applicable Securities and Exchange Commission regulations. These non-GAAP financial measures are derived from our consolidated financial information, if available, and is provided to supplement the Company’s GAAP measures, and should not be considered as a substitute for measures of financial performance prepared in accordance with GAAP.</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reconciles our GAAP results to the non-GAAP information we disclose.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681"/>
        <w:gridCol w:w="60"/>
        <w:gridCol w:w="201"/>
        <w:gridCol w:w="1152"/>
        <w:gridCol w:w="111"/>
      </w:tblGrid>
      <w:tr>
        <w:trPr/>
        <w:tc>
          <w:tcPr>
            <w:tcW w:w="868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olor w:val="000000"/>
              </w:rPr>
            </w:pPr>
            <w:r>
              <w:rPr>
                <w:color w:val="000000"/>
              </w:rPr>
              <w:t> </w:t>
            </w:r>
          </w:p>
        </w:tc>
        <w:tc>
          <w:tcPr>
            <w:tcW w:w="1353" w:type="dxa"/>
            <w:gridSpan w:val="2"/>
            <w:tcBorders>
              <w:bottom w:val="single" w:sz="8" w:space="0" w:color="000000"/>
            </w:tcBorders>
            <w:tcMar>
              <w:bottom w:w="28" w:type="dxa"/>
            </w:tcMar>
            <w:vAlign w:val="center"/>
          </w:tcPr>
          <w:p>
            <w:pPr>
              <w:pStyle w:val="TableContents"/>
              <w:bidi w:val="0"/>
              <w:spacing w:before="0" w:after="283"/>
              <w:jc w:val="center"/>
              <w:rPr>
                <w:b/>
                <w:color w:val="000000"/>
              </w:rPr>
            </w:pPr>
            <w:r>
              <w:rPr>
                <w:b/>
                <w:color w:val="000000"/>
              </w:rPr>
              <w:t>Year Ended</w:t>
              <w:br/>
              <w:t>December 31,</w:t>
              <w:br/>
              <w:t>2024</w:t>
            </w:r>
          </w:p>
        </w:tc>
        <w:tc>
          <w:tcPr>
            <w:tcW w:w="111" w:type="dxa"/>
            <w:tcBorders/>
            <w:vAlign w:val="center"/>
          </w:tcPr>
          <w:p>
            <w:pPr>
              <w:pStyle w:val="TableContents"/>
              <w:bidi w:val="0"/>
              <w:spacing w:before="0" w:after="283"/>
              <w:jc w:val="left"/>
              <w:rPr>
                <w:color w:val="000000"/>
              </w:rPr>
            </w:pPr>
            <w:r>
              <w:rPr>
                <w:color w:val="000000"/>
              </w:rPr>
              <w:t> </w:t>
            </w:r>
          </w:p>
        </w:tc>
      </w:tr>
      <w:tr>
        <w:trPr/>
        <w:tc>
          <w:tcPr>
            <w:tcW w:w="8681" w:type="dxa"/>
            <w:tcBorders/>
            <w:shd w:fill="CCEEFF" w:val="clear"/>
            <w:vAlign w:val="center"/>
          </w:tcPr>
          <w:p>
            <w:pPr>
              <w:pStyle w:val="TableContents"/>
              <w:bidi w:val="0"/>
              <w:spacing w:before="0" w:after="283"/>
              <w:jc w:val="left"/>
              <w:rPr>
                <w:b/>
                <w:color w:val="000000"/>
              </w:rPr>
            </w:pPr>
            <w:r>
              <w:rPr>
                <w:b/>
                <w:color w:val="000000"/>
              </w:rPr>
              <w:t>Net Income (GAAP financial measure)</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1152" w:type="dxa"/>
            <w:tcBorders/>
            <w:shd w:fill="CCEEFF" w:val="clear"/>
            <w:vAlign w:val="center"/>
          </w:tcPr>
          <w:p>
            <w:pPr>
              <w:pStyle w:val="TableContents"/>
              <w:bidi w:val="0"/>
              <w:spacing w:before="0" w:after="283"/>
              <w:jc w:val="right"/>
              <w:rPr/>
            </w:pPr>
            <w:r>
              <w:rPr/>
              <w:t>595,314</w:t>
            </w:r>
          </w:p>
        </w:tc>
        <w:tc>
          <w:tcPr>
            <w:tcW w:w="111" w:type="dxa"/>
            <w:tcBorders/>
            <w:shd w:fill="CCEEFF" w:val="clear"/>
            <w:vAlign w:val="center"/>
          </w:tcPr>
          <w:p>
            <w:pPr>
              <w:pStyle w:val="TableContents"/>
              <w:bidi w:val="0"/>
              <w:spacing w:before="0" w:after="283"/>
              <w:jc w:val="left"/>
              <w:rPr/>
            </w:pPr>
            <w:r>
              <w:rPr/>
              <w:t> </w:t>
            </w:r>
          </w:p>
        </w:tc>
      </w:tr>
      <w:tr>
        <w:trPr/>
        <w:tc>
          <w:tcPr>
            <w:tcW w:w="8681" w:type="dxa"/>
            <w:tcBorders/>
            <w:shd w:fill="FFFFFF" w:val="clear"/>
            <w:vAlign w:val="center"/>
          </w:tcPr>
          <w:p>
            <w:pPr>
              <w:pStyle w:val="TableContents"/>
              <w:bidi w:val="0"/>
              <w:spacing w:before="0" w:after="283"/>
              <w:jc w:val="left"/>
              <w:rPr/>
            </w:pPr>
            <w:r>
              <w:rPr/>
              <w:t>Adjustments:</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152"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8681" w:type="dxa"/>
            <w:tcBorders/>
            <w:shd w:fill="CCEEFF" w:val="clear"/>
            <w:vAlign w:val="center"/>
          </w:tcPr>
          <w:p>
            <w:pPr>
              <w:pStyle w:val="TableContents"/>
              <w:bidi w:val="0"/>
              <w:spacing w:before="0" w:after="283"/>
              <w:jc w:val="left"/>
              <w:rPr/>
            </w:pPr>
            <w:r>
              <w:rPr/>
              <w:t>(1) Gain on sales of assets and related transaction activities</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152" w:type="dxa"/>
            <w:tcBorders/>
            <w:shd w:fill="CCEEFF" w:val="clear"/>
            <w:vAlign w:val="center"/>
          </w:tcPr>
          <w:p>
            <w:pPr>
              <w:pStyle w:val="TableContents"/>
              <w:bidi w:val="0"/>
              <w:spacing w:before="0" w:after="283"/>
              <w:jc w:val="right"/>
              <w:rPr/>
            </w:pPr>
            <w:r>
              <w:rPr/>
              <w:t>(94,024</w:t>
            </w:r>
          </w:p>
        </w:tc>
        <w:tc>
          <w:tcPr>
            <w:tcW w:w="111" w:type="dxa"/>
            <w:tcBorders/>
            <w:shd w:fill="CCEEFF" w:val="clear"/>
            <w:vAlign w:val="center"/>
          </w:tcPr>
          <w:p>
            <w:pPr>
              <w:pStyle w:val="TableContents"/>
              <w:bidi w:val="0"/>
              <w:spacing w:before="0" w:after="283"/>
              <w:jc w:val="left"/>
              <w:rPr/>
            </w:pPr>
            <w:r>
              <w:rPr/>
              <w:t>)</w:t>
            </w:r>
          </w:p>
        </w:tc>
      </w:tr>
      <w:tr>
        <w:trPr/>
        <w:tc>
          <w:tcPr>
            <w:tcW w:w="8681" w:type="dxa"/>
            <w:tcBorders/>
            <w:shd w:fill="FFFFFF" w:val="clear"/>
            <w:vAlign w:val="center"/>
          </w:tcPr>
          <w:p>
            <w:pPr>
              <w:pStyle w:val="TableContents"/>
              <w:bidi w:val="0"/>
              <w:spacing w:before="0" w:after="283"/>
              <w:jc w:val="left"/>
              <w:rPr/>
            </w:pPr>
            <w:r>
              <w:rPr/>
              <w:t>(2) Adjustments for estimated effects of unfavorable weather (addback)</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152" w:type="dxa"/>
            <w:tcBorders/>
            <w:shd w:fill="FFFFFF" w:val="clear"/>
            <w:vAlign w:val="center"/>
          </w:tcPr>
          <w:p>
            <w:pPr>
              <w:pStyle w:val="TableContents"/>
              <w:bidi w:val="0"/>
              <w:spacing w:before="0" w:after="283"/>
              <w:jc w:val="right"/>
              <w:rPr/>
            </w:pPr>
            <w:r>
              <w:rPr/>
              <w:t>18,749</w:t>
            </w:r>
          </w:p>
        </w:tc>
        <w:tc>
          <w:tcPr>
            <w:tcW w:w="111" w:type="dxa"/>
            <w:tcBorders/>
            <w:shd w:fill="FFFFFF" w:val="clear"/>
            <w:vAlign w:val="center"/>
          </w:tcPr>
          <w:p>
            <w:pPr>
              <w:pStyle w:val="TableContents"/>
              <w:bidi w:val="0"/>
              <w:spacing w:before="0" w:after="283"/>
              <w:jc w:val="left"/>
              <w:rPr/>
            </w:pPr>
            <w:r>
              <w:rPr/>
              <w:t> </w:t>
            </w:r>
          </w:p>
        </w:tc>
      </w:tr>
      <w:tr>
        <w:trPr/>
        <w:tc>
          <w:tcPr>
            <w:tcW w:w="8681" w:type="dxa"/>
            <w:tcBorders/>
            <w:shd w:fill="CCEEFF" w:val="clear"/>
            <w:vAlign w:val="center"/>
          </w:tcPr>
          <w:p>
            <w:pPr>
              <w:pStyle w:val="TableContents"/>
              <w:bidi w:val="0"/>
              <w:spacing w:before="0" w:after="283"/>
              <w:jc w:val="left"/>
              <w:rPr/>
            </w:pPr>
            <w:r>
              <w:rPr/>
              <w:t>(3) Income tax effect of non-GAAP adjustments</w:t>
            </w:r>
          </w:p>
        </w:tc>
        <w:tc>
          <w:tcPr>
            <w:tcW w:w="60" w:type="dxa"/>
            <w:tcBorders/>
            <w:shd w:fill="CCEEFF" w:val="clear"/>
            <w:vAlign w:val="center"/>
          </w:tcPr>
          <w:p>
            <w:pPr>
              <w:pStyle w:val="TableContents"/>
              <w:bidi w:val="0"/>
              <w:spacing w:before="0" w:after="283"/>
              <w:jc w:val="left"/>
              <w:rPr/>
            </w:pPr>
            <w:r>
              <w:rPr/>
              <w:t> </w:t>
            </w:r>
          </w:p>
        </w:tc>
        <w:tc>
          <w:tcPr>
            <w:tcW w:w="2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2" w:type="dxa"/>
            <w:tcBorders>
              <w:bottom w:val="single" w:sz="8" w:space="0" w:color="000000"/>
            </w:tcBorders>
            <w:shd w:fill="CCEEFF" w:val="clear"/>
            <w:tcMar>
              <w:bottom w:w="28" w:type="dxa"/>
            </w:tcMar>
            <w:vAlign w:val="center"/>
          </w:tcPr>
          <w:p>
            <w:pPr>
              <w:pStyle w:val="TableContents"/>
              <w:bidi w:val="0"/>
              <w:spacing w:before="0" w:after="283"/>
              <w:jc w:val="right"/>
              <w:rPr/>
            </w:pPr>
            <w:r>
              <w:rPr/>
              <w:t>20,859</w:t>
            </w:r>
          </w:p>
        </w:tc>
        <w:tc>
          <w:tcPr>
            <w:tcW w:w="111" w:type="dxa"/>
            <w:tcBorders/>
            <w:shd w:fill="CCEEFF" w:val="clear"/>
            <w:vAlign w:val="center"/>
          </w:tcPr>
          <w:p>
            <w:pPr>
              <w:pStyle w:val="TableContents"/>
              <w:bidi w:val="0"/>
              <w:spacing w:before="0" w:after="283"/>
              <w:jc w:val="left"/>
              <w:rPr/>
            </w:pPr>
            <w:r>
              <w:rPr/>
              <w:t> </w:t>
            </w:r>
          </w:p>
        </w:tc>
      </w:tr>
      <w:tr>
        <w:trPr/>
        <w:tc>
          <w:tcPr>
            <w:tcW w:w="8681" w:type="dxa"/>
            <w:tcBorders/>
            <w:shd w:fill="FFFFFF" w:val="clear"/>
            <w:vAlign w:val="center"/>
          </w:tcPr>
          <w:p>
            <w:pPr>
              <w:pStyle w:val="TableContents"/>
              <w:bidi w:val="0"/>
              <w:spacing w:before="0" w:after="283"/>
              <w:jc w:val="left"/>
              <w:rPr>
                <w:b/>
                <w:color w:val="000000"/>
              </w:rPr>
            </w:pPr>
            <w:r>
              <w:rPr>
                <w:b/>
                <w:color w:val="000000"/>
              </w:rPr>
              <w:t>Adjusted income (Non-GAAP financial measure)</w:t>
            </w:r>
          </w:p>
        </w:tc>
        <w:tc>
          <w:tcPr>
            <w:tcW w:w="60" w:type="dxa"/>
            <w:tcBorders/>
            <w:shd w:fill="FFFFFF" w:val="cle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52" w:type="dxa"/>
            <w:tcBorders>
              <w:bottom w:val="double" w:sz="6" w:space="0" w:color="000000"/>
            </w:tcBorders>
            <w:shd w:fill="FFFFFF" w:val="clear"/>
            <w:tcMar>
              <w:bottom w:w="28" w:type="dxa"/>
            </w:tcMar>
            <w:vAlign w:val="center"/>
          </w:tcPr>
          <w:p>
            <w:pPr>
              <w:pStyle w:val="TableContents"/>
              <w:bidi w:val="0"/>
              <w:spacing w:before="0" w:after="283"/>
              <w:jc w:val="right"/>
              <w:rPr/>
            </w:pPr>
            <w:r>
              <w:rPr/>
              <w:t>540,898</w:t>
            </w:r>
          </w:p>
        </w:tc>
        <w:tc>
          <w:tcPr>
            <w:tcW w:w="111" w:type="dxa"/>
            <w:tcBorders/>
            <w:shd w:fill="FFFFFF" w:val="clear"/>
            <w:vAlign w:val="center"/>
          </w:tcPr>
          <w:p>
            <w:pPr>
              <w:pStyle w:val="TableContents"/>
              <w:bidi w:val="0"/>
              <w:spacing w:before="0" w:after="283"/>
              <w:jc w:val="left"/>
              <w:rPr/>
            </w:pPr>
            <w:r>
              <w:rPr/>
              <w:t> </w:t>
            </w:r>
          </w:p>
        </w:tc>
      </w:tr>
      <w:tr>
        <w:trPr/>
        <w:tc>
          <w:tcPr>
            <w:tcW w:w="8681" w:type="dxa"/>
            <w:tcBorders/>
            <w:shd w:fill="CCEEFF" w:val="clear"/>
            <w:vAlign w:val="center"/>
          </w:tcPr>
          <w:p>
            <w:pPr>
              <w:pStyle w:val="TableContents"/>
              <w:bidi w:val="0"/>
              <w:spacing w:before="0" w:after="283"/>
              <w:jc w:val="left"/>
              <w:rPr>
                <w:b/>
                <w:color w:val="000000"/>
              </w:rPr>
            </w:pPr>
            <w:r>
              <w:rPr>
                <w:b/>
                <w:color w:val="000000"/>
              </w:rPr>
              <w:t>Net income per common share (GAAP financial measure (Earnings per share)):</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152"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8681" w:type="dxa"/>
            <w:tcBorders/>
            <w:shd w:fill="FFFFFF" w:val="clear"/>
            <w:vAlign w:val="center"/>
          </w:tcPr>
          <w:p>
            <w:pPr>
              <w:pStyle w:val="TableContents"/>
              <w:bidi w:val="0"/>
              <w:spacing w:before="0" w:after="283"/>
              <w:jc w:val="left"/>
              <w:rPr/>
            </w:pPr>
            <w:r>
              <w:rPr/>
              <w:t>Basic</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w:t>
            </w:r>
          </w:p>
        </w:tc>
        <w:tc>
          <w:tcPr>
            <w:tcW w:w="1152" w:type="dxa"/>
            <w:tcBorders/>
            <w:shd w:fill="FFFFFF" w:val="clear"/>
            <w:vAlign w:val="center"/>
          </w:tcPr>
          <w:p>
            <w:pPr>
              <w:pStyle w:val="TableContents"/>
              <w:bidi w:val="0"/>
              <w:spacing w:before="0" w:after="283"/>
              <w:jc w:val="right"/>
              <w:rPr/>
            </w:pPr>
            <w:r>
              <w:rPr/>
              <w:t>2.17</w:t>
            </w:r>
          </w:p>
        </w:tc>
        <w:tc>
          <w:tcPr>
            <w:tcW w:w="111" w:type="dxa"/>
            <w:tcBorders/>
            <w:shd w:fill="FFFFFF" w:val="clear"/>
            <w:vAlign w:val="center"/>
          </w:tcPr>
          <w:p>
            <w:pPr>
              <w:pStyle w:val="TableContents"/>
              <w:bidi w:val="0"/>
              <w:spacing w:before="0" w:after="283"/>
              <w:jc w:val="left"/>
              <w:rPr/>
            </w:pPr>
            <w:r>
              <w:rPr/>
              <w:t> </w:t>
            </w:r>
          </w:p>
        </w:tc>
      </w:tr>
      <w:tr>
        <w:trPr/>
        <w:tc>
          <w:tcPr>
            <w:tcW w:w="8681" w:type="dxa"/>
            <w:tcBorders/>
            <w:shd w:fill="CCEEFF" w:val="clear"/>
            <w:vAlign w:val="center"/>
          </w:tcPr>
          <w:p>
            <w:pPr>
              <w:pStyle w:val="TableContents"/>
              <w:bidi w:val="0"/>
              <w:spacing w:before="0" w:after="283"/>
              <w:jc w:val="left"/>
              <w:rPr/>
            </w:pPr>
            <w:r>
              <w:rPr/>
              <w:t>Diluted</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1152" w:type="dxa"/>
            <w:tcBorders/>
            <w:shd w:fill="CCEEFF" w:val="clear"/>
            <w:vAlign w:val="center"/>
          </w:tcPr>
          <w:p>
            <w:pPr>
              <w:pStyle w:val="TableContents"/>
              <w:bidi w:val="0"/>
              <w:spacing w:before="0" w:after="283"/>
              <w:jc w:val="right"/>
              <w:rPr/>
            </w:pPr>
            <w:r>
              <w:rPr/>
              <w:t>2.17</w:t>
            </w:r>
          </w:p>
        </w:tc>
        <w:tc>
          <w:tcPr>
            <w:tcW w:w="111" w:type="dxa"/>
            <w:tcBorders/>
            <w:shd w:fill="CCEEFF" w:val="clear"/>
            <w:vAlign w:val="center"/>
          </w:tcPr>
          <w:p>
            <w:pPr>
              <w:pStyle w:val="TableContents"/>
              <w:bidi w:val="0"/>
              <w:spacing w:before="0" w:after="283"/>
              <w:jc w:val="left"/>
              <w:rPr/>
            </w:pPr>
            <w:r>
              <w:rPr/>
              <w:t> </w:t>
            </w:r>
          </w:p>
        </w:tc>
      </w:tr>
      <w:tr>
        <w:trPr/>
        <w:tc>
          <w:tcPr>
            <w:tcW w:w="8681" w:type="dxa"/>
            <w:tcBorders/>
            <w:shd w:fill="FFFFFF" w:val="clear"/>
            <w:vAlign w:val="center"/>
          </w:tcPr>
          <w:p>
            <w:pPr>
              <w:pStyle w:val="TableContents"/>
              <w:bidi w:val="0"/>
              <w:spacing w:before="0" w:after="283"/>
              <w:jc w:val="left"/>
              <w:rPr>
                <w:b/>
                <w:color w:val="000000"/>
              </w:rPr>
            </w:pPr>
            <w:r>
              <w:rPr>
                <w:b/>
                <w:color w:val="000000"/>
              </w:rPr>
              <w:t>Adjusted income per common share (Non-GAAP financial measure (Adjusted Earnings per share)):</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152"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8681" w:type="dxa"/>
            <w:tcBorders/>
            <w:shd w:fill="CCEEFF" w:val="clear"/>
            <w:vAlign w:val="center"/>
          </w:tcPr>
          <w:p>
            <w:pPr>
              <w:pStyle w:val="TableContents"/>
              <w:bidi w:val="0"/>
              <w:spacing w:before="0" w:after="283"/>
              <w:jc w:val="left"/>
              <w:rPr/>
            </w:pPr>
            <w:r>
              <w:rPr/>
              <w:t>Basic</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1152" w:type="dxa"/>
            <w:tcBorders/>
            <w:shd w:fill="CCEEFF" w:val="clear"/>
            <w:vAlign w:val="center"/>
          </w:tcPr>
          <w:p>
            <w:pPr>
              <w:pStyle w:val="TableContents"/>
              <w:bidi w:val="0"/>
              <w:spacing w:before="0" w:after="283"/>
              <w:jc w:val="right"/>
              <w:rPr/>
            </w:pPr>
            <w:r>
              <w:rPr/>
              <w:t>1.97</w:t>
            </w:r>
          </w:p>
        </w:tc>
        <w:tc>
          <w:tcPr>
            <w:tcW w:w="111" w:type="dxa"/>
            <w:tcBorders/>
            <w:shd w:fill="CCEEFF" w:val="clear"/>
            <w:vAlign w:val="center"/>
          </w:tcPr>
          <w:p>
            <w:pPr>
              <w:pStyle w:val="TableContents"/>
              <w:bidi w:val="0"/>
              <w:spacing w:before="0" w:after="283"/>
              <w:jc w:val="left"/>
              <w:rPr/>
            </w:pPr>
            <w:r>
              <w:rPr/>
              <w:t> </w:t>
            </w:r>
          </w:p>
        </w:tc>
      </w:tr>
      <w:tr>
        <w:trPr/>
        <w:tc>
          <w:tcPr>
            <w:tcW w:w="8681" w:type="dxa"/>
            <w:tcBorders/>
            <w:shd w:fill="FFFFFF" w:val="clear"/>
            <w:vAlign w:val="center"/>
          </w:tcPr>
          <w:p>
            <w:pPr>
              <w:pStyle w:val="TableContents"/>
              <w:bidi w:val="0"/>
              <w:spacing w:before="0" w:after="283"/>
              <w:jc w:val="left"/>
              <w:rPr/>
            </w:pPr>
            <w:r>
              <w:rPr/>
              <w:t>Diluted</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w:t>
            </w:r>
          </w:p>
        </w:tc>
        <w:tc>
          <w:tcPr>
            <w:tcW w:w="1152" w:type="dxa"/>
            <w:tcBorders/>
            <w:shd w:fill="FFFFFF" w:val="clear"/>
            <w:vAlign w:val="center"/>
          </w:tcPr>
          <w:p>
            <w:pPr>
              <w:pStyle w:val="TableContents"/>
              <w:bidi w:val="0"/>
              <w:spacing w:before="0" w:after="283"/>
              <w:jc w:val="right"/>
              <w:rPr/>
            </w:pPr>
            <w:r>
              <w:rPr/>
              <w:t>1.97</w:t>
            </w:r>
          </w:p>
        </w:tc>
        <w:tc>
          <w:tcPr>
            <w:tcW w:w="111" w:type="dxa"/>
            <w:tcBorders/>
            <w:shd w:fill="FFFFFF" w:val="clear"/>
            <w:vAlign w:val="center"/>
          </w:tcPr>
          <w:p>
            <w:pPr>
              <w:pStyle w:val="TableContents"/>
              <w:bidi w:val="0"/>
              <w:spacing w:before="0" w:after="283"/>
              <w:jc w:val="left"/>
              <w:rPr/>
            </w:pPr>
            <w:r>
              <w:rPr/>
              <w:t> </w:t>
            </w:r>
          </w:p>
        </w:tc>
      </w:tr>
      <w:tr>
        <w:trPr/>
        <w:tc>
          <w:tcPr>
            <w:tcW w:w="8681" w:type="dxa"/>
            <w:tcBorders/>
            <w:shd w:fill="CCEEFF" w:val="clear"/>
            <w:vAlign w:val="center"/>
          </w:tcPr>
          <w:p>
            <w:pPr>
              <w:pStyle w:val="TableContents"/>
              <w:bidi w:val="0"/>
              <w:spacing w:before="0" w:after="283"/>
              <w:jc w:val="left"/>
              <w:rPr>
                <w:b/>
                <w:color w:val="000000"/>
              </w:rPr>
            </w:pPr>
            <w:r>
              <w:rPr>
                <w:b/>
                <w:color w:val="000000"/>
              </w:rPr>
              <w:t>Average common shares outstanding:</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152"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8681" w:type="dxa"/>
            <w:tcBorders/>
            <w:shd w:fill="FFFFFF" w:val="clear"/>
            <w:vAlign w:val="center"/>
          </w:tcPr>
          <w:p>
            <w:pPr>
              <w:pStyle w:val="TableContents"/>
              <w:bidi w:val="0"/>
              <w:spacing w:before="0" w:after="283"/>
              <w:jc w:val="left"/>
              <w:rPr/>
            </w:pPr>
            <w:r>
              <w:rPr/>
              <w:t>Basic</w:t>
            </w:r>
          </w:p>
        </w:tc>
        <w:tc>
          <w:tcPr>
            <w:tcW w:w="60" w:type="dxa"/>
            <w:tcBorders/>
            <w:shd w:fill="FFFFFF" w:val="cle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52" w:type="dxa"/>
            <w:tcBorders>
              <w:bottom w:val="double" w:sz="6" w:space="0" w:color="000000"/>
            </w:tcBorders>
            <w:shd w:fill="FFFFFF" w:val="clear"/>
            <w:tcMar>
              <w:bottom w:w="28" w:type="dxa"/>
            </w:tcMar>
            <w:vAlign w:val="center"/>
          </w:tcPr>
          <w:p>
            <w:pPr>
              <w:pStyle w:val="TableContents"/>
              <w:bidi w:val="0"/>
              <w:spacing w:before="0" w:after="283"/>
              <w:jc w:val="right"/>
              <w:rPr/>
            </w:pPr>
            <w:r>
              <w:rPr/>
              <w:t>273,914</w:t>
            </w:r>
          </w:p>
        </w:tc>
        <w:tc>
          <w:tcPr>
            <w:tcW w:w="111" w:type="dxa"/>
            <w:tcBorders/>
            <w:shd w:fill="FFFFFF" w:val="clear"/>
            <w:vAlign w:val="center"/>
          </w:tcPr>
          <w:p>
            <w:pPr>
              <w:pStyle w:val="TableContents"/>
              <w:bidi w:val="0"/>
              <w:spacing w:before="0" w:after="283"/>
              <w:jc w:val="left"/>
              <w:rPr/>
            </w:pPr>
            <w:r>
              <w:rPr/>
              <w:t> </w:t>
            </w:r>
          </w:p>
        </w:tc>
      </w:tr>
      <w:tr>
        <w:trPr/>
        <w:tc>
          <w:tcPr>
            <w:tcW w:w="8681" w:type="dxa"/>
            <w:tcBorders/>
            <w:shd w:fill="CCEEFF" w:val="clear"/>
            <w:vAlign w:val="center"/>
          </w:tcPr>
          <w:p>
            <w:pPr>
              <w:pStyle w:val="TableContents"/>
              <w:bidi w:val="0"/>
              <w:spacing w:before="0" w:after="283"/>
              <w:jc w:val="left"/>
              <w:rPr/>
            </w:pPr>
            <w:r>
              <w:rPr/>
              <w:t>Diluted</w:t>
            </w:r>
          </w:p>
        </w:tc>
        <w:tc>
          <w:tcPr>
            <w:tcW w:w="60" w:type="dxa"/>
            <w:tcBorders/>
            <w:shd w:fill="CCEEFF" w:val="clear"/>
            <w:vAlign w:val="center"/>
          </w:tcPr>
          <w:p>
            <w:pPr>
              <w:pStyle w:val="TableContents"/>
              <w:bidi w:val="0"/>
              <w:spacing w:before="0" w:after="283"/>
              <w:jc w:val="left"/>
              <w:rPr/>
            </w:pPr>
            <w:r>
              <w:rPr/>
              <w:t> </w:t>
            </w:r>
          </w:p>
        </w:tc>
        <w:tc>
          <w:tcPr>
            <w:tcW w:w="20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52" w:type="dxa"/>
            <w:tcBorders>
              <w:bottom w:val="double" w:sz="6" w:space="0" w:color="000000"/>
            </w:tcBorders>
            <w:shd w:fill="CCEEFF" w:val="clear"/>
            <w:tcMar>
              <w:bottom w:w="28" w:type="dxa"/>
            </w:tcMar>
            <w:vAlign w:val="center"/>
          </w:tcPr>
          <w:p>
            <w:pPr>
              <w:pStyle w:val="TableContents"/>
              <w:bidi w:val="0"/>
              <w:spacing w:before="0" w:after="283"/>
              <w:jc w:val="right"/>
              <w:rPr/>
            </w:pPr>
            <w:r>
              <w:rPr/>
              <w:t>274,421</w:t>
            </w:r>
          </w:p>
        </w:tc>
        <w:tc>
          <w:tcPr>
            <w:tcW w:w="111"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Essential Utilities, Inc. and Subsidiaries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Reconciliation of GAAP to Non-GAAP Financial Measures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per share amounts)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Company is providing disclosure of the reconciliation of adjusted earnings per share, a non-GAAP financial measures referenced in this release, to the most comparable GAAP financial measure. Adjusted earnings per share does not comply with U.S. generally accepted accounting principles (GAAP), and is thus considered to be a “non-GAAP financial measures” under applicable SEC regulations.</w:t>
      </w:r>
    </w:p>
    <w:p>
      <w:pPr>
        <w:pStyle w:val="TextBody"/>
        <w:bidi w:val="0"/>
        <w:spacing w:before="0" w:after="0"/>
        <w:jc w:val="left"/>
        <w:rPr>
          <w:caps w:val="false"/>
          <w:smallCaps w:val="false"/>
          <w:shd w:fill="FFFFFF" w:val="clear"/>
        </w:rPr>
      </w:pPr>
      <w:r>
        <w:rPr>
          <w:caps w:val="false"/>
          <w:smallCaps w:val="false"/>
          <w:shd w:fill="FFFFFF" w:val="clear"/>
        </w:rPr>
        <w:t> </w:t>
      </w:r>
    </w:p>
    <w:p>
      <w:pPr>
        <w:pStyle w:val="TextBody"/>
        <w:bidi w:val="0"/>
        <w:spacing w:before="0" w:after="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Adjusted earnings per share is one of the primary metrics used by management to evaluate the Company’s financial performance and compare it to that of its peers, evaluate the effectiveness of the Company’s business strategies, and in connection with executive compensation decisions. This measure is also frequently used by analysts, investors, and others to evaluate industry peers. Further, the Company believes adjusted earnings per share is helpful in highlighting trends in the Company’s results because it allows for more consistent comparisons of performance between periods by excluding gains and losses that are non-operational in nature or outside the control of management. The Company further believes that this non-GAAP financial measure is useful to investors as a more meaningful way to compare the Company’s operating performance against its guidance. This non-GAAP measure does, however, have certain limitations and should not be considered as an alternative to earnings per share or any other performance.</w:t>
      </w:r>
    </w:p>
    <w:p>
      <w:pPr>
        <w:pStyle w:val="TextBody"/>
        <w:bidi w:val="0"/>
        <w:spacing w:before="0" w:after="0"/>
        <w:jc w:val="left"/>
        <w:rPr>
          <w:caps w:val="false"/>
          <w:smallCaps w:val="false"/>
          <w:shd w:fill="FFFFFF" w:val="clear"/>
        </w:rPr>
      </w:pPr>
      <w:r>
        <w:rPr>
          <w:caps w:val="false"/>
          <w:smallCaps w:val="false"/>
          <w:shd w:fill="FFFFFF" w:val="clear"/>
        </w:rPr>
        <w:t> </w:t>
      </w:r>
    </w:p>
    <w:p>
      <w:pPr>
        <w:pStyle w:val="TextBody"/>
        <w:bidi w:val="0"/>
        <w:spacing w:before="0" w:after="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Adjusted earnings per share adjusts for the following items: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shd w:fill="FFFFFF" w:val="clear"/>
        </w:rPr>
        <w:t>costs associated with the pending merger with American Water; and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shd w:fill="FFFFFF" w:val="clear"/>
        </w:rPr>
        <w:t>the income tax impact of the non-GAAP adjustment described above.</w:t>
      </w:r>
    </w:p>
    <w:p>
      <w:pPr>
        <w:pStyle w:val="TextBody"/>
        <w:bidi w:val="0"/>
        <w:spacing w:before="0" w:after="0"/>
        <w:jc w:val="left"/>
        <w:rPr>
          <w:caps w:val="false"/>
          <w:smallCaps w:val="false"/>
        </w:rPr>
      </w:pPr>
      <w:r>
        <w:rPr>
          <w:caps w:val="false"/>
          <w:smallCaps w:val="false"/>
          <w:shd w:fill="FFFFFF" w:val="clear"/>
        </w:rPr>
        <w:t> </w:t>
      </w:r>
      <w:r>
        <w:rPr>
          <w:caps w:val="false"/>
          <w:smallCaps w:val="false"/>
        </w:rPr>
        <w:t> </w:t>
      </w:r>
    </w:p>
    <w:tbl>
      <w:tblPr>
        <w:tblW w:w="9165" w:type="dxa"/>
        <w:jc w:val="left"/>
        <w:tblInd w:w="0" w:type="dxa"/>
        <w:tblLayout w:type="fixed"/>
        <w:tblCellMar>
          <w:top w:w="0" w:type="dxa"/>
          <w:left w:w="0" w:type="dxa"/>
          <w:bottom w:w="0" w:type="dxa"/>
          <w:right w:w="0" w:type="dxa"/>
        </w:tblCellMar>
      </w:tblPr>
      <w:tblGrid>
        <w:gridCol w:w="6965"/>
        <w:gridCol w:w="60"/>
        <w:gridCol w:w="302"/>
        <w:gridCol w:w="1728"/>
        <w:gridCol w:w="110"/>
      </w:tblGrid>
      <w:tr>
        <w:trPr/>
        <w:tc>
          <w:tcPr>
            <w:tcW w:w="69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030" w:type="dxa"/>
            <w:gridSpan w:val="2"/>
            <w:tcBorders/>
            <w:vAlign w:val="center"/>
          </w:tcPr>
          <w:p>
            <w:pPr>
              <w:pStyle w:val="TableContents"/>
              <w:bidi w:val="0"/>
              <w:spacing w:before="0" w:after="283"/>
              <w:jc w:val="center"/>
              <w:rPr/>
            </w:pPr>
            <w:r>
              <w:rPr/>
              <w:t>Three Months Ended</w:t>
            </w:r>
          </w:p>
        </w:tc>
        <w:tc>
          <w:tcPr>
            <w:tcW w:w="110" w:type="dxa"/>
            <w:tcBorders/>
            <w:vAlign w:val="center"/>
          </w:tcPr>
          <w:p>
            <w:pPr>
              <w:pStyle w:val="TableContents"/>
              <w:bidi w:val="0"/>
              <w:spacing w:before="0" w:after="283"/>
              <w:jc w:val="left"/>
              <w:rPr/>
            </w:pPr>
            <w:r>
              <w:rPr/>
              <w:t> </w:t>
            </w:r>
          </w:p>
        </w:tc>
      </w:tr>
      <w:tr>
        <w:trPr/>
        <w:tc>
          <w:tcPr>
            <w:tcW w:w="69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030" w:type="dxa"/>
            <w:gridSpan w:val="2"/>
            <w:tcBorders>
              <w:bottom w:val="single" w:sz="8" w:space="0" w:color="000000"/>
            </w:tcBorders>
            <w:tcMar>
              <w:bottom w:w="28" w:type="dxa"/>
            </w:tcMar>
            <w:vAlign w:val="center"/>
          </w:tcPr>
          <w:p>
            <w:pPr>
              <w:pStyle w:val="TableContents"/>
              <w:bidi w:val="0"/>
              <w:spacing w:before="0" w:after="283"/>
              <w:jc w:val="center"/>
              <w:rPr/>
            </w:pPr>
            <w:r>
              <w:rPr/>
              <w:t>June 30, 2026</w:t>
            </w:r>
          </w:p>
        </w:tc>
        <w:tc>
          <w:tcPr>
            <w:tcW w:w="110" w:type="dxa"/>
            <w:tcBorders/>
            <w:vAlign w:val="center"/>
          </w:tcPr>
          <w:p>
            <w:pPr>
              <w:pStyle w:val="TableContents"/>
              <w:bidi w:val="0"/>
              <w:spacing w:before="0" w:after="283"/>
              <w:jc w:val="left"/>
              <w:rPr/>
            </w:pPr>
            <w:r>
              <w:rPr/>
              <w:t> </w:t>
            </w:r>
          </w:p>
        </w:tc>
      </w:tr>
      <w:tr>
        <w:trPr/>
        <w:tc>
          <w:tcPr>
            <w:tcW w:w="6965" w:type="dxa"/>
            <w:tcBorders/>
            <w:shd w:fill="CCEEFF" w:val="clear"/>
            <w:vAlign w:val="center"/>
          </w:tcPr>
          <w:p>
            <w:pPr>
              <w:pStyle w:val="TableContents"/>
              <w:bidi w:val="0"/>
              <w:spacing w:before="0" w:after="283"/>
              <w:jc w:val="left"/>
              <w:rPr/>
            </w:pPr>
            <w:r>
              <w:rPr/>
              <w:t>Net income (GAAP financial measure)</w:t>
            </w:r>
          </w:p>
        </w:tc>
        <w:tc>
          <w:tcPr>
            <w:tcW w:w="6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pPr>
            <w:r>
              <w:rPr/>
              <w:t>$</w:t>
            </w:r>
          </w:p>
        </w:tc>
        <w:tc>
          <w:tcPr>
            <w:tcW w:w="1728" w:type="dxa"/>
            <w:tcBorders/>
            <w:shd w:fill="CCEEFF" w:val="clear"/>
            <w:vAlign w:val="center"/>
          </w:tcPr>
          <w:p>
            <w:pPr>
              <w:pStyle w:val="TableContents"/>
              <w:bidi w:val="0"/>
              <w:spacing w:before="0" w:after="283"/>
              <w:jc w:val="right"/>
              <w:rPr/>
            </w:pPr>
            <w:r>
              <w:rPr/>
              <w:t>105,725</w:t>
            </w:r>
          </w:p>
        </w:tc>
        <w:tc>
          <w:tcPr>
            <w:tcW w:w="110" w:type="dxa"/>
            <w:tcBorders/>
            <w:shd w:fill="CCEEFF" w:val="clear"/>
            <w:vAlign w:val="center"/>
          </w:tcPr>
          <w:p>
            <w:pPr>
              <w:pStyle w:val="TableContents"/>
              <w:bidi w:val="0"/>
              <w:spacing w:before="0" w:after="283"/>
              <w:jc w:val="left"/>
              <w:rPr/>
            </w:pPr>
            <w:r>
              <w:rPr/>
              <w:t> </w:t>
            </w:r>
          </w:p>
        </w:tc>
      </w:tr>
      <w:tr>
        <w:trPr/>
        <w:tc>
          <w:tcPr>
            <w:tcW w:w="6965" w:type="dxa"/>
            <w:tcBorders/>
            <w:shd w:fill="FFFFFF" w:val="clear"/>
            <w:vAlign w:val="center"/>
          </w:tcPr>
          <w:p>
            <w:pPr>
              <w:pStyle w:val="TableContents"/>
              <w:bidi w:val="0"/>
              <w:spacing w:before="0" w:after="283"/>
              <w:jc w:val="left"/>
              <w:rPr/>
            </w:pPr>
            <w:r>
              <w:rPr/>
              <w:t>Adjustments:</w:t>
            </w:r>
          </w:p>
        </w:tc>
        <w:tc>
          <w:tcPr>
            <w:tcW w:w="60"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172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965" w:type="dxa"/>
            <w:tcBorders/>
            <w:shd w:fill="CCEEFF" w:val="clear"/>
            <w:vAlign w:val="center"/>
          </w:tcPr>
          <w:p>
            <w:pPr>
              <w:pStyle w:val="TableContents"/>
              <w:bidi w:val="0"/>
              <w:spacing w:before="0" w:after="283"/>
              <w:jc w:val="left"/>
              <w:rPr/>
            </w:pPr>
            <w:r>
              <w:rPr/>
              <w:t>(1) Costs associated with the pending merger with American Water</w:t>
            </w:r>
          </w:p>
        </w:tc>
        <w:tc>
          <w:tcPr>
            <w:tcW w:w="6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pPr>
            <w:r>
              <w:rPr/>
              <w:t> </w:t>
            </w:r>
          </w:p>
        </w:tc>
        <w:tc>
          <w:tcPr>
            <w:tcW w:w="1728" w:type="dxa"/>
            <w:tcBorders/>
            <w:shd w:fill="CCEEFF" w:val="clear"/>
            <w:vAlign w:val="center"/>
          </w:tcPr>
          <w:p>
            <w:pPr>
              <w:pStyle w:val="TableContents"/>
              <w:bidi w:val="0"/>
              <w:spacing w:before="0" w:after="283"/>
              <w:jc w:val="right"/>
              <w:rPr/>
            </w:pPr>
            <w:r>
              <w:rPr/>
              <w:t>1,191</w:t>
            </w:r>
          </w:p>
        </w:tc>
        <w:tc>
          <w:tcPr>
            <w:tcW w:w="110" w:type="dxa"/>
            <w:tcBorders/>
            <w:shd w:fill="CCEEFF" w:val="clear"/>
            <w:vAlign w:val="center"/>
          </w:tcPr>
          <w:p>
            <w:pPr>
              <w:pStyle w:val="TableContents"/>
              <w:bidi w:val="0"/>
              <w:spacing w:before="0" w:after="283"/>
              <w:jc w:val="left"/>
              <w:rPr/>
            </w:pPr>
            <w:r>
              <w:rPr/>
              <w:t> </w:t>
            </w:r>
          </w:p>
        </w:tc>
      </w:tr>
      <w:tr>
        <w:trPr/>
        <w:tc>
          <w:tcPr>
            <w:tcW w:w="6965" w:type="dxa"/>
            <w:tcBorders/>
            <w:shd w:fill="FFFFFF" w:val="clear"/>
            <w:vAlign w:val="center"/>
          </w:tcPr>
          <w:p>
            <w:pPr>
              <w:pStyle w:val="TableContents"/>
              <w:bidi w:val="0"/>
              <w:spacing w:before="0" w:after="283"/>
              <w:jc w:val="left"/>
              <w:rPr/>
            </w:pPr>
            <w:r>
              <w:rPr/>
              <w:t>(2) The income tax impact of the non-GAAP adjustment described above</w:t>
            </w:r>
          </w:p>
        </w:tc>
        <w:tc>
          <w:tcPr>
            <w:tcW w:w="60" w:type="dxa"/>
            <w:tcBorders/>
            <w:shd w:fill="FFFFFF" w:val="clear"/>
            <w:vAlign w:val="center"/>
          </w:tcPr>
          <w:p>
            <w:pPr>
              <w:pStyle w:val="TableContents"/>
              <w:bidi w:val="0"/>
              <w:spacing w:before="0" w:after="283"/>
              <w:jc w:val="left"/>
              <w:rPr/>
            </w:pPr>
            <w:r>
              <w:rPr/>
              <w:t> </w:t>
            </w:r>
          </w:p>
        </w:tc>
        <w:tc>
          <w:tcPr>
            <w:tcW w:w="3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28" w:type="dxa"/>
            <w:tcBorders>
              <w:bottom w:val="single" w:sz="8" w:space="0" w:color="000000"/>
            </w:tcBorders>
            <w:shd w:fill="FFFFFF" w:val="clear"/>
            <w:tcMar>
              <w:bottom w:w="28" w:type="dxa"/>
            </w:tcMar>
            <w:vAlign w:val="center"/>
          </w:tcPr>
          <w:p>
            <w:pPr>
              <w:pStyle w:val="TableContents"/>
              <w:bidi w:val="0"/>
              <w:spacing w:before="0" w:after="283"/>
              <w:jc w:val="right"/>
              <w:rPr/>
            </w:pPr>
            <w:r>
              <w:rPr/>
              <w:t>(321</w:t>
            </w:r>
          </w:p>
        </w:tc>
        <w:tc>
          <w:tcPr>
            <w:tcW w:w="110" w:type="dxa"/>
            <w:tcBorders/>
            <w:shd w:fill="FFFFFF" w:val="clear"/>
            <w:vAlign w:val="center"/>
          </w:tcPr>
          <w:p>
            <w:pPr>
              <w:pStyle w:val="TableContents"/>
              <w:bidi w:val="0"/>
              <w:spacing w:before="0" w:after="283"/>
              <w:jc w:val="left"/>
              <w:rPr/>
            </w:pPr>
            <w:r>
              <w:rPr/>
              <w:t>)</w:t>
            </w:r>
          </w:p>
        </w:tc>
      </w:tr>
      <w:tr>
        <w:trPr/>
        <w:tc>
          <w:tcPr>
            <w:tcW w:w="6965" w:type="dxa"/>
            <w:tcBorders/>
            <w:shd w:fill="CCEEFF" w:val="clear"/>
            <w:vAlign w:val="center"/>
          </w:tcPr>
          <w:p>
            <w:pPr>
              <w:pStyle w:val="TableContents"/>
              <w:bidi w:val="0"/>
              <w:spacing w:before="0" w:after="283"/>
              <w:jc w:val="left"/>
              <w:rPr/>
            </w:pPr>
            <w:r>
              <w:rPr/>
              <w:t>Adjusted income (Non-GAAP financial measure)</w:t>
            </w:r>
          </w:p>
        </w:tc>
        <w:tc>
          <w:tcPr>
            <w:tcW w:w="60" w:type="dxa"/>
            <w:tcBorders/>
            <w:shd w:fill="CCEEFF" w:val="clear"/>
            <w:vAlign w:val="center"/>
          </w:tcPr>
          <w:p>
            <w:pPr>
              <w:pStyle w:val="TableContents"/>
              <w:bidi w:val="0"/>
              <w:spacing w:before="0" w:after="283"/>
              <w:jc w:val="left"/>
              <w:rPr/>
            </w:pPr>
            <w:r>
              <w:rPr/>
              <w:t> </w:t>
            </w:r>
          </w:p>
        </w:tc>
        <w:tc>
          <w:tcPr>
            <w:tcW w:w="30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728" w:type="dxa"/>
            <w:tcBorders>
              <w:bottom w:val="double" w:sz="6" w:space="0" w:color="000000"/>
            </w:tcBorders>
            <w:shd w:fill="CCEEFF" w:val="clear"/>
            <w:tcMar>
              <w:bottom w:w="28" w:type="dxa"/>
            </w:tcMar>
            <w:vAlign w:val="center"/>
          </w:tcPr>
          <w:p>
            <w:pPr>
              <w:pStyle w:val="TableContents"/>
              <w:bidi w:val="0"/>
              <w:spacing w:before="0" w:after="283"/>
              <w:jc w:val="right"/>
              <w:rPr/>
            </w:pPr>
            <w:r>
              <w:rPr/>
              <w:t>106,595</w:t>
            </w:r>
          </w:p>
        </w:tc>
        <w:tc>
          <w:tcPr>
            <w:tcW w:w="110" w:type="dxa"/>
            <w:tcBorders/>
            <w:shd w:fill="CCEEFF" w:val="clear"/>
            <w:vAlign w:val="center"/>
          </w:tcPr>
          <w:p>
            <w:pPr>
              <w:pStyle w:val="TableContents"/>
              <w:bidi w:val="0"/>
              <w:spacing w:before="0" w:after="283"/>
              <w:jc w:val="left"/>
              <w:rPr/>
            </w:pPr>
            <w:r>
              <w:rPr/>
              <w:t> </w:t>
            </w:r>
          </w:p>
        </w:tc>
      </w:tr>
      <w:tr>
        <w:trPr/>
        <w:tc>
          <w:tcPr>
            <w:tcW w:w="6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jc w:val="left"/>
              <w:rPr/>
            </w:pPr>
            <w:r>
              <w:rPr/>
              <w:t> </w:t>
            </w:r>
          </w:p>
        </w:tc>
        <w:tc>
          <w:tcPr>
            <w:tcW w:w="1728"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6965" w:type="dxa"/>
            <w:tcBorders/>
            <w:shd w:fill="FFFFFF" w:val="clear"/>
            <w:vAlign w:val="center"/>
          </w:tcPr>
          <w:p>
            <w:pPr>
              <w:pStyle w:val="TableContents"/>
              <w:bidi w:val="0"/>
              <w:spacing w:before="0" w:after="283"/>
              <w:jc w:val="left"/>
              <w:rPr/>
            </w:pPr>
            <w:r>
              <w:rPr/>
              <w:t>Net income per common share (GAAP financial measure):</w:t>
            </w:r>
          </w:p>
        </w:tc>
        <w:tc>
          <w:tcPr>
            <w:tcW w:w="60"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172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965" w:type="dxa"/>
            <w:tcBorders/>
            <w:shd w:fill="CCEEFF" w:val="clear"/>
            <w:vAlign w:val="center"/>
          </w:tcPr>
          <w:p>
            <w:pPr>
              <w:pStyle w:val="TableContents"/>
              <w:bidi w:val="0"/>
              <w:spacing w:before="0" w:after="283"/>
              <w:jc w:val="left"/>
              <w:rPr/>
            </w:pPr>
            <w:r>
              <w:rPr/>
              <w:t>Basic</w:t>
            </w:r>
          </w:p>
        </w:tc>
        <w:tc>
          <w:tcPr>
            <w:tcW w:w="6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pPr>
            <w:r>
              <w:rPr/>
              <w:t>$</w:t>
            </w:r>
          </w:p>
        </w:tc>
        <w:tc>
          <w:tcPr>
            <w:tcW w:w="1728" w:type="dxa"/>
            <w:tcBorders/>
            <w:shd w:fill="CCEEFF" w:val="clear"/>
            <w:vAlign w:val="center"/>
          </w:tcPr>
          <w:p>
            <w:pPr>
              <w:pStyle w:val="TableContents"/>
              <w:bidi w:val="0"/>
              <w:spacing w:before="0" w:after="283"/>
              <w:jc w:val="right"/>
              <w:rPr/>
            </w:pPr>
            <w:r>
              <w:rPr/>
              <w:t>0.37</w:t>
            </w:r>
          </w:p>
        </w:tc>
        <w:tc>
          <w:tcPr>
            <w:tcW w:w="110" w:type="dxa"/>
            <w:tcBorders/>
            <w:shd w:fill="CCEEFF" w:val="clear"/>
            <w:vAlign w:val="center"/>
          </w:tcPr>
          <w:p>
            <w:pPr>
              <w:pStyle w:val="TableContents"/>
              <w:bidi w:val="0"/>
              <w:spacing w:before="0" w:after="283"/>
              <w:jc w:val="left"/>
              <w:rPr/>
            </w:pPr>
            <w:r>
              <w:rPr/>
              <w:t> </w:t>
            </w:r>
          </w:p>
        </w:tc>
      </w:tr>
      <w:tr>
        <w:trPr/>
        <w:tc>
          <w:tcPr>
            <w:tcW w:w="6965" w:type="dxa"/>
            <w:tcBorders/>
            <w:shd w:fill="FFFFFF" w:val="clear"/>
            <w:vAlign w:val="center"/>
          </w:tcPr>
          <w:p>
            <w:pPr>
              <w:pStyle w:val="TableContents"/>
              <w:bidi w:val="0"/>
              <w:spacing w:before="0" w:after="283"/>
              <w:jc w:val="left"/>
              <w:rPr/>
            </w:pPr>
            <w:r>
              <w:rPr/>
              <w:t>Diluted</w:t>
            </w:r>
          </w:p>
        </w:tc>
        <w:tc>
          <w:tcPr>
            <w:tcW w:w="60"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w:t>
            </w:r>
          </w:p>
        </w:tc>
        <w:tc>
          <w:tcPr>
            <w:tcW w:w="1728" w:type="dxa"/>
            <w:tcBorders/>
            <w:shd w:fill="FFFFFF" w:val="clear"/>
            <w:vAlign w:val="center"/>
          </w:tcPr>
          <w:p>
            <w:pPr>
              <w:pStyle w:val="TableContents"/>
              <w:bidi w:val="0"/>
              <w:spacing w:before="0" w:after="283"/>
              <w:jc w:val="right"/>
              <w:rPr/>
            </w:pPr>
            <w:r>
              <w:rPr/>
              <w:t>0.37</w:t>
            </w:r>
          </w:p>
        </w:tc>
        <w:tc>
          <w:tcPr>
            <w:tcW w:w="110" w:type="dxa"/>
            <w:tcBorders/>
            <w:shd w:fill="FFFFFF" w:val="clear"/>
            <w:vAlign w:val="center"/>
          </w:tcPr>
          <w:p>
            <w:pPr>
              <w:pStyle w:val="TableContents"/>
              <w:bidi w:val="0"/>
              <w:spacing w:before="0" w:after="283"/>
              <w:jc w:val="left"/>
              <w:rPr/>
            </w:pPr>
            <w:r>
              <w:rPr/>
              <w:t> </w:t>
            </w:r>
          </w:p>
        </w:tc>
      </w:tr>
      <w:tr>
        <w:trPr/>
        <w:tc>
          <w:tcPr>
            <w:tcW w:w="6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jc w:val="left"/>
              <w:rPr/>
            </w:pPr>
            <w:r>
              <w:rPr/>
              <w:t> </w:t>
            </w:r>
          </w:p>
        </w:tc>
        <w:tc>
          <w:tcPr>
            <w:tcW w:w="1728"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6965" w:type="dxa"/>
            <w:tcBorders/>
            <w:shd w:fill="CCEEFF" w:val="clear"/>
            <w:vAlign w:val="center"/>
          </w:tcPr>
          <w:p>
            <w:pPr>
              <w:pStyle w:val="TableContents"/>
              <w:bidi w:val="0"/>
              <w:spacing w:before="0" w:after="283"/>
              <w:jc w:val="left"/>
              <w:rPr/>
            </w:pPr>
            <w:r>
              <w:rPr/>
              <w:t>Adjusted income per common share (Non-GAAP financial measure):</w:t>
            </w:r>
          </w:p>
        </w:tc>
        <w:tc>
          <w:tcPr>
            <w:tcW w:w="6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pPr>
            <w:r>
              <w:rPr/>
              <w:t> </w:t>
            </w:r>
          </w:p>
        </w:tc>
        <w:tc>
          <w:tcPr>
            <w:tcW w:w="172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965" w:type="dxa"/>
            <w:tcBorders/>
            <w:shd w:fill="FFFFFF" w:val="clear"/>
            <w:vAlign w:val="center"/>
          </w:tcPr>
          <w:p>
            <w:pPr>
              <w:pStyle w:val="TableContents"/>
              <w:bidi w:val="0"/>
              <w:spacing w:before="0" w:after="283"/>
              <w:jc w:val="left"/>
              <w:rPr/>
            </w:pPr>
            <w:r>
              <w:rPr/>
              <w:t>Basic</w:t>
            </w:r>
          </w:p>
        </w:tc>
        <w:tc>
          <w:tcPr>
            <w:tcW w:w="60"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w:t>
            </w:r>
          </w:p>
        </w:tc>
        <w:tc>
          <w:tcPr>
            <w:tcW w:w="1728" w:type="dxa"/>
            <w:tcBorders/>
            <w:shd w:fill="FFFFFF" w:val="clear"/>
            <w:vAlign w:val="center"/>
          </w:tcPr>
          <w:p>
            <w:pPr>
              <w:pStyle w:val="TableContents"/>
              <w:bidi w:val="0"/>
              <w:spacing w:before="0" w:after="283"/>
              <w:jc w:val="right"/>
              <w:rPr/>
            </w:pPr>
            <w:r>
              <w:rPr/>
              <w:t>0.38</w:t>
            </w:r>
          </w:p>
        </w:tc>
        <w:tc>
          <w:tcPr>
            <w:tcW w:w="110" w:type="dxa"/>
            <w:tcBorders/>
            <w:shd w:fill="FFFFFF" w:val="clear"/>
            <w:vAlign w:val="center"/>
          </w:tcPr>
          <w:p>
            <w:pPr>
              <w:pStyle w:val="TableContents"/>
              <w:bidi w:val="0"/>
              <w:spacing w:before="0" w:after="283"/>
              <w:jc w:val="left"/>
              <w:rPr/>
            </w:pPr>
            <w:r>
              <w:rPr/>
              <w:t> </w:t>
            </w:r>
          </w:p>
        </w:tc>
      </w:tr>
      <w:tr>
        <w:trPr/>
        <w:tc>
          <w:tcPr>
            <w:tcW w:w="6965" w:type="dxa"/>
            <w:tcBorders/>
            <w:shd w:fill="CCEEFF" w:val="clear"/>
            <w:vAlign w:val="center"/>
          </w:tcPr>
          <w:p>
            <w:pPr>
              <w:pStyle w:val="TableContents"/>
              <w:bidi w:val="0"/>
              <w:spacing w:before="0" w:after="283"/>
              <w:jc w:val="left"/>
              <w:rPr/>
            </w:pPr>
            <w:r>
              <w:rPr/>
              <w:t>Diluted</w:t>
            </w:r>
          </w:p>
        </w:tc>
        <w:tc>
          <w:tcPr>
            <w:tcW w:w="6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pPr>
            <w:r>
              <w:rPr/>
              <w:t>$</w:t>
            </w:r>
          </w:p>
        </w:tc>
        <w:tc>
          <w:tcPr>
            <w:tcW w:w="1728" w:type="dxa"/>
            <w:tcBorders/>
            <w:shd w:fill="CCEEFF" w:val="clear"/>
            <w:vAlign w:val="center"/>
          </w:tcPr>
          <w:p>
            <w:pPr>
              <w:pStyle w:val="TableContents"/>
              <w:bidi w:val="0"/>
              <w:spacing w:before="0" w:after="283"/>
              <w:jc w:val="right"/>
              <w:rPr/>
            </w:pPr>
            <w:r>
              <w:rPr/>
              <w:t>0.38</w:t>
            </w:r>
          </w:p>
        </w:tc>
        <w:tc>
          <w:tcPr>
            <w:tcW w:w="110" w:type="dxa"/>
            <w:tcBorders/>
            <w:shd w:fill="CCEEFF" w:val="clear"/>
            <w:vAlign w:val="center"/>
          </w:tcPr>
          <w:p>
            <w:pPr>
              <w:pStyle w:val="TableContents"/>
              <w:bidi w:val="0"/>
              <w:spacing w:before="0" w:after="283"/>
              <w:jc w:val="left"/>
              <w:rPr/>
            </w:pPr>
            <w:r>
              <w:rPr/>
              <w:t> </w:t>
            </w:r>
          </w:p>
        </w:tc>
      </w:tr>
      <w:tr>
        <w:trPr/>
        <w:tc>
          <w:tcPr>
            <w:tcW w:w="6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jc w:val="left"/>
              <w:rPr/>
            </w:pPr>
            <w:r>
              <w:rPr/>
              <w:t> </w:t>
            </w:r>
          </w:p>
        </w:tc>
        <w:tc>
          <w:tcPr>
            <w:tcW w:w="1728"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6965" w:type="dxa"/>
            <w:tcBorders/>
            <w:shd w:fill="FFFFFF" w:val="clear"/>
            <w:vAlign w:val="center"/>
          </w:tcPr>
          <w:p>
            <w:pPr>
              <w:pStyle w:val="TableContents"/>
              <w:bidi w:val="0"/>
              <w:spacing w:before="0" w:after="283"/>
              <w:jc w:val="left"/>
              <w:rPr/>
            </w:pPr>
            <w:r>
              <w:rPr/>
              <w:t>Average common shares outstanding:</w:t>
            </w:r>
          </w:p>
        </w:tc>
        <w:tc>
          <w:tcPr>
            <w:tcW w:w="60"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172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965" w:type="dxa"/>
            <w:tcBorders/>
            <w:shd w:fill="CCEEFF" w:val="clear"/>
            <w:vAlign w:val="center"/>
          </w:tcPr>
          <w:p>
            <w:pPr>
              <w:pStyle w:val="TableContents"/>
              <w:bidi w:val="0"/>
              <w:spacing w:before="0" w:after="283"/>
              <w:jc w:val="left"/>
              <w:rPr/>
            </w:pPr>
            <w:r>
              <w:rPr/>
              <w:t>Basic</w:t>
            </w:r>
          </w:p>
        </w:tc>
        <w:tc>
          <w:tcPr>
            <w:tcW w:w="60" w:type="dxa"/>
            <w:tcBorders/>
            <w:shd w:fill="CCEEFF" w:val="clear"/>
            <w:vAlign w:val="center"/>
          </w:tcPr>
          <w:p>
            <w:pPr>
              <w:pStyle w:val="TableContents"/>
              <w:bidi w:val="0"/>
              <w:spacing w:before="0" w:after="283"/>
              <w:jc w:val="left"/>
              <w:rPr/>
            </w:pPr>
            <w:r>
              <w:rPr/>
              <w:t> </w:t>
            </w:r>
          </w:p>
        </w:tc>
        <w:tc>
          <w:tcPr>
            <w:tcW w:w="30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728" w:type="dxa"/>
            <w:tcBorders>
              <w:bottom w:val="double" w:sz="6" w:space="0" w:color="000000"/>
            </w:tcBorders>
            <w:shd w:fill="CCEEFF" w:val="clear"/>
            <w:tcMar>
              <w:bottom w:w="28" w:type="dxa"/>
            </w:tcMar>
            <w:vAlign w:val="center"/>
          </w:tcPr>
          <w:p>
            <w:pPr>
              <w:pStyle w:val="TableContents"/>
              <w:bidi w:val="0"/>
              <w:spacing w:before="0" w:after="283"/>
              <w:jc w:val="right"/>
              <w:rPr/>
            </w:pPr>
            <w:r>
              <w:rPr/>
              <w:t>283,655</w:t>
            </w:r>
          </w:p>
        </w:tc>
        <w:tc>
          <w:tcPr>
            <w:tcW w:w="110" w:type="dxa"/>
            <w:tcBorders/>
            <w:shd w:fill="CCEEFF" w:val="clear"/>
            <w:vAlign w:val="center"/>
          </w:tcPr>
          <w:p>
            <w:pPr>
              <w:pStyle w:val="TableContents"/>
              <w:bidi w:val="0"/>
              <w:spacing w:before="0" w:after="283"/>
              <w:jc w:val="left"/>
              <w:rPr/>
            </w:pPr>
            <w:r>
              <w:rPr/>
              <w:t> </w:t>
            </w:r>
          </w:p>
        </w:tc>
      </w:tr>
      <w:tr>
        <w:trPr/>
        <w:tc>
          <w:tcPr>
            <w:tcW w:w="6965" w:type="dxa"/>
            <w:tcBorders/>
            <w:shd w:fill="FFFFFF" w:val="clear"/>
            <w:vAlign w:val="center"/>
          </w:tcPr>
          <w:p>
            <w:pPr>
              <w:pStyle w:val="TableContents"/>
              <w:bidi w:val="0"/>
              <w:spacing w:before="0" w:after="283"/>
              <w:jc w:val="left"/>
              <w:rPr/>
            </w:pPr>
            <w:r>
              <w:rPr/>
              <w:t>Diluted</w:t>
            </w:r>
          </w:p>
        </w:tc>
        <w:tc>
          <w:tcPr>
            <w:tcW w:w="60" w:type="dxa"/>
            <w:tcBorders/>
            <w:shd w:fill="FFFFFF" w:val="clear"/>
            <w:vAlign w:val="center"/>
          </w:tcPr>
          <w:p>
            <w:pPr>
              <w:pStyle w:val="TableContents"/>
              <w:bidi w:val="0"/>
              <w:spacing w:before="0" w:after="283"/>
              <w:jc w:val="left"/>
              <w:rPr/>
            </w:pPr>
            <w:r>
              <w:rPr/>
              <w:t> </w:t>
            </w:r>
          </w:p>
        </w:tc>
        <w:tc>
          <w:tcPr>
            <w:tcW w:w="30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728" w:type="dxa"/>
            <w:tcBorders>
              <w:bottom w:val="double" w:sz="6" w:space="0" w:color="000000"/>
            </w:tcBorders>
            <w:shd w:fill="FFFFFF" w:val="clear"/>
            <w:tcMar>
              <w:bottom w:w="28" w:type="dxa"/>
            </w:tcMar>
            <w:vAlign w:val="center"/>
          </w:tcPr>
          <w:p>
            <w:pPr>
              <w:pStyle w:val="TableContents"/>
              <w:bidi w:val="0"/>
              <w:spacing w:before="0" w:after="283"/>
              <w:jc w:val="right"/>
              <w:rPr/>
            </w:pPr>
            <w:r>
              <w:rPr/>
              <w:t>284,088</w:t>
            </w:r>
          </w:p>
        </w:tc>
        <w:tc>
          <w:tcPr>
            <w:tcW w:w="110" w:type="dxa"/>
            <w:tcBorders/>
            <w:shd w:fill="FFFFFF" w:val="clear"/>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Essential Utilities, Inc. and Subsidiaries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Reconciliation of GAAP to Non-GAAP Financial Measures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per share amounts)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The Company is providing disclosure of the reconciliation of adjusted earnings per share, a non-GAAP financial measures referenced in this release, to the most comparable GAAP financial measure. Adjusted earnings per share does not comply with U.S. generally accepted accounting principles (GAAP), and is thus considered to be a “non-GAAP financial measures” under applicable SEC regulations.</w:t>
      </w:r>
      <w:r>
        <w:rPr>
          <w:rFonts w:ascii="Times New Roman;Times;Serif" w:hAnsi="Times New Roman;Times;Serif"/>
          <w:b w:val="false"/>
          <w:i w:val="false"/>
          <w:caps w:val="false"/>
          <w:smallCaps w:val="false"/>
          <w:sz w:val="20"/>
        </w:rPr>
        <w:t xml:space="preserve"> </w:t>
      </w:r>
    </w:p>
    <w:p>
      <w:pPr>
        <w:pStyle w:val="TextBody"/>
        <w:bidi w:val="0"/>
        <w:spacing w:before="0" w:after="0"/>
        <w:jc w:val="left"/>
        <w:rPr>
          <w:caps w:val="false"/>
          <w:smallCaps w:val="false"/>
          <w:shd w:fill="FFFFFF" w:val="clear"/>
        </w:rPr>
      </w:pPr>
      <w:r>
        <w:rPr>
          <w:caps w:val="false"/>
          <w:smallCaps w:val="false"/>
          <w:shd w:fill="FFFFFF" w:val="clear"/>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Adjusted earnings per share is one of the primary metrics used by management to evaluate the Company’s financial performance and compare it to that of its peers, evaluate the effectiveness of the Company’s business strategies, and in connection with executive compensation decisions. This measure is also frequently used by analysts, investors, and others to evaluate industry peers. Further, the Company believes adjusted earnings per share is helpful in highlighting trends in the Company’s results because it allows for more consistent comparisons of performance between periods by excluding gains and losses that are non-operational in nature or outside the control of management. The Company further believes that this non-GAAP financial measure is useful to investors as a more meaningful way to compare the Company’s operating performance against its guidance. This non-GAAP measure does, however, have certain limitations and should not be considered as an alternative to earnings per share or any other performance.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Adjusted earnings per share adjusts for the following items: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shd w:fill="FFFFFF" w:val="clear"/>
        </w:rPr>
        <w:t>costs associated with the pending merger with American Water; and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shd w:fill="FFFFFF" w:val="clear"/>
        </w:rPr>
        <w:t>the income tax impact of the non-GAAP adjustment described above.</w:t>
      </w:r>
    </w:p>
    <w:p>
      <w:pPr>
        <w:pStyle w:val="TextBody"/>
        <w:bidi w:val="0"/>
        <w:spacing w:before="0" w:after="0"/>
        <w:jc w:val="left"/>
        <w:rPr>
          <w:caps w:val="false"/>
          <w:smallCaps w:val="false"/>
        </w:rPr>
      </w:pPr>
      <w:r>
        <w:rPr>
          <w:caps w:val="false"/>
          <w:smallCaps w:val="false"/>
          <w:shd w:fill="FFFFFF" w:val="clear"/>
        </w:rPr>
        <w:t> </w:t>
      </w:r>
      <w:r>
        <w:rPr>
          <w:caps w:val="false"/>
          <w:smallCaps w:val="false"/>
        </w:rPr>
        <w:t> </w:t>
      </w:r>
    </w:p>
    <w:tbl>
      <w:tblPr>
        <w:tblW w:w="8925" w:type="dxa"/>
        <w:jc w:val="left"/>
        <w:tblInd w:w="0" w:type="dxa"/>
        <w:tblLayout w:type="fixed"/>
        <w:tblCellMar>
          <w:top w:w="0" w:type="dxa"/>
          <w:left w:w="0" w:type="dxa"/>
          <w:bottom w:w="0" w:type="dxa"/>
          <w:right w:w="0" w:type="dxa"/>
        </w:tblCellMar>
      </w:tblPr>
      <w:tblGrid>
        <w:gridCol w:w="6965"/>
        <w:gridCol w:w="60"/>
        <w:gridCol w:w="266"/>
        <w:gridCol w:w="1524"/>
        <w:gridCol w:w="110"/>
      </w:tblGrid>
      <w:tr>
        <w:trPr/>
        <w:tc>
          <w:tcPr>
            <w:tcW w:w="69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90" w:type="dxa"/>
            <w:gridSpan w:val="2"/>
            <w:tcBorders/>
            <w:vAlign w:val="center"/>
          </w:tcPr>
          <w:p>
            <w:pPr>
              <w:pStyle w:val="TableContents"/>
              <w:bidi w:val="0"/>
              <w:spacing w:before="0" w:after="283"/>
              <w:jc w:val="center"/>
              <w:rPr/>
            </w:pPr>
            <w:r>
              <w:rPr/>
              <w:t>Six Months Ended</w:t>
            </w:r>
          </w:p>
        </w:tc>
        <w:tc>
          <w:tcPr>
            <w:tcW w:w="110" w:type="dxa"/>
            <w:tcBorders/>
            <w:vAlign w:val="center"/>
          </w:tcPr>
          <w:p>
            <w:pPr>
              <w:pStyle w:val="TableContents"/>
              <w:bidi w:val="0"/>
              <w:spacing w:before="0" w:after="283"/>
              <w:jc w:val="left"/>
              <w:rPr/>
            </w:pPr>
            <w:r>
              <w:rPr/>
              <w:t> </w:t>
            </w:r>
          </w:p>
        </w:tc>
      </w:tr>
      <w:tr>
        <w:trPr/>
        <w:tc>
          <w:tcPr>
            <w:tcW w:w="69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90" w:type="dxa"/>
            <w:gridSpan w:val="2"/>
            <w:tcBorders>
              <w:bottom w:val="single" w:sz="8" w:space="0" w:color="000000"/>
            </w:tcBorders>
            <w:tcMar>
              <w:bottom w:w="28" w:type="dxa"/>
            </w:tcMar>
            <w:vAlign w:val="center"/>
          </w:tcPr>
          <w:p>
            <w:pPr>
              <w:pStyle w:val="TableContents"/>
              <w:bidi w:val="0"/>
              <w:spacing w:before="0" w:after="283"/>
              <w:jc w:val="center"/>
              <w:rPr/>
            </w:pPr>
            <w:r>
              <w:rPr/>
              <w:t>June 30, 2026</w:t>
            </w:r>
          </w:p>
        </w:tc>
        <w:tc>
          <w:tcPr>
            <w:tcW w:w="110" w:type="dxa"/>
            <w:tcBorders/>
            <w:vAlign w:val="center"/>
          </w:tcPr>
          <w:p>
            <w:pPr>
              <w:pStyle w:val="TableContents"/>
              <w:bidi w:val="0"/>
              <w:spacing w:before="0" w:after="283"/>
              <w:jc w:val="left"/>
              <w:rPr/>
            </w:pPr>
            <w:r>
              <w:rPr/>
              <w:t> </w:t>
            </w:r>
          </w:p>
        </w:tc>
      </w:tr>
      <w:tr>
        <w:trPr/>
        <w:tc>
          <w:tcPr>
            <w:tcW w:w="6965" w:type="dxa"/>
            <w:tcBorders/>
            <w:shd w:fill="CCEEFF" w:val="clear"/>
            <w:vAlign w:val="center"/>
          </w:tcPr>
          <w:p>
            <w:pPr>
              <w:pStyle w:val="TableContents"/>
              <w:bidi w:val="0"/>
              <w:spacing w:before="0" w:after="283"/>
              <w:jc w:val="left"/>
              <w:rPr/>
            </w:pPr>
            <w:r>
              <w:rPr/>
              <w:t>Net income (GAAP financial measure)</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w:t>
            </w:r>
          </w:p>
        </w:tc>
        <w:tc>
          <w:tcPr>
            <w:tcW w:w="1524" w:type="dxa"/>
            <w:tcBorders/>
            <w:shd w:fill="CCEEFF" w:val="clear"/>
            <w:vAlign w:val="center"/>
          </w:tcPr>
          <w:p>
            <w:pPr>
              <w:pStyle w:val="TableContents"/>
              <w:bidi w:val="0"/>
              <w:spacing w:before="0" w:after="283"/>
              <w:jc w:val="right"/>
              <w:rPr/>
            </w:pPr>
            <w:r>
              <w:rPr/>
              <w:t>330,117</w:t>
            </w:r>
          </w:p>
        </w:tc>
        <w:tc>
          <w:tcPr>
            <w:tcW w:w="110" w:type="dxa"/>
            <w:tcBorders/>
            <w:shd w:fill="CCEEFF" w:val="clear"/>
            <w:vAlign w:val="center"/>
          </w:tcPr>
          <w:p>
            <w:pPr>
              <w:pStyle w:val="TableContents"/>
              <w:bidi w:val="0"/>
              <w:spacing w:before="0" w:after="283"/>
              <w:jc w:val="left"/>
              <w:rPr/>
            </w:pPr>
            <w:r>
              <w:rPr/>
              <w:t> </w:t>
            </w:r>
          </w:p>
        </w:tc>
      </w:tr>
      <w:tr>
        <w:trPr/>
        <w:tc>
          <w:tcPr>
            <w:tcW w:w="6965" w:type="dxa"/>
            <w:tcBorders/>
            <w:shd w:fill="FFFFFF" w:val="clear"/>
            <w:vAlign w:val="center"/>
          </w:tcPr>
          <w:p>
            <w:pPr>
              <w:pStyle w:val="TableContents"/>
              <w:bidi w:val="0"/>
              <w:spacing w:before="0" w:after="283"/>
              <w:jc w:val="left"/>
              <w:rPr/>
            </w:pPr>
            <w:r>
              <w:rPr/>
              <w:t>Adjustments:</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52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965" w:type="dxa"/>
            <w:tcBorders/>
            <w:shd w:fill="CCEEFF" w:val="clear"/>
            <w:vAlign w:val="center"/>
          </w:tcPr>
          <w:p>
            <w:pPr>
              <w:pStyle w:val="TableContents"/>
              <w:bidi w:val="0"/>
              <w:spacing w:before="0" w:after="283"/>
              <w:jc w:val="left"/>
              <w:rPr/>
            </w:pPr>
            <w:r>
              <w:rPr/>
              <w:t>(1) Costs associated with the pending merger with American Water</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524" w:type="dxa"/>
            <w:tcBorders/>
            <w:shd w:fill="CCEEFF" w:val="clear"/>
            <w:vAlign w:val="center"/>
          </w:tcPr>
          <w:p>
            <w:pPr>
              <w:pStyle w:val="TableContents"/>
              <w:bidi w:val="0"/>
              <w:spacing w:before="0" w:after="283"/>
              <w:jc w:val="right"/>
              <w:rPr/>
            </w:pPr>
            <w:r>
              <w:rPr/>
              <w:t>17,521</w:t>
            </w:r>
          </w:p>
        </w:tc>
        <w:tc>
          <w:tcPr>
            <w:tcW w:w="110" w:type="dxa"/>
            <w:tcBorders/>
            <w:shd w:fill="CCEEFF" w:val="clear"/>
            <w:vAlign w:val="center"/>
          </w:tcPr>
          <w:p>
            <w:pPr>
              <w:pStyle w:val="TableContents"/>
              <w:bidi w:val="0"/>
              <w:spacing w:before="0" w:after="283"/>
              <w:jc w:val="left"/>
              <w:rPr/>
            </w:pPr>
            <w:r>
              <w:rPr/>
              <w:t> </w:t>
            </w:r>
          </w:p>
        </w:tc>
      </w:tr>
      <w:tr>
        <w:trPr/>
        <w:tc>
          <w:tcPr>
            <w:tcW w:w="6965" w:type="dxa"/>
            <w:tcBorders/>
            <w:shd w:fill="FFFFFF" w:val="clear"/>
            <w:vAlign w:val="center"/>
          </w:tcPr>
          <w:p>
            <w:pPr>
              <w:pStyle w:val="TableContents"/>
              <w:bidi w:val="0"/>
              <w:spacing w:before="0" w:after="283"/>
              <w:jc w:val="left"/>
              <w:rPr/>
            </w:pPr>
            <w:r>
              <w:rPr/>
              <w:t>(2) The income tax impact of the non-GAAP adjustment described above</w:t>
            </w:r>
          </w:p>
        </w:tc>
        <w:tc>
          <w:tcPr>
            <w:tcW w:w="60" w:type="dxa"/>
            <w:tcBorders/>
            <w:shd w:fill="FFFFFF" w:val="clear"/>
            <w:vAlign w:val="center"/>
          </w:tcPr>
          <w:p>
            <w:pPr>
              <w:pStyle w:val="TableContents"/>
              <w:bidi w:val="0"/>
              <w:spacing w:before="0" w:after="283"/>
              <w:jc w:val="left"/>
              <w:rPr/>
            </w:pPr>
            <w:r>
              <w:rPr/>
              <w:t> </w:t>
            </w:r>
          </w:p>
        </w:tc>
        <w:tc>
          <w:tcPr>
            <w:tcW w:w="2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24" w:type="dxa"/>
            <w:tcBorders>
              <w:bottom w:val="single" w:sz="8" w:space="0" w:color="000000"/>
            </w:tcBorders>
            <w:shd w:fill="FFFFFF" w:val="clear"/>
            <w:tcMar>
              <w:bottom w:w="28" w:type="dxa"/>
            </w:tcMar>
            <w:vAlign w:val="center"/>
          </w:tcPr>
          <w:p>
            <w:pPr>
              <w:pStyle w:val="TableContents"/>
              <w:bidi w:val="0"/>
              <w:spacing w:before="0" w:after="283"/>
              <w:jc w:val="right"/>
              <w:rPr/>
            </w:pPr>
            <w:r>
              <w:rPr/>
              <w:t>(4,716</w:t>
            </w:r>
          </w:p>
        </w:tc>
        <w:tc>
          <w:tcPr>
            <w:tcW w:w="110" w:type="dxa"/>
            <w:tcBorders/>
            <w:shd w:fill="FFFFFF" w:val="clear"/>
            <w:vAlign w:val="center"/>
          </w:tcPr>
          <w:p>
            <w:pPr>
              <w:pStyle w:val="TableContents"/>
              <w:bidi w:val="0"/>
              <w:spacing w:before="0" w:after="283"/>
              <w:jc w:val="left"/>
              <w:rPr/>
            </w:pPr>
            <w:r>
              <w:rPr/>
              <w:t>)</w:t>
            </w:r>
          </w:p>
        </w:tc>
      </w:tr>
      <w:tr>
        <w:trPr/>
        <w:tc>
          <w:tcPr>
            <w:tcW w:w="6965" w:type="dxa"/>
            <w:tcBorders/>
            <w:shd w:fill="CCEEFF" w:val="clear"/>
            <w:vAlign w:val="center"/>
          </w:tcPr>
          <w:p>
            <w:pPr>
              <w:pStyle w:val="TableContents"/>
              <w:bidi w:val="0"/>
              <w:spacing w:before="0" w:after="283"/>
              <w:jc w:val="left"/>
              <w:rPr/>
            </w:pPr>
            <w:r>
              <w:rPr/>
              <w:t>Adjusted income (Non-GAAP financial measure)</w:t>
            </w:r>
          </w:p>
        </w:tc>
        <w:tc>
          <w:tcPr>
            <w:tcW w:w="60" w:type="dxa"/>
            <w:tcBorders/>
            <w:shd w:fill="CCEEFF" w:val="clear"/>
            <w:vAlign w:val="center"/>
          </w:tcPr>
          <w:p>
            <w:pPr>
              <w:pStyle w:val="TableContents"/>
              <w:bidi w:val="0"/>
              <w:spacing w:before="0" w:after="283"/>
              <w:jc w:val="left"/>
              <w:rPr/>
            </w:pPr>
            <w:r>
              <w:rPr/>
              <w:t> </w:t>
            </w:r>
          </w:p>
        </w:tc>
        <w:tc>
          <w:tcPr>
            <w:tcW w:w="26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24" w:type="dxa"/>
            <w:tcBorders>
              <w:bottom w:val="double" w:sz="6" w:space="0" w:color="000000"/>
            </w:tcBorders>
            <w:shd w:fill="CCEEFF" w:val="clear"/>
            <w:tcMar>
              <w:bottom w:w="28" w:type="dxa"/>
            </w:tcMar>
            <w:vAlign w:val="center"/>
          </w:tcPr>
          <w:p>
            <w:pPr>
              <w:pStyle w:val="TableContents"/>
              <w:bidi w:val="0"/>
              <w:spacing w:before="0" w:after="283"/>
              <w:jc w:val="right"/>
              <w:rPr/>
            </w:pPr>
            <w:r>
              <w:rPr/>
              <w:t>342,922</w:t>
            </w:r>
          </w:p>
        </w:tc>
        <w:tc>
          <w:tcPr>
            <w:tcW w:w="110" w:type="dxa"/>
            <w:tcBorders/>
            <w:shd w:fill="CCEEFF" w:val="clear"/>
            <w:vAlign w:val="center"/>
          </w:tcPr>
          <w:p>
            <w:pPr>
              <w:pStyle w:val="TableContents"/>
              <w:bidi w:val="0"/>
              <w:spacing w:before="0" w:after="283"/>
              <w:jc w:val="left"/>
              <w:rPr/>
            </w:pPr>
            <w:r>
              <w:rPr/>
              <w:t> </w:t>
            </w:r>
          </w:p>
        </w:tc>
      </w:tr>
      <w:tr>
        <w:trPr/>
        <w:tc>
          <w:tcPr>
            <w:tcW w:w="6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1524"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6965" w:type="dxa"/>
            <w:tcBorders/>
            <w:shd w:fill="FFFFFF" w:val="clear"/>
            <w:vAlign w:val="center"/>
          </w:tcPr>
          <w:p>
            <w:pPr>
              <w:pStyle w:val="TableContents"/>
              <w:bidi w:val="0"/>
              <w:spacing w:before="0" w:after="283"/>
              <w:jc w:val="left"/>
              <w:rPr/>
            </w:pPr>
            <w:r>
              <w:rPr/>
              <w:t>Net income per common share (GAAP financial measure):</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52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965" w:type="dxa"/>
            <w:tcBorders/>
            <w:shd w:fill="CCEEFF" w:val="clear"/>
            <w:vAlign w:val="center"/>
          </w:tcPr>
          <w:p>
            <w:pPr>
              <w:pStyle w:val="TableContents"/>
              <w:bidi w:val="0"/>
              <w:spacing w:before="0" w:after="283"/>
              <w:jc w:val="left"/>
              <w:rPr/>
            </w:pPr>
            <w:r>
              <w:rPr/>
              <w:t>Basic</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w:t>
            </w:r>
          </w:p>
        </w:tc>
        <w:tc>
          <w:tcPr>
            <w:tcW w:w="1524" w:type="dxa"/>
            <w:tcBorders/>
            <w:shd w:fill="CCEEFF" w:val="clear"/>
            <w:vAlign w:val="center"/>
          </w:tcPr>
          <w:p>
            <w:pPr>
              <w:pStyle w:val="TableContents"/>
              <w:bidi w:val="0"/>
              <w:spacing w:before="0" w:after="283"/>
              <w:jc w:val="right"/>
              <w:rPr/>
            </w:pPr>
            <w:r>
              <w:rPr/>
              <w:t>1.16</w:t>
            </w:r>
          </w:p>
        </w:tc>
        <w:tc>
          <w:tcPr>
            <w:tcW w:w="110" w:type="dxa"/>
            <w:tcBorders/>
            <w:shd w:fill="CCEEFF" w:val="clear"/>
            <w:vAlign w:val="center"/>
          </w:tcPr>
          <w:p>
            <w:pPr>
              <w:pStyle w:val="TableContents"/>
              <w:bidi w:val="0"/>
              <w:spacing w:before="0" w:after="283"/>
              <w:jc w:val="left"/>
              <w:rPr/>
            </w:pPr>
            <w:r>
              <w:rPr/>
              <w:t> </w:t>
            </w:r>
          </w:p>
        </w:tc>
      </w:tr>
      <w:tr>
        <w:trPr/>
        <w:tc>
          <w:tcPr>
            <w:tcW w:w="6965" w:type="dxa"/>
            <w:tcBorders/>
            <w:shd w:fill="FFFFFF" w:val="clear"/>
            <w:vAlign w:val="center"/>
          </w:tcPr>
          <w:p>
            <w:pPr>
              <w:pStyle w:val="TableContents"/>
              <w:bidi w:val="0"/>
              <w:spacing w:before="0" w:after="283"/>
              <w:jc w:val="left"/>
              <w:rPr/>
            </w:pPr>
            <w:r>
              <w:rPr/>
              <w:t>Diluted</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w:t>
            </w:r>
          </w:p>
        </w:tc>
        <w:tc>
          <w:tcPr>
            <w:tcW w:w="1524" w:type="dxa"/>
            <w:tcBorders/>
            <w:shd w:fill="FFFFFF" w:val="clear"/>
            <w:vAlign w:val="center"/>
          </w:tcPr>
          <w:p>
            <w:pPr>
              <w:pStyle w:val="TableContents"/>
              <w:bidi w:val="0"/>
              <w:spacing w:before="0" w:after="283"/>
              <w:jc w:val="right"/>
              <w:rPr/>
            </w:pPr>
            <w:r>
              <w:rPr/>
              <w:t>1.16</w:t>
            </w:r>
          </w:p>
        </w:tc>
        <w:tc>
          <w:tcPr>
            <w:tcW w:w="110" w:type="dxa"/>
            <w:tcBorders/>
            <w:shd w:fill="FFFFFF" w:val="clear"/>
            <w:vAlign w:val="center"/>
          </w:tcPr>
          <w:p>
            <w:pPr>
              <w:pStyle w:val="TableContents"/>
              <w:bidi w:val="0"/>
              <w:spacing w:before="0" w:after="283"/>
              <w:jc w:val="left"/>
              <w:rPr/>
            </w:pPr>
            <w:r>
              <w:rPr/>
              <w:t> </w:t>
            </w:r>
          </w:p>
        </w:tc>
      </w:tr>
      <w:tr>
        <w:trPr/>
        <w:tc>
          <w:tcPr>
            <w:tcW w:w="6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1524"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6965" w:type="dxa"/>
            <w:tcBorders/>
            <w:shd w:fill="CCEEFF" w:val="clear"/>
            <w:vAlign w:val="center"/>
          </w:tcPr>
          <w:p>
            <w:pPr>
              <w:pStyle w:val="TableContents"/>
              <w:bidi w:val="0"/>
              <w:spacing w:before="0" w:after="283"/>
              <w:jc w:val="left"/>
              <w:rPr/>
            </w:pPr>
            <w:r>
              <w:rPr/>
              <w:t>Adjusted income per common share (Non-GAAP financial measure):</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52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965" w:type="dxa"/>
            <w:tcBorders/>
            <w:shd w:fill="FFFFFF" w:val="clear"/>
            <w:vAlign w:val="center"/>
          </w:tcPr>
          <w:p>
            <w:pPr>
              <w:pStyle w:val="TableContents"/>
              <w:bidi w:val="0"/>
              <w:spacing w:before="0" w:after="283"/>
              <w:jc w:val="left"/>
              <w:rPr/>
            </w:pPr>
            <w:r>
              <w:rPr/>
              <w:t>Basic</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w:t>
            </w:r>
          </w:p>
        </w:tc>
        <w:tc>
          <w:tcPr>
            <w:tcW w:w="1524" w:type="dxa"/>
            <w:tcBorders/>
            <w:shd w:fill="FFFFFF" w:val="clear"/>
            <w:vAlign w:val="center"/>
          </w:tcPr>
          <w:p>
            <w:pPr>
              <w:pStyle w:val="TableContents"/>
              <w:bidi w:val="0"/>
              <w:spacing w:before="0" w:after="283"/>
              <w:jc w:val="right"/>
              <w:rPr/>
            </w:pPr>
            <w:r>
              <w:rPr/>
              <w:t>1.21</w:t>
            </w:r>
          </w:p>
        </w:tc>
        <w:tc>
          <w:tcPr>
            <w:tcW w:w="110" w:type="dxa"/>
            <w:tcBorders/>
            <w:shd w:fill="FFFFFF" w:val="clear"/>
            <w:vAlign w:val="center"/>
          </w:tcPr>
          <w:p>
            <w:pPr>
              <w:pStyle w:val="TableContents"/>
              <w:bidi w:val="0"/>
              <w:spacing w:before="0" w:after="283"/>
              <w:jc w:val="left"/>
              <w:rPr/>
            </w:pPr>
            <w:r>
              <w:rPr/>
              <w:t> </w:t>
            </w:r>
          </w:p>
        </w:tc>
      </w:tr>
      <w:tr>
        <w:trPr/>
        <w:tc>
          <w:tcPr>
            <w:tcW w:w="6965" w:type="dxa"/>
            <w:tcBorders/>
            <w:shd w:fill="CCEEFF" w:val="clear"/>
            <w:vAlign w:val="center"/>
          </w:tcPr>
          <w:p>
            <w:pPr>
              <w:pStyle w:val="TableContents"/>
              <w:bidi w:val="0"/>
              <w:spacing w:before="0" w:after="283"/>
              <w:jc w:val="left"/>
              <w:rPr/>
            </w:pPr>
            <w:r>
              <w:rPr/>
              <w:t>Diluted</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w:t>
            </w:r>
          </w:p>
        </w:tc>
        <w:tc>
          <w:tcPr>
            <w:tcW w:w="1524" w:type="dxa"/>
            <w:tcBorders/>
            <w:shd w:fill="CCEEFF" w:val="clear"/>
            <w:vAlign w:val="center"/>
          </w:tcPr>
          <w:p>
            <w:pPr>
              <w:pStyle w:val="TableContents"/>
              <w:bidi w:val="0"/>
              <w:spacing w:before="0" w:after="283"/>
              <w:jc w:val="right"/>
              <w:rPr/>
            </w:pPr>
            <w:r>
              <w:rPr/>
              <w:t>1.21</w:t>
            </w:r>
          </w:p>
        </w:tc>
        <w:tc>
          <w:tcPr>
            <w:tcW w:w="110" w:type="dxa"/>
            <w:tcBorders/>
            <w:shd w:fill="CCEEFF" w:val="clear"/>
            <w:vAlign w:val="center"/>
          </w:tcPr>
          <w:p>
            <w:pPr>
              <w:pStyle w:val="TableContents"/>
              <w:bidi w:val="0"/>
              <w:spacing w:before="0" w:after="283"/>
              <w:jc w:val="left"/>
              <w:rPr/>
            </w:pPr>
            <w:r>
              <w:rPr/>
              <w:t> </w:t>
            </w:r>
          </w:p>
        </w:tc>
      </w:tr>
      <w:tr>
        <w:trPr/>
        <w:tc>
          <w:tcPr>
            <w:tcW w:w="6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1524"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6965" w:type="dxa"/>
            <w:tcBorders/>
            <w:shd w:fill="FFFFFF" w:val="clear"/>
            <w:vAlign w:val="center"/>
          </w:tcPr>
          <w:p>
            <w:pPr>
              <w:pStyle w:val="TableContents"/>
              <w:bidi w:val="0"/>
              <w:spacing w:before="0" w:after="283"/>
              <w:jc w:val="left"/>
              <w:rPr/>
            </w:pPr>
            <w:r>
              <w:rPr/>
              <w:t>Average common shares outstanding:</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52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965" w:type="dxa"/>
            <w:tcBorders/>
            <w:shd w:fill="CCEEFF" w:val="clear"/>
            <w:vAlign w:val="center"/>
          </w:tcPr>
          <w:p>
            <w:pPr>
              <w:pStyle w:val="TableContents"/>
              <w:bidi w:val="0"/>
              <w:spacing w:before="0" w:after="283"/>
              <w:jc w:val="left"/>
              <w:rPr/>
            </w:pPr>
            <w:r>
              <w:rPr/>
              <w:t>Basic</w:t>
            </w:r>
          </w:p>
        </w:tc>
        <w:tc>
          <w:tcPr>
            <w:tcW w:w="60" w:type="dxa"/>
            <w:tcBorders/>
            <w:shd w:fill="CCEEFF" w:val="clear"/>
            <w:vAlign w:val="center"/>
          </w:tcPr>
          <w:p>
            <w:pPr>
              <w:pStyle w:val="TableContents"/>
              <w:bidi w:val="0"/>
              <w:spacing w:before="0" w:after="283"/>
              <w:jc w:val="left"/>
              <w:rPr/>
            </w:pPr>
            <w:r>
              <w:rPr/>
              <w:t> </w:t>
            </w:r>
          </w:p>
        </w:tc>
        <w:tc>
          <w:tcPr>
            <w:tcW w:w="26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524" w:type="dxa"/>
            <w:tcBorders>
              <w:bottom w:val="double" w:sz="6" w:space="0" w:color="000000"/>
            </w:tcBorders>
            <w:shd w:fill="CCEEFF" w:val="clear"/>
            <w:tcMar>
              <w:bottom w:w="28" w:type="dxa"/>
            </w:tcMar>
            <w:vAlign w:val="center"/>
          </w:tcPr>
          <w:p>
            <w:pPr>
              <w:pStyle w:val="TableContents"/>
              <w:bidi w:val="0"/>
              <w:spacing w:before="0" w:after="283"/>
              <w:jc w:val="right"/>
              <w:rPr/>
            </w:pPr>
            <w:r>
              <w:rPr/>
              <w:t>283,419</w:t>
            </w:r>
          </w:p>
        </w:tc>
        <w:tc>
          <w:tcPr>
            <w:tcW w:w="110" w:type="dxa"/>
            <w:tcBorders/>
            <w:shd w:fill="CCEEFF" w:val="clear"/>
            <w:vAlign w:val="center"/>
          </w:tcPr>
          <w:p>
            <w:pPr>
              <w:pStyle w:val="TableContents"/>
              <w:bidi w:val="0"/>
              <w:spacing w:before="0" w:after="283"/>
              <w:jc w:val="left"/>
              <w:rPr/>
            </w:pPr>
            <w:r>
              <w:rPr/>
              <w:t> </w:t>
            </w:r>
          </w:p>
        </w:tc>
      </w:tr>
      <w:tr>
        <w:trPr/>
        <w:tc>
          <w:tcPr>
            <w:tcW w:w="6965" w:type="dxa"/>
            <w:tcBorders/>
            <w:shd w:fill="FFFFFF" w:val="clear"/>
            <w:vAlign w:val="center"/>
          </w:tcPr>
          <w:p>
            <w:pPr>
              <w:pStyle w:val="TableContents"/>
              <w:bidi w:val="0"/>
              <w:spacing w:before="0" w:after="283"/>
              <w:jc w:val="left"/>
              <w:rPr/>
            </w:pPr>
            <w:r>
              <w:rPr/>
              <w:t>Diluted</w:t>
            </w:r>
          </w:p>
        </w:tc>
        <w:tc>
          <w:tcPr>
            <w:tcW w:w="60" w:type="dxa"/>
            <w:tcBorders/>
            <w:shd w:fill="FFFFFF" w:val="clear"/>
            <w:vAlign w:val="center"/>
          </w:tcPr>
          <w:p>
            <w:pPr>
              <w:pStyle w:val="TableContents"/>
              <w:bidi w:val="0"/>
              <w:spacing w:before="0" w:after="283"/>
              <w:jc w:val="left"/>
              <w:rPr/>
            </w:pPr>
            <w:r>
              <w:rPr/>
              <w:t> </w:t>
            </w:r>
          </w:p>
        </w:tc>
        <w:tc>
          <w:tcPr>
            <w:tcW w:w="26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524" w:type="dxa"/>
            <w:tcBorders>
              <w:bottom w:val="double" w:sz="6" w:space="0" w:color="000000"/>
            </w:tcBorders>
            <w:shd w:fill="FFFFFF" w:val="clear"/>
            <w:tcMar>
              <w:bottom w:w="28" w:type="dxa"/>
            </w:tcMar>
            <w:vAlign w:val="center"/>
          </w:tcPr>
          <w:p>
            <w:pPr>
              <w:pStyle w:val="TableContents"/>
              <w:bidi w:val="0"/>
              <w:spacing w:before="0" w:after="283"/>
              <w:jc w:val="right"/>
              <w:rPr/>
            </w:pPr>
            <w:r>
              <w:rPr/>
              <w:t>283,998</w:t>
            </w:r>
          </w:p>
        </w:tc>
        <w:tc>
          <w:tcPr>
            <w:tcW w:w="110"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Media Contact</w:t>
      </w:r>
      <w:r>
        <w:rPr>
          <w:rFonts w:ascii="Times New Roman;Times;Serif" w:hAnsi="Times New Roman;Times;Serif"/>
          <w:b w:val="false"/>
          <w:i w:val="false"/>
          <w:caps w:val="false"/>
          <w:smallCaps w:val="false"/>
          <w:sz w:val="20"/>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Kralle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 Public Affairs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 Hotline: 1.877.325.3477 </w:t>
        <w:br/>
        <w:t>Media@Essential.co </w:t>
      </w:r>
    </w:p>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Investor Contact:</w:t>
      </w:r>
      <w:r>
        <w:rPr>
          <w:rFonts w:ascii="Times New Roman;Times;Serif" w:hAnsi="Times New Roman;Times;Serif"/>
          <w:b w:val="false"/>
          <w:i w:val="false"/>
          <w:caps w:val="false"/>
          <w:smallCaps w:val="false"/>
          <w:sz w:val="20"/>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Brian Dingerdissen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 Treasurer, FP&amp;A, and IR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610.645.1191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BJDingerdissen@Essential.co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4316</Words>
  <Characters>25027</Characters>
  <CharactersWithSpaces>29852</CharactersWithSpaces>
  <Paragraphs>1412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